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9676C" w:rsidP="009B7940" w:rsidRDefault="008C1C8D" w14:paraId="4F77E0C7" w14:textId="4714F0D4">
      <w:pPr>
        <w:pStyle w:val="DESNZTitle"/>
      </w:pPr>
      <w:r>
        <w:t xml:space="preserve">Evaluation of the </w:t>
      </w:r>
      <w:r w:rsidR="00871A41">
        <w:t xml:space="preserve">International Climate Finance (ICF) portfolio’s </w:t>
      </w:r>
      <w:r>
        <w:t>Market Accelerator for Green Construction</w:t>
      </w:r>
    </w:p>
    <w:p w:rsidR="00E9676C" w:rsidP="00201358" w:rsidRDefault="00432A26" w14:paraId="44F71F9D" w14:textId="468C03D7">
      <w:pPr>
        <w:pStyle w:val="DESNZSub-title"/>
      </w:pPr>
      <w:r>
        <w:t>Technical</w:t>
      </w:r>
      <w:r w:rsidR="008C1C8D">
        <w:t xml:space="preserve"> </w:t>
      </w:r>
      <w:r>
        <w:t>annex</w:t>
      </w:r>
    </w:p>
    <w:p w:rsidRPr="00201358" w:rsidR="00201358" w:rsidP="00FC1A03" w:rsidRDefault="00C26D9C" w14:paraId="5784A466" w14:textId="0E1FB14F">
      <w:pPr>
        <w:pStyle w:val="DESNZResearchNo"/>
        <w:sectPr w:rsidRPr="00201358" w:rsidR="00201358" w:rsidSect="004A3DCA">
          <w:headerReference w:type="default" r:id="rId12"/>
          <w:footerReference w:type="default" r:id="rId13"/>
          <w:type w:val="continuous"/>
          <w:pgSz w:w="11906" w:h="16838" w:orient="portrait" w:code="9"/>
          <w:pgMar w:top="1418" w:right="1134" w:bottom="1418" w:left="1077" w:header="720" w:footer="868" w:gutter="0"/>
          <w:cols w:space="708"/>
          <w:vAlign w:val="center"/>
          <w:docGrid w:linePitch="360"/>
        </w:sectPr>
      </w:pPr>
      <w:r>
        <w:br/>
      </w:r>
      <w:r>
        <w:br/>
      </w:r>
      <w:r>
        <w:br/>
      </w:r>
    </w:p>
    <w:p w:rsidR="00A77E6C" w:rsidRDefault="00A77E6C" w14:paraId="77EDCFA6" w14:textId="77777777">
      <w:pPr>
        <w:spacing w:after="160" w:line="259" w:lineRule="auto"/>
        <w:rPr>
          <w:rStyle w:val="Boldtext"/>
        </w:rPr>
      </w:pPr>
      <w:r>
        <w:rPr>
          <w:rStyle w:val="Boldtext"/>
        </w:rPr>
        <w:br w:type="page"/>
      </w:r>
    </w:p>
    <w:p w:rsidR="00C26D9C" w:rsidP="001A2EAD" w:rsidRDefault="00C26D9C" w14:paraId="5481A065" w14:textId="77777777"/>
    <w:p w:rsidR="00C26D9C" w:rsidP="001A2EAD" w:rsidRDefault="00C26D9C" w14:paraId="0BF31C29" w14:textId="77777777"/>
    <w:p w:rsidR="00C26D9C" w:rsidP="001A2EAD" w:rsidRDefault="00C26D9C" w14:paraId="088BFFBA" w14:textId="77777777"/>
    <w:p w:rsidR="00C26D9C" w:rsidP="001A2EAD" w:rsidRDefault="00C26D9C" w14:paraId="7DDE4A33" w14:textId="77777777"/>
    <w:p w:rsidR="00C26D9C" w:rsidP="001A2EAD" w:rsidRDefault="00C26D9C" w14:paraId="53D1793E" w14:textId="77777777"/>
    <w:p w:rsidR="00C26D9C" w:rsidP="001A2EAD" w:rsidRDefault="00C26D9C" w14:paraId="26251CF6" w14:textId="77777777"/>
    <w:p w:rsidR="00C26D9C" w:rsidP="001A2EAD" w:rsidRDefault="00C26D9C" w14:paraId="78D4D03F" w14:textId="77777777"/>
    <w:p w:rsidR="00C26D9C" w:rsidP="001A2EAD" w:rsidRDefault="00C26D9C" w14:paraId="1745FAA6" w14:textId="77777777"/>
    <w:p w:rsidR="00C26D9C" w:rsidP="001A2EAD" w:rsidRDefault="00C26D9C" w14:paraId="72AD6C39" w14:textId="77777777"/>
    <w:p w:rsidR="00C26D9C" w:rsidP="001A2EAD" w:rsidRDefault="00C26D9C" w14:paraId="021DB036" w14:textId="77777777"/>
    <w:p w:rsidR="00C26D9C" w:rsidP="001A2EAD" w:rsidRDefault="00C26D9C" w14:paraId="47FDB180" w14:textId="77777777"/>
    <w:p w:rsidR="00C26D9C" w:rsidP="001A2EAD" w:rsidRDefault="00C26D9C" w14:paraId="6A8F69F2" w14:textId="77777777"/>
    <w:p w:rsidR="00C26D9C" w:rsidP="001A2EAD" w:rsidRDefault="00C26D9C" w14:paraId="1AE04FB8" w14:textId="77777777"/>
    <w:p w:rsidR="00C26D9C" w:rsidP="001A2EAD" w:rsidRDefault="00C26D9C" w14:paraId="2A5F016A" w14:textId="77777777"/>
    <w:p w:rsidR="00C26D9C" w:rsidP="00C26D9C" w:rsidRDefault="00C26D9C" w14:paraId="19C6027F" w14:textId="77777777">
      <w:pPr>
        <w:pStyle w:val="Copyrightstatement"/>
      </w:pPr>
      <w:r>
        <w:rPr>
          <w:noProof/>
        </w:rPr>
        <w:drawing>
          <wp:inline distT="0" distB="0" distL="0" distR="0" wp14:anchorId="7B85C39B" wp14:editId="55AE05AC">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rsidR="00C26D9C" w:rsidP="00C26D9C" w:rsidRDefault="00C26D9C" w14:paraId="5C5A8472" w14:textId="21AF061A">
      <w:pPr>
        <w:pStyle w:val="Copyrightstatement"/>
      </w:pPr>
      <w:r w:rsidR="00C26D9C">
        <w:rPr/>
        <w:t>© Crown copyright 20</w:t>
      </w:r>
      <w:r w:rsidR="606C6D2B">
        <w:rPr/>
        <w:t>26</w:t>
      </w:r>
    </w:p>
    <w:p w:rsidR="00C26D9C" w:rsidP="00C26D9C" w:rsidRDefault="00C26D9C" w14:paraId="1798001A" w14:textId="77777777">
      <w:pPr>
        <w:pStyle w:val="Copyrightstatement"/>
      </w:pPr>
      <w:r>
        <w:t xml:space="preserve">This publication is licensed under the terms of the Open Government Licence v3.0 except where otherwise stated. To view this licence, visit </w:t>
      </w:r>
      <w:hyperlink w:history="1" r:id="rId15">
        <w:r w:rsidRPr="00BE2973">
          <w:rPr>
            <w:rStyle w:val="Hyperlink"/>
          </w:rPr>
          <w:t>nationalarchives.gov.uk/doc/open-government-licence/version/3</w:t>
        </w:r>
      </w:hyperlink>
      <w:r>
        <w:t xml:space="preserve"> or write to the Information Policy Team, The National Archives, Kew, London TW9 4DU, or email: </w:t>
      </w:r>
      <w:hyperlink w:history="1" r:id="rId16">
        <w:r w:rsidRPr="00471DE1">
          <w:rPr>
            <w:rStyle w:val="Hyperlink"/>
          </w:rPr>
          <w:t>psi@nationalarchives.gsi.gov.uk</w:t>
        </w:r>
      </w:hyperlink>
      <w:r>
        <w:t xml:space="preserve">. </w:t>
      </w:r>
    </w:p>
    <w:p w:rsidR="00C26D9C" w:rsidP="00C26D9C" w:rsidRDefault="00C26D9C" w14:paraId="3D48B47F" w14:textId="77777777">
      <w:pPr>
        <w:pStyle w:val="Copyrightstatement"/>
      </w:pPr>
      <w:r>
        <w:t>Where we have identified any third-party copyright information you will need to obtain permission from the copyright holders concerned.</w:t>
      </w:r>
    </w:p>
    <w:p w:rsidRPr="008714AA" w:rsidR="00C26D9C" w:rsidP="00C26D9C" w:rsidRDefault="00C26D9C" w14:paraId="294137D1" w14:textId="239EEE60">
      <w:pPr>
        <w:pStyle w:val="Copyrightstatement"/>
        <w:sectPr w:rsidRPr="008714AA" w:rsidR="00C26D9C" w:rsidSect="004A3DCA">
          <w:headerReference w:type="default" r:id="rId17"/>
          <w:footerReference w:type="default" r:id="rId18"/>
          <w:type w:val="continuous"/>
          <w:pgSz w:w="11906" w:h="16838" w:orient="portrait" w:code="9"/>
          <w:pgMar w:top="2835" w:right="907" w:bottom="907" w:left="907" w:header="686" w:footer="266" w:gutter="0"/>
          <w:cols w:space="708"/>
          <w:vAlign w:val="bottom"/>
          <w:docGrid w:linePitch="360"/>
        </w:sectPr>
      </w:pPr>
      <w:r>
        <w:t xml:space="preserve">Any enquiries regarding this publication should be sent to us at: </w:t>
      </w:r>
      <w:r>
        <w:br/>
      </w:r>
      <w:hyperlink w:history="1" r:id="rId19">
        <w:r w:rsidRPr="002E27BB" w:rsidR="00C859D1">
          <w:rPr>
            <w:rStyle w:val="Hyperlink"/>
          </w:rPr>
          <w:t>xxx@energysecurity.gov.uk</w:t>
        </w:r>
      </w:hyperlink>
      <w:r>
        <w:t xml:space="preserve"> </w:t>
      </w:r>
      <w:r w:rsidRPr="00D92F03">
        <w:rPr>
          <w:b/>
          <w:color w:val="A5A5A5" w:themeColor="accent3"/>
        </w:rPr>
        <w:t>[replace with team email address if availabl</w:t>
      </w:r>
      <w:r w:rsidRPr="00417D45" w:rsidR="00417D45">
        <w:rPr>
          <w:b/>
          <w:color w:val="A5A5A5" w:themeColor="accent3"/>
        </w:rPr>
        <w:t>e, or delete this sentence</w:t>
      </w:r>
      <w:r>
        <w:rPr>
          <w:b/>
          <w:color w:val="A5A5A5" w:themeColor="accent3"/>
        </w:rPr>
        <w:t>]</w:t>
      </w:r>
    </w:p>
    <w:p w:rsidR="00B402FD" w:rsidRDefault="00B402FD" w14:paraId="2601898F" w14:textId="77777777">
      <w:pPr>
        <w:spacing w:after="160" w:line="259" w:lineRule="auto"/>
        <w:rPr>
          <w:rFonts w:eastAsiaTheme="majorEastAsia" w:cstheme="majorBidi"/>
          <w:color w:val="041E42"/>
          <w:sz w:val="52"/>
          <w:szCs w:val="32"/>
        </w:rPr>
      </w:pPr>
      <w:r>
        <w:br w:type="page"/>
      </w:r>
    </w:p>
    <w:p w:rsidR="008F06A2" w:rsidP="004C1B6A" w:rsidRDefault="004C1B6A" w14:paraId="460711EF" w14:textId="00ADC8EB">
      <w:pPr>
        <w:pStyle w:val="Contents"/>
      </w:pPr>
      <w:r>
        <w:t>Contents</w:t>
      </w:r>
    </w:p>
    <w:p w:rsidR="004F07A0" w:rsidRDefault="00E45851" w14:paraId="1ADB9242" w14:textId="5EC45F47">
      <w:pPr>
        <w:pStyle w:val="TOC1"/>
        <w:rPr>
          <w:rFonts w:asciiTheme="minorHAnsi" w:hAnsiTheme="minorHAnsi" w:eastAsiaTheme="minorEastAsia"/>
          <w:noProof/>
          <w:color w:val="auto"/>
          <w:kern w:val="2"/>
          <w:szCs w:val="24"/>
          <w:lang w:eastAsia="en-GB"/>
          <w14:ligatures w14:val="standardContextual"/>
        </w:rPr>
      </w:pPr>
      <w:r>
        <w:fldChar w:fldCharType="begin"/>
      </w:r>
      <w:r>
        <w:instrText xml:space="preserve"> TOC \o "2-3" \h \z \t "Heading 1,1" </w:instrText>
      </w:r>
      <w:r>
        <w:fldChar w:fldCharType="separate"/>
      </w:r>
      <w:hyperlink w:history="1" w:anchor="_Toc207790182">
        <w:r w:rsidRPr="00661E5D" w:rsidR="004F07A0">
          <w:rPr>
            <w:rStyle w:val="Hyperlink"/>
            <w:noProof/>
          </w:rPr>
          <w:t>List of acronyms</w:t>
        </w:r>
        <w:r w:rsidR="004F07A0">
          <w:rPr>
            <w:noProof/>
            <w:webHidden/>
          </w:rPr>
          <w:tab/>
        </w:r>
        <w:r w:rsidR="004F07A0">
          <w:rPr>
            <w:noProof/>
            <w:webHidden/>
          </w:rPr>
          <w:fldChar w:fldCharType="begin"/>
        </w:r>
        <w:r w:rsidR="004F07A0">
          <w:rPr>
            <w:noProof/>
            <w:webHidden/>
          </w:rPr>
          <w:instrText xml:space="preserve"> PAGEREF _Toc207790182 \h </w:instrText>
        </w:r>
        <w:r w:rsidR="004F07A0">
          <w:rPr>
            <w:noProof/>
            <w:webHidden/>
          </w:rPr>
        </w:r>
        <w:r w:rsidR="004F07A0">
          <w:rPr>
            <w:noProof/>
            <w:webHidden/>
          </w:rPr>
          <w:fldChar w:fldCharType="separate"/>
        </w:r>
        <w:r w:rsidR="004F07A0">
          <w:rPr>
            <w:noProof/>
            <w:webHidden/>
          </w:rPr>
          <w:t>6</w:t>
        </w:r>
        <w:r w:rsidR="004F07A0">
          <w:rPr>
            <w:noProof/>
            <w:webHidden/>
          </w:rPr>
          <w:fldChar w:fldCharType="end"/>
        </w:r>
      </w:hyperlink>
    </w:p>
    <w:p w:rsidR="004F07A0" w:rsidRDefault="004F07A0" w14:paraId="7486AF03" w14:textId="33FD07F9">
      <w:pPr>
        <w:pStyle w:val="TOC1"/>
        <w:rPr>
          <w:rFonts w:asciiTheme="minorHAnsi" w:hAnsiTheme="minorHAnsi" w:eastAsiaTheme="minorEastAsia"/>
          <w:noProof/>
          <w:color w:val="auto"/>
          <w:kern w:val="2"/>
          <w:szCs w:val="24"/>
          <w:lang w:eastAsia="en-GB"/>
          <w14:ligatures w14:val="standardContextual"/>
        </w:rPr>
      </w:pPr>
      <w:hyperlink w:history="1" w:anchor="_Toc207790183">
        <w:r w:rsidRPr="00661E5D">
          <w:rPr>
            <w:rStyle w:val="Hyperlink"/>
            <w:noProof/>
          </w:rPr>
          <w:t>Introduction</w:t>
        </w:r>
        <w:r>
          <w:rPr>
            <w:noProof/>
            <w:webHidden/>
          </w:rPr>
          <w:tab/>
        </w:r>
        <w:r>
          <w:rPr>
            <w:noProof/>
            <w:webHidden/>
          </w:rPr>
          <w:fldChar w:fldCharType="begin"/>
        </w:r>
        <w:r>
          <w:rPr>
            <w:noProof/>
            <w:webHidden/>
          </w:rPr>
          <w:instrText xml:space="preserve"> PAGEREF _Toc207790183 \h </w:instrText>
        </w:r>
        <w:r>
          <w:rPr>
            <w:noProof/>
            <w:webHidden/>
          </w:rPr>
        </w:r>
        <w:r>
          <w:rPr>
            <w:noProof/>
            <w:webHidden/>
          </w:rPr>
          <w:fldChar w:fldCharType="separate"/>
        </w:r>
        <w:r>
          <w:rPr>
            <w:noProof/>
            <w:webHidden/>
          </w:rPr>
          <w:t>9</w:t>
        </w:r>
        <w:r>
          <w:rPr>
            <w:noProof/>
            <w:webHidden/>
          </w:rPr>
          <w:fldChar w:fldCharType="end"/>
        </w:r>
      </w:hyperlink>
    </w:p>
    <w:p w:rsidR="004F07A0" w:rsidRDefault="004F07A0" w14:paraId="6DF4F967" w14:textId="4301E8B8">
      <w:pPr>
        <w:pStyle w:val="TOC1"/>
        <w:rPr>
          <w:rFonts w:asciiTheme="minorHAnsi" w:hAnsiTheme="minorHAnsi" w:eastAsiaTheme="minorEastAsia"/>
          <w:noProof/>
          <w:color w:val="auto"/>
          <w:kern w:val="2"/>
          <w:szCs w:val="24"/>
          <w:lang w:eastAsia="en-GB"/>
          <w14:ligatures w14:val="standardContextual"/>
        </w:rPr>
      </w:pPr>
      <w:hyperlink w:history="1" w:anchor="_Toc207790184">
        <w:r w:rsidRPr="00661E5D">
          <w:rPr>
            <w:rStyle w:val="Hyperlink"/>
            <w:noProof/>
          </w:rPr>
          <w:t>Annex 1: MAGC Theory of Change</w:t>
        </w:r>
        <w:r>
          <w:rPr>
            <w:noProof/>
            <w:webHidden/>
          </w:rPr>
          <w:tab/>
        </w:r>
        <w:r>
          <w:rPr>
            <w:noProof/>
            <w:webHidden/>
          </w:rPr>
          <w:fldChar w:fldCharType="begin"/>
        </w:r>
        <w:r>
          <w:rPr>
            <w:noProof/>
            <w:webHidden/>
          </w:rPr>
          <w:instrText xml:space="preserve"> PAGEREF _Toc207790184 \h </w:instrText>
        </w:r>
        <w:r>
          <w:rPr>
            <w:noProof/>
            <w:webHidden/>
          </w:rPr>
        </w:r>
        <w:r>
          <w:rPr>
            <w:noProof/>
            <w:webHidden/>
          </w:rPr>
          <w:fldChar w:fldCharType="separate"/>
        </w:r>
        <w:r>
          <w:rPr>
            <w:noProof/>
            <w:webHidden/>
          </w:rPr>
          <w:t>11</w:t>
        </w:r>
        <w:r>
          <w:rPr>
            <w:noProof/>
            <w:webHidden/>
          </w:rPr>
          <w:fldChar w:fldCharType="end"/>
        </w:r>
      </w:hyperlink>
    </w:p>
    <w:p w:rsidR="004F07A0" w:rsidRDefault="004F07A0" w14:paraId="6A10D33C" w14:textId="14F8F702">
      <w:pPr>
        <w:pStyle w:val="TOC1"/>
        <w:rPr>
          <w:rFonts w:asciiTheme="minorHAnsi" w:hAnsiTheme="minorHAnsi" w:eastAsiaTheme="minorEastAsia"/>
          <w:noProof/>
          <w:color w:val="auto"/>
          <w:kern w:val="2"/>
          <w:szCs w:val="24"/>
          <w:lang w:eastAsia="en-GB"/>
          <w14:ligatures w14:val="standardContextual"/>
        </w:rPr>
      </w:pPr>
      <w:hyperlink w:history="1" w:anchor="_Toc207790185">
        <w:r w:rsidRPr="00661E5D">
          <w:rPr>
            <w:rStyle w:val="Hyperlink"/>
            <w:noProof/>
          </w:rPr>
          <w:t>Annex 2: Evaluation framework</w:t>
        </w:r>
        <w:r>
          <w:rPr>
            <w:noProof/>
            <w:webHidden/>
          </w:rPr>
          <w:tab/>
        </w:r>
        <w:r>
          <w:rPr>
            <w:noProof/>
            <w:webHidden/>
          </w:rPr>
          <w:fldChar w:fldCharType="begin"/>
        </w:r>
        <w:r>
          <w:rPr>
            <w:noProof/>
            <w:webHidden/>
          </w:rPr>
          <w:instrText xml:space="preserve"> PAGEREF _Toc207790185 \h </w:instrText>
        </w:r>
        <w:r>
          <w:rPr>
            <w:noProof/>
            <w:webHidden/>
          </w:rPr>
        </w:r>
        <w:r>
          <w:rPr>
            <w:noProof/>
            <w:webHidden/>
          </w:rPr>
          <w:fldChar w:fldCharType="separate"/>
        </w:r>
        <w:r>
          <w:rPr>
            <w:noProof/>
            <w:webHidden/>
          </w:rPr>
          <w:t>16</w:t>
        </w:r>
        <w:r>
          <w:rPr>
            <w:noProof/>
            <w:webHidden/>
          </w:rPr>
          <w:fldChar w:fldCharType="end"/>
        </w:r>
      </w:hyperlink>
    </w:p>
    <w:p w:rsidR="004F07A0" w:rsidRDefault="004F07A0" w14:paraId="22849784" w14:textId="6E20AEDA">
      <w:pPr>
        <w:pStyle w:val="TOC1"/>
        <w:rPr>
          <w:rFonts w:asciiTheme="minorHAnsi" w:hAnsiTheme="minorHAnsi" w:eastAsiaTheme="minorEastAsia"/>
          <w:noProof/>
          <w:color w:val="auto"/>
          <w:kern w:val="2"/>
          <w:szCs w:val="24"/>
          <w:lang w:eastAsia="en-GB"/>
          <w14:ligatures w14:val="standardContextual"/>
        </w:rPr>
      </w:pPr>
      <w:hyperlink w:history="1" w:anchor="_Toc207790186">
        <w:r w:rsidRPr="00661E5D">
          <w:rPr>
            <w:rStyle w:val="Hyperlink"/>
            <w:noProof/>
          </w:rPr>
          <w:t>Annex 3: Methodology</w:t>
        </w:r>
        <w:r>
          <w:rPr>
            <w:noProof/>
            <w:webHidden/>
          </w:rPr>
          <w:tab/>
        </w:r>
        <w:r>
          <w:rPr>
            <w:noProof/>
            <w:webHidden/>
          </w:rPr>
          <w:fldChar w:fldCharType="begin"/>
        </w:r>
        <w:r>
          <w:rPr>
            <w:noProof/>
            <w:webHidden/>
          </w:rPr>
          <w:instrText xml:space="preserve"> PAGEREF _Toc207790186 \h </w:instrText>
        </w:r>
        <w:r>
          <w:rPr>
            <w:noProof/>
            <w:webHidden/>
          </w:rPr>
        </w:r>
        <w:r>
          <w:rPr>
            <w:noProof/>
            <w:webHidden/>
          </w:rPr>
          <w:fldChar w:fldCharType="separate"/>
        </w:r>
        <w:r>
          <w:rPr>
            <w:noProof/>
            <w:webHidden/>
          </w:rPr>
          <w:t>26</w:t>
        </w:r>
        <w:r>
          <w:rPr>
            <w:noProof/>
            <w:webHidden/>
          </w:rPr>
          <w:fldChar w:fldCharType="end"/>
        </w:r>
      </w:hyperlink>
    </w:p>
    <w:p w:rsidR="004F07A0" w:rsidRDefault="004F07A0" w14:paraId="28F9331E" w14:textId="7AC2CC19">
      <w:pPr>
        <w:pStyle w:val="TOC1"/>
        <w:rPr>
          <w:rFonts w:asciiTheme="minorHAnsi" w:hAnsiTheme="minorHAnsi" w:eastAsiaTheme="minorEastAsia"/>
          <w:noProof/>
          <w:color w:val="auto"/>
          <w:kern w:val="2"/>
          <w:szCs w:val="24"/>
          <w:lang w:eastAsia="en-GB"/>
          <w14:ligatures w14:val="standardContextual"/>
        </w:rPr>
      </w:pPr>
      <w:hyperlink w:history="1" w:anchor="_Toc207790206">
        <w:r w:rsidRPr="00661E5D">
          <w:rPr>
            <w:rStyle w:val="Hyperlink"/>
            <w:noProof/>
          </w:rPr>
          <w:t>Annex 4: Strength of evidence and limitations</w:t>
        </w:r>
        <w:r>
          <w:rPr>
            <w:noProof/>
            <w:webHidden/>
          </w:rPr>
          <w:tab/>
        </w:r>
        <w:r>
          <w:rPr>
            <w:noProof/>
            <w:webHidden/>
          </w:rPr>
          <w:fldChar w:fldCharType="begin"/>
        </w:r>
        <w:r>
          <w:rPr>
            <w:noProof/>
            <w:webHidden/>
          </w:rPr>
          <w:instrText xml:space="preserve"> PAGEREF _Toc207790206 \h </w:instrText>
        </w:r>
        <w:r>
          <w:rPr>
            <w:noProof/>
            <w:webHidden/>
          </w:rPr>
        </w:r>
        <w:r>
          <w:rPr>
            <w:noProof/>
            <w:webHidden/>
          </w:rPr>
          <w:fldChar w:fldCharType="separate"/>
        </w:r>
        <w:r>
          <w:rPr>
            <w:noProof/>
            <w:webHidden/>
          </w:rPr>
          <w:t>47</w:t>
        </w:r>
        <w:r>
          <w:rPr>
            <w:noProof/>
            <w:webHidden/>
          </w:rPr>
          <w:fldChar w:fldCharType="end"/>
        </w:r>
      </w:hyperlink>
    </w:p>
    <w:p w:rsidR="004F07A0" w:rsidRDefault="004F07A0" w14:paraId="38953E75" w14:textId="5B52C571">
      <w:pPr>
        <w:pStyle w:val="TOC1"/>
        <w:rPr>
          <w:rFonts w:asciiTheme="minorHAnsi" w:hAnsiTheme="minorHAnsi" w:eastAsiaTheme="minorEastAsia"/>
          <w:noProof/>
          <w:color w:val="auto"/>
          <w:kern w:val="2"/>
          <w:szCs w:val="24"/>
          <w:lang w:eastAsia="en-GB"/>
          <w14:ligatures w14:val="standardContextual"/>
        </w:rPr>
      </w:pPr>
      <w:hyperlink w:history="1" w:anchor="_Toc207790210">
        <w:r w:rsidRPr="00661E5D">
          <w:rPr>
            <w:rStyle w:val="Hyperlink"/>
            <w:noProof/>
          </w:rPr>
          <w:t>Annex 5: Considerations for the KPI15 Methodology</w:t>
        </w:r>
        <w:r>
          <w:rPr>
            <w:noProof/>
            <w:webHidden/>
          </w:rPr>
          <w:tab/>
        </w:r>
        <w:r>
          <w:rPr>
            <w:noProof/>
            <w:webHidden/>
          </w:rPr>
          <w:fldChar w:fldCharType="begin"/>
        </w:r>
        <w:r>
          <w:rPr>
            <w:noProof/>
            <w:webHidden/>
          </w:rPr>
          <w:instrText xml:space="preserve"> PAGEREF _Toc207790210 \h </w:instrText>
        </w:r>
        <w:r>
          <w:rPr>
            <w:noProof/>
            <w:webHidden/>
          </w:rPr>
        </w:r>
        <w:r>
          <w:rPr>
            <w:noProof/>
            <w:webHidden/>
          </w:rPr>
          <w:fldChar w:fldCharType="separate"/>
        </w:r>
        <w:r>
          <w:rPr>
            <w:noProof/>
            <w:webHidden/>
          </w:rPr>
          <w:t>54</w:t>
        </w:r>
        <w:r>
          <w:rPr>
            <w:noProof/>
            <w:webHidden/>
          </w:rPr>
          <w:fldChar w:fldCharType="end"/>
        </w:r>
      </w:hyperlink>
    </w:p>
    <w:p w:rsidR="004F07A0" w:rsidRDefault="004F07A0" w14:paraId="5D617ED4" w14:textId="0ADA3A6B">
      <w:pPr>
        <w:pStyle w:val="TOC1"/>
        <w:rPr>
          <w:rFonts w:asciiTheme="minorHAnsi" w:hAnsiTheme="minorHAnsi" w:eastAsiaTheme="minorEastAsia"/>
          <w:noProof/>
          <w:color w:val="auto"/>
          <w:kern w:val="2"/>
          <w:szCs w:val="24"/>
          <w:lang w:eastAsia="en-GB"/>
          <w14:ligatures w14:val="standardContextual"/>
        </w:rPr>
      </w:pPr>
      <w:hyperlink w:history="1" w:anchor="_Toc207790214">
        <w:r w:rsidRPr="00661E5D">
          <w:rPr>
            <w:rStyle w:val="Hyperlink"/>
            <w:noProof/>
          </w:rPr>
          <w:t>Annex 6: Value for Money Framework</w:t>
        </w:r>
        <w:r>
          <w:rPr>
            <w:noProof/>
            <w:webHidden/>
          </w:rPr>
          <w:tab/>
        </w:r>
        <w:r>
          <w:rPr>
            <w:noProof/>
            <w:webHidden/>
          </w:rPr>
          <w:fldChar w:fldCharType="begin"/>
        </w:r>
        <w:r>
          <w:rPr>
            <w:noProof/>
            <w:webHidden/>
          </w:rPr>
          <w:instrText xml:space="preserve"> PAGEREF _Toc207790214 \h </w:instrText>
        </w:r>
        <w:r>
          <w:rPr>
            <w:noProof/>
            <w:webHidden/>
          </w:rPr>
        </w:r>
        <w:r>
          <w:rPr>
            <w:noProof/>
            <w:webHidden/>
          </w:rPr>
          <w:fldChar w:fldCharType="separate"/>
        </w:r>
        <w:r>
          <w:rPr>
            <w:noProof/>
            <w:webHidden/>
          </w:rPr>
          <w:t>64</w:t>
        </w:r>
        <w:r>
          <w:rPr>
            <w:noProof/>
            <w:webHidden/>
          </w:rPr>
          <w:fldChar w:fldCharType="end"/>
        </w:r>
      </w:hyperlink>
    </w:p>
    <w:p w:rsidR="004F07A0" w:rsidRDefault="004F07A0" w14:paraId="093233E7" w14:textId="4FE62480">
      <w:pPr>
        <w:pStyle w:val="TOC1"/>
        <w:rPr>
          <w:rFonts w:asciiTheme="minorHAnsi" w:hAnsiTheme="minorHAnsi" w:eastAsiaTheme="minorEastAsia"/>
          <w:noProof/>
          <w:color w:val="auto"/>
          <w:kern w:val="2"/>
          <w:szCs w:val="24"/>
          <w:lang w:eastAsia="en-GB"/>
          <w14:ligatures w14:val="standardContextual"/>
        </w:rPr>
      </w:pPr>
      <w:hyperlink w:history="1" w:anchor="_Toc207790217">
        <w:r w:rsidRPr="00661E5D">
          <w:rPr>
            <w:rStyle w:val="Hyperlink"/>
            <w:noProof/>
          </w:rPr>
          <w:t>Annex 7: Research tools</w:t>
        </w:r>
        <w:r>
          <w:rPr>
            <w:noProof/>
            <w:webHidden/>
          </w:rPr>
          <w:tab/>
        </w:r>
        <w:r>
          <w:rPr>
            <w:noProof/>
            <w:webHidden/>
          </w:rPr>
          <w:fldChar w:fldCharType="begin"/>
        </w:r>
        <w:r>
          <w:rPr>
            <w:noProof/>
            <w:webHidden/>
          </w:rPr>
          <w:instrText xml:space="preserve"> PAGEREF _Toc207790217 \h </w:instrText>
        </w:r>
        <w:r>
          <w:rPr>
            <w:noProof/>
            <w:webHidden/>
          </w:rPr>
        </w:r>
        <w:r>
          <w:rPr>
            <w:noProof/>
            <w:webHidden/>
          </w:rPr>
          <w:fldChar w:fldCharType="separate"/>
        </w:r>
        <w:r>
          <w:rPr>
            <w:noProof/>
            <w:webHidden/>
          </w:rPr>
          <w:t>77</w:t>
        </w:r>
        <w:r>
          <w:rPr>
            <w:noProof/>
            <w:webHidden/>
          </w:rPr>
          <w:fldChar w:fldCharType="end"/>
        </w:r>
      </w:hyperlink>
    </w:p>
    <w:p w:rsidR="004F07A0" w:rsidRDefault="004F07A0" w14:paraId="53C9A49D" w14:textId="542F522E">
      <w:pPr>
        <w:pStyle w:val="TOC1"/>
        <w:rPr>
          <w:rFonts w:asciiTheme="minorHAnsi" w:hAnsiTheme="minorHAnsi" w:eastAsiaTheme="minorEastAsia"/>
          <w:noProof/>
          <w:color w:val="auto"/>
          <w:kern w:val="2"/>
          <w:szCs w:val="24"/>
          <w:lang w:eastAsia="en-GB"/>
          <w14:ligatures w14:val="standardContextual"/>
        </w:rPr>
      </w:pPr>
      <w:hyperlink w:history="1" w:anchor="_Toc207790231">
        <w:r w:rsidRPr="00661E5D">
          <w:rPr>
            <w:rStyle w:val="Hyperlink"/>
            <w:noProof/>
          </w:rPr>
          <w:t>Annex 8: Ethics and safeguards</w:t>
        </w:r>
        <w:r>
          <w:rPr>
            <w:noProof/>
            <w:webHidden/>
          </w:rPr>
          <w:tab/>
        </w:r>
        <w:r>
          <w:rPr>
            <w:noProof/>
            <w:webHidden/>
          </w:rPr>
          <w:fldChar w:fldCharType="begin"/>
        </w:r>
        <w:r>
          <w:rPr>
            <w:noProof/>
            <w:webHidden/>
          </w:rPr>
          <w:instrText xml:space="preserve"> PAGEREF _Toc207790231 \h </w:instrText>
        </w:r>
        <w:r>
          <w:rPr>
            <w:noProof/>
            <w:webHidden/>
          </w:rPr>
        </w:r>
        <w:r>
          <w:rPr>
            <w:noProof/>
            <w:webHidden/>
          </w:rPr>
          <w:fldChar w:fldCharType="separate"/>
        </w:r>
        <w:r>
          <w:rPr>
            <w:noProof/>
            <w:webHidden/>
          </w:rPr>
          <w:t>120</w:t>
        </w:r>
        <w:r>
          <w:rPr>
            <w:noProof/>
            <w:webHidden/>
          </w:rPr>
          <w:fldChar w:fldCharType="end"/>
        </w:r>
      </w:hyperlink>
    </w:p>
    <w:p w:rsidR="004F07A0" w:rsidRDefault="004F07A0" w14:paraId="63558C06" w14:textId="3B56C70D">
      <w:pPr>
        <w:pStyle w:val="TOC1"/>
        <w:rPr>
          <w:rFonts w:asciiTheme="minorHAnsi" w:hAnsiTheme="minorHAnsi" w:eastAsiaTheme="minorEastAsia"/>
          <w:noProof/>
          <w:color w:val="auto"/>
          <w:kern w:val="2"/>
          <w:szCs w:val="24"/>
          <w:lang w:eastAsia="en-GB"/>
          <w14:ligatures w14:val="standardContextual"/>
        </w:rPr>
      </w:pPr>
      <w:hyperlink w:history="1" w:anchor="_Toc207790235">
        <w:r w:rsidRPr="00661E5D">
          <w:rPr>
            <w:rStyle w:val="Hyperlink"/>
            <w:noProof/>
          </w:rPr>
          <w:t>Annex 9: Use and influence plan</w:t>
        </w:r>
        <w:r>
          <w:rPr>
            <w:noProof/>
            <w:webHidden/>
          </w:rPr>
          <w:tab/>
        </w:r>
        <w:r>
          <w:rPr>
            <w:noProof/>
            <w:webHidden/>
          </w:rPr>
          <w:fldChar w:fldCharType="begin"/>
        </w:r>
        <w:r>
          <w:rPr>
            <w:noProof/>
            <w:webHidden/>
          </w:rPr>
          <w:instrText xml:space="preserve"> PAGEREF _Toc207790235 \h </w:instrText>
        </w:r>
        <w:r>
          <w:rPr>
            <w:noProof/>
            <w:webHidden/>
          </w:rPr>
        </w:r>
        <w:r>
          <w:rPr>
            <w:noProof/>
            <w:webHidden/>
          </w:rPr>
          <w:fldChar w:fldCharType="separate"/>
        </w:r>
        <w:r>
          <w:rPr>
            <w:noProof/>
            <w:webHidden/>
          </w:rPr>
          <w:t>124</w:t>
        </w:r>
        <w:r>
          <w:rPr>
            <w:noProof/>
            <w:webHidden/>
          </w:rPr>
          <w:fldChar w:fldCharType="end"/>
        </w:r>
      </w:hyperlink>
    </w:p>
    <w:p w:rsidR="004F07A0" w:rsidRDefault="004F07A0" w14:paraId="63E9BDBC" w14:textId="416AB169">
      <w:pPr>
        <w:pStyle w:val="TOC1"/>
        <w:rPr>
          <w:rFonts w:asciiTheme="minorHAnsi" w:hAnsiTheme="minorHAnsi" w:eastAsiaTheme="minorEastAsia"/>
          <w:noProof/>
          <w:color w:val="auto"/>
          <w:kern w:val="2"/>
          <w:szCs w:val="24"/>
          <w:lang w:eastAsia="en-GB"/>
          <w14:ligatures w14:val="standardContextual"/>
        </w:rPr>
      </w:pPr>
      <w:hyperlink w:history="1" w:anchor="_Toc207790236">
        <w:r w:rsidRPr="00661E5D">
          <w:rPr>
            <w:rStyle w:val="Hyperlink"/>
            <w:noProof/>
          </w:rPr>
          <w:t>Annex 10: Terms of Reference</w:t>
        </w:r>
        <w:r>
          <w:rPr>
            <w:noProof/>
            <w:webHidden/>
          </w:rPr>
          <w:tab/>
        </w:r>
        <w:r>
          <w:rPr>
            <w:noProof/>
            <w:webHidden/>
          </w:rPr>
          <w:fldChar w:fldCharType="begin"/>
        </w:r>
        <w:r>
          <w:rPr>
            <w:noProof/>
            <w:webHidden/>
          </w:rPr>
          <w:instrText xml:space="preserve"> PAGEREF _Toc207790236 \h </w:instrText>
        </w:r>
        <w:r>
          <w:rPr>
            <w:noProof/>
            <w:webHidden/>
          </w:rPr>
        </w:r>
        <w:r>
          <w:rPr>
            <w:noProof/>
            <w:webHidden/>
          </w:rPr>
          <w:fldChar w:fldCharType="separate"/>
        </w:r>
        <w:r>
          <w:rPr>
            <w:noProof/>
            <w:webHidden/>
          </w:rPr>
          <w:t>130</w:t>
        </w:r>
        <w:r>
          <w:rPr>
            <w:noProof/>
            <w:webHidden/>
          </w:rPr>
          <w:fldChar w:fldCharType="end"/>
        </w:r>
      </w:hyperlink>
    </w:p>
    <w:p w:rsidR="004F07A0" w:rsidRDefault="004F07A0" w14:paraId="1920C34B" w14:textId="610567A9">
      <w:pPr>
        <w:pStyle w:val="TOC1"/>
        <w:rPr>
          <w:rFonts w:asciiTheme="minorHAnsi" w:hAnsiTheme="minorHAnsi" w:eastAsiaTheme="minorEastAsia"/>
          <w:noProof/>
          <w:color w:val="auto"/>
          <w:kern w:val="2"/>
          <w:szCs w:val="24"/>
          <w:lang w:eastAsia="en-GB"/>
          <w14:ligatures w14:val="standardContextual"/>
        </w:rPr>
      </w:pPr>
      <w:hyperlink w:history="1" w:anchor="_Toc207790237">
        <w:r w:rsidRPr="00661E5D">
          <w:rPr>
            <w:rStyle w:val="Hyperlink"/>
            <w:noProof/>
          </w:rPr>
          <w:t>Annex 11: Bibliography</w:t>
        </w:r>
        <w:r>
          <w:rPr>
            <w:noProof/>
            <w:webHidden/>
          </w:rPr>
          <w:tab/>
        </w:r>
        <w:r>
          <w:rPr>
            <w:noProof/>
            <w:webHidden/>
          </w:rPr>
          <w:fldChar w:fldCharType="begin"/>
        </w:r>
        <w:r>
          <w:rPr>
            <w:noProof/>
            <w:webHidden/>
          </w:rPr>
          <w:instrText xml:space="preserve"> PAGEREF _Toc207790237 \h </w:instrText>
        </w:r>
        <w:r>
          <w:rPr>
            <w:noProof/>
            <w:webHidden/>
          </w:rPr>
        </w:r>
        <w:r>
          <w:rPr>
            <w:noProof/>
            <w:webHidden/>
          </w:rPr>
          <w:fldChar w:fldCharType="separate"/>
        </w:r>
        <w:r>
          <w:rPr>
            <w:noProof/>
            <w:webHidden/>
          </w:rPr>
          <w:t>166</w:t>
        </w:r>
        <w:r>
          <w:rPr>
            <w:noProof/>
            <w:webHidden/>
          </w:rPr>
          <w:fldChar w:fldCharType="end"/>
        </w:r>
      </w:hyperlink>
    </w:p>
    <w:p w:rsidR="004F07A0" w:rsidRDefault="004F07A0" w14:paraId="18F0E09A" w14:textId="27975433">
      <w:pPr>
        <w:pStyle w:val="TOC1"/>
        <w:rPr>
          <w:rFonts w:asciiTheme="minorHAnsi" w:hAnsiTheme="minorHAnsi" w:eastAsiaTheme="minorEastAsia"/>
          <w:noProof/>
          <w:color w:val="auto"/>
          <w:kern w:val="2"/>
          <w:szCs w:val="24"/>
          <w:lang w:eastAsia="en-GB"/>
          <w14:ligatures w14:val="standardContextual"/>
        </w:rPr>
      </w:pPr>
      <w:hyperlink w:history="1" w:anchor="_Toc207790238">
        <w:r w:rsidRPr="00661E5D">
          <w:rPr>
            <w:rStyle w:val="Hyperlink"/>
            <w:noProof/>
          </w:rPr>
          <w:t>Annex 12: Political Economy Analysis</w:t>
        </w:r>
        <w:r>
          <w:rPr>
            <w:noProof/>
            <w:webHidden/>
          </w:rPr>
          <w:tab/>
        </w:r>
        <w:r>
          <w:rPr>
            <w:noProof/>
            <w:webHidden/>
          </w:rPr>
          <w:fldChar w:fldCharType="begin"/>
        </w:r>
        <w:r>
          <w:rPr>
            <w:noProof/>
            <w:webHidden/>
          </w:rPr>
          <w:instrText xml:space="preserve"> PAGEREF _Toc207790238 \h </w:instrText>
        </w:r>
        <w:r>
          <w:rPr>
            <w:noProof/>
            <w:webHidden/>
          </w:rPr>
        </w:r>
        <w:r>
          <w:rPr>
            <w:noProof/>
            <w:webHidden/>
          </w:rPr>
          <w:fldChar w:fldCharType="separate"/>
        </w:r>
        <w:r>
          <w:rPr>
            <w:noProof/>
            <w:webHidden/>
          </w:rPr>
          <w:t>170</w:t>
        </w:r>
        <w:r>
          <w:rPr>
            <w:noProof/>
            <w:webHidden/>
          </w:rPr>
          <w:fldChar w:fldCharType="end"/>
        </w:r>
      </w:hyperlink>
    </w:p>
    <w:p w:rsidR="004F07A0" w:rsidRDefault="004F07A0" w14:paraId="6BE52AF1" w14:textId="76FBC2FB">
      <w:pPr>
        <w:pStyle w:val="TOC1"/>
        <w:rPr>
          <w:rFonts w:asciiTheme="minorHAnsi" w:hAnsiTheme="minorHAnsi" w:eastAsiaTheme="minorEastAsia"/>
          <w:noProof/>
          <w:color w:val="auto"/>
          <w:kern w:val="2"/>
          <w:szCs w:val="24"/>
          <w:lang w:eastAsia="en-GB"/>
          <w14:ligatures w14:val="standardContextual"/>
        </w:rPr>
      </w:pPr>
      <w:hyperlink w:history="1" w:anchor="_Toc207790239">
        <w:r w:rsidRPr="00661E5D">
          <w:rPr>
            <w:rStyle w:val="Hyperlink"/>
            <w:noProof/>
          </w:rPr>
          <w:t>Annex 13: Summary of findings from the process evaluation</w:t>
        </w:r>
        <w:r>
          <w:rPr>
            <w:noProof/>
            <w:webHidden/>
          </w:rPr>
          <w:tab/>
        </w:r>
        <w:r>
          <w:rPr>
            <w:noProof/>
            <w:webHidden/>
          </w:rPr>
          <w:fldChar w:fldCharType="begin"/>
        </w:r>
        <w:r>
          <w:rPr>
            <w:noProof/>
            <w:webHidden/>
          </w:rPr>
          <w:instrText xml:space="preserve"> PAGEREF _Toc207790239 \h </w:instrText>
        </w:r>
        <w:r>
          <w:rPr>
            <w:noProof/>
            <w:webHidden/>
          </w:rPr>
        </w:r>
        <w:r>
          <w:rPr>
            <w:noProof/>
            <w:webHidden/>
          </w:rPr>
          <w:fldChar w:fldCharType="separate"/>
        </w:r>
        <w:r>
          <w:rPr>
            <w:noProof/>
            <w:webHidden/>
          </w:rPr>
          <w:t>171</w:t>
        </w:r>
        <w:r>
          <w:rPr>
            <w:noProof/>
            <w:webHidden/>
          </w:rPr>
          <w:fldChar w:fldCharType="end"/>
        </w:r>
      </w:hyperlink>
    </w:p>
    <w:p w:rsidR="004F07A0" w:rsidRDefault="004F07A0" w14:paraId="0FC7C06D" w14:textId="09140D78">
      <w:pPr>
        <w:pStyle w:val="TOC1"/>
        <w:rPr>
          <w:rFonts w:asciiTheme="minorHAnsi" w:hAnsiTheme="minorHAnsi" w:eastAsiaTheme="minorEastAsia"/>
          <w:noProof/>
          <w:color w:val="auto"/>
          <w:kern w:val="2"/>
          <w:szCs w:val="24"/>
          <w:lang w:eastAsia="en-GB"/>
          <w14:ligatures w14:val="standardContextual"/>
        </w:rPr>
      </w:pPr>
      <w:hyperlink w:history="1" w:anchor="_Toc207790245">
        <w:r w:rsidRPr="00661E5D">
          <w:rPr>
            <w:rStyle w:val="Hyperlink"/>
            <w:noProof/>
          </w:rPr>
          <w:t>Annex 14: Analysis on financial instruments</w:t>
        </w:r>
        <w:r>
          <w:rPr>
            <w:noProof/>
            <w:webHidden/>
          </w:rPr>
          <w:tab/>
        </w:r>
        <w:r>
          <w:rPr>
            <w:noProof/>
            <w:webHidden/>
          </w:rPr>
          <w:fldChar w:fldCharType="begin"/>
        </w:r>
        <w:r>
          <w:rPr>
            <w:noProof/>
            <w:webHidden/>
          </w:rPr>
          <w:instrText xml:space="preserve"> PAGEREF _Toc207790245 \h </w:instrText>
        </w:r>
        <w:r>
          <w:rPr>
            <w:noProof/>
            <w:webHidden/>
          </w:rPr>
        </w:r>
        <w:r>
          <w:rPr>
            <w:noProof/>
            <w:webHidden/>
          </w:rPr>
          <w:fldChar w:fldCharType="separate"/>
        </w:r>
        <w:r>
          <w:rPr>
            <w:noProof/>
            <w:webHidden/>
          </w:rPr>
          <w:t>175</w:t>
        </w:r>
        <w:r>
          <w:rPr>
            <w:noProof/>
            <w:webHidden/>
          </w:rPr>
          <w:fldChar w:fldCharType="end"/>
        </w:r>
      </w:hyperlink>
    </w:p>
    <w:p w:rsidR="00CC7A35" w:rsidP="002642C7" w:rsidRDefault="00E45851" w14:paraId="607C3EE2" w14:textId="5F31969E">
      <w:r>
        <w:fldChar w:fldCharType="end"/>
      </w:r>
    </w:p>
    <w:p w:rsidR="00E723D1" w:rsidP="001F1F6A" w:rsidRDefault="00BF474E" w14:paraId="3E0AF328" w14:textId="77777777">
      <w:pPr>
        <w:sectPr w:rsidR="00E723D1" w:rsidSect="004A3DCA">
          <w:headerReference w:type="default" r:id="rId20"/>
          <w:type w:val="continuous"/>
          <w:pgSz w:w="11906" w:h="16838" w:orient="portrait"/>
          <w:pgMar w:top="1418" w:right="907" w:bottom="907" w:left="907" w:header="709" w:footer="266" w:gutter="0"/>
          <w:cols w:space="708"/>
          <w:docGrid w:linePitch="360"/>
        </w:sectPr>
      </w:pPr>
      <w:r>
        <w:br w:type="page"/>
      </w:r>
    </w:p>
    <w:p w:rsidR="009D3585" w:rsidP="009D3585" w:rsidRDefault="009D3585" w14:paraId="1568C135" w14:textId="77777777">
      <w:pPr>
        <w:pStyle w:val="Heading1"/>
      </w:pPr>
      <w:bookmarkStart w:name="_Toc207790182" w:id="0"/>
      <w:r>
        <w:t>List of acronyms</w:t>
      </w:r>
      <w:bookmarkEnd w:id="0"/>
    </w:p>
    <w:p w:rsidR="009D3585" w:rsidP="009D3585" w:rsidRDefault="009D3585" w14:paraId="6EC8C2A0" w14:textId="77777777">
      <w:r w:rsidRPr="00976E42">
        <w:t>APEX</w:t>
      </w:r>
      <w:r>
        <w:tab/>
      </w:r>
      <w:r>
        <w:tab/>
      </w:r>
      <w:r w:rsidRPr="00976E42">
        <w:t>Advanced Practices for Environmental Excellence</w:t>
      </w:r>
    </w:p>
    <w:p w:rsidR="009D3585" w:rsidP="009D3585" w:rsidRDefault="009D3585" w14:paraId="26DF730E" w14:textId="77777777">
      <w:r>
        <w:t>BEIS</w:t>
      </w:r>
      <w:r>
        <w:tab/>
      </w:r>
      <w:r>
        <w:tab/>
      </w:r>
      <w:r w:rsidRPr="00DD62BA">
        <w:t>Department for Business, Energy, and Industrial Strategy</w:t>
      </w:r>
    </w:p>
    <w:p w:rsidR="009D3585" w:rsidP="009D3585" w:rsidRDefault="009D3585" w14:paraId="654DAE89" w14:textId="77777777">
      <w:r w:rsidRPr="00976E42">
        <w:t>CAFI</w:t>
      </w:r>
      <w:r>
        <w:tab/>
      </w:r>
      <w:r>
        <w:tab/>
      </w:r>
      <w:r w:rsidRPr="00976E42">
        <w:t>Climate Assessment for Financial Institutions tool</w:t>
      </w:r>
    </w:p>
    <w:p w:rsidR="009D3585" w:rsidP="009D3585" w:rsidRDefault="009D3585" w14:paraId="702D9E6D" w14:textId="77777777">
      <w:r w:rsidRPr="00976E42">
        <w:t>CBD</w:t>
      </w:r>
      <w:r>
        <w:tab/>
      </w:r>
      <w:r>
        <w:tab/>
      </w:r>
      <w:r>
        <w:t>ICF’s Climate Business Department</w:t>
      </w:r>
    </w:p>
    <w:p w:rsidR="009D3585" w:rsidP="009D3585" w:rsidRDefault="009D3585" w14:paraId="2123A194" w14:textId="77777777">
      <w:r w:rsidRPr="00976E42">
        <w:t>CBF</w:t>
      </w:r>
      <w:r>
        <w:tab/>
      </w:r>
      <w:r>
        <w:tab/>
      </w:r>
      <w:r w:rsidRPr="001D3235">
        <w:t>IFC’s Partnerships and Blended Finance Department</w:t>
      </w:r>
    </w:p>
    <w:p w:rsidR="009D3585" w:rsidP="009D3585" w:rsidRDefault="009D3585" w14:paraId="6EFA667B" w14:textId="77777777">
      <w:r w:rsidRPr="00976E42">
        <w:t>CDI</w:t>
      </w:r>
      <w:r>
        <w:tab/>
      </w:r>
      <w:r>
        <w:tab/>
      </w:r>
      <w:r w:rsidRPr="001D3235">
        <w:t>IFC’s Development Impact Measurement Department</w:t>
      </w:r>
    </w:p>
    <w:p w:rsidR="009D3585" w:rsidP="009D3585" w:rsidRDefault="009D3585" w14:paraId="173A73F9" w14:textId="77777777">
      <w:r>
        <w:t>COVID-19</w:t>
      </w:r>
      <w:r>
        <w:tab/>
      </w:r>
      <w:r w:rsidRPr="00AB1D42">
        <w:t>Corona</w:t>
      </w:r>
      <w:r>
        <w:t>v</w:t>
      </w:r>
      <w:r w:rsidRPr="00AB1D42">
        <w:t>irus Disease 2019</w:t>
      </w:r>
    </w:p>
    <w:p w:rsidR="009D3585" w:rsidP="009D3585" w:rsidRDefault="009D3585" w14:paraId="387FD187" w14:textId="77777777">
      <w:r>
        <w:t>DEFRA</w:t>
      </w:r>
      <w:r>
        <w:tab/>
      </w:r>
      <w:r w:rsidRPr="00E82430">
        <w:t>Department for Environment, Food and Rural Affairs</w:t>
      </w:r>
    </w:p>
    <w:p w:rsidR="009D3585" w:rsidP="009D3585" w:rsidRDefault="009D3585" w14:paraId="1A95F91E" w14:textId="77777777">
      <w:r w:rsidRPr="00976E42">
        <w:t>DESNZ</w:t>
      </w:r>
      <w:r>
        <w:tab/>
      </w:r>
      <w:r w:rsidRPr="00976E42">
        <w:t>Department for Energy Security and Net Zero</w:t>
      </w:r>
    </w:p>
    <w:p w:rsidR="009D3585" w:rsidP="009D3585" w:rsidRDefault="009D3585" w14:paraId="0682BBE9" w14:textId="77777777">
      <w:r>
        <w:t>DFI</w:t>
      </w:r>
      <w:r>
        <w:tab/>
      </w:r>
      <w:r>
        <w:tab/>
      </w:r>
      <w:r w:rsidRPr="00E82430">
        <w:t>Development Finance Institutions</w:t>
      </w:r>
    </w:p>
    <w:p w:rsidR="009D3585" w:rsidP="009D3585" w:rsidRDefault="009D3585" w14:paraId="606F7C1C" w14:textId="77777777">
      <w:r>
        <w:t>DP</w:t>
      </w:r>
      <w:r>
        <w:tab/>
      </w:r>
      <w:r>
        <w:tab/>
      </w:r>
      <w:r>
        <w:t>Delivery Partner</w:t>
      </w:r>
    </w:p>
    <w:p w:rsidR="009D3585" w:rsidP="009D3585" w:rsidRDefault="009D3585" w14:paraId="2FF92D4B" w14:textId="77777777">
      <w:r>
        <w:t>EBRD</w:t>
      </w:r>
      <w:r>
        <w:tab/>
      </w:r>
      <w:r>
        <w:tab/>
      </w:r>
      <w:r w:rsidRPr="00AB1D42">
        <w:t>European Bank for Reconstruction and Development</w:t>
      </w:r>
      <w:r>
        <w:tab/>
      </w:r>
    </w:p>
    <w:p w:rsidR="009D3585" w:rsidP="009D3585" w:rsidRDefault="009D3585" w14:paraId="054B5809" w14:textId="77777777">
      <w:r w:rsidRPr="00976E42">
        <w:t>EDGE</w:t>
      </w:r>
      <w:r>
        <w:tab/>
      </w:r>
      <w:r>
        <w:tab/>
      </w:r>
      <w:r w:rsidRPr="00976E42">
        <w:t>Excellence in Design for Greater Efficiencies (certification system)</w:t>
      </w:r>
    </w:p>
    <w:p w:rsidR="009D3585" w:rsidP="009D3585" w:rsidRDefault="009D3585" w14:paraId="367D172E" w14:textId="77777777">
      <w:r w:rsidRPr="00976E42">
        <w:t>ESG</w:t>
      </w:r>
      <w:r>
        <w:tab/>
      </w:r>
      <w:r>
        <w:tab/>
      </w:r>
      <w:r w:rsidRPr="00976E42">
        <w:t>Environmental, Social, and Governance</w:t>
      </w:r>
    </w:p>
    <w:p w:rsidR="009D3585" w:rsidP="009D3585" w:rsidRDefault="009D3585" w14:paraId="77EF053E" w14:textId="77777777">
      <w:r>
        <w:t>EQ</w:t>
      </w:r>
      <w:r>
        <w:tab/>
      </w:r>
      <w:r>
        <w:tab/>
      </w:r>
      <w:r>
        <w:t>Evaluation Question</w:t>
      </w:r>
    </w:p>
    <w:p w:rsidR="009D3585" w:rsidP="009D3585" w:rsidRDefault="009D3585" w14:paraId="27A90AF2" w14:textId="77777777">
      <w:r w:rsidRPr="00E82430">
        <w:t>EQUALS</w:t>
      </w:r>
      <w:r>
        <w:tab/>
      </w:r>
      <w:r w:rsidRPr="00E82430">
        <w:t>Evaluation Quality Assurance and Learning Stakeholders</w:t>
      </w:r>
    </w:p>
    <w:p w:rsidR="009D3585" w:rsidP="009D3585" w:rsidRDefault="009D3585" w14:paraId="1B159D4A" w14:textId="77777777">
      <w:r w:rsidRPr="00E82430">
        <w:t>FCDO</w:t>
      </w:r>
      <w:r>
        <w:tab/>
      </w:r>
      <w:r>
        <w:tab/>
      </w:r>
      <w:r w:rsidRPr="00E82430">
        <w:t xml:space="preserve">Foreign, Commonwealth </w:t>
      </w:r>
      <w:r>
        <w:t>and</w:t>
      </w:r>
      <w:r w:rsidRPr="00E82430">
        <w:t xml:space="preserve"> Development Office</w:t>
      </w:r>
    </w:p>
    <w:p w:rsidR="009D3585" w:rsidP="009D3585" w:rsidRDefault="009D3585" w14:paraId="273FDC47" w14:textId="77777777">
      <w:r w:rsidRPr="00976E42">
        <w:t>FI</w:t>
      </w:r>
      <w:r>
        <w:tab/>
      </w:r>
      <w:r>
        <w:tab/>
      </w:r>
      <w:r w:rsidRPr="00976E42">
        <w:t>Financial Intermediar</w:t>
      </w:r>
      <w:r>
        <w:t>y</w:t>
      </w:r>
    </w:p>
    <w:p w:rsidR="009D3585" w:rsidP="009D3585" w:rsidRDefault="009D3585" w14:paraId="57F252B4" w14:textId="77777777">
      <w:r w:rsidRPr="00976E42">
        <w:t>FIG</w:t>
      </w:r>
      <w:r>
        <w:tab/>
      </w:r>
      <w:r>
        <w:tab/>
      </w:r>
      <w:r>
        <w:t>ICF’s Financial Institution Group</w:t>
      </w:r>
    </w:p>
    <w:p w:rsidR="009D3585" w:rsidP="009D3585" w:rsidRDefault="009D3585" w14:paraId="065BA51A" w14:textId="77777777">
      <w:r w:rsidRPr="00976E42">
        <w:t>FY</w:t>
      </w:r>
      <w:r>
        <w:tab/>
      </w:r>
      <w:r>
        <w:tab/>
      </w:r>
      <w:r w:rsidRPr="00976E42">
        <w:t>Financial Year</w:t>
      </w:r>
    </w:p>
    <w:p w:rsidR="009D3585" w:rsidP="009D3585" w:rsidRDefault="009D3585" w14:paraId="04D98488" w14:textId="77777777">
      <w:r w:rsidRPr="00976E42">
        <w:t>GBP</w:t>
      </w:r>
      <w:r>
        <w:tab/>
      </w:r>
      <w:r>
        <w:tab/>
      </w:r>
      <w:r w:rsidRPr="00976E42">
        <w:t>Green Building Professionals (India)</w:t>
      </w:r>
    </w:p>
    <w:p w:rsidR="009D3585" w:rsidP="009D3585" w:rsidRDefault="009D3585" w14:paraId="27BDFDB8" w14:textId="77777777">
      <w:r>
        <w:t>GC</w:t>
      </w:r>
      <w:r>
        <w:tab/>
      </w:r>
      <w:r>
        <w:tab/>
      </w:r>
      <w:r>
        <w:t>Green Construction</w:t>
      </w:r>
    </w:p>
    <w:p w:rsidR="009D3585" w:rsidP="009D3585" w:rsidRDefault="009D3585" w14:paraId="3EBB4B0B" w14:textId="77777777">
      <w:r>
        <w:t>GDPR</w:t>
      </w:r>
      <w:r>
        <w:tab/>
      </w:r>
      <w:r>
        <w:tab/>
      </w:r>
      <w:r w:rsidRPr="00E82430">
        <w:t>General Data Protection Regulation</w:t>
      </w:r>
    </w:p>
    <w:p w:rsidR="009D3585" w:rsidP="009D3585" w:rsidRDefault="009D3585" w14:paraId="323ABE9D" w14:textId="77777777">
      <w:r w:rsidRPr="00976E42">
        <w:t>GEDSI</w:t>
      </w:r>
      <w:r>
        <w:tab/>
      </w:r>
      <w:r w:rsidRPr="00976E42">
        <w:t>Gender Equality, Disability and Social Inclusion</w:t>
      </w:r>
    </w:p>
    <w:p w:rsidR="009D3585" w:rsidP="009D3585" w:rsidRDefault="009D3585" w14:paraId="12AF49CE" w14:textId="77777777">
      <w:r w:rsidRPr="00976E42">
        <w:t>GEFF</w:t>
      </w:r>
      <w:r>
        <w:tab/>
      </w:r>
      <w:r>
        <w:tab/>
      </w:r>
      <w:r w:rsidRPr="00976E42">
        <w:t>Green Economy Financing Facility</w:t>
      </w:r>
    </w:p>
    <w:p w:rsidR="009D3585" w:rsidP="009D3585" w:rsidRDefault="009D3585" w14:paraId="69AF2339" w14:textId="77777777">
      <w:r>
        <w:t>GHG</w:t>
      </w:r>
      <w:r>
        <w:tab/>
      </w:r>
      <w:r>
        <w:tab/>
      </w:r>
      <w:r>
        <w:t>Greenhouse Gas</w:t>
      </w:r>
    </w:p>
    <w:p w:rsidR="009D3585" w:rsidP="009D3585" w:rsidRDefault="009D3585" w14:paraId="7EE7352B" w14:textId="77777777">
      <w:r w:rsidRPr="00976E42">
        <w:t>GPRS</w:t>
      </w:r>
      <w:r>
        <w:tab/>
      </w:r>
      <w:r>
        <w:tab/>
      </w:r>
      <w:r w:rsidRPr="00976E42">
        <w:t>Green Pyramid Rating System (Egypt)</w:t>
      </w:r>
    </w:p>
    <w:p w:rsidR="009D3585" w:rsidP="009D3585" w:rsidRDefault="009D3585" w14:paraId="06EFAF4E" w14:textId="77777777">
      <w:r w:rsidRPr="00976E42">
        <w:t>HMG</w:t>
      </w:r>
      <w:r>
        <w:tab/>
      </w:r>
      <w:r>
        <w:tab/>
      </w:r>
      <w:r w:rsidRPr="00976E42">
        <w:t>His Majesty's Government</w:t>
      </w:r>
    </w:p>
    <w:p w:rsidR="009D3585" w:rsidP="009D3585" w:rsidRDefault="009D3585" w14:paraId="34250067" w14:textId="77777777">
      <w:r>
        <w:t>HQ</w:t>
      </w:r>
      <w:r>
        <w:tab/>
      </w:r>
      <w:r>
        <w:tab/>
      </w:r>
      <w:r>
        <w:t>Head Quarters</w:t>
      </w:r>
    </w:p>
    <w:p w:rsidR="009D3585" w:rsidP="009D3585" w:rsidRDefault="009D3585" w14:paraId="0A8D4AAF" w14:textId="77777777">
      <w:r w:rsidRPr="00976E42">
        <w:t>ICF</w:t>
      </w:r>
      <w:r>
        <w:tab/>
      </w:r>
      <w:r>
        <w:tab/>
      </w:r>
      <w:r w:rsidRPr="00976E42">
        <w:t>International Climate Finance</w:t>
      </w:r>
    </w:p>
    <w:p w:rsidR="009D3585" w:rsidP="009D3585" w:rsidRDefault="009D3585" w14:paraId="6976D830" w14:textId="77777777">
      <w:r w:rsidRPr="00976E42">
        <w:t>IDB</w:t>
      </w:r>
      <w:r>
        <w:tab/>
      </w:r>
      <w:r>
        <w:tab/>
      </w:r>
      <w:r w:rsidRPr="00976E42">
        <w:t>Inter-American Development Bank</w:t>
      </w:r>
    </w:p>
    <w:p w:rsidR="009D3585" w:rsidP="009D3585" w:rsidRDefault="009D3585" w14:paraId="0F50A79F" w14:textId="77777777">
      <w:r w:rsidRPr="00976E42">
        <w:t>IFC</w:t>
      </w:r>
      <w:r>
        <w:tab/>
      </w:r>
      <w:r>
        <w:tab/>
      </w:r>
      <w:r w:rsidRPr="00976E42">
        <w:t>International Finance Corporation</w:t>
      </w:r>
    </w:p>
    <w:p w:rsidR="009D3585" w:rsidP="009D3585" w:rsidRDefault="009D3585" w14:paraId="243B2DBE" w14:textId="77777777">
      <w:r>
        <w:t>ITT</w:t>
      </w:r>
      <w:r>
        <w:tab/>
      </w:r>
      <w:r>
        <w:tab/>
      </w:r>
      <w:r>
        <w:t>Invitation to Tender</w:t>
      </w:r>
    </w:p>
    <w:p w:rsidR="009D3585" w:rsidP="009D3585" w:rsidRDefault="009D3585" w14:paraId="0D56A798" w14:textId="77777777">
      <w:r w:rsidRPr="00976E42">
        <w:t>KfW</w:t>
      </w:r>
      <w:r>
        <w:tab/>
      </w:r>
      <w:r>
        <w:tab/>
      </w:r>
      <w:proofErr w:type="spellStart"/>
      <w:r w:rsidRPr="00AB2304">
        <w:t>Kreditanstalt</w:t>
      </w:r>
      <w:proofErr w:type="spellEnd"/>
      <w:r w:rsidRPr="00AB2304">
        <w:t xml:space="preserve"> für </w:t>
      </w:r>
      <w:proofErr w:type="spellStart"/>
      <w:r w:rsidRPr="00AB2304">
        <w:t>Wiederaufbau</w:t>
      </w:r>
      <w:proofErr w:type="spellEnd"/>
      <w:r>
        <w:t xml:space="preserve"> (</w:t>
      </w:r>
      <w:r w:rsidRPr="00976E42">
        <w:t>German Development Bank</w:t>
      </w:r>
      <w:r>
        <w:t>)</w:t>
      </w:r>
    </w:p>
    <w:p w:rsidR="009D3585" w:rsidP="009D3585" w:rsidRDefault="009D3585" w14:paraId="50683654" w14:textId="77777777">
      <w:r w:rsidRPr="00976E42">
        <w:t>KMRC</w:t>
      </w:r>
      <w:r>
        <w:tab/>
      </w:r>
      <w:r>
        <w:tab/>
      </w:r>
      <w:r w:rsidRPr="00976E42">
        <w:t>Kenya Mortgage Refinance Company</w:t>
      </w:r>
    </w:p>
    <w:p w:rsidR="009D3585" w:rsidP="009D3585" w:rsidRDefault="009D3585" w14:paraId="48F912A0" w14:textId="77777777">
      <w:r w:rsidRPr="00976E42">
        <w:t>KGBS</w:t>
      </w:r>
      <w:r>
        <w:tab/>
      </w:r>
      <w:r>
        <w:tab/>
      </w:r>
      <w:r w:rsidRPr="00976E42">
        <w:t>Kenya Green Building Society</w:t>
      </w:r>
    </w:p>
    <w:p w:rsidR="009D3585" w:rsidP="009D3585" w:rsidRDefault="009D3585" w14:paraId="164C635D" w14:textId="77777777">
      <w:r>
        <w:t>KPI</w:t>
      </w:r>
      <w:r>
        <w:tab/>
      </w:r>
      <w:r>
        <w:tab/>
      </w:r>
      <w:r>
        <w:t>Key Performance Indicators</w:t>
      </w:r>
    </w:p>
    <w:p w:rsidR="009D3585" w:rsidP="009D3585" w:rsidRDefault="009D3585" w14:paraId="0B8C9518" w14:textId="77777777">
      <w:r>
        <w:t>L&amp;E</w:t>
      </w:r>
      <w:r>
        <w:tab/>
      </w:r>
      <w:r>
        <w:tab/>
      </w:r>
      <w:r>
        <w:t>Learning and Evaluation</w:t>
      </w:r>
    </w:p>
    <w:p w:rsidR="009D3585" w:rsidP="009D3585" w:rsidRDefault="009D3585" w14:paraId="2B4076F0" w14:textId="77777777">
      <w:r w:rsidRPr="00976E42">
        <w:t>LEED</w:t>
      </w:r>
      <w:r>
        <w:tab/>
      </w:r>
      <w:r>
        <w:tab/>
      </w:r>
      <w:r w:rsidRPr="00FC7B2D">
        <w:t>Leadership in Energy and Environmental Design</w:t>
      </w:r>
    </w:p>
    <w:p w:rsidR="009D3585" w:rsidP="009D3585" w:rsidRDefault="009D3585" w14:paraId="631F9806" w14:textId="77777777">
      <w:r w:rsidRPr="00976E42">
        <w:t>MAGC</w:t>
      </w:r>
      <w:r>
        <w:tab/>
      </w:r>
      <w:r w:rsidRPr="00976E42">
        <w:t>Market Accelerator for Green Construction</w:t>
      </w:r>
    </w:p>
    <w:p w:rsidR="009D3585" w:rsidP="009D3585" w:rsidRDefault="009D3585" w14:paraId="4E17F8EB" w14:textId="77777777">
      <w:r w:rsidRPr="00976E42">
        <w:t>MDBs</w:t>
      </w:r>
      <w:r>
        <w:tab/>
      </w:r>
      <w:r>
        <w:tab/>
      </w:r>
      <w:r w:rsidRPr="00976E42">
        <w:t>Multilateral Development Banks</w:t>
      </w:r>
    </w:p>
    <w:p w:rsidR="009D3585" w:rsidP="009D3585" w:rsidRDefault="009D3585" w14:paraId="08B527F1" w14:textId="77777777">
      <w:r w:rsidRPr="00976E42">
        <w:t>MEL</w:t>
      </w:r>
      <w:r>
        <w:tab/>
      </w:r>
      <w:r>
        <w:tab/>
      </w:r>
      <w:r w:rsidRPr="00976E42">
        <w:t>Monitoring, Evaluation and Learning</w:t>
      </w:r>
    </w:p>
    <w:p w:rsidR="009D3585" w:rsidP="009D3585" w:rsidRDefault="009D3585" w14:paraId="28C9F07D" w14:textId="77777777">
      <w:r w:rsidRPr="00E82430">
        <w:t>MIC</w:t>
      </w:r>
      <w:r>
        <w:tab/>
      </w:r>
      <w:r>
        <w:tab/>
      </w:r>
      <w:r w:rsidRPr="00E82430">
        <w:t>Middle-income Countries</w:t>
      </w:r>
    </w:p>
    <w:p w:rsidR="009D3585" w:rsidP="009D3585" w:rsidRDefault="009D3585" w14:paraId="661BBE21" w14:textId="77777777">
      <w:r w:rsidRPr="00976E42">
        <w:t>NLP</w:t>
      </w:r>
      <w:r>
        <w:tab/>
      </w:r>
      <w:r>
        <w:tab/>
      </w:r>
      <w:r w:rsidRPr="00976E42">
        <w:t>Natural Language Processing</w:t>
      </w:r>
    </w:p>
    <w:p w:rsidR="009D3585" w:rsidP="009D3585" w:rsidRDefault="009D3585" w14:paraId="5159E635" w14:textId="77777777">
      <w:r w:rsidRPr="00976E42">
        <w:t>ODA</w:t>
      </w:r>
      <w:r>
        <w:tab/>
      </w:r>
      <w:r>
        <w:tab/>
      </w:r>
      <w:r w:rsidRPr="00976E42">
        <w:t>Official Development Assistance</w:t>
      </w:r>
    </w:p>
    <w:p w:rsidR="009D3585" w:rsidP="009D3585" w:rsidRDefault="009D3585" w14:paraId="00E16084" w14:textId="77777777">
      <w:r w:rsidRPr="00976E42">
        <w:t>PBI</w:t>
      </w:r>
      <w:r>
        <w:tab/>
      </w:r>
      <w:r>
        <w:tab/>
      </w:r>
      <w:r w:rsidRPr="00976E42">
        <w:t>Performance-Based Incentive</w:t>
      </w:r>
    </w:p>
    <w:p w:rsidR="009D3585" w:rsidP="009D3585" w:rsidRDefault="009D3585" w14:paraId="61405296" w14:textId="77777777">
      <w:r w:rsidRPr="00E82430">
        <w:t>REP</w:t>
      </w:r>
      <w:r>
        <w:tab/>
      </w:r>
      <w:r>
        <w:tab/>
      </w:r>
      <w:r w:rsidRPr="00E82430">
        <w:t>Research and Evidence Programme</w:t>
      </w:r>
    </w:p>
    <w:p w:rsidR="009D3585" w:rsidP="009D3585" w:rsidRDefault="009D3585" w14:paraId="7BAD2BE4" w14:textId="77777777">
      <w:r w:rsidRPr="00E82430">
        <w:t>SDGs</w:t>
      </w:r>
      <w:r>
        <w:tab/>
      </w:r>
      <w:r>
        <w:tab/>
      </w:r>
      <w:r w:rsidRPr="00E82430">
        <w:t xml:space="preserve">Sustainable Development Goals </w:t>
      </w:r>
    </w:p>
    <w:p w:rsidR="009D3585" w:rsidP="009D3585" w:rsidRDefault="009D3585" w14:paraId="3D79C89B" w14:textId="77777777">
      <w:r w:rsidRPr="00976E42">
        <w:t>SME</w:t>
      </w:r>
      <w:r>
        <w:tab/>
      </w:r>
      <w:r>
        <w:tab/>
      </w:r>
      <w:r w:rsidRPr="00976E42">
        <w:t>Small and Medium-Sized Enterprise</w:t>
      </w:r>
      <w:r>
        <w:tab/>
      </w:r>
    </w:p>
    <w:p w:rsidR="009D3585" w:rsidP="009D3585" w:rsidRDefault="009D3585" w14:paraId="0411C90A" w14:textId="77777777">
      <w:r>
        <w:t>UK</w:t>
      </w:r>
      <w:r>
        <w:tab/>
      </w:r>
      <w:r>
        <w:tab/>
      </w:r>
      <w:r>
        <w:t>United Kingdom</w:t>
      </w:r>
      <w:r>
        <w:tab/>
      </w:r>
    </w:p>
    <w:p w:rsidR="009D3585" w:rsidP="009D3585" w:rsidRDefault="009D3585" w14:paraId="395A393C" w14:textId="77777777">
      <w:r w:rsidRPr="00E82430">
        <w:t>UNFCCC</w:t>
      </w:r>
      <w:r>
        <w:tab/>
      </w:r>
      <w:r w:rsidRPr="00E82430">
        <w:t>United Nations Framework Convention on Climate Change</w:t>
      </w:r>
      <w:r>
        <w:tab/>
      </w:r>
    </w:p>
    <w:p w:rsidRPr="00573BCA" w:rsidR="009D3585" w:rsidP="009D3585" w:rsidRDefault="009D3585" w14:paraId="555279E7" w14:textId="77777777">
      <w:r w:rsidRPr="00E82430">
        <w:t>VfM</w:t>
      </w:r>
      <w:r>
        <w:tab/>
      </w:r>
      <w:r>
        <w:tab/>
      </w:r>
      <w:r w:rsidRPr="00E82430">
        <w:t>Value for Money</w:t>
      </w:r>
    </w:p>
    <w:p w:rsidR="009D3585" w:rsidRDefault="009D3585" w14:paraId="2D3D00BA" w14:textId="77777777">
      <w:pPr>
        <w:spacing w:after="160" w:line="259" w:lineRule="auto"/>
        <w:rPr>
          <w:rFonts w:eastAsiaTheme="majorEastAsia" w:cstheme="majorBidi"/>
          <w:color w:val="041E42"/>
          <w:sz w:val="52"/>
          <w:szCs w:val="32"/>
        </w:rPr>
      </w:pPr>
      <w:r>
        <w:br w:type="page"/>
      </w:r>
    </w:p>
    <w:p w:rsidR="00871A41" w:rsidP="00EA1E4E" w:rsidRDefault="00871A41" w14:paraId="32CA21D7" w14:textId="77777777">
      <w:pPr>
        <w:pStyle w:val="Heading1"/>
      </w:pPr>
      <w:bookmarkStart w:name="_Toc207790183" w:id="1"/>
      <w:r>
        <w:t>Introduction</w:t>
      </w:r>
      <w:bookmarkEnd w:id="1"/>
    </w:p>
    <w:p w:rsidR="009D10D9" w:rsidP="009D10D9" w:rsidRDefault="009D10D9" w14:paraId="52D8311F" w14:textId="22C0C16D">
      <w:r w:rsidRPr="00103270">
        <w:t>Ipsos has been commissioned by the UK Department for Energy Security and Net Zero (DESNZ) to be the</w:t>
      </w:r>
      <w:r>
        <w:t xml:space="preserve"> monitoring,</w:t>
      </w:r>
      <w:r w:rsidRPr="00103270">
        <w:t xml:space="preserve"> evaluation</w:t>
      </w:r>
      <w:r>
        <w:t>,</w:t>
      </w:r>
      <w:r w:rsidRPr="00103270">
        <w:t xml:space="preserve"> and learning </w:t>
      </w:r>
      <w:r>
        <w:t xml:space="preserve">(MEL) </w:t>
      </w:r>
      <w:r w:rsidRPr="00103270">
        <w:t xml:space="preserve">partner for the </w:t>
      </w:r>
      <w:r>
        <w:t xml:space="preserve">International Climate Finance (ICF) programme </w:t>
      </w:r>
      <w:r w:rsidRPr="00103270">
        <w:t xml:space="preserve">Market Accelerator for Green Construction (MAGC). </w:t>
      </w:r>
      <w:r>
        <w:t xml:space="preserve">It is funded through Official Development Assistance (ODA) and delivered by </w:t>
      </w:r>
      <w:r w:rsidRPr="00AB6963">
        <w:t>the International Finance Corporation (IFC), member of the World Bank Group (WBG)</w:t>
      </w:r>
      <w:r>
        <w:t xml:space="preserve">. </w:t>
      </w:r>
      <w:r w:rsidRPr="00BB1404">
        <w:t xml:space="preserve">MAGC aims to combat climate change in emerging markets by crowding in public and private sector financing for certified green buildings. </w:t>
      </w:r>
      <w:r>
        <w:t xml:space="preserve">The overall objectives of the contract are to assess whether </w:t>
      </w:r>
      <w:r w:rsidRPr="00073BE9">
        <w:t>the MAGC programme is having the intended benefits, whilst maximising the learning and transformation potential</w:t>
      </w:r>
      <w:r>
        <w:t>,</w:t>
      </w:r>
      <w:r w:rsidRPr="00073BE9">
        <w:t xml:space="preserve"> and informing future strategic decisions.</w:t>
      </w:r>
    </w:p>
    <w:p w:rsidR="00871A41" w:rsidP="00871A41" w:rsidRDefault="00871A41" w14:paraId="78247816" w14:textId="77777777">
      <w:r>
        <w:t xml:space="preserve">The evaluation is </w:t>
      </w:r>
      <w:r w:rsidRPr="00103270">
        <w:t xml:space="preserve">split into two phases: </w:t>
      </w:r>
    </w:p>
    <w:p w:rsidR="00871A41" w:rsidP="00871A41" w:rsidRDefault="00871A41" w14:paraId="2A1FD356" w14:textId="77777777">
      <w:pPr>
        <w:pStyle w:val="DESNZbulletedlist"/>
        <w:ind w:left="714" w:hanging="357"/>
      </w:pPr>
      <w:r>
        <w:t>The i</w:t>
      </w:r>
      <w:r w:rsidRPr="00103270">
        <w:t xml:space="preserve">nterim </w:t>
      </w:r>
      <w:r>
        <w:t>evaluation, which includes a process evaluation (phase 1a, published here)</w:t>
      </w:r>
      <w:r>
        <w:rPr>
          <w:rStyle w:val="FootnoteReference"/>
        </w:rPr>
        <w:footnoteReference w:id="2"/>
      </w:r>
      <w:r>
        <w:t xml:space="preserve"> and an early outcome evaluation (phase 1b), the object of this report.</w:t>
      </w:r>
    </w:p>
    <w:p w:rsidR="00871A41" w:rsidP="00871A41" w:rsidRDefault="00871A41" w14:paraId="21FB6116" w14:textId="77777777">
      <w:pPr>
        <w:pStyle w:val="DESNZbulletedlist"/>
        <w:ind w:left="714" w:hanging="357"/>
      </w:pPr>
      <w:r>
        <w:t xml:space="preserve">The </w:t>
      </w:r>
      <w:r w:rsidRPr="00103270">
        <w:t>final evaluation</w:t>
      </w:r>
      <w:r>
        <w:t xml:space="preserve">, which will be conducted in 2026/2027. </w:t>
      </w:r>
    </w:p>
    <w:p w:rsidR="00871A41" w:rsidP="00871A41" w:rsidRDefault="00871A41" w14:paraId="43C85079" w14:textId="3D1E93E8">
      <w:r>
        <w:t xml:space="preserve">This report is the technical annex to the </w:t>
      </w:r>
      <w:r w:rsidRPr="00073BE9">
        <w:rPr>
          <w:rStyle w:val="Boldtext"/>
        </w:rPr>
        <w:t>early outcome evaluation</w:t>
      </w:r>
      <w:r>
        <w:t xml:space="preserve"> main report which includes the findings and recommendations. This annex includes additional information on the methods employed to conduct research as part of this evaluation as well as additional analysis and outputs generated in the evaluation.</w:t>
      </w:r>
    </w:p>
    <w:p w:rsidR="00871A41" w:rsidP="00871A41" w:rsidRDefault="00871A41" w14:paraId="76C416BC" w14:textId="77777777">
      <w:r>
        <w:t>The annex is structured as follows:</w:t>
      </w:r>
    </w:p>
    <w:p w:rsidR="00871A41" w:rsidP="00871A41" w:rsidRDefault="00871A41" w14:paraId="5BA90FE6" w14:textId="71770421">
      <w:pPr>
        <w:pStyle w:val="DESNZbulletedlist"/>
        <w:ind w:left="714" w:hanging="357"/>
      </w:pPr>
      <w:r w:rsidRPr="008E7737">
        <w:rPr>
          <w:rStyle w:val="Boldtext"/>
        </w:rPr>
        <w:t>Annex 1</w:t>
      </w:r>
      <w:r>
        <w:t xml:space="preserve"> presents the MAGC Theory of Change, as presented in the scoping report of the evaluation.</w:t>
      </w:r>
    </w:p>
    <w:p w:rsidR="00871A41" w:rsidP="00871A41" w:rsidRDefault="00871A41" w14:paraId="7FD3D014" w14:textId="1F3B05D4">
      <w:pPr>
        <w:pStyle w:val="DESNZbulletedlist"/>
        <w:ind w:left="714" w:hanging="357"/>
      </w:pPr>
      <w:r w:rsidRPr="008E7737">
        <w:rPr>
          <w:rStyle w:val="Boldtext"/>
        </w:rPr>
        <w:t>Annex 2</w:t>
      </w:r>
      <w:r>
        <w:t xml:space="preserve"> presents the evaluation framework</w:t>
      </w:r>
      <w:r w:rsidR="0015633A">
        <w:t xml:space="preserve"> (or evaluation matrix).</w:t>
      </w:r>
    </w:p>
    <w:p w:rsidR="00871A41" w:rsidP="00871A41" w:rsidRDefault="00871A41" w14:paraId="7BE2942F" w14:textId="4CD69173">
      <w:pPr>
        <w:pStyle w:val="DESNZbulletedlist"/>
        <w:ind w:left="714" w:hanging="357"/>
      </w:pPr>
      <w:r w:rsidRPr="008E7737">
        <w:rPr>
          <w:rStyle w:val="Boldtext"/>
        </w:rPr>
        <w:t>Annex 3</w:t>
      </w:r>
      <w:r>
        <w:t xml:space="preserve"> presents</w:t>
      </w:r>
      <w:r w:rsidR="0015633A">
        <w:t xml:space="preserve"> the methodology of this evaluation, including primary data collection methods, analysis and triangulation, and evaluation team composition.</w:t>
      </w:r>
    </w:p>
    <w:p w:rsidR="00871A41" w:rsidP="00871A41" w:rsidRDefault="00871A41" w14:paraId="1F41CA7C" w14:textId="5912EF14">
      <w:pPr>
        <w:pStyle w:val="DESNZbulletedlist"/>
        <w:ind w:left="714" w:hanging="357"/>
      </w:pPr>
      <w:r w:rsidRPr="008E7737">
        <w:rPr>
          <w:rStyle w:val="Boldtext"/>
        </w:rPr>
        <w:t>Annex 4</w:t>
      </w:r>
      <w:r>
        <w:t xml:space="preserve"> presents</w:t>
      </w:r>
      <w:r w:rsidR="0015633A">
        <w:t xml:space="preserve"> the strength of evidence framework to answer the evaluation questions and the limitations of the evaluation.</w:t>
      </w:r>
    </w:p>
    <w:p w:rsidR="00871A41" w:rsidP="00871A41" w:rsidRDefault="00871A41" w14:paraId="145D13B8" w14:textId="55E7602B">
      <w:pPr>
        <w:pStyle w:val="DESNZbulletedlist"/>
        <w:ind w:left="714" w:hanging="357"/>
      </w:pPr>
      <w:r w:rsidRPr="008E7737">
        <w:rPr>
          <w:rStyle w:val="Boldtext"/>
        </w:rPr>
        <w:t>Annex 5</w:t>
      </w:r>
      <w:r>
        <w:t xml:space="preserve"> presents</w:t>
      </w:r>
      <w:r w:rsidR="0015633A">
        <w:t xml:space="preserve"> considerations for the </w:t>
      </w:r>
      <w:r w:rsidRPr="00D847FD" w:rsidR="0015633A">
        <w:t>KPI15 methodology for MAGC</w:t>
      </w:r>
      <w:r w:rsidR="0015633A">
        <w:t xml:space="preserve"> for the review that is scheduled by the end of financial year 2024.</w:t>
      </w:r>
    </w:p>
    <w:p w:rsidR="00871A41" w:rsidP="00871A41" w:rsidRDefault="00871A41" w14:paraId="3FC17286" w14:textId="538FE8C0">
      <w:pPr>
        <w:pStyle w:val="DESNZbulletedlist"/>
        <w:ind w:left="714" w:hanging="357"/>
      </w:pPr>
      <w:r w:rsidRPr="008E7737">
        <w:rPr>
          <w:rStyle w:val="Boldtext"/>
        </w:rPr>
        <w:t>Annex 6</w:t>
      </w:r>
      <w:r>
        <w:t xml:space="preserve"> presents</w:t>
      </w:r>
      <w:r w:rsidR="0015633A">
        <w:t xml:space="preserve"> the Value for Money framework.</w:t>
      </w:r>
    </w:p>
    <w:p w:rsidR="00871A41" w:rsidP="00871A41" w:rsidRDefault="00871A41" w14:paraId="4C1AB2FE" w14:textId="54F230B0">
      <w:pPr>
        <w:pStyle w:val="DESNZbulletedlist"/>
        <w:ind w:left="714" w:hanging="357"/>
      </w:pPr>
      <w:r w:rsidRPr="008E7737">
        <w:rPr>
          <w:rStyle w:val="Boldtext"/>
        </w:rPr>
        <w:t>Annex 7</w:t>
      </w:r>
      <w:r>
        <w:t xml:space="preserve"> presents</w:t>
      </w:r>
      <w:r w:rsidR="0015633A">
        <w:t xml:space="preserve"> the research tools developed for and used in the evaluation.</w:t>
      </w:r>
    </w:p>
    <w:p w:rsidR="00871A41" w:rsidP="00871A41" w:rsidRDefault="00871A41" w14:paraId="24F40EBD" w14:textId="150141CB">
      <w:pPr>
        <w:pStyle w:val="DESNZbulletedlist"/>
        <w:ind w:left="714" w:hanging="357"/>
      </w:pPr>
      <w:r w:rsidRPr="008E7737">
        <w:rPr>
          <w:rStyle w:val="Boldtext"/>
        </w:rPr>
        <w:t>Annex 8</w:t>
      </w:r>
      <w:r>
        <w:t xml:space="preserve"> presents</w:t>
      </w:r>
      <w:r w:rsidR="0015633A">
        <w:t xml:space="preserve"> the ethics and safeguards.</w:t>
      </w:r>
    </w:p>
    <w:p w:rsidR="0015633A" w:rsidP="0015633A" w:rsidRDefault="00871A41" w14:paraId="1A6917C2" w14:textId="62C58F4B">
      <w:pPr>
        <w:pStyle w:val="DESNZbulletedlist"/>
        <w:ind w:left="714" w:hanging="357"/>
      </w:pPr>
      <w:r w:rsidRPr="008E7737">
        <w:rPr>
          <w:rStyle w:val="Boldtext"/>
        </w:rPr>
        <w:t>Annex 9</w:t>
      </w:r>
      <w:r>
        <w:t xml:space="preserve"> presents</w:t>
      </w:r>
      <w:r w:rsidR="0015633A">
        <w:t xml:space="preserve"> the use and influence plan for key stakeholder groups for the duration of the evaluation.</w:t>
      </w:r>
    </w:p>
    <w:p w:rsidR="00871A41" w:rsidP="00871A41" w:rsidRDefault="00871A41" w14:paraId="0AD1CA11" w14:textId="2180855B">
      <w:pPr>
        <w:pStyle w:val="DESNZbulletedlist"/>
        <w:ind w:left="714" w:hanging="357"/>
      </w:pPr>
      <w:r w:rsidRPr="008E7737">
        <w:rPr>
          <w:rStyle w:val="Boldtext"/>
        </w:rPr>
        <w:t>Annex 10</w:t>
      </w:r>
      <w:r>
        <w:t xml:space="preserve"> presents</w:t>
      </w:r>
      <w:r w:rsidR="0015633A">
        <w:t xml:space="preserve"> the Terms of Reference.</w:t>
      </w:r>
    </w:p>
    <w:p w:rsidR="00871A41" w:rsidP="00871A41" w:rsidRDefault="00871A41" w14:paraId="16DED47D" w14:textId="74105943">
      <w:pPr>
        <w:pStyle w:val="DESNZbulletedlist"/>
        <w:ind w:left="714" w:hanging="357"/>
      </w:pPr>
      <w:r w:rsidRPr="008E7737">
        <w:rPr>
          <w:rStyle w:val="Boldtext"/>
        </w:rPr>
        <w:t>Annex 11</w:t>
      </w:r>
      <w:r>
        <w:t xml:space="preserve"> presents</w:t>
      </w:r>
      <w:r w:rsidR="0015633A">
        <w:t xml:space="preserve"> the Bibliography used to inform the evaluation outputs.</w:t>
      </w:r>
    </w:p>
    <w:p w:rsidR="00871A41" w:rsidP="00871A41" w:rsidRDefault="00871A41" w14:paraId="6C5E9ACE" w14:textId="1288837D">
      <w:pPr>
        <w:pStyle w:val="DESNZbulletedlist"/>
        <w:ind w:left="714" w:hanging="357"/>
      </w:pPr>
      <w:r w:rsidRPr="008E7737">
        <w:rPr>
          <w:rStyle w:val="Boldtext"/>
        </w:rPr>
        <w:t>Annex 12</w:t>
      </w:r>
      <w:r>
        <w:t xml:space="preserve"> presents</w:t>
      </w:r>
      <w:r w:rsidR="0015633A">
        <w:t xml:space="preserve"> the Political Economy Analysis developed in the process evaluation.</w:t>
      </w:r>
    </w:p>
    <w:p w:rsidR="000C1A85" w:rsidP="00871A41" w:rsidRDefault="000C1A85" w14:paraId="4D0F2EF1" w14:textId="106B2CC3">
      <w:pPr>
        <w:pStyle w:val="DESNZbulletedlist"/>
        <w:ind w:left="714" w:hanging="357"/>
      </w:pPr>
      <w:r>
        <w:rPr>
          <w:rStyle w:val="Boldtext"/>
        </w:rPr>
        <w:t xml:space="preserve">Annex 13 </w:t>
      </w:r>
      <w:r w:rsidRPr="00E94EE2">
        <w:t>presents the key findings from the process evaluation.</w:t>
      </w:r>
    </w:p>
    <w:p w:rsidR="000C1A85" w:rsidRDefault="000C1A85" w14:paraId="7B5BB0F7" w14:textId="77777777">
      <w:pPr>
        <w:spacing w:after="160" w:line="259" w:lineRule="auto"/>
        <w:rPr>
          <w:rFonts w:eastAsiaTheme="majorEastAsia" w:cstheme="majorBidi"/>
          <w:color w:val="041E42"/>
          <w:sz w:val="52"/>
          <w:szCs w:val="32"/>
        </w:rPr>
      </w:pPr>
      <w:r>
        <w:br w:type="page"/>
      </w:r>
    </w:p>
    <w:p w:rsidR="00EA1E4E" w:rsidP="00EA1E4E" w:rsidRDefault="00EA1E4E" w14:paraId="27C74FA4" w14:textId="2DD5BA60">
      <w:pPr>
        <w:pStyle w:val="Heading1"/>
      </w:pPr>
      <w:bookmarkStart w:name="_Toc207790184" w:id="2"/>
      <w:r w:rsidRPr="00EA1E4E">
        <w:t>Annex 1: MAGC Theory of Change</w:t>
      </w:r>
      <w:bookmarkEnd w:id="2"/>
    </w:p>
    <w:p w:rsidRPr="00E13638" w:rsidR="005F364E" w:rsidP="00E13638" w:rsidRDefault="005F364E" w14:paraId="426FBF4B" w14:textId="2A747124">
      <w:pPr>
        <w:rPr>
          <w:b/>
          <w:bCs/>
        </w:rPr>
      </w:pPr>
      <w:r>
        <w:rPr>
          <w:b/>
          <w:bCs/>
        </w:rPr>
        <w:t>Figure 1. MAGC Theory of Change</w:t>
      </w:r>
    </w:p>
    <w:p w:rsidRPr="00EA1E4E" w:rsidR="00EA1E4E" w:rsidP="00EA1E4E" w:rsidRDefault="00A518A0" w14:paraId="24471F72" w14:textId="74E27A50">
      <w:r>
        <w:rPr>
          <w:noProof/>
        </w:rPr>
        <w:drawing>
          <wp:inline distT="0" distB="0" distL="0" distR="0" wp14:anchorId="236AB5E6" wp14:editId="3ED42716">
            <wp:extent cx="6623514" cy="3933825"/>
            <wp:effectExtent l="0" t="0" r="6350" b="0"/>
            <wp:docPr id="2023985086"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5086" name="Picture 1" descr="A computer screen 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8088" cy="3954359"/>
                    </a:xfrm>
                    <a:prstGeom prst="rect">
                      <a:avLst/>
                    </a:prstGeom>
                    <a:noFill/>
                  </pic:spPr>
                </pic:pic>
              </a:graphicData>
            </a:graphic>
          </wp:inline>
        </w:drawing>
      </w:r>
    </w:p>
    <w:p w:rsidRPr="00EA1E4E" w:rsidR="00EA1E4E" w:rsidP="00EA1E4E" w:rsidRDefault="00EA1E4E" w14:paraId="578E1C39" w14:textId="77777777">
      <w:pPr>
        <w:rPr>
          <w:rStyle w:val="Boldtext"/>
        </w:rPr>
      </w:pPr>
      <w:r w:rsidRPr="00EA1E4E">
        <w:rPr>
          <w:rStyle w:val="Boldtext"/>
        </w:rPr>
        <w:t>Summary</w:t>
      </w:r>
    </w:p>
    <w:p w:rsidRPr="00EA1E4E" w:rsidR="00EA1E4E" w:rsidP="00EA1E4E" w:rsidRDefault="00EA1E4E" w14:paraId="01DD9F50" w14:textId="5A28A2F9">
      <w:r w:rsidRPr="00EA1E4E">
        <w:t xml:space="preserve">The MAGC Theory of Change </w:t>
      </w:r>
      <w:r w:rsidR="00655BCF">
        <w:t>was</w:t>
      </w:r>
      <w:r w:rsidRPr="00EA1E4E">
        <w:t xml:space="preserve"> developed by the IFC and DESNZ teams, building on the Theory of Change of the Green Building Market Transformation Program. A narrative accompanying the Theory of Change </w:t>
      </w:r>
      <w:r w:rsidR="00655BCF">
        <w:t>was</w:t>
      </w:r>
      <w:r w:rsidRPr="00EA1E4E">
        <w:t xml:space="preserve"> developed in the business case</w:t>
      </w:r>
      <w:r w:rsidR="008526D5">
        <w:t>.</w:t>
      </w:r>
      <w:r w:rsidRPr="00EA1E4E">
        <w:t xml:space="preserve"> </w:t>
      </w:r>
      <w:r w:rsidR="008526D5">
        <w:t>This</w:t>
      </w:r>
      <w:r w:rsidRPr="00EA1E4E">
        <w:t xml:space="preserve"> set out the major barriers to change, evidence underpinning the Theory of Change, and key mechanisms to the intended impact of the programme. The MAGC Logframe sets out the key outputs, outcome</w:t>
      </w:r>
      <w:r w:rsidR="00942BBB">
        <w:t>s</w:t>
      </w:r>
      <w:r w:rsidRPr="00EA1E4E">
        <w:t xml:space="preserve"> and impact and corresponding indicators (and which of those correspond to ICF KPIs) and results.</w:t>
      </w:r>
      <w:r w:rsidR="00FE03C2">
        <w:t xml:space="preserve"> As part of the evaluation, the team has conducted a review of the Theory of Change in several steps: (a) at the scoping stage in 2023, to build the evaluation team’s understanding of the ToC and develop a narrative, included </w:t>
      </w:r>
      <w:r w:rsidR="00A518A0">
        <w:t>here</w:t>
      </w:r>
      <w:r w:rsidR="00FE03C2">
        <w:t>; (b) at the process evaluation stage in 2023/2024, conducting a workshop with the DESNZ and IFC team to review the ToC and assess whether it was still valid and representing the programme correctly (included in the process evaluation report); (c) at the early outcome evaluation stage in 2024, revising the ToC diagram in collaboration with the DESNZ and IFC teams considering the evaluation evidence</w:t>
      </w:r>
      <w:r w:rsidR="00E94EE2">
        <w:t>.</w:t>
      </w:r>
      <w:r w:rsidR="00FE03C2">
        <w:t xml:space="preserve"> </w:t>
      </w:r>
      <w:r w:rsidR="00A518A0">
        <w:t>The figure above</w:t>
      </w:r>
      <w:r w:rsidRPr="006A37BD" w:rsidR="00A518A0">
        <w:t xml:space="preserve"> represents the updated Theory of Change diagram of MAGC.</w:t>
      </w:r>
    </w:p>
    <w:p w:rsidRPr="00EA1E4E" w:rsidR="00EA1E4E" w:rsidP="00EA1E4E" w:rsidRDefault="00EA1E4E" w14:paraId="2E35630E" w14:textId="17C735C9">
      <w:r w:rsidRPr="00EA1E4E">
        <w:t xml:space="preserve">The MAGC programme aims to achieve </w:t>
      </w:r>
      <w:r w:rsidRPr="00EA1E4E">
        <w:rPr>
          <w:rStyle w:val="Boldtext"/>
        </w:rPr>
        <w:t>transformational change</w:t>
      </w:r>
      <w:r w:rsidRPr="00EA1E4E">
        <w:t>, defined by DESNZ ICF as ‘change that catalyses further changes’</w:t>
      </w:r>
      <w:r w:rsidR="008526D5">
        <w:t>.</w:t>
      </w:r>
      <w:r w:rsidRPr="00EA1E4E">
        <w:t xml:space="preserve"> </w:t>
      </w:r>
      <w:r w:rsidR="008526D5">
        <w:t xml:space="preserve">This </w:t>
      </w:r>
      <w:r w:rsidRPr="00EA1E4E">
        <w:t>enabl</w:t>
      </w:r>
      <w:r w:rsidR="008526D5">
        <w:t>es</w:t>
      </w:r>
      <w:r w:rsidRPr="00EA1E4E">
        <w:t xml:space="preserve"> either a </w:t>
      </w:r>
      <w:r w:rsidRPr="00EA1E4E">
        <w:rPr>
          <w:rStyle w:val="Boldtext"/>
        </w:rPr>
        <w:t>shift from one state to another</w:t>
      </w:r>
      <w:r w:rsidRPr="00EA1E4E">
        <w:t xml:space="preserve"> (e.g., from conventional to lower carbon or more climate-resilient patterns of development), or faster change (e.g., speeding up progress on cutting the rate of deforestation).</w:t>
      </w:r>
      <w:r w:rsidRPr="00EA1E4E">
        <w:rPr>
          <w:rStyle w:val="FootnoteReference"/>
        </w:rPr>
        <w:footnoteReference w:id="3"/>
      </w:r>
      <w:r w:rsidRPr="00EA1E4E">
        <w:t xml:space="preserve"> From the first review of the MAGC Theory of Change and familiarisation activities, the type of transformational change anticipated in the programme is a </w:t>
      </w:r>
      <w:r w:rsidRPr="00EA1E4E">
        <w:rPr>
          <w:rStyle w:val="Boldtext"/>
        </w:rPr>
        <w:t>shift from a state</w:t>
      </w:r>
      <w:r w:rsidRPr="00EA1E4E">
        <w:t xml:space="preserve"> in which countries lack the uptake of green building practices and construction</w:t>
      </w:r>
      <w:r w:rsidRPr="008E7737">
        <w:rPr>
          <w:b/>
          <w:bCs/>
        </w:rPr>
        <w:t xml:space="preserve"> to</w:t>
      </w:r>
      <w:r w:rsidRPr="00EA1E4E">
        <w:t xml:space="preserve"> </w:t>
      </w:r>
      <w:r w:rsidRPr="00EA1E4E">
        <w:rPr>
          <w:rStyle w:val="Boldtext"/>
        </w:rPr>
        <w:t>another</w:t>
      </w:r>
      <w:r w:rsidR="005D7D94">
        <w:rPr>
          <w:rStyle w:val="Boldtext"/>
        </w:rPr>
        <w:t>.</w:t>
      </w:r>
      <w:r w:rsidRPr="00EA1E4E">
        <w:t xml:space="preserve"> </w:t>
      </w:r>
      <w:r w:rsidR="00C11E1E">
        <w:t>I</w:t>
      </w:r>
      <w:r w:rsidRPr="00EA1E4E">
        <w:t>n</w:t>
      </w:r>
      <w:r w:rsidR="00C11E1E">
        <w:t xml:space="preserve"> this second </w:t>
      </w:r>
      <w:r w:rsidR="00E94EE2">
        <w:t>state,</w:t>
      </w:r>
      <w:r w:rsidRPr="00EA1E4E" w:rsidR="00E94EE2">
        <w:t xml:space="preserve"> green</w:t>
      </w:r>
      <w:r w:rsidRPr="00EA1E4E">
        <w:t xml:space="preserve"> buildings are financed and constructed and enable achievement of energy</w:t>
      </w:r>
      <w:r w:rsidR="00BF7FC0">
        <w:t>, water</w:t>
      </w:r>
      <w:r w:rsidRPr="00EA1E4E">
        <w:t xml:space="preserve"> and emissions savings. While the programme Theory of Change does not explicitly link outcomes to transformational change mechanisms, there are outcomes (both intermediate and longer-term) that are expected to lead to transformational change.</w:t>
      </w:r>
    </w:p>
    <w:p w:rsidRPr="00EA1E4E" w:rsidR="00EA1E4E" w:rsidP="00EA1E4E" w:rsidRDefault="00EA1E4E" w14:paraId="5125E342" w14:textId="162C7264">
      <w:r w:rsidRPr="00EA1E4E">
        <w:t>The Theory of Change outlines how the programme activities are expected to lead to increased green building construction. Activities under the four components of the programme (investment and advisory, capacity building, EDGE</w:t>
      </w:r>
      <w:r w:rsidR="002D336F">
        <w:t xml:space="preserve"> (Excellence in Design for Greater Efficiencies)</w:t>
      </w:r>
      <w:r w:rsidRPr="00EA1E4E">
        <w:t xml:space="preserve"> certification, and research and evidence) intend to work together</w:t>
      </w:r>
      <w:r w:rsidR="00C11E1E">
        <w:t>. This is</w:t>
      </w:r>
      <w:r w:rsidRPr="00EA1E4E">
        <w:t xml:space="preserve"> to create a market where green buildings are valued and widely adopted, supported by readily available financing and robust policies. This is expected to be achieved through: </w:t>
      </w:r>
    </w:p>
    <w:p w:rsidRPr="00EA1E4E" w:rsidR="00EA1E4E" w:rsidP="00EA1E4E" w:rsidRDefault="00EA1E4E" w14:paraId="358C3D49" w14:textId="77777777">
      <w:pPr>
        <w:pStyle w:val="DESNZbulletedlist"/>
      </w:pPr>
      <w:r w:rsidRPr="00EA1E4E">
        <w:t>Providing financial support and guidance to financial institutions to catalyse investments towards green building projects</w:t>
      </w:r>
      <w:r w:rsidR="00C11E1E">
        <w:t>.</w:t>
      </w:r>
    </w:p>
    <w:p w:rsidRPr="00EA1E4E" w:rsidR="00EA1E4E" w:rsidP="00EA1E4E" w:rsidRDefault="00EA1E4E" w14:paraId="6017D8FB" w14:textId="77777777">
      <w:pPr>
        <w:pStyle w:val="DESNZbulletedlist"/>
      </w:pPr>
      <w:r w:rsidRPr="00EA1E4E">
        <w:t>Awareness raising on the commercial case for green buildings and technical assistance to the private and public sector, to strengthen capacity of the sector and improve the enabling environment</w:t>
      </w:r>
      <w:r w:rsidR="00C11E1E">
        <w:t>.</w:t>
      </w:r>
    </w:p>
    <w:p w:rsidRPr="00EA1E4E" w:rsidR="00EA1E4E" w:rsidP="00EA1E4E" w:rsidRDefault="00EA1E4E" w14:paraId="0DEC0F9F" w14:textId="77777777">
      <w:pPr>
        <w:pStyle w:val="DESNZbulletedlist"/>
      </w:pPr>
      <w:r w:rsidRPr="00EA1E4E">
        <w:t>Providing a certification tool that helps design and build green buildings</w:t>
      </w:r>
      <w:r w:rsidR="00C11E1E">
        <w:t>.</w:t>
      </w:r>
      <w:r w:rsidRPr="00EA1E4E">
        <w:t xml:space="preserve"> </w:t>
      </w:r>
    </w:p>
    <w:p w:rsidRPr="00EA1E4E" w:rsidR="00EA1E4E" w:rsidP="00EA1E4E" w:rsidRDefault="00BA0D64" w14:paraId="341FF299" w14:textId="5CF69A8F">
      <w:pPr>
        <w:pStyle w:val="DESNZbulletedlist"/>
      </w:pPr>
      <w:r>
        <w:t xml:space="preserve">Generating </w:t>
      </w:r>
      <w:r w:rsidRPr="002B6F71">
        <w:t xml:space="preserve">market intelligence </w:t>
      </w:r>
      <w:r>
        <w:t xml:space="preserve">through research in selected MAGC countries </w:t>
      </w:r>
      <w:r w:rsidRPr="005E1788" w:rsidR="005E1788">
        <w:t>to create high-quality empirical evidence</w:t>
      </w:r>
      <w:r w:rsidR="00C11E1E">
        <w:t>. This is</w:t>
      </w:r>
      <w:r w:rsidR="005E1788">
        <w:t xml:space="preserve"> to</w:t>
      </w:r>
      <w:r w:rsidRPr="005E1788" w:rsidR="005E1788">
        <w:t xml:space="preserve"> </w:t>
      </w:r>
      <w:r w:rsidRPr="00F739C5" w:rsidR="005E1788">
        <w:t xml:space="preserve">improve </w:t>
      </w:r>
      <w:r w:rsidR="005E1788">
        <w:t xml:space="preserve">MAGC’s </w:t>
      </w:r>
      <w:r w:rsidRPr="00F739C5" w:rsidR="005E1788">
        <w:t>delivery</w:t>
      </w:r>
      <w:r w:rsidR="005E1788">
        <w:t xml:space="preserve"> and</w:t>
      </w:r>
      <w:r w:rsidRPr="00F739C5" w:rsidR="005E1788">
        <w:t xml:space="preserve"> </w:t>
      </w:r>
      <w:r w:rsidR="005E1788">
        <w:t>to</w:t>
      </w:r>
      <w:r w:rsidRPr="00F739C5" w:rsidR="005E1788">
        <w:t xml:space="preserve"> build the evidence base </w:t>
      </w:r>
      <w:r w:rsidR="005E1788">
        <w:t>that has the potential to</w:t>
      </w:r>
      <w:r w:rsidRPr="00F739C5" w:rsidR="005E1788">
        <w:t xml:space="preserve"> support scaling up green buildings and market acceleration</w:t>
      </w:r>
      <w:r w:rsidR="005E1788">
        <w:t>.</w:t>
      </w:r>
    </w:p>
    <w:p w:rsidRPr="00EA1E4E" w:rsidR="00EA1E4E" w:rsidP="00EA1E4E" w:rsidRDefault="00EA1E4E" w14:paraId="48AA9506" w14:textId="3308426E">
      <w:r w:rsidRPr="00EA1E4E">
        <w:t xml:space="preserve">As outlined in the programme business case, the programme aims to make “the commercial as well as environmental benefits of green construction clear for </w:t>
      </w:r>
      <w:r w:rsidRPr="00EA1E4E" w:rsidR="0027418D">
        <w:t>policymakers</w:t>
      </w:r>
      <w:r w:rsidRPr="00EA1E4E">
        <w:t>, builders, bankers and buyers</w:t>
      </w:r>
      <w:r w:rsidR="00C11E1E">
        <w:t>.</w:t>
      </w:r>
      <w:r w:rsidRPr="00EA1E4E">
        <w:t xml:space="preserve"> </w:t>
      </w:r>
      <w:r w:rsidR="00C11E1E">
        <w:t xml:space="preserve">It also aims </w:t>
      </w:r>
      <w:r w:rsidRPr="00EA1E4E">
        <w:t>to change decision-making patterns, thereby transforming the construction sector market”.</w:t>
      </w:r>
      <w:r w:rsidRPr="00EA1E4E">
        <w:rPr>
          <w:rStyle w:val="FootnoteReference"/>
        </w:rPr>
        <w:footnoteReference w:id="4"/>
      </w:r>
    </w:p>
    <w:p w:rsidRPr="00EA1E4E" w:rsidR="00EA1E4E" w:rsidP="00EA1E4E" w:rsidRDefault="00EA1E4E" w14:paraId="5323DEEB" w14:textId="77777777">
      <w:pPr>
        <w:rPr>
          <w:rStyle w:val="Boldtext"/>
        </w:rPr>
      </w:pPr>
      <w:r w:rsidRPr="00EA1E4E">
        <w:rPr>
          <w:rStyle w:val="Boldtext"/>
        </w:rPr>
        <w:t>Detailed description</w:t>
      </w:r>
    </w:p>
    <w:p w:rsidRPr="00EA1E4E" w:rsidR="00EA1E4E" w:rsidP="00EA1E4E" w:rsidRDefault="00EA1E4E" w14:paraId="222BD21D" w14:textId="77A24F5E">
      <w:r w:rsidRPr="00EA1E4E">
        <w:t xml:space="preserve">The Theory of Change starts at the level of inputs and activities. </w:t>
      </w:r>
      <w:r w:rsidR="00937CA8">
        <w:t>The evaluation team</w:t>
      </w:r>
      <w:r w:rsidRPr="00EA1E4E">
        <w:t xml:space="preserve"> understand</w:t>
      </w:r>
      <w:r w:rsidR="00937CA8">
        <w:t>s</w:t>
      </w:r>
      <w:r w:rsidRPr="00EA1E4E">
        <w:t xml:space="preserve"> the </w:t>
      </w:r>
      <w:r w:rsidRPr="00EA1E4E">
        <w:rPr>
          <w:rStyle w:val="Boldtext"/>
        </w:rPr>
        <w:t>inputs</w:t>
      </w:r>
      <w:r w:rsidRPr="00EA1E4E">
        <w:t xml:space="preserve"> of the MAGC programme </w:t>
      </w:r>
      <w:r w:rsidR="00937CA8">
        <w:t>to be</w:t>
      </w:r>
      <w:r w:rsidRPr="00EA1E4E">
        <w:t xml:space="preserve"> the following:</w:t>
      </w:r>
    </w:p>
    <w:p w:rsidRPr="00EA1E4E" w:rsidR="00EA1E4E" w:rsidP="00EA1E4E" w:rsidRDefault="00EA1E4E" w14:paraId="062855DD" w14:textId="77777777">
      <w:pPr>
        <w:pStyle w:val="DESNZbulletedlist"/>
      </w:pPr>
      <w:r w:rsidRPr="00EA1E4E">
        <w:t>Financial support provided by the UK government</w:t>
      </w:r>
      <w:r w:rsidR="00C11E1E">
        <w:t>.</w:t>
      </w:r>
    </w:p>
    <w:p w:rsidRPr="00EA1E4E" w:rsidR="00EA1E4E" w:rsidP="00EA1E4E" w:rsidRDefault="00EA1E4E" w14:paraId="5472C305" w14:textId="77777777">
      <w:pPr>
        <w:pStyle w:val="DESNZbulletedlist"/>
      </w:pPr>
      <w:r w:rsidRPr="00EA1E4E">
        <w:t>Financial support provided by IFC and private finance in the blended finance investments</w:t>
      </w:r>
      <w:r w:rsidR="00C11E1E">
        <w:t>.</w:t>
      </w:r>
    </w:p>
    <w:p w:rsidRPr="00EA1E4E" w:rsidR="00EA1E4E" w:rsidP="00EA1E4E" w:rsidRDefault="00EA1E4E" w14:paraId="51B07872" w14:textId="5EA68287">
      <w:pPr>
        <w:pStyle w:val="DESNZbulletedlist"/>
      </w:pPr>
      <w:r w:rsidRPr="00EA1E4E">
        <w:t>Resources (staff and time) dedicated by DESNZ, IFC, partner institutions (e.g., embassies) and programme participants (</w:t>
      </w:r>
      <w:r w:rsidR="00D30E47">
        <w:t>Financial Institutions (</w:t>
      </w:r>
      <w:r w:rsidRPr="00EA1E4E">
        <w:t>F</w:t>
      </w:r>
      <w:r w:rsidRPr="00EA1E4E" w:rsidR="00D30E47">
        <w:t>i</w:t>
      </w:r>
      <w:r w:rsidRPr="00EA1E4E">
        <w:t>s</w:t>
      </w:r>
      <w:r w:rsidR="00D30E47">
        <w:t>)</w:t>
      </w:r>
      <w:r w:rsidRPr="00EA1E4E">
        <w:t>, public and private sector stakeholders)</w:t>
      </w:r>
      <w:r w:rsidR="009109B0">
        <w:t>.</w:t>
      </w:r>
    </w:p>
    <w:p w:rsidRPr="00EA1E4E" w:rsidR="00EA1E4E" w:rsidP="00EA1E4E" w:rsidRDefault="00EA1E4E" w14:paraId="7A09A140" w14:textId="77777777">
      <w:r w:rsidRPr="00EA1E4E">
        <w:t xml:space="preserve">The </w:t>
      </w:r>
      <w:r w:rsidRPr="00EA1E4E">
        <w:rPr>
          <w:rStyle w:val="Boldtext"/>
        </w:rPr>
        <w:t>activities and outputs</w:t>
      </w:r>
      <w:r w:rsidRPr="00EA1E4E">
        <w:t xml:space="preserve"> in the Theory of Change are aligned with the four different components of MAGC and types of support it provides. </w:t>
      </w:r>
    </w:p>
    <w:p w:rsidRPr="00EA1E4E" w:rsidR="00EA1E4E" w:rsidP="00EA1E4E" w:rsidRDefault="00EA1E4E" w14:paraId="5E7C0D68" w14:textId="77777777">
      <w:r w:rsidRPr="00EA1E4E">
        <w:t xml:space="preserve">As part of the </w:t>
      </w:r>
      <w:r w:rsidRPr="00EA1E4E">
        <w:rPr>
          <w:rStyle w:val="Boldtext"/>
        </w:rPr>
        <w:t>investment and advisory</w:t>
      </w:r>
      <w:r w:rsidRPr="00EA1E4E">
        <w:t xml:space="preserve"> component, the MAGC programme provides blended finance and advisory services to financial institutions. The key outputs for these activities are that:</w:t>
      </w:r>
    </w:p>
    <w:p w:rsidRPr="00EA1E4E" w:rsidR="00EA1E4E" w:rsidP="00EA1E4E" w:rsidRDefault="00EA1E4E" w14:paraId="581B440B" w14:textId="4215C3D3">
      <w:pPr>
        <w:pStyle w:val="DESNZbulletedlist"/>
      </w:pPr>
      <w:r w:rsidRPr="00EA1E4E">
        <w:t>MAGC finance is secured for green buildings (corresponding to output 1a in the Logframe</w:t>
      </w:r>
      <w:r w:rsidR="00224900">
        <w:rPr>
          <w:rStyle w:val="FootnoteReference"/>
        </w:rPr>
        <w:footnoteReference w:id="5"/>
      </w:r>
      <w:r w:rsidRPr="00EA1E4E">
        <w:t>)</w:t>
      </w:r>
      <w:r w:rsidR="00CF36F4">
        <w:t>.</w:t>
      </w:r>
    </w:p>
    <w:p w:rsidRPr="00EA1E4E" w:rsidR="00EA1E4E" w:rsidP="00EA1E4E" w:rsidRDefault="6B215953" w14:paraId="290E3E1A" w14:textId="65AF3994">
      <w:pPr>
        <w:pStyle w:val="DESNZbulletedlist"/>
      </w:pPr>
      <w:r>
        <w:t>F</w:t>
      </w:r>
      <w:r w:rsidRPr="00EA1E4E" w:rsidR="00EA1E4E">
        <w:t xml:space="preserve">inancial intermediary-level advisory activities are delivered (corresponding to output indicator 1a2 and 1a5 in the Logframe). </w:t>
      </w:r>
    </w:p>
    <w:p w:rsidRPr="00EA1E4E" w:rsidR="00EA1E4E" w:rsidP="00EA1E4E" w:rsidRDefault="00EA1E4E" w14:paraId="227138B3" w14:textId="1FA92214">
      <w:r w:rsidRPr="00EA1E4E">
        <w:t xml:space="preserve">The </w:t>
      </w:r>
      <w:r w:rsidRPr="00EA1E4E">
        <w:rPr>
          <w:rStyle w:val="Boldtext"/>
        </w:rPr>
        <w:t>capacity building</w:t>
      </w:r>
      <w:r w:rsidRPr="00EA1E4E">
        <w:t xml:space="preserve"> component is focused on enabling environment activities</w:t>
      </w:r>
      <w:r w:rsidR="009109B0">
        <w:t>.</w:t>
      </w:r>
      <w:r w:rsidRPr="00EA1E4E">
        <w:t xml:space="preserve"> </w:t>
      </w:r>
      <w:r w:rsidR="009109B0">
        <w:t xml:space="preserve">This </w:t>
      </w:r>
      <w:r w:rsidRPr="00EA1E4E">
        <w:t>includ</w:t>
      </w:r>
      <w:r w:rsidR="009109B0">
        <w:t>es</w:t>
      </w:r>
      <w:r w:rsidRPr="00EA1E4E">
        <w:t xml:space="preserve"> market engagement plans to support the development and strengthening of the enabling environment, </w:t>
      </w:r>
      <w:r w:rsidR="009109B0">
        <w:t>and</w:t>
      </w:r>
      <w:r w:rsidRPr="00EA1E4E">
        <w:t xml:space="preserve"> awareness raising of the business case for green buildings</w:t>
      </w:r>
      <w:r w:rsidR="009109B0">
        <w:t>.</w:t>
      </w:r>
      <w:r w:rsidRPr="00EA1E4E">
        <w:t xml:space="preserve"> </w:t>
      </w:r>
      <w:r w:rsidR="009109B0">
        <w:t>It also includes</w:t>
      </w:r>
      <w:r w:rsidRPr="00EA1E4E">
        <w:t xml:space="preserve"> understanding activities and country-level technical assistance for the policy and public sector. Outputs resulting from these activities are:</w:t>
      </w:r>
    </w:p>
    <w:p w:rsidRPr="00EA1E4E" w:rsidR="00EA1E4E" w:rsidP="00EA1E4E" w:rsidRDefault="00B85B64" w14:paraId="6C98E8EA" w14:textId="78D12D93">
      <w:pPr>
        <w:pStyle w:val="DESNZbulletedlist"/>
      </w:pPr>
      <w:r>
        <w:t>T</w:t>
      </w:r>
      <w:r w:rsidRPr="00EA1E4E" w:rsidR="00EA1E4E">
        <w:t>he implemented market engagement plans (indicator 2.1)</w:t>
      </w:r>
      <w:r w:rsidR="009109B0">
        <w:t>.</w:t>
      </w:r>
      <w:r w:rsidRPr="00EA1E4E" w:rsidR="00EA1E4E">
        <w:t xml:space="preserve"> </w:t>
      </w:r>
    </w:p>
    <w:p w:rsidRPr="00EA1E4E" w:rsidR="00EA1E4E" w:rsidP="00EA1E4E" w:rsidRDefault="00B85B64" w14:paraId="412C5A8F" w14:textId="5EACE8C3">
      <w:pPr>
        <w:pStyle w:val="DESNZbulletedlist"/>
      </w:pPr>
      <w:r>
        <w:t>T</w:t>
      </w:r>
      <w:r w:rsidRPr="00EA1E4E" w:rsidR="00EA1E4E">
        <w:t>he delivered webinars, publications, tradeshows, workshops, trade missions to support the development and strengthening of the enabling environment</w:t>
      </w:r>
      <w:r w:rsidR="009109B0">
        <w:t>.</w:t>
      </w:r>
      <w:r w:rsidRPr="00EA1E4E" w:rsidR="00EA1E4E">
        <w:t xml:space="preserve"> </w:t>
      </w:r>
    </w:p>
    <w:p w:rsidRPr="00EA1E4E" w:rsidR="00EA1E4E" w:rsidP="00EA1E4E" w:rsidRDefault="00B85B64" w14:paraId="5D9AFC09" w14:textId="72B6AA36">
      <w:pPr>
        <w:pStyle w:val="DESNZbulletedlist"/>
      </w:pPr>
      <w:r>
        <w:t>A</w:t>
      </w:r>
      <w:r w:rsidRPr="00EA1E4E" w:rsidR="00EA1E4E">
        <w:t>rchitects, designers, and developers being trained to use the EDGE certification platform for green building constructions, and auditors and certifiers being trained to certify green buildings with EDGE</w:t>
      </w:r>
      <w:r w:rsidR="009109B0">
        <w:t>.</w:t>
      </w:r>
    </w:p>
    <w:p w:rsidRPr="00EA1E4E" w:rsidR="00EA1E4E" w:rsidP="00EA1E4E" w:rsidRDefault="00B85B64" w14:paraId="1DC3C82D" w14:textId="0DF247D4">
      <w:pPr>
        <w:pStyle w:val="DESNZbulletedlist"/>
      </w:pPr>
      <w:r>
        <w:t>T</w:t>
      </w:r>
      <w:r w:rsidRPr="00EA1E4E" w:rsidR="00EA1E4E">
        <w:t>he regulatory environment is being developed and strengthened (via country-level technical assistance for policy and public sector).</w:t>
      </w:r>
    </w:p>
    <w:p w:rsidRPr="00EA1E4E" w:rsidR="00EA1E4E" w:rsidP="00EA1E4E" w:rsidRDefault="00EA1E4E" w14:paraId="7AE33731" w14:textId="1E33C8D6">
      <w:r w:rsidRPr="00EA1E4E">
        <w:t xml:space="preserve">As part of the </w:t>
      </w:r>
      <w:r w:rsidRPr="00EA1E4E">
        <w:rPr>
          <w:rStyle w:val="Boldtext"/>
        </w:rPr>
        <w:t>EDGE component</w:t>
      </w:r>
      <w:r w:rsidRPr="00EA1E4E">
        <w:t>, key activities are related to the EDGE certification platform maintenance, operation, and improvements. Corresponding outputs are</w:t>
      </w:r>
      <w:r w:rsidR="00A13E48">
        <w:rPr>
          <w:rStyle w:val="FootnoteReference"/>
        </w:rPr>
        <w:footnoteReference w:id="6"/>
      </w:r>
      <w:r w:rsidRPr="00EA1E4E">
        <w:t>:</w:t>
      </w:r>
    </w:p>
    <w:p w:rsidRPr="00EA1E4E" w:rsidR="00EA1E4E" w:rsidP="00EA1E4E" w:rsidRDefault="0068481D" w14:paraId="79C952A0" w14:textId="21948C54">
      <w:pPr>
        <w:pStyle w:val="DESNZbulletedlist"/>
      </w:pPr>
      <w:r>
        <w:t>T</w:t>
      </w:r>
      <w:r w:rsidRPr="00EA1E4E" w:rsidR="00EA1E4E">
        <w:t>he development and launch of EDGE tool improvements (indicator 3.1)</w:t>
      </w:r>
      <w:r w:rsidR="009109B0">
        <w:t>.</w:t>
      </w:r>
      <w:r w:rsidRPr="00EA1E4E" w:rsidR="00EA1E4E">
        <w:t xml:space="preserve"> </w:t>
      </w:r>
    </w:p>
    <w:p w:rsidRPr="00EA1E4E" w:rsidR="00EA1E4E" w:rsidP="00EA1E4E" w:rsidRDefault="0068481D" w14:paraId="3B73BFD5" w14:textId="6DBD5EB8">
      <w:pPr>
        <w:pStyle w:val="DESNZbulletedlist"/>
      </w:pPr>
      <w:r>
        <w:t>D</w:t>
      </w:r>
      <w:r w:rsidRPr="00EA1E4E" w:rsidR="00EA1E4E">
        <w:t>evelopment and launch of the Climate Assessment for Financial Institutions (CAFI) tool improvements (indicator 3.2)</w:t>
      </w:r>
      <w:r w:rsidR="009109B0">
        <w:t>.</w:t>
      </w:r>
      <w:r w:rsidRPr="00EA1E4E" w:rsidR="00EA1E4E">
        <w:t xml:space="preserve"> </w:t>
      </w:r>
    </w:p>
    <w:p w:rsidRPr="00EA1E4E" w:rsidR="00EA1E4E" w:rsidP="00EA1E4E" w:rsidRDefault="0068481D" w14:paraId="62932405" w14:textId="5952FB08">
      <w:pPr>
        <w:pStyle w:val="DESNZbulletedlist"/>
      </w:pPr>
      <w:r>
        <w:t>T</w:t>
      </w:r>
      <w:r w:rsidRPr="00EA1E4E" w:rsidR="00EA1E4E">
        <w:t xml:space="preserve">he development of a robust process to assess whether or not additional standards can be incorporated into the programme (indicator 3.3). </w:t>
      </w:r>
    </w:p>
    <w:p w:rsidR="0000224C" w:rsidP="00EA1E4E" w:rsidRDefault="0000224C" w14:paraId="1A7097B5" w14:textId="0494B2E6">
      <w:r>
        <w:t>Indicators 3.2 and 3.3 were revised in the June 2024 version of the Logframe to include tracking the development of the EDGE v.4.0 software, online app, and training materials</w:t>
      </w:r>
      <w:r w:rsidR="00B85B64">
        <w:t>.</w:t>
      </w:r>
      <w:r>
        <w:t xml:space="preserve"> </w:t>
      </w:r>
      <w:r w:rsidR="00B85B64">
        <w:t>They also include</w:t>
      </w:r>
      <w:r>
        <w:t xml:space="preserve"> the support provided to the different stakeholders on EDGE v.4.0 (output indicators 3.3 and 3.4 in the updated Logframe version).</w:t>
      </w:r>
    </w:p>
    <w:p w:rsidRPr="00EA1E4E" w:rsidR="00EA1E4E" w:rsidP="00EA1E4E" w:rsidRDefault="00EA1E4E" w14:paraId="41D9C542" w14:textId="179F98C0">
      <w:r w:rsidRPr="00EA1E4E">
        <w:t xml:space="preserve">The </w:t>
      </w:r>
      <w:r w:rsidRPr="00EA1E4E">
        <w:rPr>
          <w:rStyle w:val="Boldtext"/>
        </w:rPr>
        <w:t>Research and Evidence</w:t>
      </w:r>
      <w:r w:rsidRPr="00EA1E4E">
        <w:t xml:space="preserve"> component </w:t>
      </w:r>
      <w:r w:rsidR="00B85B64">
        <w:t xml:space="preserve">is </w:t>
      </w:r>
      <w:r w:rsidRPr="00EA1E4E">
        <w:t>referred to in the Theory of Change as Research and Learning, and in the MAGC brochure as Green Building performance report and dissemination</w:t>
      </w:r>
      <w:r w:rsidR="00B85B64">
        <w:t>.</w:t>
      </w:r>
      <w:r w:rsidRPr="00EA1E4E">
        <w:t xml:space="preserve"> </w:t>
      </w:r>
      <w:r w:rsidR="00B85B64">
        <w:t>Here</w:t>
      </w:r>
      <w:r w:rsidRPr="00EA1E4E">
        <w:t xml:space="preserve"> key activities include development of systems to monitor and collect data on financial institution</w:t>
      </w:r>
      <w:r w:rsidRPr="00EA1E4E">
        <w:rPr>
          <w:rStyle w:val="FootnoteReference"/>
        </w:rPr>
        <w:footnoteReference w:id="7"/>
      </w:r>
      <w:r w:rsidRPr="00EA1E4E">
        <w:t xml:space="preserve"> and green buildings performance</w:t>
      </w:r>
      <w:r w:rsidR="00B85B64">
        <w:t xml:space="preserve">. It </w:t>
      </w:r>
      <w:r w:rsidR="00A518A0">
        <w:t>also</w:t>
      </w:r>
      <w:r w:rsidRPr="00EA1E4E" w:rsidR="00A518A0">
        <w:t xml:space="preserve"> generates</w:t>
      </w:r>
      <w:r w:rsidRPr="00EA1E4E">
        <w:t xml:space="preserve"> green building market intelligence and outputs related to:</w:t>
      </w:r>
    </w:p>
    <w:p w:rsidRPr="00EA1E4E" w:rsidR="00EA1E4E" w:rsidP="00EA1E4E" w:rsidRDefault="0068481D" w14:paraId="5A714EF7" w14:textId="21C35C97">
      <w:pPr>
        <w:pStyle w:val="DESNZbulletedlist"/>
      </w:pPr>
      <w:r>
        <w:t>T</w:t>
      </w:r>
      <w:r w:rsidRPr="00EA1E4E" w:rsidR="00EA1E4E">
        <w:t>he successful set up of these systems</w:t>
      </w:r>
      <w:r w:rsidR="00B85B64">
        <w:t>.</w:t>
      </w:r>
      <w:r w:rsidRPr="00EA1E4E" w:rsidR="00EA1E4E">
        <w:t xml:space="preserve"> </w:t>
      </w:r>
    </w:p>
    <w:p w:rsidRPr="00EA1E4E" w:rsidR="00EA1E4E" w:rsidP="00EA1E4E" w:rsidRDefault="0068481D" w14:paraId="47EF3957" w14:textId="3F413C68">
      <w:pPr>
        <w:pStyle w:val="DESNZbulletedlist"/>
      </w:pPr>
      <w:r>
        <w:t>D</w:t>
      </w:r>
      <w:r w:rsidRPr="00EA1E4E" w:rsidR="00EA1E4E">
        <w:t>elivery of stakeholder, market assessments and EDGE impact evaluations (Smart Metering Study) research workstreams.</w:t>
      </w:r>
    </w:p>
    <w:p w:rsidRPr="00EA1E4E" w:rsidR="00EA1E4E" w:rsidP="00EA1E4E" w:rsidRDefault="00EA1E4E" w14:paraId="3F778FC1" w14:textId="70A5DCFF">
      <w:r w:rsidRPr="00EA1E4E">
        <w:t xml:space="preserve">In terms of </w:t>
      </w:r>
      <w:r w:rsidRPr="00EA1E4E">
        <w:rPr>
          <w:rStyle w:val="Boldtext"/>
        </w:rPr>
        <w:t>outcomes</w:t>
      </w:r>
      <w:r w:rsidRPr="00EA1E4E">
        <w:t xml:space="preserve"> in the Theory of Change that result from the components’ activities, </w:t>
      </w:r>
      <w:r w:rsidR="00937CA8">
        <w:t>the evaluation team has</w:t>
      </w:r>
      <w:r w:rsidRPr="00EA1E4E">
        <w:t xml:space="preserve"> distinguished them here into </w:t>
      </w:r>
      <w:r w:rsidRPr="00EA1E4E">
        <w:rPr>
          <w:rStyle w:val="Boldtext"/>
        </w:rPr>
        <w:t>intermediate</w:t>
      </w:r>
      <w:r w:rsidRPr="00EA1E4E">
        <w:t xml:space="preserve"> and </w:t>
      </w:r>
      <w:r w:rsidRPr="00EA1E4E">
        <w:rPr>
          <w:rStyle w:val="Boldtext"/>
        </w:rPr>
        <w:t>longer-term</w:t>
      </w:r>
      <w:r w:rsidRPr="00EA1E4E">
        <w:t xml:space="preserve"> outcomes</w:t>
      </w:r>
      <w:r w:rsidR="0068481D">
        <w:t>. This is</w:t>
      </w:r>
      <w:r w:rsidRPr="00EA1E4E">
        <w:t xml:space="preserve"> based on </w:t>
      </w:r>
      <w:r w:rsidR="00937CA8">
        <w:t>the evaluation team’s</w:t>
      </w:r>
      <w:r w:rsidRPr="00EA1E4E">
        <w:t xml:space="preserve"> current understanding of the Theory of Change. While the exact timeline of expected outcomes is still uncertain, </w:t>
      </w:r>
      <w:r w:rsidR="00937CA8">
        <w:t>the evaluation team’s</w:t>
      </w:r>
      <w:r w:rsidRPr="00EA1E4E">
        <w:t xml:space="preserve"> current understanding is that intermediate outcomes are expected to be realised within the programme timeframe</w:t>
      </w:r>
      <w:r w:rsidR="00803766">
        <w:t>.</w:t>
      </w:r>
      <w:r w:rsidRPr="00EA1E4E">
        <w:t xml:space="preserve"> </w:t>
      </w:r>
      <w:r w:rsidR="00803766">
        <w:t xml:space="preserve">This </w:t>
      </w:r>
      <w:r w:rsidRPr="00EA1E4E">
        <w:t>end</w:t>
      </w:r>
      <w:r w:rsidR="00803766">
        <w:t>s</w:t>
      </w:r>
      <w:r w:rsidRPr="00EA1E4E">
        <w:t xml:space="preserve"> in 2033, with its investment period running until 2027, while longer-term outcomes go beyond the end of the programme and refer to wider market transformational change.</w:t>
      </w:r>
    </w:p>
    <w:p w:rsidRPr="00EA1E4E" w:rsidR="00EA1E4E" w:rsidP="00EA1E4E" w:rsidRDefault="00937CA8" w14:paraId="68D2AE16" w14:textId="2A69A27A">
      <w:r>
        <w:t>The evaluation team</w:t>
      </w:r>
      <w:r w:rsidRPr="00EA1E4E" w:rsidR="00EA1E4E">
        <w:t xml:space="preserve"> understand</w:t>
      </w:r>
      <w:r>
        <w:t>s</w:t>
      </w:r>
      <w:r w:rsidRPr="00EA1E4E" w:rsidR="00EA1E4E">
        <w:t xml:space="preserve"> </w:t>
      </w:r>
      <w:r w:rsidRPr="00E94EE2" w:rsidR="00EA1E4E">
        <w:rPr>
          <w:rStyle w:val="Boldtext"/>
        </w:rPr>
        <w:t>intermediate outcomes</w:t>
      </w:r>
      <w:r w:rsidRPr="00EA1E4E" w:rsidR="00EA1E4E">
        <w:t xml:space="preserve"> of the MAGC programme to be:</w:t>
      </w:r>
    </w:p>
    <w:p w:rsidRPr="00EA1E4E" w:rsidR="00EA1E4E" w:rsidP="00EA1E4E" w:rsidRDefault="00EA1E4E" w14:paraId="756D6D10" w14:textId="60B3BAE4">
      <w:pPr>
        <w:pStyle w:val="DESNZbulletedlist"/>
      </w:pPr>
      <w:r w:rsidRPr="00EA1E4E">
        <w:t>Financial intermediaries are capable and comfortable assessing green building risks</w:t>
      </w:r>
      <w:r w:rsidR="00803766">
        <w:t>.</w:t>
      </w:r>
      <w:r w:rsidRPr="00EA1E4E">
        <w:t xml:space="preserve">  </w:t>
      </w:r>
      <w:r w:rsidR="00803766">
        <w:t>T</w:t>
      </w:r>
      <w:r w:rsidRPr="00EA1E4E">
        <w:t xml:space="preserve">his outcome is a direct result of the investment and advisory component activities, and links to transformational change </w:t>
      </w:r>
      <w:r w:rsidRPr="00EA1E4E" w:rsidR="00FD54E8">
        <w:t>criteri</w:t>
      </w:r>
      <w:r w:rsidR="00FD54E8">
        <w:t>on</w:t>
      </w:r>
      <w:r w:rsidRPr="00EA1E4E" w:rsidR="00FD54E8">
        <w:t xml:space="preserve"> </w:t>
      </w:r>
      <w:r w:rsidRPr="00EA1E4E">
        <w:t xml:space="preserve">“Capacity and capability”. In addition to MAGC </w:t>
      </w:r>
      <w:r w:rsidRPr="00EA1E4E">
        <w:t>investments, the MAGC advisory component aims to contribute to raise awareness on the concept of green buildings</w:t>
      </w:r>
      <w:r w:rsidR="00803766">
        <w:t>.</w:t>
      </w:r>
      <w:r w:rsidRPr="00EA1E4E">
        <w:t xml:space="preserve"> </w:t>
      </w:r>
      <w:r w:rsidR="00803766">
        <w:t>This is</w:t>
      </w:r>
      <w:r w:rsidRPr="00EA1E4E">
        <w:t xml:space="preserve"> both within FIs (to develop internal systems and tools) and more widely in the market.</w:t>
      </w:r>
    </w:p>
    <w:p w:rsidRPr="00EA1E4E" w:rsidR="00EA1E4E" w:rsidP="00EA1E4E" w:rsidRDefault="00EA1E4E" w14:paraId="01FDEE4F" w14:textId="77777777">
      <w:pPr>
        <w:pStyle w:val="DESNZbulletedlist"/>
      </w:pPr>
      <w:r w:rsidRPr="00EA1E4E">
        <w:t>Pre-certified green buildings secure finance (as a result of blended finance investments).</w:t>
      </w:r>
    </w:p>
    <w:p w:rsidRPr="00EA1E4E" w:rsidR="00EA1E4E" w:rsidP="00EA1E4E" w:rsidRDefault="00EA1E4E" w14:paraId="05AC0AF8" w14:textId="380EE81A">
      <w:pPr>
        <w:pStyle w:val="DESNZbulletedlist"/>
      </w:pPr>
      <w:r w:rsidRPr="00EA1E4E">
        <w:t>Green buildings are constructed and certified</w:t>
      </w:r>
      <w:r w:rsidR="00803766">
        <w:t>.</w:t>
      </w:r>
      <w:r w:rsidRPr="00EA1E4E">
        <w:t xml:space="preserve"> </w:t>
      </w:r>
      <w:r w:rsidR="00803766">
        <w:t xml:space="preserve">This is </w:t>
      </w:r>
      <w:r w:rsidRPr="00EA1E4E">
        <w:t>as a result of blended finance investments and use of the EDGE tool, but also via the country-level technical assistance aimed at more EDGE penetration and more certified buildings.</w:t>
      </w:r>
    </w:p>
    <w:p w:rsidRPr="00EA1E4E" w:rsidR="00EA1E4E" w:rsidP="00EA1E4E" w:rsidRDefault="00E94EE2" w14:paraId="342D7D66" w14:textId="52750A2E">
      <w:r>
        <w:t>Four</w:t>
      </w:r>
      <w:r w:rsidRPr="00EA1E4E" w:rsidR="00EA1E4E">
        <w:t xml:space="preserve"> </w:t>
      </w:r>
      <w:r w:rsidRPr="00E94EE2" w:rsidR="00EA1E4E">
        <w:rPr>
          <w:rStyle w:val="Boldtext"/>
        </w:rPr>
        <w:t>assumptions</w:t>
      </w:r>
      <w:r w:rsidRPr="00EA1E4E" w:rsidR="00EA1E4E">
        <w:t xml:space="preserve"> underpinning the links between outputs and intermediate outcomes were listed in the programme business case:</w:t>
      </w:r>
    </w:p>
    <w:p w:rsidRPr="00EA1E4E" w:rsidR="00EA1E4E" w:rsidP="00EA1E4E" w:rsidRDefault="00E94EE2" w14:paraId="50309074" w14:textId="7DA00AA6">
      <w:pPr>
        <w:pStyle w:val="DESNZbulletedlist"/>
      </w:pPr>
      <w:r>
        <w:t>That t</w:t>
      </w:r>
      <w:r w:rsidRPr="00EA1E4E" w:rsidR="00EA1E4E">
        <w:t>he programme will utilise a range of financial instruments designed to maximise impact whilst minimising subsidy in support of proving the commercial case.</w:t>
      </w:r>
    </w:p>
    <w:p w:rsidRPr="00EA1E4E" w:rsidR="00EA1E4E" w:rsidP="00EA1E4E" w:rsidRDefault="00EA1E4E" w14:paraId="72229DFF" w14:textId="77777777">
      <w:pPr>
        <w:pStyle w:val="DESNZbulletedlist"/>
      </w:pPr>
      <w:r w:rsidRPr="00EA1E4E">
        <w:t xml:space="preserve">That blended finance will be based on market need, barriers and the principle of using minimal </w:t>
      </w:r>
      <w:proofErr w:type="spellStart"/>
      <w:r w:rsidRPr="00EA1E4E">
        <w:t>concessionality</w:t>
      </w:r>
      <w:proofErr w:type="spellEnd"/>
      <w:r w:rsidRPr="00EA1E4E">
        <w:t>.</w:t>
      </w:r>
    </w:p>
    <w:p w:rsidRPr="00EA1E4E" w:rsidR="00EA1E4E" w:rsidP="00EA1E4E" w:rsidRDefault="00EA1E4E" w14:paraId="35143EB7" w14:textId="69335F85">
      <w:pPr>
        <w:pStyle w:val="DESNZbulletedlist"/>
      </w:pPr>
      <w:r w:rsidRPr="00EA1E4E">
        <w:t>That the bulk of the projected construction will be in low to middle income residential</w:t>
      </w:r>
      <w:r w:rsidR="002134F3">
        <w:t xml:space="preserve"> buildings</w:t>
      </w:r>
      <w:r w:rsidRPr="00EA1E4E">
        <w:t>, but that the intervention will also include the construction of commercial and mixed-use buildings.</w:t>
      </w:r>
    </w:p>
    <w:p w:rsidRPr="00EA1E4E" w:rsidR="00EA1E4E" w:rsidP="00EA1E4E" w:rsidRDefault="00EA1E4E" w14:paraId="64B6CEB7" w14:textId="771D7FF1">
      <w:pPr>
        <w:pStyle w:val="DESNZbulletedlist"/>
      </w:pPr>
      <w:r w:rsidRPr="00EA1E4E">
        <w:t>That a robust evidence base will be developed as part of the research component</w:t>
      </w:r>
      <w:r w:rsidR="00803766">
        <w:t>.</w:t>
      </w:r>
      <w:r w:rsidRPr="00EA1E4E">
        <w:t xml:space="preserve"> </w:t>
      </w:r>
      <w:r w:rsidR="00F32DE0">
        <w:t>This</w:t>
      </w:r>
      <w:r w:rsidRPr="00EA1E4E">
        <w:t xml:space="preserve"> can be used to </w:t>
      </w:r>
      <w:r w:rsidR="00A13E48">
        <w:t xml:space="preserve">better understand the current green building market, as well as to </w:t>
      </w:r>
      <w:r w:rsidRPr="00EA1E4E">
        <w:t>further enhance green building standards and motivate the uptake of green construction over conventional approaches.</w:t>
      </w:r>
    </w:p>
    <w:p w:rsidRPr="00EA1E4E" w:rsidR="00EA1E4E" w:rsidP="00EA1E4E" w:rsidRDefault="00EA1E4E" w14:paraId="54253352" w14:textId="77777777">
      <w:r w:rsidRPr="00EA1E4E">
        <w:t xml:space="preserve">Other key </w:t>
      </w:r>
      <w:r w:rsidRPr="00E94EE2">
        <w:rPr>
          <w:rStyle w:val="Boldtext"/>
        </w:rPr>
        <w:t>assumptions</w:t>
      </w:r>
      <w:r w:rsidRPr="00EA1E4E">
        <w:t xml:space="preserve"> underpinning the programme, which were highlighted in programme documentation and/or in scoping interviews are:</w:t>
      </w:r>
    </w:p>
    <w:p w:rsidRPr="00EA1E4E" w:rsidR="00EA1E4E" w:rsidP="00EA1E4E" w:rsidRDefault="00EA1E4E" w14:paraId="322EBFC2" w14:textId="77777777">
      <w:pPr>
        <w:pStyle w:val="DESNZbulletedlist"/>
      </w:pPr>
      <w:r w:rsidRPr="00EA1E4E">
        <w:t>Financial intermediaries are interested in developing products for green buildings.</w:t>
      </w:r>
    </w:p>
    <w:p w:rsidRPr="00EA1E4E" w:rsidR="00EA1E4E" w:rsidP="00EA1E4E" w:rsidRDefault="00EA1E4E" w14:paraId="467F4FB1" w14:textId="77777777">
      <w:pPr>
        <w:pStyle w:val="DESNZbulletedlist"/>
      </w:pPr>
      <w:r w:rsidRPr="00EA1E4E">
        <w:t xml:space="preserve">A pipeline of demand exists for initial green buildings and finance. </w:t>
      </w:r>
    </w:p>
    <w:p w:rsidRPr="00EA1E4E" w:rsidR="00EA1E4E" w:rsidP="00EA1E4E" w:rsidRDefault="00EA1E4E" w14:paraId="1D210774" w14:textId="77777777">
      <w:pPr>
        <w:pStyle w:val="DESNZbulletedlist"/>
      </w:pPr>
      <w:r w:rsidRPr="00EA1E4E">
        <w:t>Private sector stakeholders will understand and agree – through participation in MAGC – that there is an economic value in addition to the climate change perspective of green buildings.</w:t>
      </w:r>
    </w:p>
    <w:p w:rsidRPr="00EA1E4E" w:rsidR="00EA1E4E" w:rsidP="00EA1E4E" w:rsidRDefault="00EA1E4E" w14:paraId="1727B1ED" w14:textId="77777777">
      <w:r w:rsidRPr="00EA1E4E">
        <w:t xml:space="preserve">Five key </w:t>
      </w:r>
      <w:r w:rsidRPr="00EA1E4E">
        <w:rPr>
          <w:rStyle w:val="Boldtext"/>
        </w:rPr>
        <w:t>longer-term outcomes</w:t>
      </w:r>
      <w:r w:rsidRPr="00EA1E4E">
        <w:t xml:space="preserve"> result from the interaction between components:</w:t>
      </w:r>
    </w:p>
    <w:p w:rsidRPr="00EA1E4E" w:rsidR="00EA1E4E" w:rsidP="00EA1E4E" w:rsidRDefault="00EA1E4E" w14:paraId="68E1A132" w14:textId="2E10A1B9">
      <w:pPr>
        <w:pStyle w:val="DESNZbulletedlist"/>
      </w:pPr>
      <w:r w:rsidRPr="00EA1E4E">
        <w:t>Developers and other green building professionals/market actors</w:t>
      </w:r>
      <w:r w:rsidR="00246638">
        <w:t xml:space="preserve"> and </w:t>
      </w:r>
      <w:r w:rsidRPr="00EA1E4E">
        <w:t>investors (F</w:t>
      </w:r>
      <w:r w:rsidR="00D30E47">
        <w:t>I</w:t>
      </w:r>
      <w:r w:rsidRPr="00EA1E4E">
        <w:t xml:space="preserve">s, </w:t>
      </w:r>
      <w:r w:rsidR="00202EDD">
        <w:t>Multilateral Development Banks (</w:t>
      </w:r>
      <w:r w:rsidRPr="00EA1E4E">
        <w:t>MDBs</w:t>
      </w:r>
      <w:r w:rsidR="00202EDD">
        <w:t>)</w:t>
      </w:r>
      <w:r w:rsidRPr="00EA1E4E">
        <w:t xml:space="preserve">, </w:t>
      </w:r>
      <w:r w:rsidR="003B3881">
        <w:t xml:space="preserve">Development Finance </w:t>
      </w:r>
      <w:r w:rsidR="00A13E48">
        <w:t>Institutions</w:t>
      </w:r>
      <w:r w:rsidR="003B3881">
        <w:t xml:space="preserve"> (</w:t>
      </w:r>
      <w:r w:rsidRPr="00EA1E4E">
        <w:t>DFIs</w:t>
      </w:r>
      <w:r w:rsidR="003B3881">
        <w:t>)</w:t>
      </w:r>
      <w:r w:rsidRPr="00EA1E4E">
        <w:t xml:space="preserve">) understand and value certified green buildings. The causal links for this outcome refer mainly to the awareness and understanding activities done through the MAGC programme. </w:t>
      </w:r>
      <w:r w:rsidR="00937CA8">
        <w:t>The evaluation team’s</w:t>
      </w:r>
      <w:r w:rsidRPr="00EA1E4E">
        <w:t xml:space="preserve"> understanding of this causal link is that to engage financial institutions to grow their green construction portfolio, the need is for the broader market to be engaged</w:t>
      </w:r>
      <w:r w:rsidR="00F32DE0">
        <w:t>.</w:t>
      </w:r>
      <w:r w:rsidRPr="00EA1E4E">
        <w:t xml:space="preserve"> </w:t>
      </w:r>
      <w:r w:rsidR="00F32DE0">
        <w:t>This should</w:t>
      </w:r>
      <w:r w:rsidRPr="00EA1E4E">
        <w:t xml:space="preserve"> build the pipelines that will make FIs confident to invest in green buildings. This is also related to the transformational change mechanism “Leverage/incentives for others to act is created”.</w:t>
      </w:r>
    </w:p>
    <w:p w:rsidRPr="00EA1E4E" w:rsidR="00EA1E4E" w:rsidP="00EA1E4E" w:rsidRDefault="00EA1E4E" w14:paraId="32F1DBAC" w14:textId="77777777">
      <w:pPr>
        <w:pStyle w:val="DESNZbulletedlist"/>
      </w:pPr>
      <w:r w:rsidRPr="00EA1E4E">
        <w:t>Green building policy with enforcement capacity is in place. This outcome is intended to be a result of the country-level technical assistance for the policy and public sector, as well as from the capacity of auditors and certifiers.</w:t>
      </w:r>
    </w:p>
    <w:p w:rsidRPr="00EA1E4E" w:rsidR="00EA1E4E" w:rsidP="00EA1E4E" w:rsidRDefault="00EA1E4E" w14:paraId="03852D87" w14:textId="248C9217">
      <w:pPr>
        <w:pStyle w:val="DESNZbulletedlist"/>
      </w:pPr>
      <w:r w:rsidRPr="00EA1E4E">
        <w:t>Occupied green building stock demonstrating financial and environmental performance.</w:t>
      </w:r>
      <w:r w:rsidRPr="00EA1E4E">
        <w:rPr>
          <w:rStyle w:val="FootnoteReference"/>
        </w:rPr>
        <w:footnoteReference w:id="8"/>
      </w:r>
      <w:r w:rsidRPr="00EA1E4E">
        <w:t xml:space="preserve"> The causal links for this outcome refer to the successful performance of the green buildings constructed and certified</w:t>
      </w:r>
      <w:r w:rsidR="00F32DE0">
        <w:t>.</w:t>
      </w:r>
      <w:r w:rsidRPr="00EA1E4E">
        <w:t xml:space="preserve"> </w:t>
      </w:r>
      <w:r w:rsidR="00F32DE0">
        <w:t>This is</w:t>
      </w:r>
      <w:r w:rsidRPr="00EA1E4E">
        <w:t xml:space="preserve"> both from an environmental perspective (related to assumptions on the EDGE tool) and financial perspective (related to finance available). The programme aims to achieve transformational change also through innovation, for which this outcome will be relevant in relation to the use of EDGE and CAFI tools. </w:t>
      </w:r>
    </w:p>
    <w:p w:rsidRPr="00EA1E4E" w:rsidR="00EA1E4E" w:rsidP="00EA1E4E" w:rsidRDefault="00EA1E4E" w14:paraId="273057EE" w14:textId="77777777">
      <w:pPr>
        <w:pStyle w:val="DESNZbulletedlist"/>
      </w:pPr>
      <w:r w:rsidRPr="00EA1E4E">
        <w:t xml:space="preserve">Competitive green building finance available. This outcome would result from the mobilised finance that supported FIs can raise following MAGC’s support, both through blended finance and through advisory services to increase confidence in green building finance. </w:t>
      </w:r>
    </w:p>
    <w:p w:rsidRPr="00EA1E4E" w:rsidR="00EA1E4E" w:rsidP="00EA1E4E" w:rsidRDefault="00EA1E4E" w14:paraId="04AA0EAB" w14:textId="77777777">
      <w:pPr>
        <w:pStyle w:val="DESNZbulletedlist"/>
      </w:pPr>
      <w:r w:rsidRPr="00EA1E4E">
        <w:t>As a cross-cutting outcome, the research component is intended to improve delivery, learn from wider experience, and build the evidence base to support scaling up green buildings and market acceleration.</w:t>
      </w:r>
    </w:p>
    <w:p w:rsidRPr="00EA1E4E" w:rsidR="00EA1E4E" w:rsidP="00EA1E4E" w:rsidRDefault="00EA1E4E" w14:paraId="0B017B5C" w14:textId="2341DE38">
      <w:r w:rsidRPr="00EA1E4E">
        <w:t>These longer-term outcomes are also captured in the overarching outcome statement in the Logframe</w:t>
      </w:r>
      <w:r w:rsidR="00F32DE0">
        <w:t>.</w:t>
      </w:r>
      <w:r w:rsidRPr="00EA1E4E">
        <w:t xml:space="preserve"> “An effective green building certification system, proven green building stock financial performance and key stakeholder understand and value certified green buildings drives the expansion of finance to the green buildings sector.”</w:t>
      </w:r>
      <w:r w:rsidR="00F32DE0">
        <w:t>. This is</w:t>
      </w:r>
      <w:r w:rsidRPr="00EA1E4E">
        <w:t xml:space="preserve"> measured through outcome level indicators (</w:t>
      </w:r>
      <w:r>
        <w:t>O</w:t>
      </w:r>
      <w:r w:rsidR="3C9D0E5D">
        <w:t xml:space="preserve">utcome </w:t>
      </w:r>
      <w:r>
        <w:t>I</w:t>
      </w:r>
      <w:r w:rsidR="064999F9">
        <w:t>ndicators</w:t>
      </w:r>
      <w:r w:rsidRPr="00EA1E4E">
        <w:t xml:space="preserve"> 1-8) including ICF’s KPI 16 (energy used expected to be avoided from certified buildings)</w:t>
      </w:r>
      <w:r w:rsidR="00F32DE0">
        <w:t>.</w:t>
      </w:r>
      <w:r w:rsidRPr="00EA1E4E">
        <w:t xml:space="preserve"> </w:t>
      </w:r>
      <w:r w:rsidR="00F32DE0">
        <w:t>It also includes</w:t>
      </w:r>
      <w:r w:rsidRPr="00EA1E4E">
        <w:t xml:space="preserve"> KPI 6 (GHG emissions expected to be avoided from certified buildings). The transformational change criterion of “Critical mass” is also a key measure of market transformation (both in terms of FIs entering the green building market and certified floor space achieved).</w:t>
      </w:r>
    </w:p>
    <w:p w:rsidRPr="00EA1E4E" w:rsidR="00EA1E4E" w:rsidP="00EA1E4E" w:rsidRDefault="00F32DE0" w14:paraId="52E6259A" w14:textId="7DA1850D">
      <w:r>
        <w:t>A k</w:t>
      </w:r>
      <w:r w:rsidRPr="00EA1E4E" w:rsidR="00EA1E4E">
        <w:t xml:space="preserve">ey </w:t>
      </w:r>
      <w:r w:rsidRPr="00E94EE2" w:rsidR="00EA1E4E">
        <w:rPr>
          <w:rStyle w:val="Boldtext"/>
        </w:rPr>
        <w:t>assumption</w:t>
      </w:r>
      <w:r w:rsidRPr="00EA1E4E" w:rsidR="00EA1E4E">
        <w:t xml:space="preserve"> at the intermediate-to-longer outcome level in the Theory of Change </w:t>
      </w:r>
      <w:r>
        <w:t>is</w:t>
      </w:r>
      <w:r w:rsidRPr="00EA1E4E">
        <w:t xml:space="preserve"> </w:t>
      </w:r>
      <w:r w:rsidRPr="00EA1E4E" w:rsidR="00EA1E4E">
        <w:t>that green building certification delivers the projected economic and environmental benefits (also included and further developed in the Logframe)</w:t>
      </w:r>
      <w:r w:rsidR="00E94EE2">
        <w:t>.</w:t>
      </w:r>
      <w:r w:rsidRPr="00EA1E4E" w:rsidR="00EA1E4E">
        <w:t xml:space="preserve"> </w:t>
      </w:r>
      <w:r w:rsidR="004A1FF8">
        <w:t xml:space="preserve">Another key </w:t>
      </w:r>
      <w:r w:rsidRPr="004A1FF8" w:rsidR="004A1FF8">
        <w:t>assumption</w:t>
      </w:r>
      <w:r w:rsidRPr="00E94EE2" w:rsidR="004A1FF8">
        <w:t xml:space="preserve"> is</w:t>
      </w:r>
      <w:r w:rsidRPr="00EA1E4E" w:rsidR="00EA1E4E">
        <w:t xml:space="preserve"> that developers and other green building professionals / market actors will drive customer awareness and demand. As also reflected in the Logframe assumptions underpinning outcome indicators, the demonstration effect is key to shifting financial institutions towards a greener portfolio</w:t>
      </w:r>
      <w:r w:rsidR="004A1FF8">
        <w:t>.</w:t>
      </w:r>
      <w:r w:rsidRPr="00EA1E4E" w:rsidR="00EA1E4E">
        <w:t xml:space="preserve"> </w:t>
      </w:r>
      <w:r w:rsidR="004A1FF8">
        <w:t>It also assumes</w:t>
      </w:r>
      <w:r w:rsidRPr="00EA1E4E" w:rsidR="00EA1E4E">
        <w:t xml:space="preserve"> that additional financial intermediaries will be interested in entering the green building market when they see others entering. Intermediate-to-longer outcomes are also underpinned by delivery-related assumptions</w:t>
      </w:r>
      <w:r w:rsidR="004A1FF8">
        <w:t>.</w:t>
      </w:r>
      <w:r w:rsidRPr="00EA1E4E" w:rsidR="00EA1E4E">
        <w:t xml:space="preserve"> </w:t>
      </w:r>
      <w:r w:rsidR="004A1FF8">
        <w:t xml:space="preserve">This </w:t>
      </w:r>
      <w:r w:rsidRPr="00EA1E4E" w:rsidR="00EA1E4E">
        <w:t>includ</w:t>
      </w:r>
      <w:r w:rsidR="004A1FF8">
        <w:t>es</w:t>
      </w:r>
      <w:r w:rsidRPr="00EA1E4E" w:rsidR="00EA1E4E">
        <w:t xml:space="preserve"> the effective use of expected financial instruments, the engagement of relevant capacity building stakeholders that can act on recommendations, and the achievement of EDGE platform improvements. Finally, the realisation of programme outcomes is also underpinned by the assumption that a robust evidence base as part of the research component contributes to strengthening the business case for scaling up green finance in this sector.</w:t>
      </w:r>
    </w:p>
    <w:p w:rsidRPr="00EA1E4E" w:rsidR="00EA1E4E" w:rsidP="00EA1E4E" w:rsidRDefault="00EA1E4E" w14:paraId="623D7317" w14:textId="03F91E50">
      <w:r w:rsidRPr="00EA1E4E">
        <w:t xml:space="preserve">The overarching </w:t>
      </w:r>
      <w:r w:rsidRPr="00EA1E4E">
        <w:rPr>
          <w:rStyle w:val="Boldtext"/>
        </w:rPr>
        <w:t>impact statement</w:t>
      </w:r>
      <w:r w:rsidRPr="00EA1E4E">
        <w:t xml:space="preserve"> of the Theory of Change is that </w:t>
      </w:r>
      <w:r w:rsidRPr="00EA1E4E">
        <w:rPr>
          <w:rStyle w:val="Italic"/>
        </w:rPr>
        <w:t>energy savings and reduced emissions are achieved through the construction of new green buildings in selected countries</w:t>
      </w:r>
      <w:r w:rsidRPr="00EA1E4E">
        <w:t>. This is measured in the Logframe via the proportion of countries where there is an evolution of the Green Buildings market (impact indicator 1)</w:t>
      </w:r>
      <w:r w:rsidR="004A1FF8">
        <w:t>.</w:t>
      </w:r>
      <w:r w:rsidRPr="00EA1E4E">
        <w:t xml:space="preserve"> </w:t>
      </w:r>
      <w:r w:rsidR="004A1FF8">
        <w:t>It is also measured</w:t>
      </w:r>
      <w:r w:rsidRPr="00EA1E4E">
        <w:t xml:space="preserve"> by the average greenhouse gas emissions of buildings attaining EDGE preliminary certification each year worldwide [tCO2e per m2 per year] (impact indicator 2).</w:t>
      </w:r>
    </w:p>
    <w:p w:rsidR="003C67F7" w:rsidRDefault="003C67F7" w14:paraId="6DCB77DF" w14:textId="62735E26">
      <w:pPr>
        <w:spacing w:after="160" w:line="259" w:lineRule="auto"/>
        <w:rPr>
          <w:rFonts w:eastAsiaTheme="majorEastAsia" w:cstheme="majorBidi"/>
          <w:color w:val="041E42"/>
          <w:sz w:val="52"/>
          <w:szCs w:val="32"/>
        </w:rPr>
      </w:pPr>
    </w:p>
    <w:p w:rsidRPr="00EA1E4E" w:rsidR="00EA1E4E" w:rsidP="00EA1E4E" w:rsidRDefault="00EA1E4E" w14:paraId="1B7F8158" w14:textId="738FC6D3">
      <w:pPr>
        <w:pStyle w:val="Heading1"/>
      </w:pPr>
      <w:bookmarkStart w:name="_Toc207790185" w:id="3"/>
      <w:r w:rsidRPr="00EA1E4E">
        <w:t>Annex 2: Evaluation framework</w:t>
      </w:r>
      <w:bookmarkEnd w:id="3"/>
    </w:p>
    <w:p w:rsidRPr="00EA1E4E" w:rsidR="004C7322" w:rsidP="004C7322" w:rsidRDefault="004C7322" w14:paraId="67DBEEE0" w14:textId="77777777">
      <w:pPr>
        <w:sectPr w:rsidRPr="00EA1E4E" w:rsidR="004C7322" w:rsidSect="004C7322">
          <w:type w:val="continuous"/>
          <w:pgSz w:w="11907" w:h="16840" w:orient="portrait" w:code="9"/>
          <w:pgMar w:top="1134" w:right="851" w:bottom="1134" w:left="851" w:header="567" w:footer="284" w:gutter="0"/>
          <w:cols w:space="720"/>
          <w:docGrid w:linePitch="326"/>
        </w:sectPr>
      </w:pPr>
      <w:r w:rsidRPr="00EA1E4E">
        <w:t xml:space="preserve">The evaluation matrix below summarises the lines of inquiry </w:t>
      </w:r>
      <w:r>
        <w:t>the evaluation team</w:t>
      </w:r>
      <w:r w:rsidRPr="00EA1E4E">
        <w:t xml:space="preserve"> </w:t>
      </w:r>
      <w:r>
        <w:t>are investigating</w:t>
      </w:r>
      <w:r w:rsidRPr="00EA1E4E">
        <w:t xml:space="preserve"> for each of the nine evaluation questions (EQs) which were set out in the ITT, with analytical methods mapped against these alongside sub-evaluation questions. </w:t>
      </w:r>
      <w:r>
        <w:t xml:space="preserve"> The judgment criteria were developed during the scoping phase of the evaluation in 2023 and agreed with the DESNZ team. </w:t>
      </w:r>
    </w:p>
    <w:p w:rsidRPr="001643FC" w:rsidR="00EA1E4E" w:rsidP="00EA1E4E" w:rsidRDefault="001643FC" w14:paraId="44E99791" w14:textId="0DE750BB">
      <w:pPr>
        <w:rPr>
          <w:rStyle w:val="Boldtext"/>
        </w:rPr>
      </w:pPr>
      <w:r>
        <w:rPr>
          <w:rStyle w:val="Boldtext"/>
        </w:rPr>
        <w:t xml:space="preserve">Table </w:t>
      </w:r>
      <w:r w:rsidR="00E63548">
        <w:rPr>
          <w:rStyle w:val="Boldtext"/>
        </w:rPr>
        <w:t>1</w:t>
      </w:r>
      <w:r w:rsidR="003868AD">
        <w:rPr>
          <w:rStyle w:val="Boldtext"/>
        </w:rPr>
        <w:t>.</w:t>
      </w:r>
      <w:r>
        <w:rPr>
          <w:rStyle w:val="Boldtext"/>
        </w:rPr>
        <w:t xml:space="preserve"> </w:t>
      </w:r>
      <w:r w:rsidRPr="001643FC">
        <w:rPr>
          <w:rStyle w:val="Boldtext"/>
        </w:rPr>
        <w:t>Evaluation matrix</w:t>
      </w:r>
    </w:p>
    <w:tbl>
      <w:tblPr>
        <w:tblStyle w:val="Table-Darkblue"/>
        <w:tblW w:w="0" w:type="auto"/>
        <w:tblLayout w:type="fixed"/>
        <w:tblLook w:val="04A0" w:firstRow="1" w:lastRow="0" w:firstColumn="1" w:lastColumn="0" w:noHBand="0" w:noVBand="1"/>
      </w:tblPr>
      <w:tblGrid>
        <w:gridCol w:w="1838"/>
        <w:gridCol w:w="2150"/>
        <w:gridCol w:w="3520"/>
        <w:gridCol w:w="2376"/>
        <w:gridCol w:w="2469"/>
        <w:gridCol w:w="2150"/>
      </w:tblGrid>
      <w:tr w:rsidRPr="008F131F" w:rsidR="002C3064" w:rsidTr="00C93E47" w14:paraId="1236D5EB" w14:textId="3EEF4417">
        <w:trPr>
          <w:cnfStyle w:val="100000000000" w:firstRow="1" w:lastRow="0" w:firstColumn="0" w:lastColumn="0" w:oddVBand="0" w:evenVBand="0" w:oddHBand="0" w:evenHBand="0" w:firstRowFirstColumn="0" w:firstRowLastColumn="0" w:lastRowFirstColumn="0" w:lastRowLastColumn="0"/>
          <w:trHeight w:val="332"/>
          <w:tblHeader/>
        </w:trPr>
        <w:tc>
          <w:tcPr>
            <w:tcW w:w="1838" w:type="dxa"/>
          </w:tcPr>
          <w:p w:rsidRPr="008E7737" w:rsidR="00246638" w:rsidP="008E7737" w:rsidRDefault="00246638" w14:paraId="16CF800D" w14:textId="5F74E36B">
            <w:pPr>
              <w:pStyle w:val="Tabletext-Small"/>
              <w:spacing w:after="0"/>
              <w:rPr>
                <w:sz w:val="22"/>
              </w:rPr>
            </w:pPr>
            <w:r w:rsidRPr="008E7737">
              <w:rPr>
                <w:sz w:val="22"/>
              </w:rPr>
              <w:t>DAC criteria</w:t>
            </w:r>
          </w:p>
        </w:tc>
        <w:tc>
          <w:tcPr>
            <w:tcW w:w="2150" w:type="dxa"/>
          </w:tcPr>
          <w:p w:rsidRPr="008E7737" w:rsidR="00246638" w:rsidP="008E7737" w:rsidRDefault="00246638" w14:paraId="31703F13" w14:textId="4C8FF64A">
            <w:pPr>
              <w:pStyle w:val="Tabletext-Small"/>
              <w:spacing w:after="0"/>
              <w:rPr>
                <w:sz w:val="22"/>
              </w:rPr>
            </w:pPr>
            <w:r w:rsidRPr="008E7737">
              <w:rPr>
                <w:sz w:val="22"/>
              </w:rPr>
              <w:t>Evaluation Questions</w:t>
            </w:r>
          </w:p>
        </w:tc>
        <w:tc>
          <w:tcPr>
            <w:tcW w:w="3520" w:type="dxa"/>
          </w:tcPr>
          <w:p w:rsidRPr="008E7737" w:rsidR="00246638" w:rsidP="008E7737" w:rsidRDefault="00246638" w14:paraId="3A309944" w14:textId="22FD86CD">
            <w:pPr>
              <w:pStyle w:val="Tabletext-Small"/>
              <w:spacing w:after="0"/>
              <w:rPr>
                <w:sz w:val="22"/>
              </w:rPr>
            </w:pPr>
            <w:r w:rsidRPr="008E7737">
              <w:rPr>
                <w:sz w:val="22"/>
              </w:rPr>
              <w:t>Judgement criteria</w:t>
            </w:r>
          </w:p>
        </w:tc>
        <w:tc>
          <w:tcPr>
            <w:tcW w:w="2376" w:type="dxa"/>
          </w:tcPr>
          <w:p w:rsidRPr="008E7737" w:rsidR="00246638" w:rsidP="008E7737" w:rsidRDefault="00246638" w14:paraId="47068A8E" w14:textId="732932F9">
            <w:pPr>
              <w:pStyle w:val="Tabletext-Small"/>
              <w:spacing w:after="0"/>
              <w:rPr>
                <w:sz w:val="22"/>
              </w:rPr>
            </w:pPr>
            <w:r w:rsidRPr="008E7737">
              <w:rPr>
                <w:sz w:val="22"/>
              </w:rPr>
              <w:t>Data collection methods</w:t>
            </w:r>
          </w:p>
        </w:tc>
        <w:tc>
          <w:tcPr>
            <w:tcW w:w="2469" w:type="dxa"/>
          </w:tcPr>
          <w:p w:rsidRPr="008E7737" w:rsidR="00246638" w:rsidP="008E7737" w:rsidRDefault="00246638" w14:paraId="7574859D" w14:textId="096748D4">
            <w:pPr>
              <w:pStyle w:val="Tabletext-Small"/>
              <w:spacing w:after="0"/>
              <w:rPr>
                <w:sz w:val="22"/>
              </w:rPr>
            </w:pPr>
            <w:r w:rsidRPr="008E7737">
              <w:rPr>
                <w:sz w:val="22"/>
              </w:rPr>
              <w:t>Data sources</w:t>
            </w:r>
          </w:p>
        </w:tc>
        <w:tc>
          <w:tcPr>
            <w:tcW w:w="2150" w:type="dxa"/>
          </w:tcPr>
          <w:p w:rsidRPr="008E7737" w:rsidR="00246638" w:rsidP="008E7737" w:rsidRDefault="00246638" w14:paraId="7C13F840" w14:textId="5E06220E">
            <w:pPr>
              <w:pStyle w:val="Tabletext-Small"/>
              <w:spacing w:after="0"/>
              <w:rPr>
                <w:b w:val="0"/>
                <w:sz w:val="22"/>
              </w:rPr>
            </w:pPr>
            <w:r w:rsidRPr="008E7737">
              <w:rPr>
                <w:sz w:val="22"/>
              </w:rPr>
              <w:t>Analytical methods</w:t>
            </w:r>
          </w:p>
        </w:tc>
      </w:tr>
      <w:tr w:rsidRPr="008F131F" w:rsidR="009F080F" w:rsidTr="009A3A6F" w14:paraId="5C5200C6" w14:textId="50D0D56C">
        <w:trPr>
          <w:trHeight w:val="149"/>
        </w:trPr>
        <w:tc>
          <w:tcPr>
            <w:tcW w:w="14503" w:type="dxa"/>
            <w:gridSpan w:val="6"/>
          </w:tcPr>
          <w:p w:rsidRPr="008E7737" w:rsidR="009F080F" w:rsidP="008E7737" w:rsidRDefault="009F080F" w14:paraId="76986700" w14:textId="74B4500A">
            <w:pPr>
              <w:pStyle w:val="Tabletext-Small"/>
              <w:spacing w:after="0"/>
              <w:rPr>
                <w:rStyle w:val="Boldtext"/>
                <w:rFonts w:eastAsiaTheme="minorHAnsi" w:cstheme="minorBidi"/>
                <w:sz w:val="22"/>
                <w:lang w:eastAsia="en-US"/>
              </w:rPr>
            </w:pPr>
            <w:r w:rsidRPr="008E7737">
              <w:rPr>
                <w:rStyle w:val="Boldtext"/>
                <w:sz w:val="22"/>
              </w:rPr>
              <w:t>Early outcome evaluation</w:t>
            </w:r>
          </w:p>
        </w:tc>
      </w:tr>
      <w:tr w:rsidRPr="008F131F" w:rsidR="002C3064" w:rsidTr="00C93E47" w14:paraId="6D92638A" w14:textId="4FB451E0">
        <w:trPr>
          <w:trHeight w:val="33"/>
        </w:trPr>
        <w:tc>
          <w:tcPr>
            <w:tcW w:w="1838" w:type="dxa"/>
            <w:vMerge w:val="restart"/>
          </w:tcPr>
          <w:p w:rsidRPr="008E7737" w:rsidR="00246638" w:rsidP="00131EBC" w:rsidRDefault="00246638" w14:paraId="50F48FBC" w14:textId="31CE8CD8">
            <w:pPr>
              <w:pStyle w:val="Tabletext-Small"/>
              <w:rPr>
                <w:sz w:val="22"/>
              </w:rPr>
            </w:pPr>
            <w:r w:rsidRPr="008E7737">
              <w:rPr>
                <w:sz w:val="22"/>
              </w:rPr>
              <w:t>Effectiveness</w:t>
            </w:r>
          </w:p>
        </w:tc>
        <w:tc>
          <w:tcPr>
            <w:tcW w:w="2150" w:type="dxa"/>
            <w:vMerge w:val="restart"/>
          </w:tcPr>
          <w:p w:rsidRPr="008E7737" w:rsidR="00246638" w:rsidP="00131EBC" w:rsidRDefault="00246638" w14:paraId="513AF70A" w14:textId="1B19787C">
            <w:pPr>
              <w:pStyle w:val="Tabletext-Small"/>
              <w:rPr>
                <w:sz w:val="22"/>
              </w:rPr>
            </w:pPr>
            <w:r w:rsidRPr="008E7737">
              <w:rPr>
                <w:sz w:val="22"/>
              </w:rPr>
              <w:t>To what extent has MAGC achieved early outcomes as anticipated for the following components?  </w:t>
            </w:r>
          </w:p>
          <w:p w:rsidRPr="008E7737" w:rsidR="00246638" w:rsidP="00131EBC" w:rsidRDefault="00246638" w14:paraId="5E240902" w14:textId="77777777">
            <w:pPr>
              <w:pStyle w:val="Tabletext-Small"/>
              <w:rPr>
                <w:sz w:val="22"/>
              </w:rPr>
            </w:pPr>
          </w:p>
          <w:p w:rsidRPr="008E7737" w:rsidR="00246638" w:rsidP="00131EBC" w:rsidRDefault="00246638" w14:paraId="277A6B6B" w14:textId="4C45F54E">
            <w:pPr>
              <w:pStyle w:val="Tabletext-Small"/>
              <w:rPr>
                <w:sz w:val="22"/>
              </w:rPr>
            </w:pPr>
            <w:r w:rsidRPr="008E7737">
              <w:rPr>
                <w:sz w:val="22"/>
              </w:rPr>
              <w:t>a; Investment and Advisory services</w:t>
            </w:r>
          </w:p>
          <w:p w:rsidRPr="008E7737" w:rsidR="00246638" w:rsidP="00131EBC" w:rsidRDefault="00246638" w14:paraId="1E77AB9C" w14:textId="77777777">
            <w:pPr>
              <w:pStyle w:val="Tabletext-Small"/>
              <w:rPr>
                <w:sz w:val="22"/>
              </w:rPr>
            </w:pPr>
          </w:p>
          <w:p w:rsidRPr="008E7737" w:rsidR="00246638" w:rsidP="00131EBC" w:rsidRDefault="00246638" w14:paraId="6FFF3AF0" w14:textId="47D05A9C">
            <w:pPr>
              <w:pStyle w:val="Tabletext-Small"/>
              <w:rPr>
                <w:sz w:val="22"/>
              </w:rPr>
            </w:pPr>
            <w:r w:rsidRPr="008E7737">
              <w:rPr>
                <w:sz w:val="22"/>
              </w:rPr>
              <w:t>b; Capacity building</w:t>
            </w:r>
          </w:p>
          <w:p w:rsidRPr="008E7737" w:rsidR="00246638" w:rsidP="00131EBC" w:rsidRDefault="00246638" w14:paraId="2D84FD07" w14:textId="77777777">
            <w:pPr>
              <w:pStyle w:val="Tabletext-Small"/>
              <w:rPr>
                <w:sz w:val="22"/>
              </w:rPr>
            </w:pPr>
          </w:p>
          <w:p w:rsidRPr="008E7737" w:rsidR="00246638" w:rsidP="00131EBC" w:rsidRDefault="00246638" w14:paraId="61EBC87D" w14:textId="594952B1">
            <w:pPr>
              <w:pStyle w:val="Tabletext-Small"/>
              <w:rPr>
                <w:sz w:val="22"/>
              </w:rPr>
            </w:pPr>
            <w:r w:rsidRPr="008E7737">
              <w:rPr>
                <w:sz w:val="22"/>
              </w:rPr>
              <w:t>c; EDGE Green Building Certification</w:t>
            </w:r>
          </w:p>
        </w:tc>
        <w:tc>
          <w:tcPr>
            <w:tcW w:w="3520" w:type="dxa"/>
          </w:tcPr>
          <w:p w:rsidRPr="008E7737" w:rsidR="00246638" w:rsidP="00131EBC" w:rsidRDefault="00246638" w14:paraId="2D77402C" w14:textId="77777777">
            <w:pPr>
              <w:pStyle w:val="Tabletext-Small"/>
              <w:rPr>
                <w:sz w:val="22"/>
              </w:rPr>
            </w:pPr>
            <w:r w:rsidRPr="008E7737">
              <w:rPr>
                <w:sz w:val="22"/>
              </w:rPr>
              <w:t>Delivery of the component</w:t>
            </w:r>
          </w:p>
          <w:p w:rsidRPr="009C1DAE" w:rsidR="00246638" w:rsidP="00E94EE2" w:rsidRDefault="00246638" w14:paraId="52E5ACE1" w14:textId="54F61E3A">
            <w:pPr>
              <w:pStyle w:val="DESNZbulletedlist"/>
              <w:rPr>
                <w:sz w:val="22"/>
              </w:rPr>
            </w:pPr>
            <w:r w:rsidRPr="009C1DAE">
              <w:rPr>
                <w:sz w:val="22"/>
              </w:rPr>
              <w:t xml:space="preserve">Implementation effectiveness: Extent of challenges faced, how &amp; whether could have been mitigated, whether mitigated or addressed effectively </w:t>
            </w:r>
          </w:p>
          <w:p w:rsidRPr="00E94EE2" w:rsidR="00246638" w:rsidP="00E94EE2" w:rsidRDefault="00246638" w14:paraId="5DBBA5C2" w14:textId="3266E5DE">
            <w:pPr>
              <w:pStyle w:val="DESNZbulletedlist"/>
            </w:pPr>
            <w:r w:rsidRPr="009C1DAE">
              <w:rPr>
                <w:sz w:val="22"/>
              </w:rPr>
              <w:t>Alignment of results: with targets, timelines, scale of achievement, expectations of stakeholders concerned</w:t>
            </w:r>
          </w:p>
        </w:tc>
        <w:tc>
          <w:tcPr>
            <w:tcW w:w="2376" w:type="dxa"/>
          </w:tcPr>
          <w:p w:rsidRPr="008E7737" w:rsidR="00246638" w:rsidP="008E7737" w:rsidRDefault="00246638" w14:paraId="6ECEDA9A" w14:textId="5669E87C">
            <w:pPr>
              <w:spacing w:after="120"/>
              <w:rPr>
                <w:rFonts w:cs="Arial"/>
                <w:sz w:val="22"/>
              </w:rPr>
            </w:pPr>
            <w:r w:rsidRPr="008E7737">
              <w:rPr>
                <w:rFonts w:cs="Arial" w:eastAsiaTheme="minorHAnsi"/>
                <w:sz w:val="22"/>
                <w:lang w:eastAsia="en-US"/>
              </w:rPr>
              <w:t>Case studies</w:t>
            </w:r>
          </w:p>
          <w:p w:rsidRPr="008E7737" w:rsidR="00593D4A" w:rsidP="008E7737" w:rsidRDefault="00593D4A" w14:paraId="00D7822C" w14:textId="12892260">
            <w:pPr>
              <w:spacing w:after="120"/>
              <w:rPr>
                <w:rFonts w:cs="Arial"/>
                <w:sz w:val="22"/>
              </w:rPr>
            </w:pPr>
            <w:r w:rsidRPr="008E7737">
              <w:rPr>
                <w:rFonts w:cs="Arial" w:eastAsiaTheme="minorHAnsi"/>
                <w:sz w:val="22"/>
                <w:lang w:eastAsia="en-US"/>
              </w:rPr>
              <w:t>Stakeholder interviews</w:t>
            </w:r>
          </w:p>
          <w:p w:rsidRPr="008E7737" w:rsidR="00A34CBC" w:rsidP="00A34CBC" w:rsidRDefault="00A34CBC" w14:paraId="209F3847" w14:textId="2E3950EC">
            <w:pPr>
              <w:spacing w:after="120"/>
              <w:rPr>
                <w:rFonts w:cs="Arial"/>
                <w:sz w:val="22"/>
              </w:rPr>
            </w:pPr>
            <w:r w:rsidRPr="008E7737">
              <w:rPr>
                <w:rFonts w:cs="Arial"/>
                <w:sz w:val="22"/>
              </w:rPr>
              <w:t>Focus groups</w:t>
            </w:r>
          </w:p>
          <w:p w:rsidRPr="008E7737" w:rsidR="00246638" w:rsidP="00C93E47" w:rsidRDefault="00593D4A" w14:paraId="6692A3F5" w14:textId="12CEABED">
            <w:pPr>
              <w:spacing w:after="120"/>
              <w:rPr>
                <w:rFonts w:cs="Arial"/>
                <w:sz w:val="22"/>
              </w:rPr>
            </w:pPr>
            <w:r w:rsidRPr="008E7737">
              <w:rPr>
                <w:rFonts w:cs="Arial" w:eastAsiaTheme="minorHAnsi"/>
                <w:sz w:val="22"/>
                <w:lang w:eastAsia="en-US"/>
              </w:rPr>
              <w:t>Review of programme documentation</w:t>
            </w:r>
          </w:p>
        </w:tc>
        <w:tc>
          <w:tcPr>
            <w:tcW w:w="0" w:type="dxa"/>
          </w:tcPr>
          <w:p w:rsidRPr="008E7737" w:rsidR="00593D4A" w:rsidP="008E7737" w:rsidRDefault="00593D4A" w14:paraId="0B7EFB43" w14:textId="4DF2E1E1">
            <w:pPr>
              <w:spacing w:after="120"/>
              <w:rPr>
                <w:rFonts w:cs="Arial"/>
                <w:sz w:val="22"/>
              </w:rPr>
            </w:pPr>
            <w:r w:rsidRPr="008E7737">
              <w:rPr>
                <w:rFonts w:cs="Arial" w:eastAsiaTheme="minorHAnsi"/>
                <w:sz w:val="22"/>
                <w:lang w:eastAsia="en-US"/>
              </w:rPr>
              <w:t>In-depth interviews with IFC (programme level and country level) and DESNZ (programme level)</w:t>
            </w:r>
          </w:p>
          <w:p w:rsidRPr="008E7737" w:rsidR="00593D4A" w:rsidP="008E7737" w:rsidRDefault="00593D4A" w14:paraId="788CBB99" w14:textId="19DE7BA1">
            <w:pPr>
              <w:spacing w:after="120"/>
              <w:rPr>
                <w:rFonts w:cs="Arial"/>
                <w:sz w:val="22"/>
              </w:rPr>
            </w:pPr>
            <w:r w:rsidRPr="008E7737">
              <w:rPr>
                <w:rFonts w:cs="Arial" w:eastAsiaTheme="minorHAnsi"/>
                <w:sz w:val="22"/>
                <w:lang w:eastAsia="en-US"/>
              </w:rPr>
              <w:t>In-depth interviews with country-level stakeholders</w:t>
            </w:r>
          </w:p>
          <w:p w:rsidRPr="008E7737" w:rsidR="00A34CBC" w:rsidP="00FD298F" w:rsidRDefault="00A34CBC" w14:paraId="3D6CD203" w14:textId="52135309">
            <w:pPr>
              <w:spacing w:after="120"/>
              <w:rPr>
                <w:rFonts w:cs="Arial"/>
                <w:sz w:val="22"/>
              </w:rPr>
            </w:pPr>
            <w:r w:rsidRPr="008E7737">
              <w:rPr>
                <w:rFonts w:cs="Arial"/>
                <w:sz w:val="22"/>
              </w:rPr>
              <w:t>Focus groups with EDGE residents</w:t>
            </w:r>
          </w:p>
          <w:p w:rsidRPr="008E7737" w:rsidR="00593D4A" w:rsidP="00C93E47" w:rsidRDefault="00593D4A" w14:paraId="27DD3DA3" w14:textId="50913061">
            <w:pPr>
              <w:spacing w:after="120"/>
              <w:rPr>
                <w:rFonts w:cs="Arial"/>
                <w:sz w:val="22"/>
              </w:rPr>
            </w:pPr>
            <w:r w:rsidRPr="008E7737">
              <w:rPr>
                <w:rFonts w:cs="Arial" w:eastAsiaTheme="minorHAnsi"/>
                <w:sz w:val="22"/>
                <w:lang w:eastAsia="en-US"/>
              </w:rPr>
              <w:t>Programme annual reviews, business case, and other documentation</w:t>
            </w:r>
          </w:p>
        </w:tc>
        <w:tc>
          <w:tcPr>
            <w:tcW w:w="0" w:type="dxa"/>
          </w:tcPr>
          <w:p w:rsidRPr="008E7737" w:rsidR="00A34CBC" w:rsidP="00FD298F" w:rsidRDefault="00EA4B84" w14:paraId="57DC2FF9" w14:textId="795C3DE2">
            <w:pPr>
              <w:spacing w:after="120"/>
              <w:rPr>
                <w:rFonts w:cs="Arial"/>
                <w:sz w:val="22"/>
              </w:rPr>
            </w:pPr>
            <w:r w:rsidRPr="008E7737">
              <w:rPr>
                <w:rFonts w:cs="Arial"/>
                <w:sz w:val="22"/>
              </w:rPr>
              <w:t>Thematic</w:t>
            </w:r>
            <w:r w:rsidRPr="008E7737" w:rsidR="00A34CBC">
              <w:rPr>
                <w:rFonts w:cs="Arial"/>
                <w:sz w:val="22"/>
              </w:rPr>
              <w:t xml:space="preserve"> analysis of stakeholder interviews and focus groups</w:t>
            </w:r>
          </w:p>
          <w:p w:rsidRPr="008E7737" w:rsidR="00593D4A" w:rsidP="00C93E47" w:rsidRDefault="00593D4A" w14:paraId="53B5E759" w14:textId="6DFD57F1">
            <w:pPr>
              <w:spacing w:after="120"/>
              <w:rPr>
                <w:rFonts w:cs="Arial"/>
                <w:sz w:val="22"/>
              </w:rPr>
            </w:pPr>
            <w:r w:rsidRPr="008E7737">
              <w:rPr>
                <w:rFonts w:cs="Arial" w:eastAsiaTheme="minorHAnsi"/>
                <w:sz w:val="22"/>
                <w:lang w:eastAsia="en-US"/>
              </w:rPr>
              <w:t>Content analysis of programme documents</w:t>
            </w:r>
          </w:p>
        </w:tc>
      </w:tr>
      <w:tr w:rsidRPr="008F131F" w:rsidR="002C3064" w:rsidTr="00C93E47" w14:paraId="1F67173E" w14:textId="04792D88">
        <w:trPr>
          <w:trHeight w:val="174"/>
        </w:trPr>
        <w:tc>
          <w:tcPr>
            <w:tcW w:w="1838" w:type="dxa"/>
            <w:vMerge/>
          </w:tcPr>
          <w:p w:rsidRPr="008E7737" w:rsidR="00246638" w:rsidP="00131EBC" w:rsidRDefault="00246638" w14:paraId="2401905B" w14:textId="77777777">
            <w:pPr>
              <w:pStyle w:val="Tabletext-Small"/>
              <w:rPr>
                <w:sz w:val="22"/>
              </w:rPr>
            </w:pPr>
          </w:p>
        </w:tc>
        <w:tc>
          <w:tcPr>
            <w:tcW w:w="2150" w:type="dxa"/>
            <w:vMerge/>
          </w:tcPr>
          <w:p w:rsidRPr="008E7737" w:rsidR="00246638" w:rsidP="00131EBC" w:rsidRDefault="00246638" w14:paraId="6B0BCA33" w14:textId="77777777">
            <w:pPr>
              <w:pStyle w:val="Tabletext-Small"/>
              <w:rPr>
                <w:sz w:val="22"/>
              </w:rPr>
            </w:pPr>
          </w:p>
        </w:tc>
        <w:tc>
          <w:tcPr>
            <w:tcW w:w="3520" w:type="dxa"/>
          </w:tcPr>
          <w:p w:rsidRPr="008E7737" w:rsidR="00246638" w:rsidP="00131EBC" w:rsidRDefault="00246638" w14:paraId="3E58E9E2" w14:textId="77777777">
            <w:pPr>
              <w:pStyle w:val="Tabletext-Small"/>
              <w:rPr>
                <w:sz w:val="22"/>
              </w:rPr>
            </w:pPr>
            <w:r w:rsidRPr="008E7737">
              <w:rPr>
                <w:sz w:val="22"/>
              </w:rPr>
              <w:t>Early outcomes</w:t>
            </w:r>
          </w:p>
          <w:p w:rsidRPr="009C1DAE" w:rsidR="00246638" w:rsidP="00E94EE2" w:rsidRDefault="00246638" w14:paraId="7411578B" w14:textId="77777777">
            <w:pPr>
              <w:pStyle w:val="DESNZbulletedlist"/>
              <w:rPr>
                <w:sz w:val="22"/>
              </w:rPr>
            </w:pPr>
            <w:r w:rsidRPr="009C1DAE">
              <w:rPr>
                <w:sz w:val="22"/>
              </w:rPr>
              <w:t>Results to date in each area (number of investments, etc.)</w:t>
            </w:r>
          </w:p>
          <w:p w:rsidRPr="009C1DAE" w:rsidR="00246638" w:rsidP="00E94EE2" w:rsidRDefault="00246638" w14:paraId="58586488" w14:textId="753B1C85">
            <w:pPr>
              <w:pStyle w:val="DESNZbulletedlist"/>
              <w:rPr>
                <w:sz w:val="22"/>
              </w:rPr>
            </w:pPr>
            <w:r w:rsidRPr="009C1DAE">
              <w:rPr>
                <w:sz w:val="22"/>
              </w:rPr>
              <w:t>Results alignment with the ToC</w:t>
            </w:r>
          </w:p>
          <w:p w:rsidRPr="00E94EE2" w:rsidR="00246638" w:rsidP="00E94EE2" w:rsidRDefault="00246638" w14:paraId="24528574" w14:textId="07380E84">
            <w:pPr>
              <w:pStyle w:val="DESNZbulletedlist"/>
            </w:pPr>
            <w:r w:rsidRPr="009C1DAE">
              <w:rPr>
                <w:sz w:val="22"/>
              </w:rPr>
              <w:t>Extent to which the assumptions underpinning the ToC have been delivered as expected/been validated</w:t>
            </w:r>
          </w:p>
        </w:tc>
        <w:tc>
          <w:tcPr>
            <w:tcW w:w="2376" w:type="dxa"/>
          </w:tcPr>
          <w:p w:rsidRPr="008E7737" w:rsidR="00246638" w:rsidP="00FD298F" w:rsidRDefault="00246638" w14:paraId="135BEFD7" w14:textId="4C464A2E">
            <w:pPr>
              <w:spacing w:after="120"/>
              <w:rPr>
                <w:rFonts w:cs="Arial"/>
                <w:sz w:val="22"/>
              </w:rPr>
            </w:pPr>
            <w:r w:rsidRPr="008E7737">
              <w:rPr>
                <w:rFonts w:cs="Arial"/>
                <w:sz w:val="22"/>
              </w:rPr>
              <w:t>Case studies</w:t>
            </w:r>
          </w:p>
          <w:p w:rsidRPr="008E7737" w:rsidR="00FD298F" w:rsidP="00FD298F" w:rsidRDefault="00FD298F" w14:paraId="38C0270A" w14:textId="5CEE8AB5">
            <w:pPr>
              <w:spacing w:after="120"/>
              <w:rPr>
                <w:rFonts w:cs="Arial"/>
                <w:sz w:val="22"/>
              </w:rPr>
            </w:pPr>
            <w:r w:rsidRPr="008E7737">
              <w:rPr>
                <w:rFonts w:cs="Arial"/>
                <w:sz w:val="22"/>
              </w:rPr>
              <w:t>Stakeholder interviews</w:t>
            </w:r>
          </w:p>
          <w:p w:rsidRPr="008E7737" w:rsidR="00A34CBC" w:rsidP="008E7737" w:rsidRDefault="00A34CBC" w14:paraId="43D4B8AD" w14:textId="3FD42B20">
            <w:pPr>
              <w:spacing w:after="120"/>
              <w:rPr>
                <w:rFonts w:cs="Arial"/>
                <w:sz w:val="22"/>
              </w:rPr>
            </w:pPr>
            <w:r w:rsidRPr="008E7737">
              <w:rPr>
                <w:rFonts w:cs="Arial" w:eastAsiaTheme="minorHAnsi"/>
                <w:sz w:val="22"/>
                <w:lang w:eastAsia="en-US"/>
              </w:rPr>
              <w:t>Focus groups</w:t>
            </w:r>
          </w:p>
          <w:p w:rsidRPr="008E7737" w:rsidR="00246638" w:rsidP="008E7737" w:rsidRDefault="00FD298F" w14:paraId="628501F2" w14:textId="4AC57E1F">
            <w:pPr>
              <w:spacing w:after="120"/>
              <w:rPr>
                <w:rFonts w:cs="Arial"/>
                <w:sz w:val="22"/>
              </w:rPr>
            </w:pPr>
            <w:r w:rsidRPr="008E7737">
              <w:rPr>
                <w:rFonts w:cs="Arial" w:eastAsiaTheme="minorHAnsi"/>
                <w:sz w:val="22"/>
                <w:lang w:eastAsia="en-US"/>
              </w:rPr>
              <w:t>Review of programme documentation</w:t>
            </w:r>
          </w:p>
          <w:p w:rsidRPr="008E7737" w:rsidR="00FD298F" w:rsidP="008E7737" w:rsidRDefault="00FD298F" w14:paraId="490CCF4A" w14:textId="7B911208">
            <w:pPr>
              <w:spacing w:after="120"/>
              <w:rPr>
                <w:rFonts w:cs="Arial"/>
                <w:sz w:val="22"/>
              </w:rPr>
            </w:pPr>
            <w:r w:rsidRPr="008E7737">
              <w:rPr>
                <w:rFonts w:cs="Arial" w:eastAsiaTheme="minorHAnsi"/>
                <w:sz w:val="22"/>
                <w:lang w:eastAsia="en-US"/>
              </w:rPr>
              <w:t>Desk research</w:t>
            </w:r>
          </w:p>
        </w:tc>
        <w:tc>
          <w:tcPr>
            <w:tcW w:w="0" w:type="dxa"/>
          </w:tcPr>
          <w:p w:rsidRPr="008E7737" w:rsidR="00FD298F" w:rsidP="008E7737" w:rsidRDefault="00FD298F" w14:paraId="5F478209" w14:textId="05A007B0">
            <w:pPr>
              <w:spacing w:after="120"/>
              <w:rPr>
                <w:rFonts w:cs="Arial"/>
                <w:sz w:val="22"/>
              </w:rPr>
            </w:pPr>
            <w:r w:rsidRPr="008E7737">
              <w:rPr>
                <w:rFonts w:cs="Arial" w:eastAsiaTheme="minorHAnsi"/>
                <w:sz w:val="22"/>
                <w:lang w:eastAsia="en-US"/>
              </w:rPr>
              <w:t>In-depth interviews with IFC (programme level and country level) and DESNZ (programme level)</w:t>
            </w:r>
          </w:p>
          <w:p w:rsidRPr="008E7737" w:rsidR="00FD298F" w:rsidP="008E7737" w:rsidRDefault="00FD298F" w14:paraId="71BF627B" w14:textId="1A1938B2">
            <w:pPr>
              <w:spacing w:after="120"/>
              <w:rPr>
                <w:rFonts w:cs="Arial"/>
                <w:sz w:val="22"/>
              </w:rPr>
            </w:pPr>
            <w:r w:rsidRPr="008E7737">
              <w:rPr>
                <w:rFonts w:cs="Arial" w:eastAsiaTheme="minorHAnsi"/>
                <w:sz w:val="22"/>
                <w:lang w:eastAsia="en-US"/>
              </w:rPr>
              <w:t>In-depth interviews with country-level stakeholders</w:t>
            </w:r>
          </w:p>
          <w:p w:rsidRPr="008E7737" w:rsidR="00FD298F" w:rsidP="008E7737" w:rsidRDefault="00FD298F" w14:paraId="555C9641" w14:textId="726E4686">
            <w:pPr>
              <w:spacing w:after="120"/>
              <w:rPr>
                <w:rFonts w:cs="Arial"/>
                <w:sz w:val="22"/>
              </w:rPr>
            </w:pPr>
            <w:r w:rsidRPr="008E7737">
              <w:rPr>
                <w:rFonts w:cs="Arial" w:eastAsiaTheme="minorHAnsi"/>
                <w:sz w:val="22"/>
                <w:lang w:eastAsia="en-US"/>
              </w:rPr>
              <w:t>Focus groups with EDGE residents</w:t>
            </w:r>
          </w:p>
          <w:p w:rsidRPr="008E7737" w:rsidR="00FD298F" w:rsidP="00FD298F" w:rsidRDefault="00FD298F" w14:paraId="76B6B55E" w14:textId="27428B26">
            <w:pPr>
              <w:spacing w:after="120"/>
              <w:rPr>
                <w:rFonts w:cs="Arial"/>
                <w:sz w:val="22"/>
              </w:rPr>
            </w:pPr>
            <w:r w:rsidRPr="008E7737">
              <w:rPr>
                <w:rFonts w:cs="Arial"/>
                <w:sz w:val="22"/>
              </w:rPr>
              <w:t>Programme annual reviews, business case, and other documentation</w:t>
            </w:r>
          </w:p>
          <w:p w:rsidRPr="008E7737" w:rsidR="00A34CBC" w:rsidP="008E7737" w:rsidRDefault="00A34CBC" w14:paraId="78AB5121" w14:textId="2E69D3A2">
            <w:pPr>
              <w:spacing w:after="120"/>
              <w:rPr>
                <w:rFonts w:cs="Arial"/>
                <w:sz w:val="22"/>
              </w:rPr>
            </w:pPr>
            <w:r w:rsidRPr="008E7737">
              <w:rPr>
                <w:rFonts w:cs="Arial" w:eastAsiaTheme="minorHAnsi"/>
                <w:sz w:val="22"/>
                <w:lang w:eastAsia="en-US"/>
              </w:rPr>
              <w:t>External data on countries political economy</w:t>
            </w:r>
          </w:p>
          <w:p w:rsidRPr="008E7737" w:rsidR="00246638" w:rsidP="008E7737" w:rsidRDefault="00FD298F" w14:paraId="49781915" w14:textId="57AE2AA1">
            <w:pPr>
              <w:spacing w:after="120"/>
              <w:rPr>
                <w:rFonts w:cs="Arial"/>
                <w:sz w:val="22"/>
              </w:rPr>
            </w:pPr>
            <w:r w:rsidRPr="008E7737">
              <w:rPr>
                <w:rFonts w:cs="Arial" w:eastAsiaTheme="minorHAnsi"/>
                <w:sz w:val="22"/>
                <w:lang w:eastAsia="en-US"/>
              </w:rPr>
              <w:t>Pitchbook data</w:t>
            </w:r>
          </w:p>
        </w:tc>
        <w:tc>
          <w:tcPr>
            <w:tcW w:w="0" w:type="dxa"/>
          </w:tcPr>
          <w:p w:rsidRPr="008E7737" w:rsidR="00FD298F" w:rsidP="008E7737" w:rsidRDefault="00FD298F" w14:paraId="64B6D1EF" w14:textId="0A2A2EC3">
            <w:pPr>
              <w:spacing w:after="120"/>
              <w:rPr>
                <w:rFonts w:cs="Arial"/>
                <w:sz w:val="22"/>
              </w:rPr>
            </w:pPr>
            <w:r w:rsidRPr="008E7737">
              <w:rPr>
                <w:rFonts w:cs="Arial" w:eastAsiaTheme="minorHAnsi"/>
                <w:sz w:val="22"/>
                <w:lang w:eastAsia="en-US"/>
              </w:rPr>
              <w:t>Content analysis of programme documents</w:t>
            </w:r>
          </w:p>
          <w:p w:rsidRPr="008E7737" w:rsidR="00A34CBC" w:rsidP="00FD298F" w:rsidRDefault="00EA4B84" w14:paraId="0E292275" w14:textId="09BA8C23">
            <w:pPr>
              <w:spacing w:after="120"/>
              <w:rPr>
                <w:rFonts w:cs="Arial"/>
                <w:sz w:val="22"/>
              </w:rPr>
            </w:pPr>
            <w:r w:rsidRPr="008E7737">
              <w:rPr>
                <w:rFonts w:cs="Arial"/>
                <w:sz w:val="22"/>
              </w:rPr>
              <w:t xml:space="preserve">Thematic </w:t>
            </w:r>
            <w:r w:rsidRPr="008E7737" w:rsidR="00FD298F">
              <w:rPr>
                <w:rFonts w:cs="Arial"/>
                <w:sz w:val="22"/>
              </w:rPr>
              <w:t>analysis of stakeholder interviews and focus groups</w:t>
            </w:r>
          </w:p>
          <w:p w:rsidRPr="008E7737" w:rsidR="00593D4A" w:rsidP="008E7737" w:rsidRDefault="00593D4A" w14:paraId="50ACF7BD" w14:textId="314322EA">
            <w:pPr>
              <w:spacing w:after="120"/>
              <w:rPr>
                <w:rFonts w:cs="Arial"/>
                <w:sz w:val="22"/>
              </w:rPr>
            </w:pPr>
            <w:r w:rsidRPr="008E7737">
              <w:rPr>
                <w:rFonts w:cs="Arial" w:eastAsiaTheme="minorHAnsi"/>
                <w:sz w:val="22"/>
                <w:lang w:eastAsia="en-US"/>
              </w:rPr>
              <w:t>Longitudinal Political Economy Analysis (PEA)</w:t>
            </w:r>
          </w:p>
          <w:p w:rsidRPr="008E7737" w:rsidR="00593D4A" w:rsidP="008E7737" w:rsidRDefault="00593D4A" w14:paraId="16A90014" w14:textId="0B7CDB13">
            <w:pPr>
              <w:spacing w:after="120"/>
              <w:rPr>
                <w:rFonts w:cs="Arial"/>
                <w:sz w:val="22"/>
              </w:rPr>
            </w:pPr>
            <w:r w:rsidRPr="008E7737">
              <w:rPr>
                <w:rFonts w:cs="Arial" w:eastAsiaTheme="minorHAnsi"/>
                <w:sz w:val="22"/>
                <w:lang w:eastAsia="en-US"/>
              </w:rPr>
              <w:t>Financial market analysis</w:t>
            </w:r>
          </w:p>
          <w:p w:rsidRPr="008E7737" w:rsidR="00593D4A" w:rsidP="008E7737" w:rsidRDefault="00593D4A" w14:paraId="6C74C0C0" w14:textId="72FEC601">
            <w:pPr>
              <w:spacing w:after="120"/>
              <w:rPr>
                <w:rFonts w:cs="Arial"/>
                <w:sz w:val="22"/>
              </w:rPr>
            </w:pPr>
            <w:r w:rsidRPr="008E7737">
              <w:rPr>
                <w:rFonts w:cs="Arial" w:eastAsiaTheme="minorHAnsi"/>
                <w:sz w:val="22"/>
                <w:lang w:eastAsia="en-US"/>
              </w:rPr>
              <w:t>Stakeholder analysis</w:t>
            </w:r>
          </w:p>
          <w:p w:rsidRPr="008E7737" w:rsidR="00FD298F" w:rsidP="008E7737" w:rsidRDefault="00FD298F" w14:paraId="6BB1CB51" w14:textId="7408E255">
            <w:pPr>
              <w:spacing w:after="120"/>
              <w:rPr>
                <w:rFonts w:cs="Arial"/>
                <w:sz w:val="22"/>
              </w:rPr>
            </w:pPr>
            <w:r w:rsidRPr="008E7737">
              <w:rPr>
                <w:rFonts w:cs="Arial" w:eastAsiaTheme="minorHAnsi"/>
                <w:sz w:val="22"/>
                <w:lang w:eastAsia="en-US"/>
              </w:rPr>
              <w:t>Pitchbook analysis</w:t>
            </w:r>
          </w:p>
          <w:p w:rsidRPr="008E7737" w:rsidR="00246638" w:rsidP="008E7737" w:rsidRDefault="00246638" w14:paraId="37D478F9" w14:textId="77777777">
            <w:pPr>
              <w:spacing w:after="120"/>
              <w:rPr>
                <w:rFonts w:cs="Arial"/>
                <w:sz w:val="22"/>
              </w:rPr>
            </w:pPr>
          </w:p>
        </w:tc>
      </w:tr>
      <w:tr w:rsidRPr="008F131F" w:rsidR="002C3064" w:rsidTr="00C93E47" w14:paraId="09F9E18F" w14:textId="6D31B5A1">
        <w:trPr>
          <w:trHeight w:val="809"/>
        </w:trPr>
        <w:tc>
          <w:tcPr>
            <w:tcW w:w="1838" w:type="dxa"/>
            <w:vMerge/>
          </w:tcPr>
          <w:p w:rsidRPr="008E7737" w:rsidR="00246638" w:rsidP="00131EBC" w:rsidRDefault="00246638" w14:paraId="50F36C7B" w14:textId="77777777">
            <w:pPr>
              <w:pStyle w:val="Tabletext-Small"/>
              <w:rPr>
                <w:sz w:val="22"/>
              </w:rPr>
            </w:pPr>
          </w:p>
        </w:tc>
        <w:tc>
          <w:tcPr>
            <w:tcW w:w="2150" w:type="dxa"/>
            <w:vMerge/>
          </w:tcPr>
          <w:p w:rsidRPr="008E7737" w:rsidR="00246638" w:rsidP="00131EBC" w:rsidRDefault="00246638" w14:paraId="2595850D" w14:textId="77777777">
            <w:pPr>
              <w:pStyle w:val="Tabletext-Small"/>
              <w:rPr>
                <w:sz w:val="22"/>
              </w:rPr>
            </w:pPr>
          </w:p>
        </w:tc>
        <w:tc>
          <w:tcPr>
            <w:tcW w:w="3520" w:type="dxa"/>
          </w:tcPr>
          <w:p w:rsidRPr="008E7737" w:rsidR="00246638" w:rsidP="00131EBC" w:rsidRDefault="00246638" w14:paraId="741DF972" w14:textId="77777777">
            <w:pPr>
              <w:pStyle w:val="Tabletext-Small"/>
              <w:rPr>
                <w:sz w:val="22"/>
              </w:rPr>
            </w:pPr>
            <w:r w:rsidRPr="008E7737">
              <w:rPr>
                <w:sz w:val="22"/>
              </w:rPr>
              <w:t>Validity of CMO statements:</w:t>
            </w:r>
          </w:p>
          <w:p w:rsidRPr="009C1DAE" w:rsidR="00246638" w:rsidP="00E94EE2" w:rsidRDefault="00246638" w14:paraId="3CF76D52" w14:textId="21D47824">
            <w:pPr>
              <w:pStyle w:val="DESNZbulletedlist"/>
              <w:rPr>
                <w:sz w:val="22"/>
              </w:rPr>
            </w:pPr>
            <w:r w:rsidRPr="009C1DAE">
              <w:rPr>
                <w:sz w:val="22"/>
              </w:rPr>
              <w:t>Validity of statements given emerging findings, and extent to which they should be adjusted</w:t>
            </w:r>
          </w:p>
        </w:tc>
        <w:tc>
          <w:tcPr>
            <w:tcW w:w="2376" w:type="dxa"/>
          </w:tcPr>
          <w:p w:rsidRPr="008E7737" w:rsidR="00246638" w:rsidP="00FD298F" w:rsidRDefault="00246638" w14:paraId="48EEBCAE" w14:textId="0399450B">
            <w:pPr>
              <w:spacing w:after="120"/>
              <w:rPr>
                <w:rFonts w:cs="Arial"/>
                <w:sz w:val="22"/>
              </w:rPr>
            </w:pPr>
            <w:r w:rsidRPr="008E7737">
              <w:rPr>
                <w:rFonts w:cs="Arial"/>
                <w:sz w:val="22"/>
              </w:rPr>
              <w:t>Case studies</w:t>
            </w:r>
          </w:p>
          <w:p w:rsidRPr="008E7737" w:rsidR="00FD298F" w:rsidP="00FD298F" w:rsidRDefault="00FD298F" w14:paraId="317A7098" w14:textId="275646DB">
            <w:pPr>
              <w:spacing w:after="120"/>
              <w:rPr>
                <w:rFonts w:cs="Arial"/>
                <w:sz w:val="22"/>
              </w:rPr>
            </w:pPr>
            <w:r w:rsidRPr="008E7737">
              <w:rPr>
                <w:rFonts w:cs="Arial"/>
                <w:sz w:val="22"/>
              </w:rPr>
              <w:t>Stakeholder interviews</w:t>
            </w:r>
          </w:p>
          <w:p w:rsidRPr="008E7737" w:rsidR="00A34CBC" w:rsidP="008E7737" w:rsidRDefault="00A34CBC" w14:paraId="7B29B3A2" w14:textId="7D1C81E4">
            <w:pPr>
              <w:spacing w:after="120"/>
              <w:rPr>
                <w:rFonts w:cs="Arial"/>
                <w:sz w:val="22"/>
              </w:rPr>
            </w:pPr>
            <w:r w:rsidRPr="008E7737">
              <w:rPr>
                <w:rFonts w:cs="Arial" w:eastAsiaTheme="minorHAnsi"/>
                <w:sz w:val="22"/>
                <w:lang w:eastAsia="en-US"/>
              </w:rPr>
              <w:t>Focus groups</w:t>
            </w:r>
          </w:p>
        </w:tc>
        <w:tc>
          <w:tcPr>
            <w:tcW w:w="0" w:type="dxa"/>
          </w:tcPr>
          <w:p w:rsidRPr="008E7737" w:rsidR="00FD298F" w:rsidP="00FD298F" w:rsidRDefault="00FD298F" w14:paraId="1102C534" w14:textId="292B5E32">
            <w:pPr>
              <w:spacing w:after="120"/>
              <w:rPr>
                <w:rFonts w:cs="Arial"/>
                <w:sz w:val="22"/>
              </w:rPr>
            </w:pPr>
            <w:r w:rsidRPr="008E7737">
              <w:rPr>
                <w:rFonts w:cs="Arial"/>
                <w:sz w:val="22"/>
              </w:rPr>
              <w:t>In-depth interviews with IFC (programme level and country level) and DESNZ (programme level)</w:t>
            </w:r>
          </w:p>
          <w:p w:rsidRPr="008E7737" w:rsidR="00FD298F" w:rsidP="00FD298F" w:rsidRDefault="00FD298F" w14:paraId="325420C0" w14:textId="616062D7">
            <w:pPr>
              <w:spacing w:after="120"/>
              <w:rPr>
                <w:rFonts w:cs="Arial"/>
                <w:sz w:val="22"/>
              </w:rPr>
            </w:pPr>
            <w:r w:rsidRPr="008E7737">
              <w:rPr>
                <w:rFonts w:cs="Arial"/>
                <w:sz w:val="22"/>
              </w:rPr>
              <w:t>In-depth interviews with country-level stakeholders</w:t>
            </w:r>
          </w:p>
          <w:p w:rsidRPr="008E7737" w:rsidR="00246638" w:rsidP="008E7737" w:rsidRDefault="00FD298F" w14:paraId="09DD4DAF" w14:textId="12FF0610">
            <w:pPr>
              <w:spacing w:after="120"/>
              <w:rPr>
                <w:rFonts w:cs="Arial"/>
                <w:sz w:val="22"/>
              </w:rPr>
            </w:pPr>
            <w:r w:rsidRPr="008E7737">
              <w:rPr>
                <w:rFonts w:cs="Arial" w:eastAsiaTheme="minorHAnsi"/>
                <w:sz w:val="22"/>
                <w:lang w:eastAsia="en-US"/>
              </w:rPr>
              <w:t>Focus groups with EDGE residents</w:t>
            </w:r>
          </w:p>
        </w:tc>
        <w:tc>
          <w:tcPr>
            <w:tcW w:w="0" w:type="dxa"/>
          </w:tcPr>
          <w:p w:rsidRPr="008E7737" w:rsidR="00246638" w:rsidP="008E7737" w:rsidRDefault="00EA4B84" w14:paraId="2711E524" w14:textId="65649F78">
            <w:pPr>
              <w:spacing w:after="120"/>
              <w:rPr>
                <w:rFonts w:cs="Arial"/>
                <w:sz w:val="22"/>
              </w:rPr>
            </w:pPr>
            <w:r w:rsidRPr="008E7737">
              <w:rPr>
                <w:rFonts w:cs="Arial" w:eastAsiaTheme="minorHAnsi"/>
                <w:sz w:val="22"/>
                <w:lang w:eastAsia="en-US"/>
              </w:rPr>
              <w:t xml:space="preserve">Thematic </w:t>
            </w:r>
            <w:r w:rsidRPr="008E7737" w:rsidR="00FD298F">
              <w:rPr>
                <w:rFonts w:cs="Arial" w:eastAsiaTheme="minorHAnsi"/>
                <w:sz w:val="22"/>
                <w:lang w:eastAsia="en-US"/>
              </w:rPr>
              <w:t>analysis of stakeholder interviews and focus groups</w:t>
            </w:r>
          </w:p>
        </w:tc>
      </w:tr>
      <w:tr w:rsidRPr="008F131F" w:rsidR="002C3064" w:rsidTr="00C93E47" w14:paraId="41BBA1F1" w14:textId="74904F18">
        <w:trPr>
          <w:trHeight w:val="460"/>
        </w:trPr>
        <w:tc>
          <w:tcPr>
            <w:tcW w:w="1838" w:type="dxa"/>
            <w:vMerge/>
          </w:tcPr>
          <w:p w:rsidRPr="008E7737" w:rsidR="00FD298F" w:rsidP="00FD298F" w:rsidRDefault="00FD298F" w14:paraId="524EDA27" w14:textId="77777777">
            <w:pPr>
              <w:pStyle w:val="Tabletext-Small"/>
              <w:rPr>
                <w:sz w:val="22"/>
              </w:rPr>
            </w:pPr>
          </w:p>
        </w:tc>
        <w:tc>
          <w:tcPr>
            <w:tcW w:w="2150" w:type="dxa"/>
            <w:vMerge/>
          </w:tcPr>
          <w:p w:rsidRPr="008E7737" w:rsidR="00FD298F" w:rsidP="00FD298F" w:rsidRDefault="00FD298F" w14:paraId="3613F4A4" w14:textId="77777777">
            <w:pPr>
              <w:pStyle w:val="Tabletext-Small"/>
              <w:rPr>
                <w:sz w:val="22"/>
              </w:rPr>
            </w:pPr>
          </w:p>
        </w:tc>
        <w:tc>
          <w:tcPr>
            <w:tcW w:w="3520" w:type="dxa"/>
          </w:tcPr>
          <w:p w:rsidRPr="008E7737" w:rsidR="00FD298F" w:rsidP="00FD298F" w:rsidRDefault="00FD298F" w14:paraId="369D15B0" w14:textId="77777777">
            <w:pPr>
              <w:pStyle w:val="Tabletext-Small"/>
              <w:rPr>
                <w:sz w:val="22"/>
              </w:rPr>
            </w:pPr>
            <w:r w:rsidRPr="008E7737">
              <w:rPr>
                <w:sz w:val="22"/>
              </w:rPr>
              <w:t>Additionality</w:t>
            </w:r>
          </w:p>
          <w:p w:rsidRPr="009C1DAE" w:rsidR="00FD298F" w:rsidP="00E94EE2" w:rsidRDefault="00FD298F" w14:paraId="4355E02C" w14:textId="0DD0695E">
            <w:pPr>
              <w:pStyle w:val="DESNZbulletedlist"/>
              <w:rPr>
                <w:sz w:val="22"/>
              </w:rPr>
            </w:pPr>
            <w:r w:rsidRPr="009C1DAE">
              <w:rPr>
                <w:sz w:val="22"/>
              </w:rPr>
              <w:t>Extent to which the MAGC components are: (a) providing a service otherwise unavailable to its target audiences; (b) providing a service that adds value to what is already available; (c) targeting people who would not be able to access the services through other means; (d) creating a system which can become self-sustaining</w:t>
            </w:r>
          </w:p>
          <w:p w:rsidRPr="009C1DAE" w:rsidR="00FD298F" w:rsidP="00E94EE2" w:rsidRDefault="00FD298F" w14:paraId="5085CCA7" w14:textId="3339450E">
            <w:pPr>
              <w:pStyle w:val="DESNZbulletedlist"/>
              <w:rPr>
                <w:sz w:val="22"/>
              </w:rPr>
            </w:pPr>
            <w:r w:rsidRPr="009C1DAE">
              <w:rPr>
                <w:sz w:val="22"/>
              </w:rPr>
              <w:t>The outcomes are aligned with longer-term objectives as set out in the ToC, not focussed on the short term only</w:t>
            </w:r>
          </w:p>
        </w:tc>
        <w:tc>
          <w:tcPr>
            <w:tcW w:w="2376" w:type="dxa"/>
          </w:tcPr>
          <w:p w:rsidRPr="008E7737" w:rsidR="00FD298F" w:rsidP="00FD298F" w:rsidRDefault="00FD298F" w14:paraId="39F0E505" w14:textId="195F0AB4">
            <w:pPr>
              <w:spacing w:after="120"/>
              <w:rPr>
                <w:rFonts w:cs="Arial"/>
                <w:sz w:val="22"/>
              </w:rPr>
            </w:pPr>
            <w:r w:rsidRPr="008E7737">
              <w:rPr>
                <w:rFonts w:cs="Arial"/>
                <w:sz w:val="22"/>
              </w:rPr>
              <w:t>Case studies</w:t>
            </w:r>
          </w:p>
          <w:p w:rsidRPr="008E7737" w:rsidR="00A34CBC" w:rsidP="00A34CBC" w:rsidRDefault="00A34CBC" w14:paraId="25D07F06" w14:textId="2FAA5442">
            <w:pPr>
              <w:spacing w:after="120"/>
              <w:rPr>
                <w:rFonts w:cs="Arial"/>
                <w:sz w:val="22"/>
              </w:rPr>
            </w:pPr>
            <w:r w:rsidRPr="008E7737">
              <w:rPr>
                <w:rFonts w:cs="Arial"/>
                <w:sz w:val="22"/>
              </w:rPr>
              <w:t>Stakeholder interviews</w:t>
            </w:r>
          </w:p>
          <w:p w:rsidRPr="008E7737" w:rsidR="00A34CBC" w:rsidP="008E7737" w:rsidRDefault="00A34CBC" w14:paraId="310139F3" w14:textId="0427D24C">
            <w:pPr>
              <w:spacing w:after="120"/>
              <w:rPr>
                <w:rFonts w:cs="Arial"/>
                <w:sz w:val="22"/>
              </w:rPr>
            </w:pPr>
            <w:r w:rsidRPr="008E7737">
              <w:rPr>
                <w:rFonts w:cs="Arial" w:eastAsiaTheme="minorHAnsi"/>
                <w:sz w:val="22"/>
                <w:lang w:eastAsia="en-US"/>
              </w:rPr>
              <w:t>Focus groups</w:t>
            </w:r>
          </w:p>
          <w:p w:rsidRPr="008E7737" w:rsidR="00FD298F" w:rsidP="00FD298F" w:rsidRDefault="00FD298F" w14:paraId="4502C31A" w14:textId="0543428E">
            <w:pPr>
              <w:spacing w:after="120"/>
              <w:rPr>
                <w:rFonts w:cs="Arial"/>
                <w:sz w:val="22"/>
              </w:rPr>
            </w:pPr>
            <w:r w:rsidRPr="008E7737">
              <w:rPr>
                <w:rFonts w:cs="Arial"/>
                <w:sz w:val="22"/>
              </w:rPr>
              <w:t>Desk research</w:t>
            </w:r>
          </w:p>
          <w:p w:rsidRPr="008E7737" w:rsidR="00FD298F" w:rsidP="008E7737" w:rsidRDefault="00FD298F" w14:paraId="698ED212" w14:textId="07D7DB76">
            <w:pPr>
              <w:spacing w:after="120"/>
              <w:rPr>
                <w:rFonts w:cs="Arial"/>
                <w:sz w:val="22"/>
              </w:rPr>
            </w:pPr>
            <w:r w:rsidRPr="008E7737">
              <w:rPr>
                <w:rFonts w:cs="Arial" w:eastAsiaTheme="minorHAnsi"/>
                <w:sz w:val="22"/>
                <w:lang w:eastAsia="en-US"/>
              </w:rPr>
              <w:t>Review of programme documentation</w:t>
            </w:r>
          </w:p>
        </w:tc>
        <w:tc>
          <w:tcPr>
            <w:tcW w:w="0" w:type="dxa"/>
          </w:tcPr>
          <w:p w:rsidRPr="008E7737" w:rsidR="00FD298F" w:rsidP="00FD298F" w:rsidRDefault="00FD298F" w14:paraId="36AA8898" w14:textId="3A8C8AF5">
            <w:pPr>
              <w:spacing w:after="120"/>
              <w:rPr>
                <w:rFonts w:cs="Arial"/>
                <w:sz w:val="22"/>
              </w:rPr>
            </w:pPr>
            <w:r w:rsidRPr="008E7737">
              <w:rPr>
                <w:rFonts w:cs="Arial"/>
                <w:sz w:val="22"/>
              </w:rPr>
              <w:t>In-depth interviews with IFC (programme level and country level) and DESNZ (programme level)</w:t>
            </w:r>
          </w:p>
          <w:p w:rsidRPr="008E7737" w:rsidR="00FD298F" w:rsidP="00FD298F" w:rsidRDefault="00FD298F" w14:paraId="4746F07B" w14:textId="6A6FCD0B">
            <w:pPr>
              <w:spacing w:after="120"/>
              <w:rPr>
                <w:rFonts w:cs="Arial"/>
                <w:sz w:val="22"/>
              </w:rPr>
            </w:pPr>
            <w:r w:rsidRPr="008E7737">
              <w:rPr>
                <w:rFonts w:cs="Arial"/>
                <w:sz w:val="22"/>
              </w:rPr>
              <w:t>In-depth interviews with country-level stakeholders</w:t>
            </w:r>
          </w:p>
          <w:p w:rsidRPr="008E7737" w:rsidR="00A34CBC" w:rsidP="00FD298F" w:rsidRDefault="00FD298F" w14:paraId="63033EAA" w14:textId="18688A4D">
            <w:pPr>
              <w:spacing w:after="120"/>
              <w:rPr>
                <w:rFonts w:cs="Arial"/>
                <w:sz w:val="22"/>
              </w:rPr>
            </w:pPr>
            <w:r w:rsidRPr="008E7737">
              <w:rPr>
                <w:rFonts w:cs="Arial"/>
                <w:sz w:val="22"/>
              </w:rPr>
              <w:t>Focus groups with EDGE residents</w:t>
            </w:r>
          </w:p>
          <w:p w:rsidRPr="008E7737" w:rsidR="00FD298F" w:rsidP="00FD298F" w:rsidRDefault="00A34CBC" w14:paraId="2A905237" w14:textId="1C5605EC">
            <w:pPr>
              <w:spacing w:after="120"/>
              <w:rPr>
                <w:rFonts w:cs="Arial"/>
                <w:sz w:val="22"/>
              </w:rPr>
            </w:pPr>
            <w:r w:rsidRPr="008E7737">
              <w:rPr>
                <w:rFonts w:cs="Arial"/>
                <w:sz w:val="22"/>
              </w:rPr>
              <w:t>External data on countries political economy</w:t>
            </w:r>
          </w:p>
          <w:p w:rsidRPr="008E7737" w:rsidR="00FD298F" w:rsidP="00FD298F" w:rsidRDefault="00FD298F" w14:paraId="7DE6C94D" w14:textId="06508F7E">
            <w:pPr>
              <w:spacing w:after="120"/>
              <w:rPr>
                <w:rFonts w:cs="Arial"/>
                <w:sz w:val="22"/>
              </w:rPr>
            </w:pPr>
            <w:r w:rsidRPr="008E7737">
              <w:rPr>
                <w:rFonts w:cs="Arial"/>
                <w:sz w:val="22"/>
              </w:rPr>
              <w:t>Pitchbook</w:t>
            </w:r>
          </w:p>
          <w:p w:rsidRPr="008E7737" w:rsidR="00FD298F" w:rsidP="008E7737" w:rsidRDefault="00FD298F" w14:paraId="591CD246" w14:textId="0F96DE5F">
            <w:pPr>
              <w:spacing w:after="120"/>
              <w:rPr>
                <w:rFonts w:cs="Arial"/>
                <w:sz w:val="22"/>
              </w:rPr>
            </w:pPr>
            <w:r w:rsidRPr="008E7737">
              <w:rPr>
                <w:rFonts w:cs="Arial" w:eastAsiaTheme="minorHAnsi"/>
                <w:sz w:val="22"/>
                <w:lang w:eastAsia="en-US"/>
              </w:rPr>
              <w:t>Programme annual reviews, business case, and other documentation</w:t>
            </w:r>
          </w:p>
        </w:tc>
        <w:tc>
          <w:tcPr>
            <w:tcW w:w="0" w:type="dxa"/>
          </w:tcPr>
          <w:p w:rsidRPr="008E7737" w:rsidR="00FD298F" w:rsidP="00FD298F" w:rsidRDefault="00EA4B84" w14:paraId="6E63E756" w14:textId="642C8200">
            <w:pPr>
              <w:spacing w:after="120"/>
              <w:rPr>
                <w:rFonts w:cs="Arial"/>
                <w:sz w:val="22"/>
              </w:rPr>
            </w:pPr>
            <w:r w:rsidRPr="008E7737">
              <w:rPr>
                <w:rFonts w:cs="Arial"/>
                <w:sz w:val="22"/>
              </w:rPr>
              <w:t xml:space="preserve">Thematic </w:t>
            </w:r>
            <w:r w:rsidRPr="008E7737" w:rsidR="00FD298F">
              <w:rPr>
                <w:rFonts w:cs="Arial"/>
                <w:sz w:val="22"/>
              </w:rPr>
              <w:t xml:space="preserve">analysis of stakeholder interviews and focus groups </w:t>
            </w:r>
          </w:p>
          <w:p w:rsidRPr="008E7737" w:rsidR="00FD298F" w:rsidP="00FD298F" w:rsidRDefault="00FD298F" w14:paraId="036DDE84" w14:textId="7B009F1F">
            <w:pPr>
              <w:spacing w:after="120"/>
              <w:rPr>
                <w:rFonts w:cs="Arial"/>
                <w:sz w:val="22"/>
              </w:rPr>
            </w:pPr>
            <w:r w:rsidRPr="008E7737">
              <w:rPr>
                <w:rFonts w:cs="Arial"/>
                <w:sz w:val="22"/>
              </w:rPr>
              <w:t>Longitudinal PEA</w:t>
            </w:r>
          </w:p>
          <w:p w:rsidRPr="008E7737" w:rsidR="00FD298F" w:rsidP="00FD298F" w:rsidRDefault="00FD298F" w14:paraId="28FE2A7F" w14:textId="6A9F0A75">
            <w:pPr>
              <w:spacing w:after="120"/>
              <w:rPr>
                <w:rFonts w:cs="Arial"/>
                <w:sz w:val="22"/>
              </w:rPr>
            </w:pPr>
            <w:r w:rsidRPr="008E7737">
              <w:rPr>
                <w:rFonts w:cs="Arial"/>
                <w:sz w:val="22"/>
              </w:rPr>
              <w:t>Financial market analysis</w:t>
            </w:r>
          </w:p>
          <w:p w:rsidRPr="008E7737" w:rsidR="00FD298F" w:rsidP="00FD298F" w:rsidRDefault="00FD298F" w14:paraId="39B11AFC" w14:textId="0E5DF1CB">
            <w:pPr>
              <w:spacing w:after="120"/>
              <w:rPr>
                <w:rFonts w:cs="Arial"/>
                <w:sz w:val="22"/>
              </w:rPr>
            </w:pPr>
            <w:r w:rsidRPr="008E7737">
              <w:rPr>
                <w:rFonts w:cs="Arial"/>
                <w:sz w:val="22"/>
              </w:rPr>
              <w:t>Stakeholder analysis</w:t>
            </w:r>
          </w:p>
          <w:p w:rsidRPr="008E7737" w:rsidR="00FD298F" w:rsidP="00FD298F" w:rsidRDefault="00FD298F" w14:paraId="00A05CF2" w14:textId="4B6A660D">
            <w:pPr>
              <w:spacing w:after="120"/>
              <w:rPr>
                <w:rFonts w:cs="Arial"/>
                <w:sz w:val="22"/>
              </w:rPr>
            </w:pPr>
            <w:r w:rsidRPr="008E7737">
              <w:rPr>
                <w:rFonts w:cs="Arial"/>
                <w:sz w:val="22"/>
              </w:rPr>
              <w:t>Pitchbook analysis</w:t>
            </w:r>
          </w:p>
          <w:p w:rsidRPr="008E7737" w:rsidR="00FD298F" w:rsidP="008E7737" w:rsidRDefault="00FD298F" w14:paraId="5F3754B0" w14:textId="774AE4FA">
            <w:pPr>
              <w:spacing w:after="120"/>
              <w:rPr>
                <w:rFonts w:cs="Arial"/>
                <w:sz w:val="22"/>
              </w:rPr>
            </w:pPr>
            <w:r w:rsidRPr="008E7737">
              <w:rPr>
                <w:rFonts w:cs="Arial" w:eastAsiaTheme="minorHAnsi"/>
                <w:sz w:val="22"/>
                <w:lang w:eastAsia="en-US"/>
              </w:rPr>
              <w:t>Content analysis of programme documents</w:t>
            </w:r>
          </w:p>
        </w:tc>
      </w:tr>
      <w:tr w:rsidRPr="008F131F" w:rsidR="002C3064" w:rsidTr="00C93E47" w14:paraId="10CC9DCE" w14:textId="68B8BF46">
        <w:trPr>
          <w:trHeight w:val="997"/>
        </w:trPr>
        <w:tc>
          <w:tcPr>
            <w:tcW w:w="1838" w:type="dxa"/>
            <w:vMerge/>
          </w:tcPr>
          <w:p w:rsidRPr="008E7737" w:rsidR="00FD298F" w:rsidP="00FD298F" w:rsidRDefault="00FD298F" w14:paraId="56408493" w14:textId="77777777">
            <w:pPr>
              <w:pStyle w:val="Tabletext-Small"/>
              <w:rPr>
                <w:sz w:val="22"/>
              </w:rPr>
            </w:pPr>
          </w:p>
        </w:tc>
        <w:tc>
          <w:tcPr>
            <w:tcW w:w="2150" w:type="dxa"/>
            <w:vMerge/>
          </w:tcPr>
          <w:p w:rsidRPr="008E7737" w:rsidR="00FD298F" w:rsidP="00FD298F" w:rsidRDefault="00FD298F" w14:paraId="042AD612" w14:textId="77777777">
            <w:pPr>
              <w:pStyle w:val="Tabletext-Small"/>
              <w:rPr>
                <w:sz w:val="22"/>
              </w:rPr>
            </w:pPr>
          </w:p>
        </w:tc>
        <w:tc>
          <w:tcPr>
            <w:tcW w:w="3520" w:type="dxa"/>
          </w:tcPr>
          <w:p w:rsidRPr="008E7737" w:rsidR="00FD298F" w:rsidP="00FD298F" w:rsidRDefault="00FD298F" w14:paraId="7A631BC5" w14:textId="77777777">
            <w:pPr>
              <w:pStyle w:val="Tabletext-Small"/>
              <w:rPr>
                <w:sz w:val="22"/>
              </w:rPr>
            </w:pPr>
            <w:r w:rsidRPr="008E7737">
              <w:rPr>
                <w:sz w:val="22"/>
              </w:rPr>
              <w:t>Perspectives of key stakeholders</w:t>
            </w:r>
          </w:p>
          <w:p w:rsidRPr="009C1DAE" w:rsidR="00FD298F" w:rsidP="00E94EE2" w:rsidRDefault="00FD298F" w14:paraId="472D4D5A" w14:textId="661764E1">
            <w:pPr>
              <w:pStyle w:val="DESNZbulletedlist"/>
              <w:rPr>
                <w:sz w:val="22"/>
              </w:rPr>
            </w:pPr>
            <w:r w:rsidRPr="009C1DAE">
              <w:rPr>
                <w:sz w:val="22"/>
              </w:rPr>
              <w:t xml:space="preserve">Views of key stakeholders of the components as delivered. E.g. To what </w:t>
            </w:r>
            <w:r w:rsidRPr="009C1DAE">
              <w:rPr>
                <w:sz w:val="22"/>
              </w:rPr>
              <w:t>extent was the Advisory service effective for financial institutions (was it useful); To what extent was capacity building useful for involved stakeholders;</w:t>
            </w:r>
          </w:p>
          <w:p w:rsidRPr="009C1DAE" w:rsidR="00FD298F" w:rsidP="00E94EE2" w:rsidRDefault="00FD298F" w14:paraId="2FFD480B" w14:textId="35B4CAFD">
            <w:pPr>
              <w:pStyle w:val="DESNZbulletedlist"/>
              <w:rPr>
                <w:sz w:val="22"/>
              </w:rPr>
            </w:pPr>
            <w:r w:rsidRPr="009C1DAE">
              <w:rPr>
                <w:sz w:val="22"/>
              </w:rPr>
              <w:t>Financial institutions, capacity building stakeholders, and EDGE stakeholders report that MAGC support is addressing their needs</w:t>
            </w:r>
          </w:p>
        </w:tc>
        <w:tc>
          <w:tcPr>
            <w:tcW w:w="2376" w:type="dxa"/>
          </w:tcPr>
          <w:p w:rsidRPr="008E7737" w:rsidR="00A34CBC" w:rsidP="00A34CBC" w:rsidRDefault="00A34CBC" w14:paraId="44DA6CE4" w14:textId="4AFC121C">
            <w:pPr>
              <w:spacing w:after="120"/>
              <w:rPr>
                <w:rFonts w:cs="Arial"/>
                <w:sz w:val="22"/>
              </w:rPr>
            </w:pPr>
            <w:r w:rsidRPr="008E7737">
              <w:rPr>
                <w:rFonts w:cs="Arial"/>
                <w:sz w:val="22"/>
              </w:rPr>
              <w:t>Case studies</w:t>
            </w:r>
          </w:p>
          <w:p w:rsidRPr="008E7737" w:rsidR="00A34CBC" w:rsidP="00A34CBC" w:rsidRDefault="00A34CBC" w14:paraId="0A903E33" w14:textId="225037DB">
            <w:pPr>
              <w:spacing w:after="120"/>
              <w:rPr>
                <w:rFonts w:cs="Arial"/>
                <w:sz w:val="22"/>
              </w:rPr>
            </w:pPr>
            <w:r w:rsidRPr="008E7737">
              <w:rPr>
                <w:rFonts w:cs="Arial"/>
                <w:sz w:val="22"/>
              </w:rPr>
              <w:t>Stakeholder interviews</w:t>
            </w:r>
          </w:p>
          <w:p w:rsidRPr="008E7737" w:rsidR="00FD298F" w:rsidP="008E7737" w:rsidRDefault="00A34CBC" w14:paraId="2FEE3BA6" w14:textId="6E94DAA4">
            <w:pPr>
              <w:spacing w:after="120"/>
              <w:rPr>
                <w:rFonts w:cs="Arial"/>
                <w:sz w:val="22"/>
              </w:rPr>
            </w:pPr>
            <w:r w:rsidRPr="008E7737">
              <w:rPr>
                <w:rFonts w:cs="Arial" w:eastAsiaTheme="minorHAnsi"/>
                <w:sz w:val="22"/>
                <w:lang w:eastAsia="en-US"/>
              </w:rPr>
              <w:t>Focus groups</w:t>
            </w:r>
          </w:p>
        </w:tc>
        <w:tc>
          <w:tcPr>
            <w:tcW w:w="0" w:type="dxa"/>
          </w:tcPr>
          <w:p w:rsidRPr="008E7737" w:rsidR="00A34CBC" w:rsidP="00A34CBC" w:rsidRDefault="00A34CBC" w14:paraId="29B95798" w14:textId="5F71B08A">
            <w:pPr>
              <w:spacing w:after="120"/>
              <w:rPr>
                <w:rFonts w:cs="Arial"/>
                <w:sz w:val="22"/>
              </w:rPr>
            </w:pPr>
            <w:r w:rsidRPr="008E7737">
              <w:rPr>
                <w:rFonts w:cs="Arial"/>
                <w:sz w:val="22"/>
              </w:rPr>
              <w:t>In-depth interviews with IFC (programme level and country level) and DESNZ (programme level)</w:t>
            </w:r>
          </w:p>
          <w:p w:rsidRPr="008E7737" w:rsidR="00A34CBC" w:rsidP="00A34CBC" w:rsidRDefault="00A34CBC" w14:paraId="46623A09" w14:textId="07C39896">
            <w:pPr>
              <w:spacing w:after="120"/>
              <w:rPr>
                <w:rFonts w:cs="Arial"/>
                <w:sz w:val="22"/>
              </w:rPr>
            </w:pPr>
            <w:r w:rsidRPr="008E7737">
              <w:rPr>
                <w:rFonts w:cs="Arial"/>
                <w:sz w:val="22"/>
              </w:rPr>
              <w:t>In-depth interviews with country-level stakeholders</w:t>
            </w:r>
          </w:p>
          <w:p w:rsidRPr="008E7737" w:rsidR="00FD298F" w:rsidP="008E7737" w:rsidRDefault="00A34CBC" w14:paraId="58A36E55" w14:textId="1299BCF7">
            <w:pPr>
              <w:spacing w:after="120"/>
              <w:rPr>
                <w:rFonts w:cs="Arial"/>
                <w:sz w:val="22"/>
              </w:rPr>
            </w:pPr>
            <w:r w:rsidRPr="008E7737">
              <w:rPr>
                <w:rFonts w:cs="Arial" w:eastAsiaTheme="minorHAnsi"/>
                <w:sz w:val="22"/>
                <w:lang w:eastAsia="en-US"/>
              </w:rPr>
              <w:t>Focus groups with EDGE residents</w:t>
            </w:r>
          </w:p>
        </w:tc>
        <w:tc>
          <w:tcPr>
            <w:tcW w:w="0" w:type="dxa"/>
          </w:tcPr>
          <w:p w:rsidRPr="008E7737" w:rsidR="00FD298F" w:rsidP="008E7737" w:rsidRDefault="00EA4B84" w14:paraId="128ECA62" w14:textId="212CEFA7">
            <w:pPr>
              <w:spacing w:after="120"/>
              <w:rPr>
                <w:rFonts w:cs="Arial"/>
                <w:sz w:val="22"/>
              </w:rPr>
            </w:pPr>
            <w:r w:rsidRPr="008E7737">
              <w:rPr>
                <w:rFonts w:cs="Arial" w:eastAsiaTheme="minorHAnsi"/>
                <w:sz w:val="22"/>
                <w:lang w:eastAsia="en-US"/>
              </w:rPr>
              <w:t xml:space="preserve">Thematic </w:t>
            </w:r>
            <w:r w:rsidRPr="008E7737" w:rsidR="00FD298F">
              <w:rPr>
                <w:rFonts w:cs="Arial" w:eastAsiaTheme="minorHAnsi"/>
                <w:sz w:val="22"/>
                <w:lang w:eastAsia="en-US"/>
              </w:rPr>
              <w:t>analysis of stakeholder interviews and focus groups</w:t>
            </w:r>
          </w:p>
        </w:tc>
      </w:tr>
      <w:tr w:rsidRPr="008F131F" w:rsidR="002C3064" w:rsidTr="00C93E47" w14:paraId="297D986D" w14:textId="0AF6BEF0">
        <w:trPr>
          <w:trHeight w:val="602"/>
        </w:trPr>
        <w:tc>
          <w:tcPr>
            <w:tcW w:w="1838" w:type="dxa"/>
            <w:vMerge w:val="restart"/>
          </w:tcPr>
          <w:p w:rsidRPr="008E7737" w:rsidR="00FD298F" w:rsidP="00FD298F" w:rsidRDefault="00FD298F" w14:paraId="14CEA308" w14:textId="77777777">
            <w:pPr>
              <w:pStyle w:val="Tabletext-Small"/>
              <w:rPr>
                <w:sz w:val="22"/>
              </w:rPr>
            </w:pPr>
            <w:r w:rsidRPr="008E7737">
              <w:rPr>
                <w:sz w:val="22"/>
              </w:rPr>
              <w:t>Impact</w:t>
            </w:r>
          </w:p>
        </w:tc>
        <w:tc>
          <w:tcPr>
            <w:tcW w:w="2150" w:type="dxa"/>
            <w:vMerge w:val="restart"/>
          </w:tcPr>
          <w:p w:rsidRPr="008E7737" w:rsidR="00FD298F" w:rsidP="00FD298F" w:rsidRDefault="00FD298F" w14:paraId="5651306A" w14:textId="4BC433ED">
            <w:pPr>
              <w:pStyle w:val="Tabletext-Small"/>
              <w:rPr>
                <w:sz w:val="22"/>
              </w:rPr>
            </w:pPr>
            <w:r w:rsidRPr="008E7737">
              <w:rPr>
                <w:sz w:val="22"/>
              </w:rPr>
              <w:t>To what extent is impact/ transformational change likely to be achieved?</w:t>
            </w:r>
          </w:p>
        </w:tc>
        <w:tc>
          <w:tcPr>
            <w:tcW w:w="3520" w:type="dxa"/>
          </w:tcPr>
          <w:p w:rsidRPr="008E7737" w:rsidR="00FD298F" w:rsidP="00FD298F" w:rsidRDefault="00FD298F" w14:paraId="03BB296E" w14:textId="77777777">
            <w:pPr>
              <w:pStyle w:val="Tabletext-Small"/>
              <w:rPr>
                <w:sz w:val="22"/>
              </w:rPr>
            </w:pPr>
            <w:r w:rsidRPr="008E7737">
              <w:rPr>
                <w:sz w:val="22"/>
              </w:rPr>
              <w:t>Early signs of impact</w:t>
            </w:r>
          </w:p>
          <w:p w:rsidRPr="009C1DAE" w:rsidR="00FD298F" w:rsidP="00E94EE2" w:rsidRDefault="00FD298F" w14:paraId="3E31090C" w14:textId="4A421962">
            <w:pPr>
              <w:pStyle w:val="DESNZbulletedlist"/>
              <w:rPr>
                <w:sz w:val="22"/>
              </w:rPr>
            </w:pPr>
            <w:r w:rsidRPr="009C1DAE">
              <w:rPr>
                <w:sz w:val="22"/>
              </w:rPr>
              <w:t>Results to date towards impact and transformational change indicators as per the KPI15 methodology</w:t>
            </w:r>
          </w:p>
          <w:p w:rsidRPr="009C1DAE" w:rsidR="00FD298F" w:rsidP="00E94EE2" w:rsidRDefault="00FD298F" w14:paraId="7A34F203" w14:textId="3F8B2F05">
            <w:pPr>
              <w:pStyle w:val="DESNZbulletedlist"/>
              <w:rPr>
                <w:sz w:val="22"/>
              </w:rPr>
            </w:pPr>
            <w:r w:rsidRPr="009C1DAE">
              <w:rPr>
                <w:sz w:val="22"/>
              </w:rPr>
              <w:t>Evidence of the offer of green construction finance in MAGC markets increasing</w:t>
            </w:r>
          </w:p>
          <w:p w:rsidRPr="009C1DAE" w:rsidR="00FD298F" w:rsidP="00E94EE2" w:rsidRDefault="00FD298F" w14:paraId="5C35696E" w14:textId="08A7AAF5">
            <w:pPr>
              <w:pStyle w:val="DESNZbulletedlist"/>
              <w:rPr>
                <w:sz w:val="22"/>
              </w:rPr>
            </w:pPr>
            <w:r w:rsidRPr="009C1DAE">
              <w:rPr>
                <w:sz w:val="22"/>
              </w:rPr>
              <w:t xml:space="preserve">Extent of the growth in the market share of green </w:t>
            </w:r>
            <w:r w:rsidRPr="009C1DAE">
              <w:rPr>
                <w:sz w:val="22"/>
              </w:rPr>
              <w:t>certified floor space in MAGC countries, and in which circumstances (Types of building, location, users</w:t>
            </w:r>
            <w:r w:rsidRPr="008E7737">
              <w:rPr>
                <w:sz w:val="22"/>
              </w:rPr>
              <w:t>)</w:t>
            </w:r>
          </w:p>
          <w:p w:rsidRPr="009C1DAE" w:rsidR="00FD298F" w:rsidP="00E94EE2" w:rsidRDefault="00FD298F" w14:paraId="081A830C" w14:textId="2FDAA9FB">
            <w:pPr>
              <w:pStyle w:val="DESNZbulletedlist"/>
              <w:rPr>
                <w:sz w:val="22"/>
              </w:rPr>
            </w:pPr>
            <w:r w:rsidRPr="009C1DAE">
              <w:rPr>
                <w:sz w:val="22"/>
              </w:rPr>
              <w:t>Perspectives of key stakeholders on market growth, both internal and external to MAGC</w:t>
            </w:r>
          </w:p>
        </w:tc>
        <w:tc>
          <w:tcPr>
            <w:tcW w:w="2376" w:type="dxa"/>
          </w:tcPr>
          <w:p w:rsidRPr="008E7737" w:rsidR="00A34CBC" w:rsidP="00FD298F" w:rsidRDefault="00A34CBC" w14:paraId="7E08769A" w14:textId="0DA3A7CF">
            <w:pPr>
              <w:spacing w:after="120"/>
              <w:rPr>
                <w:rFonts w:cs="Arial"/>
                <w:sz w:val="22"/>
              </w:rPr>
            </w:pPr>
            <w:r w:rsidRPr="008E7737">
              <w:rPr>
                <w:rFonts w:cs="Arial"/>
                <w:sz w:val="22"/>
              </w:rPr>
              <w:t>Case studies</w:t>
            </w:r>
          </w:p>
          <w:p w:rsidRPr="008E7737" w:rsidR="00A34CBC" w:rsidP="00A34CBC" w:rsidRDefault="00A34CBC" w14:paraId="0EF8E434" w14:textId="66E09121">
            <w:pPr>
              <w:spacing w:after="120"/>
              <w:rPr>
                <w:rFonts w:cs="Arial"/>
                <w:sz w:val="22"/>
              </w:rPr>
            </w:pPr>
            <w:r w:rsidRPr="008E7737">
              <w:rPr>
                <w:rFonts w:cs="Arial"/>
                <w:sz w:val="22"/>
              </w:rPr>
              <w:t>Stakeholder interviews</w:t>
            </w:r>
          </w:p>
          <w:p w:rsidRPr="008E7737" w:rsidR="00A34CBC" w:rsidP="00A34CBC" w:rsidRDefault="00A34CBC" w14:paraId="3D264682" w14:textId="75248E59">
            <w:pPr>
              <w:spacing w:after="120"/>
              <w:rPr>
                <w:rFonts w:cs="Arial"/>
                <w:sz w:val="22"/>
              </w:rPr>
            </w:pPr>
            <w:r w:rsidRPr="008E7737">
              <w:rPr>
                <w:rFonts w:cs="Arial"/>
                <w:sz w:val="22"/>
              </w:rPr>
              <w:t>Focus groups</w:t>
            </w:r>
          </w:p>
          <w:p w:rsidRPr="008E7737" w:rsidR="00A34CBC" w:rsidP="00A34CBC" w:rsidRDefault="00A34CBC" w14:paraId="57C9792F" w14:textId="1E884D92">
            <w:pPr>
              <w:spacing w:after="120"/>
              <w:rPr>
                <w:rFonts w:cs="Arial"/>
                <w:sz w:val="22"/>
              </w:rPr>
            </w:pPr>
            <w:r w:rsidRPr="008E7737">
              <w:rPr>
                <w:rFonts w:cs="Arial"/>
                <w:sz w:val="22"/>
              </w:rPr>
              <w:t>Desk research</w:t>
            </w:r>
          </w:p>
          <w:p w:rsidRPr="008E7737" w:rsidR="00A34CBC" w:rsidP="00A34CBC" w:rsidRDefault="00A34CBC" w14:paraId="02B1D5CA" w14:textId="77777777">
            <w:pPr>
              <w:spacing w:after="120"/>
              <w:rPr>
                <w:rFonts w:cs="Arial"/>
                <w:sz w:val="22"/>
              </w:rPr>
            </w:pPr>
          </w:p>
          <w:p w:rsidRPr="008E7737" w:rsidR="00A34CBC" w:rsidP="00A34CBC" w:rsidRDefault="00A34CBC" w14:paraId="23329C99" w14:textId="77777777">
            <w:pPr>
              <w:spacing w:after="120"/>
              <w:rPr>
                <w:rFonts w:cs="Arial"/>
                <w:sz w:val="22"/>
              </w:rPr>
            </w:pPr>
          </w:p>
          <w:p w:rsidRPr="008E7737" w:rsidR="00FD298F" w:rsidP="008E7737" w:rsidRDefault="00FD298F" w14:paraId="6C633FFB" w14:textId="2715B905">
            <w:pPr>
              <w:spacing w:after="120"/>
              <w:rPr>
                <w:rFonts w:cs="Arial"/>
                <w:sz w:val="22"/>
              </w:rPr>
            </w:pPr>
          </w:p>
        </w:tc>
        <w:tc>
          <w:tcPr>
            <w:tcW w:w="0" w:type="dxa"/>
          </w:tcPr>
          <w:p w:rsidRPr="008E7737" w:rsidR="00A34CBC" w:rsidP="00A34CBC" w:rsidRDefault="00A34CBC" w14:paraId="5E35A56E" w14:textId="4D9FE166">
            <w:pPr>
              <w:spacing w:after="120"/>
              <w:rPr>
                <w:rFonts w:cs="Arial"/>
                <w:sz w:val="22"/>
              </w:rPr>
            </w:pPr>
            <w:r w:rsidRPr="008E7737">
              <w:rPr>
                <w:rFonts w:cs="Arial"/>
                <w:sz w:val="22"/>
              </w:rPr>
              <w:t>In-depth interviews with IFC (programme level and country level) and DESNZ (programme level)</w:t>
            </w:r>
          </w:p>
          <w:p w:rsidRPr="008E7737" w:rsidR="00A34CBC" w:rsidP="00A34CBC" w:rsidRDefault="00A34CBC" w14:paraId="4B1844DA" w14:textId="0560BD00">
            <w:pPr>
              <w:spacing w:after="120"/>
              <w:rPr>
                <w:rFonts w:cs="Arial"/>
                <w:sz w:val="22"/>
              </w:rPr>
            </w:pPr>
            <w:r w:rsidRPr="008E7737">
              <w:rPr>
                <w:rFonts w:cs="Arial"/>
                <w:sz w:val="22"/>
              </w:rPr>
              <w:t>In-depth interviews with country-level stakeholders</w:t>
            </w:r>
          </w:p>
          <w:p w:rsidRPr="008E7737" w:rsidR="00A34CBC" w:rsidP="00FD298F" w:rsidRDefault="00A34CBC" w14:paraId="629E3B61" w14:textId="27E3F0B0">
            <w:pPr>
              <w:spacing w:after="120"/>
              <w:rPr>
                <w:rFonts w:cs="Arial"/>
                <w:sz w:val="22"/>
              </w:rPr>
            </w:pPr>
            <w:r w:rsidRPr="008E7737">
              <w:rPr>
                <w:rFonts w:cs="Arial"/>
                <w:sz w:val="22"/>
              </w:rPr>
              <w:t>Focus groups with EDGE residents</w:t>
            </w:r>
          </w:p>
          <w:p w:rsidRPr="008E7737" w:rsidR="00A34CBC" w:rsidP="00A34CBC" w:rsidRDefault="00A34CBC" w14:paraId="460341D1" w14:textId="2831B4C1">
            <w:pPr>
              <w:spacing w:after="120"/>
              <w:rPr>
                <w:rFonts w:cs="Arial"/>
                <w:sz w:val="22"/>
              </w:rPr>
            </w:pPr>
            <w:r w:rsidRPr="008E7737">
              <w:rPr>
                <w:rFonts w:cs="Arial"/>
                <w:sz w:val="22"/>
              </w:rPr>
              <w:t>External data on countries political economy</w:t>
            </w:r>
          </w:p>
          <w:p w:rsidRPr="008E7737" w:rsidR="00A34CBC" w:rsidP="008E7737" w:rsidRDefault="00A34CBC" w14:paraId="5CB299E2" w14:textId="53434055">
            <w:pPr>
              <w:spacing w:after="120"/>
              <w:rPr>
                <w:rFonts w:cs="Arial"/>
                <w:sz w:val="22"/>
              </w:rPr>
            </w:pPr>
            <w:r w:rsidRPr="008E7737">
              <w:rPr>
                <w:rFonts w:cs="Arial" w:eastAsiaTheme="minorHAnsi"/>
                <w:sz w:val="22"/>
                <w:lang w:eastAsia="en-US"/>
              </w:rPr>
              <w:t>Pitchbook</w:t>
            </w:r>
          </w:p>
          <w:p w:rsidRPr="008E7737" w:rsidR="00FD298F" w:rsidP="008E7737" w:rsidRDefault="00FD298F" w14:paraId="0F6B7BEB" w14:textId="77777777">
            <w:pPr>
              <w:spacing w:after="120"/>
              <w:rPr>
                <w:rFonts w:cs="Arial"/>
                <w:sz w:val="22"/>
              </w:rPr>
            </w:pPr>
          </w:p>
        </w:tc>
        <w:tc>
          <w:tcPr>
            <w:tcW w:w="0" w:type="dxa"/>
          </w:tcPr>
          <w:p w:rsidRPr="008E7737" w:rsidR="00A34CBC" w:rsidP="00A34CBC" w:rsidRDefault="00EA4B84" w14:paraId="7883BC20" w14:textId="06CF79D6">
            <w:pPr>
              <w:spacing w:after="120"/>
              <w:rPr>
                <w:rFonts w:cs="Arial"/>
                <w:sz w:val="22"/>
              </w:rPr>
            </w:pPr>
            <w:r w:rsidRPr="008E7737">
              <w:rPr>
                <w:rFonts w:cs="Arial"/>
                <w:sz w:val="22"/>
              </w:rPr>
              <w:t xml:space="preserve">Thematic </w:t>
            </w:r>
            <w:r w:rsidRPr="008E7737" w:rsidR="00A34CBC">
              <w:rPr>
                <w:rFonts w:cs="Arial"/>
                <w:sz w:val="22"/>
              </w:rPr>
              <w:t xml:space="preserve">analysis of stakeholder interviews and focus groups </w:t>
            </w:r>
          </w:p>
          <w:p w:rsidRPr="008E7737" w:rsidR="00A34CBC" w:rsidP="00A34CBC" w:rsidRDefault="00A34CBC" w14:paraId="4E2F50AC" w14:textId="32178E22">
            <w:pPr>
              <w:spacing w:after="120"/>
              <w:rPr>
                <w:rFonts w:cs="Arial"/>
                <w:sz w:val="22"/>
              </w:rPr>
            </w:pPr>
            <w:r w:rsidRPr="008E7737">
              <w:rPr>
                <w:rFonts w:cs="Arial"/>
                <w:sz w:val="22"/>
              </w:rPr>
              <w:t>Pitchbook analysis</w:t>
            </w:r>
          </w:p>
          <w:p w:rsidRPr="008E7737" w:rsidR="00A34CBC" w:rsidP="00A34CBC" w:rsidRDefault="00A34CBC" w14:paraId="7FA992AD" w14:textId="3ED6B297">
            <w:pPr>
              <w:spacing w:after="120"/>
              <w:rPr>
                <w:rFonts w:cs="Arial"/>
                <w:sz w:val="22"/>
              </w:rPr>
            </w:pPr>
            <w:r w:rsidRPr="008E7737">
              <w:rPr>
                <w:rFonts w:cs="Arial"/>
                <w:sz w:val="22"/>
              </w:rPr>
              <w:t>Longitudinal PEA</w:t>
            </w:r>
          </w:p>
          <w:p w:rsidRPr="008E7737" w:rsidR="00FD298F" w:rsidP="008E7737" w:rsidRDefault="00A34CBC" w14:paraId="3707AC8B" w14:textId="37375B3E">
            <w:pPr>
              <w:spacing w:after="120"/>
              <w:rPr>
                <w:rFonts w:cs="Arial"/>
                <w:sz w:val="22"/>
              </w:rPr>
            </w:pPr>
            <w:r w:rsidRPr="008E7737">
              <w:rPr>
                <w:rFonts w:cs="Arial" w:eastAsiaTheme="minorHAnsi"/>
                <w:sz w:val="22"/>
                <w:lang w:eastAsia="en-US"/>
              </w:rPr>
              <w:t>Financial market review</w:t>
            </w:r>
          </w:p>
        </w:tc>
      </w:tr>
      <w:tr w:rsidRPr="008F131F" w:rsidR="002C3064" w:rsidTr="00C93E47" w14:paraId="645F6D51" w14:textId="3C73228B">
        <w:trPr>
          <w:trHeight w:val="3736"/>
        </w:trPr>
        <w:tc>
          <w:tcPr>
            <w:tcW w:w="1838" w:type="dxa"/>
            <w:vMerge/>
          </w:tcPr>
          <w:p w:rsidRPr="008E7737" w:rsidR="00FD298F" w:rsidP="00FD298F" w:rsidRDefault="00FD298F" w14:paraId="524D4DF6" w14:textId="77777777">
            <w:pPr>
              <w:pStyle w:val="Tabletext-Small"/>
              <w:rPr>
                <w:sz w:val="22"/>
              </w:rPr>
            </w:pPr>
          </w:p>
        </w:tc>
        <w:tc>
          <w:tcPr>
            <w:tcW w:w="2150" w:type="dxa"/>
            <w:vMerge/>
          </w:tcPr>
          <w:p w:rsidRPr="008E7737" w:rsidR="00FD298F" w:rsidP="00FD298F" w:rsidRDefault="00FD298F" w14:paraId="7AB4B154" w14:textId="77777777">
            <w:pPr>
              <w:pStyle w:val="Tabletext-Small"/>
              <w:rPr>
                <w:sz w:val="22"/>
              </w:rPr>
            </w:pPr>
          </w:p>
        </w:tc>
        <w:tc>
          <w:tcPr>
            <w:tcW w:w="3520" w:type="dxa"/>
          </w:tcPr>
          <w:p w:rsidRPr="008E7737" w:rsidR="00FD298F" w:rsidP="00FD298F" w:rsidRDefault="00FD298F" w14:paraId="0103D0FD" w14:textId="77777777">
            <w:pPr>
              <w:pStyle w:val="Tabletext-Small"/>
              <w:rPr>
                <w:sz w:val="22"/>
              </w:rPr>
            </w:pPr>
            <w:r w:rsidRPr="008E7737">
              <w:rPr>
                <w:sz w:val="22"/>
              </w:rPr>
              <w:t>Validity of transformational change hypotheses</w:t>
            </w:r>
          </w:p>
          <w:p w:rsidRPr="009C1DAE" w:rsidR="00C93E47" w:rsidP="00E94EE2" w:rsidRDefault="00FD298F" w14:paraId="77956A76" w14:textId="646F529B">
            <w:pPr>
              <w:pStyle w:val="DESNZbulletedlist"/>
              <w:rPr>
                <w:sz w:val="22"/>
              </w:rPr>
            </w:pPr>
            <w:r w:rsidRPr="009C1DAE">
              <w:rPr>
                <w:sz w:val="22"/>
              </w:rPr>
              <w:t>Validity of hypotheses and assumptions set out in the Contribution Analysis and Process Tracing framework given the emerging findings, and extent to which they should be adjusted</w:t>
            </w:r>
          </w:p>
          <w:p w:rsidR="00FD298F" w:rsidP="00C93E47" w:rsidRDefault="00FD298F" w14:paraId="24162D4C" w14:textId="77777777">
            <w:pPr>
              <w:pStyle w:val="Tabletext-Small"/>
              <w:ind w:left="833"/>
              <w:rPr>
                <w:sz w:val="22"/>
              </w:rPr>
            </w:pPr>
          </w:p>
          <w:p w:rsidRPr="008E7737" w:rsidR="00C93E47" w:rsidP="009A3A6F" w:rsidRDefault="00C93E47" w14:paraId="4E88A78C" w14:textId="77777777">
            <w:pPr>
              <w:pStyle w:val="Tabletext-Small"/>
              <w:ind w:left="833"/>
              <w:rPr>
                <w:sz w:val="22"/>
              </w:rPr>
            </w:pPr>
          </w:p>
        </w:tc>
        <w:tc>
          <w:tcPr>
            <w:tcW w:w="2376" w:type="dxa"/>
          </w:tcPr>
          <w:p w:rsidRPr="008E7737" w:rsidR="00A34CBC" w:rsidP="00FD298F" w:rsidRDefault="00A34CBC" w14:paraId="1A2BECD1" w14:textId="0D217441">
            <w:pPr>
              <w:spacing w:after="120"/>
              <w:rPr>
                <w:rFonts w:cs="Arial"/>
                <w:sz w:val="22"/>
              </w:rPr>
            </w:pPr>
            <w:r w:rsidRPr="008E7737">
              <w:rPr>
                <w:rFonts w:cs="Arial"/>
                <w:sz w:val="22"/>
              </w:rPr>
              <w:t>Stakeholder interviews</w:t>
            </w:r>
          </w:p>
          <w:p w:rsidRPr="008E7737" w:rsidR="00FD298F" w:rsidP="008E7737" w:rsidRDefault="00FD298F" w14:paraId="24137A0F" w14:textId="55D2E6FA">
            <w:pPr>
              <w:spacing w:after="120"/>
              <w:rPr>
                <w:rFonts w:cs="Arial"/>
                <w:sz w:val="22"/>
              </w:rPr>
            </w:pPr>
            <w:r w:rsidRPr="008E7737">
              <w:rPr>
                <w:rFonts w:cs="Arial" w:eastAsiaTheme="minorHAnsi"/>
                <w:sz w:val="22"/>
                <w:lang w:eastAsia="en-US"/>
              </w:rPr>
              <w:t xml:space="preserve">Review </w:t>
            </w:r>
            <w:r w:rsidRPr="008E7737" w:rsidR="00A34CBC">
              <w:rPr>
                <w:rFonts w:cs="Arial" w:eastAsiaTheme="minorHAnsi"/>
                <w:sz w:val="22"/>
                <w:lang w:eastAsia="en-US"/>
              </w:rPr>
              <w:t>of programme documentation</w:t>
            </w:r>
          </w:p>
        </w:tc>
        <w:tc>
          <w:tcPr>
            <w:tcW w:w="0" w:type="dxa"/>
          </w:tcPr>
          <w:p w:rsidRPr="008E7737" w:rsidR="00A34CBC" w:rsidP="00A34CBC" w:rsidRDefault="00A34CBC" w14:paraId="1B22D05A" w14:textId="3F663B81">
            <w:pPr>
              <w:spacing w:after="120"/>
              <w:rPr>
                <w:rFonts w:cs="Arial"/>
                <w:sz w:val="22"/>
              </w:rPr>
            </w:pPr>
            <w:r w:rsidRPr="008E7737">
              <w:rPr>
                <w:rFonts w:cs="Arial"/>
                <w:sz w:val="22"/>
              </w:rPr>
              <w:t>In-depth interviews with IFC (programme level) and DESNZ (programme level)</w:t>
            </w:r>
          </w:p>
          <w:p w:rsidRPr="008E7737" w:rsidR="00FD298F" w:rsidP="008E7737" w:rsidRDefault="00A34CBC" w14:paraId="1A3E5569" w14:textId="27D5021A">
            <w:pPr>
              <w:spacing w:after="120"/>
              <w:rPr>
                <w:rFonts w:cs="Arial"/>
                <w:sz w:val="22"/>
              </w:rPr>
            </w:pPr>
            <w:r w:rsidRPr="008E7737">
              <w:rPr>
                <w:rFonts w:cs="Arial" w:eastAsiaTheme="minorHAnsi"/>
                <w:sz w:val="22"/>
                <w:lang w:eastAsia="en-US"/>
              </w:rPr>
              <w:t>Programme annual reviews, business case, and other documentation</w:t>
            </w:r>
          </w:p>
        </w:tc>
        <w:tc>
          <w:tcPr>
            <w:tcW w:w="0" w:type="dxa"/>
          </w:tcPr>
          <w:p w:rsidRPr="008E7737" w:rsidR="00FD298F" w:rsidP="00FD298F" w:rsidRDefault="00EA4B84" w14:paraId="20B9F727" w14:textId="109EE810">
            <w:pPr>
              <w:spacing w:after="120"/>
              <w:rPr>
                <w:rFonts w:cs="Arial"/>
                <w:sz w:val="22"/>
              </w:rPr>
            </w:pPr>
            <w:r w:rsidRPr="008E7737">
              <w:rPr>
                <w:rFonts w:cs="Arial"/>
                <w:sz w:val="22"/>
              </w:rPr>
              <w:t xml:space="preserve">Thematic </w:t>
            </w:r>
            <w:r w:rsidRPr="008E7737" w:rsidR="00A34CBC">
              <w:rPr>
                <w:rFonts w:cs="Arial"/>
                <w:sz w:val="22"/>
              </w:rPr>
              <w:t>analysis of stakeholder interviews</w:t>
            </w:r>
          </w:p>
          <w:p w:rsidRPr="008E7737" w:rsidR="00A34CBC" w:rsidP="008E7737" w:rsidRDefault="00A34CBC" w14:paraId="2801045E" w14:textId="422E9195">
            <w:pPr>
              <w:spacing w:after="120"/>
              <w:rPr>
                <w:rFonts w:cs="Arial"/>
                <w:sz w:val="22"/>
              </w:rPr>
            </w:pPr>
            <w:r w:rsidRPr="008E7737">
              <w:rPr>
                <w:rFonts w:cs="Arial" w:eastAsiaTheme="minorHAnsi"/>
                <w:sz w:val="22"/>
                <w:lang w:eastAsia="en-US"/>
              </w:rPr>
              <w:t>Content analysis of programme documents</w:t>
            </w:r>
          </w:p>
        </w:tc>
      </w:tr>
      <w:tr w:rsidRPr="008F131F" w:rsidR="009F080F" w:rsidTr="009A3A6F" w14:paraId="5F3C57FB" w14:textId="70CB39AB">
        <w:tblPrEx>
          <w:tblLook w:val="0480" w:firstRow="0" w:lastRow="0" w:firstColumn="1" w:lastColumn="0" w:noHBand="0" w:noVBand="1"/>
        </w:tblPrEx>
        <w:trPr>
          <w:trHeight w:val="209"/>
        </w:trPr>
        <w:tc>
          <w:tcPr>
            <w:tcW w:w="14503" w:type="dxa"/>
            <w:gridSpan w:val="6"/>
          </w:tcPr>
          <w:p w:rsidRPr="008E7737" w:rsidR="009F080F" w:rsidP="008E7737" w:rsidRDefault="009F080F" w14:paraId="3F704045" w14:textId="24E584C8">
            <w:pPr>
              <w:pStyle w:val="Tabletext-Small"/>
              <w:spacing w:after="0"/>
              <w:rPr>
                <w:rStyle w:val="Boldtext"/>
                <w:rFonts w:eastAsiaTheme="minorHAnsi" w:cstheme="minorBidi"/>
                <w:sz w:val="22"/>
                <w:lang w:eastAsia="en-US"/>
              </w:rPr>
            </w:pPr>
            <w:r w:rsidRPr="008E7737">
              <w:rPr>
                <w:rStyle w:val="Boldtext"/>
                <w:sz w:val="22"/>
              </w:rPr>
              <w:t>Value for Money Assessment</w:t>
            </w:r>
          </w:p>
        </w:tc>
      </w:tr>
      <w:tr w:rsidRPr="008F131F" w:rsidR="009F080F" w:rsidTr="009A3A6F" w14:paraId="45C37D8A" w14:textId="505E6750">
        <w:tblPrEx>
          <w:tblLook w:val="0480" w:firstRow="0" w:lastRow="0" w:firstColumn="1" w:lastColumn="0" w:noHBand="0" w:noVBand="1"/>
        </w:tblPrEx>
        <w:trPr>
          <w:trHeight w:val="1356"/>
        </w:trPr>
        <w:tc>
          <w:tcPr>
            <w:tcW w:w="1838" w:type="dxa"/>
          </w:tcPr>
          <w:p w:rsidRPr="008E7737" w:rsidR="009F080F" w:rsidP="00FD298F" w:rsidRDefault="009F080F" w14:paraId="29083384" w14:textId="371CFE85">
            <w:pPr>
              <w:pStyle w:val="Tabletext-Small"/>
              <w:rPr>
                <w:sz w:val="22"/>
              </w:rPr>
            </w:pPr>
          </w:p>
        </w:tc>
        <w:tc>
          <w:tcPr>
            <w:tcW w:w="2150" w:type="dxa"/>
          </w:tcPr>
          <w:p w:rsidRPr="008E7737" w:rsidR="009F080F" w:rsidP="00FD298F" w:rsidRDefault="009F080F" w14:paraId="21AAE5A7" w14:textId="0BD68D4A">
            <w:pPr>
              <w:pStyle w:val="Tabletext-Small"/>
              <w:rPr>
                <w:sz w:val="22"/>
              </w:rPr>
            </w:pPr>
            <w:r w:rsidRPr="008E7737">
              <w:rPr>
                <w:sz w:val="22"/>
              </w:rPr>
              <w:t>To what extent is MAGC investment providing Value for Money for HMG?</w:t>
            </w:r>
          </w:p>
        </w:tc>
        <w:tc>
          <w:tcPr>
            <w:tcW w:w="0" w:type="dxa"/>
            <w:gridSpan w:val="4"/>
          </w:tcPr>
          <w:p w:rsidRPr="008E7737" w:rsidR="009F080F" w:rsidP="009F080F" w:rsidRDefault="009F080F" w14:paraId="72893A22" w14:textId="123364A1">
            <w:pPr>
              <w:pStyle w:val="Tabletext-Small"/>
              <w:rPr>
                <w:sz w:val="22"/>
              </w:rPr>
            </w:pPr>
            <w:r w:rsidRPr="008E7737">
              <w:rPr>
                <w:sz w:val="22"/>
              </w:rPr>
              <w:t>For the VfM assessment judgement criteria and analytical methods please refer to Annex 6.</w:t>
            </w:r>
          </w:p>
          <w:p w:rsidRPr="008E7737" w:rsidR="009F080F" w:rsidP="00FD298F" w:rsidRDefault="009F080F" w14:paraId="50AE5682" w14:textId="0073E30C">
            <w:pPr>
              <w:pStyle w:val="Tabletext-Small"/>
              <w:rPr>
                <w:sz w:val="22"/>
              </w:rPr>
            </w:pPr>
          </w:p>
        </w:tc>
      </w:tr>
      <w:tr w:rsidRPr="008F131F" w:rsidR="009F080F" w:rsidTr="009A3A6F" w14:paraId="4A9B2FE0" w14:textId="4B398906">
        <w:tblPrEx>
          <w:tblLook w:val="0480" w:firstRow="0" w:lastRow="0" w:firstColumn="1" w:lastColumn="0" w:noHBand="0" w:noVBand="1"/>
        </w:tblPrEx>
        <w:trPr>
          <w:trHeight w:val="254"/>
        </w:trPr>
        <w:tc>
          <w:tcPr>
            <w:tcW w:w="14503" w:type="dxa"/>
            <w:gridSpan w:val="6"/>
          </w:tcPr>
          <w:p w:rsidRPr="008E7737" w:rsidR="009F080F" w:rsidP="008E7737" w:rsidRDefault="009F080F" w14:paraId="794A962D" w14:textId="78D9F4BC">
            <w:pPr>
              <w:pStyle w:val="Tabletext-Small"/>
              <w:spacing w:after="100" w:afterAutospacing="1"/>
              <w:rPr>
                <w:rStyle w:val="Boldtext"/>
                <w:rFonts w:eastAsiaTheme="minorHAnsi" w:cstheme="minorBidi"/>
                <w:sz w:val="22"/>
                <w:lang w:eastAsia="en-US"/>
              </w:rPr>
            </w:pPr>
            <w:r w:rsidRPr="008E7737">
              <w:rPr>
                <w:rStyle w:val="Boldtext"/>
                <w:sz w:val="22"/>
              </w:rPr>
              <w:t>Gender Equality, Diversity, and Social Inclusion Learning Questions</w:t>
            </w:r>
          </w:p>
        </w:tc>
      </w:tr>
      <w:tr w:rsidRPr="008F131F" w:rsidR="002C3064" w:rsidTr="00C93E47" w14:paraId="4EC20453" w14:textId="3D7024E0">
        <w:tblPrEx>
          <w:tblLook w:val="0480" w:firstRow="0" w:lastRow="0" w:firstColumn="1" w:lastColumn="0" w:noHBand="0" w:noVBand="1"/>
        </w:tblPrEx>
        <w:trPr>
          <w:trHeight w:val="850"/>
        </w:trPr>
        <w:tc>
          <w:tcPr>
            <w:tcW w:w="1838" w:type="dxa"/>
            <w:vMerge w:val="restart"/>
          </w:tcPr>
          <w:p w:rsidRPr="008E7737" w:rsidR="00FD298F" w:rsidP="00FD298F" w:rsidRDefault="00FD298F" w14:paraId="3E887287" w14:textId="77777777">
            <w:pPr>
              <w:pStyle w:val="Tabletext-Small"/>
              <w:rPr>
                <w:sz w:val="22"/>
              </w:rPr>
            </w:pPr>
          </w:p>
        </w:tc>
        <w:tc>
          <w:tcPr>
            <w:tcW w:w="2150" w:type="dxa"/>
            <w:vMerge w:val="restart"/>
          </w:tcPr>
          <w:p w:rsidRPr="008E7737" w:rsidR="00FD298F" w:rsidP="00FD298F" w:rsidRDefault="00FD298F" w14:paraId="139E69D5" w14:textId="40F6F533">
            <w:pPr>
              <w:pStyle w:val="Tabletext-Small"/>
              <w:rPr>
                <w:sz w:val="22"/>
              </w:rPr>
            </w:pPr>
            <w:r w:rsidRPr="008E7737">
              <w:rPr>
                <w:sz w:val="22"/>
              </w:rPr>
              <w:t>What opportunities did arise/were missed during MAGC delivery on Gender Equality Disability and Social Inclusion (GEDSI)? How could we address GEDSI in future programme design?</w:t>
            </w:r>
          </w:p>
        </w:tc>
        <w:tc>
          <w:tcPr>
            <w:tcW w:w="3520" w:type="dxa"/>
          </w:tcPr>
          <w:p w:rsidRPr="008E7737" w:rsidR="00FD298F" w:rsidP="00FD298F" w:rsidRDefault="00FD298F" w14:paraId="3F4EBA1D" w14:textId="77777777">
            <w:pPr>
              <w:pStyle w:val="Tabletext-Small"/>
              <w:rPr>
                <w:sz w:val="22"/>
              </w:rPr>
            </w:pPr>
            <w:r w:rsidRPr="008E7737">
              <w:rPr>
                <w:sz w:val="22"/>
              </w:rPr>
              <w:t>MAGC delivery</w:t>
            </w:r>
          </w:p>
          <w:p w:rsidRPr="009C1DAE" w:rsidR="00FD298F" w:rsidP="00E94EE2" w:rsidRDefault="00FD298F" w14:paraId="4A46CB0B" w14:textId="286D2A3A">
            <w:pPr>
              <w:pStyle w:val="DESNZbulletedlist"/>
              <w:rPr>
                <w:sz w:val="22"/>
              </w:rPr>
            </w:pPr>
            <w:r w:rsidRPr="009C1DAE">
              <w:rPr>
                <w:sz w:val="22"/>
              </w:rPr>
              <w:t>Evidence of the realisation of unintended GEDSI benefits: extent to which GEDSI was facilitated or supported (or happened spontaneously) even though it was not a part of the contractual arrangements with IFC.</w:t>
            </w:r>
          </w:p>
          <w:p w:rsidRPr="009C1DAE" w:rsidR="00FD298F" w:rsidP="00E94EE2" w:rsidRDefault="00FD298F" w14:paraId="18E83D0A" w14:textId="30B9B814">
            <w:pPr>
              <w:pStyle w:val="DESNZbulletedlist"/>
              <w:rPr>
                <w:sz w:val="22"/>
              </w:rPr>
            </w:pPr>
            <w:r w:rsidRPr="009C1DAE">
              <w:rPr>
                <w:sz w:val="22"/>
              </w:rPr>
              <w:t>What aspects (if any) of the MAGC supported (or prevented) GEDSI benefits from occurring, and any external factors</w:t>
            </w:r>
          </w:p>
          <w:p w:rsidRPr="009C1DAE" w:rsidR="00FD298F" w:rsidP="00E94EE2" w:rsidRDefault="00FD298F" w14:paraId="207A6C85" w14:textId="72778A3C">
            <w:pPr>
              <w:pStyle w:val="DESNZbulletedlist"/>
              <w:rPr>
                <w:sz w:val="22"/>
              </w:rPr>
            </w:pPr>
            <w:r w:rsidRPr="009C1DAE">
              <w:rPr>
                <w:sz w:val="22"/>
              </w:rPr>
              <w:t xml:space="preserve">Indicators that it would have been useful to include in the original </w:t>
            </w:r>
            <w:r w:rsidR="0070552C">
              <w:rPr>
                <w:sz w:val="22"/>
              </w:rPr>
              <w:t>L</w:t>
            </w:r>
            <w:r w:rsidRPr="009C1DAE">
              <w:rPr>
                <w:sz w:val="22"/>
              </w:rPr>
              <w:t>ogframe to monitor GEDSI objectives</w:t>
            </w:r>
          </w:p>
          <w:p w:rsidRPr="00E94EE2" w:rsidR="00FD298F" w:rsidP="00E94EE2" w:rsidRDefault="00FD298F" w14:paraId="13A1F386" w14:textId="4825E3AB">
            <w:pPr>
              <w:pStyle w:val="DESNZbulletedlist"/>
            </w:pPr>
            <w:r w:rsidRPr="009C1DAE">
              <w:rPr>
                <w:sz w:val="22"/>
              </w:rPr>
              <w:t xml:space="preserve">[If GEDSI relevant indicators are added to the </w:t>
            </w:r>
            <w:r w:rsidR="0070552C">
              <w:rPr>
                <w:sz w:val="22"/>
              </w:rPr>
              <w:t>L</w:t>
            </w:r>
            <w:r w:rsidRPr="009C1DAE">
              <w:rPr>
                <w:sz w:val="22"/>
              </w:rPr>
              <w:t>ogframe]: To what extent has the addition of [Indicator] led to an increased focus on achieving [Indicator]?</w:t>
            </w:r>
          </w:p>
        </w:tc>
        <w:tc>
          <w:tcPr>
            <w:tcW w:w="2376" w:type="dxa"/>
          </w:tcPr>
          <w:p w:rsidRPr="008E7737" w:rsidR="00FD298F" w:rsidP="008E7737" w:rsidRDefault="00FD298F" w14:paraId="2B36E5A3" w14:textId="77081601">
            <w:pPr>
              <w:pStyle w:val="Tabletext-Small"/>
              <w:spacing w:after="120"/>
              <w:ind w:left="0" w:right="0"/>
              <w:rPr>
                <w:rFonts w:cs="Arial"/>
                <w:sz w:val="22"/>
              </w:rPr>
            </w:pPr>
            <w:r w:rsidRPr="008E7737">
              <w:rPr>
                <w:rFonts w:cs="Arial"/>
                <w:sz w:val="22"/>
              </w:rPr>
              <w:t>Case studies</w:t>
            </w:r>
          </w:p>
          <w:p w:rsidRPr="008E7737" w:rsidR="009F080F" w:rsidP="008E7737" w:rsidRDefault="009F080F" w14:paraId="15466569" w14:textId="587E968C">
            <w:pPr>
              <w:pStyle w:val="Tabletext-Small"/>
              <w:spacing w:after="120"/>
              <w:ind w:left="0" w:right="0"/>
              <w:rPr>
                <w:rFonts w:cs="Arial"/>
                <w:sz w:val="22"/>
              </w:rPr>
            </w:pPr>
            <w:r w:rsidRPr="008E7737">
              <w:rPr>
                <w:rFonts w:cs="Arial"/>
                <w:sz w:val="22"/>
              </w:rPr>
              <w:t>Stakeholder interviews</w:t>
            </w:r>
          </w:p>
          <w:p w:rsidRPr="008E7737" w:rsidR="009F080F" w:rsidP="008E7737" w:rsidRDefault="009F080F" w14:paraId="2DB8DA1D" w14:textId="3B57C49D">
            <w:pPr>
              <w:pStyle w:val="Tabletext-Small"/>
              <w:spacing w:after="120"/>
              <w:ind w:left="0" w:right="0"/>
              <w:rPr>
                <w:rFonts w:cs="Arial"/>
                <w:sz w:val="22"/>
              </w:rPr>
            </w:pPr>
            <w:r w:rsidRPr="008E7737">
              <w:rPr>
                <w:rFonts w:cs="Arial"/>
                <w:sz w:val="22"/>
              </w:rPr>
              <w:t>Focus groups</w:t>
            </w:r>
          </w:p>
          <w:p w:rsidRPr="008E7737" w:rsidR="009F080F" w:rsidP="008E7737" w:rsidRDefault="009F080F" w14:paraId="37E928CF" w14:textId="6A1C0FAB">
            <w:pPr>
              <w:pStyle w:val="Tabletext-Small"/>
              <w:spacing w:after="120"/>
              <w:ind w:left="0" w:right="0"/>
              <w:rPr>
                <w:rFonts w:cs="Arial"/>
                <w:sz w:val="22"/>
              </w:rPr>
            </w:pPr>
            <w:r w:rsidRPr="008E7737">
              <w:rPr>
                <w:rFonts w:cs="Arial"/>
                <w:sz w:val="22"/>
              </w:rPr>
              <w:t>Desk research</w:t>
            </w:r>
          </w:p>
        </w:tc>
        <w:tc>
          <w:tcPr>
            <w:tcW w:w="0" w:type="dxa"/>
          </w:tcPr>
          <w:p w:rsidRPr="008E7737" w:rsidR="009F080F" w:rsidP="008E7737" w:rsidRDefault="009F080F" w14:paraId="36FA42F2" w14:textId="30A9728B">
            <w:pPr>
              <w:pStyle w:val="Tabletext-Small"/>
              <w:spacing w:after="120"/>
              <w:ind w:left="0" w:right="0"/>
              <w:rPr>
                <w:rFonts w:cs="Arial"/>
                <w:sz w:val="22"/>
              </w:rPr>
            </w:pPr>
            <w:r w:rsidRPr="008E7737">
              <w:rPr>
                <w:rFonts w:cs="Arial"/>
                <w:sz w:val="22"/>
              </w:rPr>
              <w:t>In-depth interviews with IFC (programme level and country level) and DESNZ (programme level)</w:t>
            </w:r>
          </w:p>
          <w:p w:rsidRPr="008E7737" w:rsidR="009F080F" w:rsidP="009F080F" w:rsidRDefault="009F080F" w14:paraId="59F8B56E" w14:textId="0FABBFDC">
            <w:pPr>
              <w:spacing w:after="120"/>
              <w:rPr>
                <w:rFonts w:cs="Arial"/>
                <w:sz w:val="22"/>
              </w:rPr>
            </w:pPr>
            <w:r w:rsidRPr="008E7737">
              <w:rPr>
                <w:rFonts w:cs="Arial"/>
                <w:sz w:val="22"/>
              </w:rPr>
              <w:t>In-depth interviews with country-level stakeholders</w:t>
            </w:r>
          </w:p>
          <w:p w:rsidRPr="008E7737" w:rsidR="009F080F" w:rsidP="008E7737" w:rsidRDefault="009F080F" w14:paraId="0C65A435" w14:textId="61032FF4">
            <w:pPr>
              <w:pStyle w:val="Tabletext-Small"/>
              <w:spacing w:after="120"/>
              <w:ind w:left="0" w:right="0"/>
              <w:rPr>
                <w:rFonts w:cs="Arial"/>
                <w:sz w:val="22"/>
              </w:rPr>
            </w:pPr>
            <w:r w:rsidRPr="008E7737">
              <w:rPr>
                <w:rFonts w:cs="Arial"/>
                <w:sz w:val="22"/>
              </w:rPr>
              <w:t>Focus groups with EDGE residents</w:t>
            </w:r>
          </w:p>
          <w:p w:rsidRPr="008E7737" w:rsidR="009F080F" w:rsidP="008E7737" w:rsidRDefault="009F080F" w14:paraId="72FB338A" w14:textId="3DBFB218">
            <w:pPr>
              <w:pStyle w:val="Tabletext-Small"/>
              <w:spacing w:after="120"/>
              <w:ind w:left="0" w:right="0"/>
              <w:rPr>
                <w:rFonts w:cs="Arial"/>
                <w:sz w:val="22"/>
              </w:rPr>
            </w:pPr>
            <w:r w:rsidRPr="008E7737">
              <w:rPr>
                <w:rFonts w:cs="Arial"/>
                <w:sz w:val="22"/>
              </w:rPr>
              <w:t>Programme annual reviews, business case, and other documentation (for MAGC and other programmes)</w:t>
            </w:r>
          </w:p>
          <w:p w:rsidRPr="008E7737" w:rsidR="00FD298F" w:rsidP="008E7737" w:rsidRDefault="009F080F" w14:paraId="079DE0B4" w14:textId="48126385">
            <w:pPr>
              <w:pStyle w:val="Tabletext-Small"/>
              <w:spacing w:after="120"/>
              <w:ind w:left="0" w:right="0"/>
              <w:rPr>
                <w:rFonts w:cs="Arial"/>
                <w:sz w:val="22"/>
              </w:rPr>
            </w:pPr>
            <w:r w:rsidRPr="008E7737">
              <w:rPr>
                <w:rFonts w:cs="Arial"/>
                <w:sz w:val="22"/>
              </w:rPr>
              <w:t>External data on countries political economy</w:t>
            </w:r>
          </w:p>
        </w:tc>
        <w:tc>
          <w:tcPr>
            <w:tcW w:w="0" w:type="dxa"/>
          </w:tcPr>
          <w:p w:rsidRPr="008E7737" w:rsidR="00FD298F" w:rsidP="008E7737" w:rsidRDefault="00EA4B84" w14:paraId="03F9A0BA" w14:textId="2262D41B">
            <w:pPr>
              <w:pStyle w:val="Tabletext-Small"/>
              <w:spacing w:after="120"/>
              <w:ind w:left="0" w:right="0"/>
              <w:rPr>
                <w:rFonts w:cs="Arial"/>
                <w:sz w:val="22"/>
              </w:rPr>
            </w:pPr>
            <w:r w:rsidRPr="008E7737">
              <w:rPr>
                <w:rFonts w:cs="Arial"/>
                <w:sz w:val="22"/>
              </w:rPr>
              <w:t xml:space="preserve">Thematic </w:t>
            </w:r>
            <w:r w:rsidRPr="008E7737" w:rsidR="009F080F">
              <w:rPr>
                <w:rFonts w:cs="Arial"/>
                <w:sz w:val="22"/>
              </w:rPr>
              <w:t>analysis of stakeholder interviews and focus groups</w:t>
            </w:r>
          </w:p>
          <w:p w:rsidRPr="008E7737" w:rsidR="009F080F" w:rsidP="008E7737" w:rsidRDefault="009F080F" w14:paraId="53B95544" w14:textId="37261B0C">
            <w:pPr>
              <w:pStyle w:val="Tabletext-Small"/>
              <w:spacing w:after="120"/>
              <w:ind w:left="0" w:right="0"/>
              <w:rPr>
                <w:rFonts w:cs="Arial"/>
                <w:sz w:val="22"/>
              </w:rPr>
            </w:pPr>
            <w:r w:rsidRPr="008E7737">
              <w:rPr>
                <w:rFonts w:cs="Arial"/>
                <w:sz w:val="22"/>
              </w:rPr>
              <w:t>Longitudinal PEA</w:t>
            </w:r>
          </w:p>
          <w:p w:rsidRPr="008E7737" w:rsidR="009F080F" w:rsidP="008E7737" w:rsidRDefault="009F080F" w14:paraId="744737E5" w14:textId="52C0CDFA">
            <w:pPr>
              <w:pStyle w:val="Tabletext-Small"/>
              <w:spacing w:after="120"/>
              <w:ind w:left="0" w:right="0"/>
              <w:rPr>
                <w:rFonts w:cs="Arial"/>
                <w:sz w:val="22"/>
              </w:rPr>
            </w:pPr>
            <w:r w:rsidRPr="008E7737">
              <w:rPr>
                <w:rFonts w:cs="Arial"/>
                <w:sz w:val="22"/>
              </w:rPr>
              <w:t>Outcome mapping</w:t>
            </w:r>
          </w:p>
          <w:p w:rsidRPr="008E7737" w:rsidR="009F080F" w:rsidP="008E7737" w:rsidRDefault="009F080F" w14:paraId="124367D7" w14:textId="40051A35">
            <w:pPr>
              <w:pStyle w:val="Tabletext-Small"/>
              <w:spacing w:after="120"/>
              <w:ind w:left="0" w:right="0"/>
              <w:rPr>
                <w:rFonts w:cs="Arial"/>
                <w:sz w:val="22"/>
              </w:rPr>
            </w:pPr>
            <w:r w:rsidRPr="008E7737">
              <w:rPr>
                <w:rFonts w:cs="Arial"/>
                <w:sz w:val="22"/>
              </w:rPr>
              <w:t>Content analysis of programme documents</w:t>
            </w:r>
          </w:p>
        </w:tc>
      </w:tr>
      <w:tr w:rsidRPr="008F131F" w:rsidR="002C3064" w:rsidTr="00C93E47" w14:paraId="364B4A8F" w14:textId="3EF35B01">
        <w:tblPrEx>
          <w:tblLook w:val="0480" w:firstRow="0" w:lastRow="0" w:firstColumn="1" w:lastColumn="0" w:noHBand="0" w:noVBand="1"/>
        </w:tblPrEx>
        <w:trPr>
          <w:trHeight w:val="2935"/>
        </w:trPr>
        <w:tc>
          <w:tcPr>
            <w:tcW w:w="1838" w:type="dxa"/>
            <w:vMerge/>
          </w:tcPr>
          <w:p w:rsidRPr="008E7737" w:rsidR="00FD298F" w:rsidP="00FD298F" w:rsidRDefault="00FD298F" w14:paraId="042CC111" w14:textId="77777777">
            <w:pPr>
              <w:pStyle w:val="Tabletext-Small"/>
              <w:rPr>
                <w:sz w:val="22"/>
              </w:rPr>
            </w:pPr>
          </w:p>
        </w:tc>
        <w:tc>
          <w:tcPr>
            <w:tcW w:w="2150" w:type="dxa"/>
            <w:vMerge/>
          </w:tcPr>
          <w:p w:rsidRPr="008E7737" w:rsidR="00FD298F" w:rsidP="00FD298F" w:rsidRDefault="00FD298F" w14:paraId="43F765A5" w14:textId="77777777">
            <w:pPr>
              <w:pStyle w:val="Tabletext-Small"/>
              <w:rPr>
                <w:sz w:val="22"/>
              </w:rPr>
            </w:pPr>
          </w:p>
        </w:tc>
        <w:tc>
          <w:tcPr>
            <w:tcW w:w="3520" w:type="dxa"/>
          </w:tcPr>
          <w:p w:rsidRPr="008E7737" w:rsidR="00FD298F" w:rsidP="00FD298F" w:rsidRDefault="00FD298F" w14:paraId="050334D3" w14:textId="629177BF">
            <w:pPr>
              <w:pStyle w:val="Tabletext-Small"/>
              <w:rPr>
                <w:sz w:val="22"/>
              </w:rPr>
            </w:pPr>
            <w:r w:rsidRPr="008E7737">
              <w:rPr>
                <w:sz w:val="22"/>
              </w:rPr>
              <w:t xml:space="preserve">Current GEDSI relevant indicators: </w:t>
            </w:r>
          </w:p>
          <w:p w:rsidRPr="009C1DAE" w:rsidR="00FD298F" w:rsidP="00E94EE2" w:rsidRDefault="00FD298F" w14:paraId="670E39DF" w14:textId="77777777">
            <w:pPr>
              <w:pStyle w:val="DESNZbulletedlist"/>
              <w:rPr>
                <w:sz w:val="22"/>
              </w:rPr>
            </w:pPr>
            <w:r w:rsidRPr="009C1DAE">
              <w:rPr>
                <w:sz w:val="22"/>
              </w:rPr>
              <w:t>What is the gender split of auditors and experts within the EDGE Gender and Social Inclusion Standard?</w:t>
            </w:r>
          </w:p>
          <w:p w:rsidRPr="009C1DAE" w:rsidR="00FD298F" w:rsidP="00E94EE2" w:rsidRDefault="00FD298F" w14:paraId="27CF1B32" w14:textId="77777777">
            <w:pPr>
              <w:pStyle w:val="DESNZbulletedlist"/>
              <w:rPr>
                <w:sz w:val="22"/>
              </w:rPr>
            </w:pPr>
            <w:r w:rsidRPr="009C1DAE">
              <w:rPr>
                <w:sz w:val="22"/>
              </w:rPr>
              <w:t xml:space="preserve">Under the updated administrative arrangement for the investment agreement on affordable housing, has the 17.5% target of investments for affordable housing been met/exceeded? </w:t>
            </w:r>
          </w:p>
          <w:p w:rsidRPr="00E94EE2" w:rsidR="00FD298F" w:rsidP="00E94EE2" w:rsidRDefault="00FD298F" w14:paraId="4F531851" w14:textId="27613718">
            <w:pPr>
              <w:pStyle w:val="DESNZbulletedlist"/>
            </w:pPr>
            <w:r w:rsidRPr="009C1DAE">
              <w:rPr>
                <w:sz w:val="22"/>
              </w:rPr>
              <w:t xml:space="preserve">[Inclusion of new, relevant indicators that are introduced as part of ongoing reviews of the </w:t>
            </w:r>
            <w:r w:rsidR="0070552C">
              <w:rPr>
                <w:sz w:val="22"/>
              </w:rPr>
              <w:t>L</w:t>
            </w:r>
            <w:r w:rsidRPr="009C1DAE">
              <w:rPr>
                <w:sz w:val="22"/>
              </w:rPr>
              <w:t>ogframe</w:t>
            </w:r>
            <w:r w:rsidRPr="008E7737">
              <w:rPr>
                <w:sz w:val="22"/>
              </w:rPr>
              <w:t>]</w:t>
            </w:r>
          </w:p>
        </w:tc>
        <w:tc>
          <w:tcPr>
            <w:tcW w:w="2376" w:type="dxa"/>
          </w:tcPr>
          <w:p w:rsidRPr="008E7737" w:rsidR="009F080F" w:rsidP="008E7737" w:rsidRDefault="009F080F" w14:paraId="76F31E38" w14:textId="1E4A55AD">
            <w:pPr>
              <w:pStyle w:val="Tabletext-Small"/>
              <w:spacing w:after="120"/>
              <w:ind w:left="0" w:right="0"/>
              <w:rPr>
                <w:rFonts w:cs="Arial"/>
                <w:sz w:val="22"/>
              </w:rPr>
            </w:pPr>
            <w:r w:rsidRPr="008E7737">
              <w:rPr>
                <w:rFonts w:cs="Arial"/>
                <w:sz w:val="22"/>
              </w:rPr>
              <w:t>Case studies</w:t>
            </w:r>
          </w:p>
          <w:p w:rsidRPr="008E7737" w:rsidR="009F080F" w:rsidP="008E7737" w:rsidRDefault="009F080F" w14:paraId="67DB31E4" w14:textId="34F4A32C">
            <w:pPr>
              <w:pStyle w:val="Tabletext-Small"/>
              <w:spacing w:after="120"/>
              <w:ind w:left="0" w:right="0"/>
              <w:rPr>
                <w:rFonts w:cs="Arial"/>
                <w:sz w:val="22"/>
              </w:rPr>
            </w:pPr>
            <w:r w:rsidRPr="008E7737">
              <w:rPr>
                <w:rFonts w:cs="Arial"/>
                <w:sz w:val="22"/>
              </w:rPr>
              <w:t>Stakeholder interviews</w:t>
            </w:r>
          </w:p>
          <w:p w:rsidRPr="008E7737" w:rsidR="009F080F" w:rsidP="008E7737" w:rsidRDefault="009F080F" w14:paraId="5F15F93A" w14:textId="4FC733B5">
            <w:pPr>
              <w:pStyle w:val="Tabletext-Small"/>
              <w:spacing w:after="120"/>
              <w:ind w:left="0" w:right="0"/>
              <w:rPr>
                <w:rFonts w:cs="Arial"/>
                <w:sz w:val="22"/>
              </w:rPr>
            </w:pPr>
            <w:r w:rsidRPr="008E7737">
              <w:rPr>
                <w:rFonts w:cs="Arial"/>
                <w:sz w:val="22"/>
              </w:rPr>
              <w:t>Focus groups</w:t>
            </w:r>
          </w:p>
          <w:p w:rsidRPr="008E7737" w:rsidR="00FD298F" w:rsidP="008E7737" w:rsidRDefault="009F080F" w14:paraId="04AB5EE2" w14:textId="2805D26E">
            <w:pPr>
              <w:pStyle w:val="Tabletext-Small"/>
              <w:spacing w:after="120"/>
              <w:ind w:left="0" w:right="0"/>
              <w:rPr>
                <w:rFonts w:cs="Arial"/>
                <w:sz w:val="22"/>
              </w:rPr>
            </w:pPr>
            <w:r w:rsidRPr="008E7737">
              <w:rPr>
                <w:rFonts w:cs="Arial"/>
                <w:sz w:val="22"/>
              </w:rPr>
              <w:t>Desk research</w:t>
            </w:r>
          </w:p>
        </w:tc>
        <w:tc>
          <w:tcPr>
            <w:tcW w:w="0" w:type="dxa"/>
          </w:tcPr>
          <w:p w:rsidRPr="008E7737" w:rsidR="009F080F" w:rsidP="008E7737" w:rsidRDefault="009F080F" w14:paraId="7CD59782" w14:textId="1DF951BC">
            <w:pPr>
              <w:pStyle w:val="Tabletext-Small"/>
              <w:spacing w:after="120"/>
              <w:ind w:left="0" w:right="0"/>
              <w:rPr>
                <w:rFonts w:cs="Arial"/>
                <w:sz w:val="22"/>
              </w:rPr>
            </w:pPr>
            <w:r w:rsidRPr="008E7737">
              <w:rPr>
                <w:rFonts w:cs="Arial"/>
                <w:sz w:val="22"/>
              </w:rPr>
              <w:t>In-depth interviews with IFC (programme level and country level) and DESNZ (programme level)</w:t>
            </w:r>
          </w:p>
          <w:p w:rsidRPr="008E7737" w:rsidR="009F080F" w:rsidP="009F080F" w:rsidRDefault="009F080F" w14:paraId="29225010" w14:textId="4BCD0FB1">
            <w:pPr>
              <w:spacing w:after="120"/>
              <w:rPr>
                <w:rFonts w:cs="Arial"/>
                <w:sz w:val="22"/>
              </w:rPr>
            </w:pPr>
            <w:r w:rsidRPr="008E7737">
              <w:rPr>
                <w:rFonts w:cs="Arial"/>
                <w:sz w:val="22"/>
              </w:rPr>
              <w:t>In-depth interviews with country-level stakeholders</w:t>
            </w:r>
          </w:p>
          <w:p w:rsidRPr="008E7737" w:rsidR="009F080F" w:rsidP="008E7737" w:rsidRDefault="009F080F" w14:paraId="246636C7" w14:textId="6BA11F85">
            <w:pPr>
              <w:pStyle w:val="Tabletext-Small"/>
              <w:spacing w:after="120"/>
              <w:ind w:left="0" w:right="0"/>
              <w:rPr>
                <w:rFonts w:cs="Arial"/>
                <w:sz w:val="22"/>
              </w:rPr>
            </w:pPr>
            <w:r w:rsidRPr="008E7737">
              <w:rPr>
                <w:rFonts w:cs="Arial"/>
                <w:sz w:val="22"/>
              </w:rPr>
              <w:t>Focus groups with EDGE residents</w:t>
            </w:r>
          </w:p>
          <w:p w:rsidRPr="008E7737" w:rsidR="00FD298F" w:rsidP="008E7737" w:rsidRDefault="009F080F" w14:paraId="4E448912" w14:textId="78BB78D9">
            <w:pPr>
              <w:pStyle w:val="Tabletext-Small"/>
              <w:spacing w:after="120"/>
              <w:ind w:left="0" w:right="0"/>
              <w:rPr>
                <w:rFonts w:cs="Arial"/>
                <w:sz w:val="22"/>
              </w:rPr>
            </w:pPr>
            <w:r w:rsidRPr="008E7737">
              <w:rPr>
                <w:rFonts w:cs="Arial"/>
                <w:sz w:val="22"/>
              </w:rPr>
              <w:t>Programme annual reviews, business case, and other documentation</w:t>
            </w:r>
          </w:p>
        </w:tc>
        <w:tc>
          <w:tcPr>
            <w:tcW w:w="0" w:type="dxa"/>
          </w:tcPr>
          <w:p w:rsidRPr="008E7737" w:rsidR="009F080F" w:rsidP="008E7737" w:rsidRDefault="00EA4B84" w14:paraId="22A0B8A3" w14:textId="585F6D80">
            <w:pPr>
              <w:pStyle w:val="Tabletext-Small"/>
              <w:spacing w:after="120"/>
              <w:ind w:left="0" w:right="0"/>
              <w:rPr>
                <w:rFonts w:cs="Arial"/>
                <w:sz w:val="22"/>
              </w:rPr>
            </w:pPr>
            <w:r w:rsidRPr="008E7737">
              <w:rPr>
                <w:rFonts w:cs="Arial"/>
                <w:sz w:val="22"/>
              </w:rPr>
              <w:t xml:space="preserve">Thematic </w:t>
            </w:r>
            <w:r w:rsidRPr="008E7737" w:rsidR="009F080F">
              <w:rPr>
                <w:rFonts w:cs="Arial"/>
                <w:sz w:val="22"/>
              </w:rPr>
              <w:t>analysis of stakeholder interviews and focus groups</w:t>
            </w:r>
          </w:p>
          <w:p w:rsidRPr="008E7737" w:rsidR="00FD298F" w:rsidP="008E7737" w:rsidRDefault="009F080F" w14:paraId="18F6FC2C" w14:textId="66FA3348">
            <w:pPr>
              <w:pStyle w:val="Tabletext-Small"/>
              <w:spacing w:after="120"/>
              <w:ind w:left="0" w:right="0"/>
              <w:rPr>
                <w:rFonts w:cs="Arial"/>
                <w:sz w:val="22"/>
              </w:rPr>
            </w:pPr>
            <w:r w:rsidRPr="008E7737">
              <w:rPr>
                <w:rFonts w:cs="Arial"/>
                <w:sz w:val="22"/>
              </w:rPr>
              <w:t>Content analysis of programme documents</w:t>
            </w:r>
          </w:p>
        </w:tc>
      </w:tr>
      <w:tr w:rsidRPr="008F131F" w:rsidR="008F131F" w:rsidTr="009A3A6F" w14:paraId="6180EB18" w14:textId="5634F069">
        <w:tblPrEx>
          <w:tblLook w:val="0480" w:firstRow="0" w:lastRow="0" w:firstColumn="1" w:lastColumn="0" w:noHBand="0" w:noVBand="1"/>
        </w:tblPrEx>
        <w:trPr>
          <w:trHeight w:val="397"/>
        </w:trPr>
        <w:tc>
          <w:tcPr>
            <w:tcW w:w="1838" w:type="dxa"/>
            <w:vMerge/>
          </w:tcPr>
          <w:p w:rsidRPr="008E7737" w:rsidR="00FD298F" w:rsidP="00FD298F" w:rsidRDefault="00FD298F" w14:paraId="017833AF" w14:textId="77777777">
            <w:pPr>
              <w:pStyle w:val="Tabletext-Small"/>
              <w:rPr>
                <w:sz w:val="22"/>
              </w:rPr>
            </w:pPr>
          </w:p>
        </w:tc>
        <w:tc>
          <w:tcPr>
            <w:tcW w:w="2150" w:type="dxa"/>
            <w:vMerge/>
          </w:tcPr>
          <w:p w:rsidRPr="008E7737" w:rsidR="00FD298F" w:rsidP="00FD298F" w:rsidRDefault="00FD298F" w14:paraId="7B636AFB" w14:textId="77777777">
            <w:pPr>
              <w:pStyle w:val="Tabletext-Small"/>
              <w:rPr>
                <w:sz w:val="22"/>
              </w:rPr>
            </w:pPr>
          </w:p>
        </w:tc>
        <w:tc>
          <w:tcPr>
            <w:tcW w:w="3520" w:type="dxa"/>
          </w:tcPr>
          <w:p w:rsidRPr="008E7737" w:rsidR="00FD298F" w:rsidP="00FD298F" w:rsidRDefault="00FD298F" w14:paraId="300C180C" w14:textId="77777777">
            <w:pPr>
              <w:pStyle w:val="Tabletext-Small"/>
              <w:rPr>
                <w:sz w:val="22"/>
              </w:rPr>
            </w:pPr>
            <w:r w:rsidRPr="008E7737">
              <w:rPr>
                <w:sz w:val="22"/>
              </w:rPr>
              <w:t>Future programme design</w:t>
            </w:r>
          </w:p>
          <w:p w:rsidRPr="009C1DAE" w:rsidR="00FD298F" w:rsidP="00E94EE2" w:rsidRDefault="00FD298F" w14:paraId="5B0342EC" w14:textId="49C8CAA8">
            <w:pPr>
              <w:pStyle w:val="DESNZbulletedlist"/>
              <w:rPr>
                <w:sz w:val="22"/>
              </w:rPr>
            </w:pPr>
            <w:r w:rsidRPr="009C1DAE">
              <w:rPr>
                <w:sz w:val="22"/>
              </w:rPr>
              <w:t xml:space="preserve">Extent to which GEDSI lessons have been systematically captured and shared to support onward and wider sector learning for supporting GEDSI in green construction globally </w:t>
            </w:r>
          </w:p>
          <w:p w:rsidRPr="009C1DAE" w:rsidR="00FD298F" w:rsidP="00E94EE2" w:rsidRDefault="00FD298F" w14:paraId="272B4B47" w14:textId="2798C03D">
            <w:pPr>
              <w:pStyle w:val="DESNZbulletedlist"/>
              <w:rPr>
                <w:sz w:val="22"/>
              </w:rPr>
            </w:pPr>
            <w:r w:rsidRPr="009C1DAE">
              <w:rPr>
                <w:sz w:val="22"/>
              </w:rPr>
              <w:t>Feasibility for future programming on green construction to include social impact as a key aim (including business case development, Terms of Reference (</w:t>
            </w:r>
            <w:proofErr w:type="spellStart"/>
            <w:r w:rsidRPr="009C1DAE">
              <w:rPr>
                <w:sz w:val="22"/>
              </w:rPr>
              <w:t>ToRs</w:t>
            </w:r>
            <w:proofErr w:type="spellEnd"/>
            <w:r w:rsidRPr="009C1DAE">
              <w:rPr>
                <w:sz w:val="22"/>
              </w:rPr>
              <w:t xml:space="preserve">), programme design, </w:t>
            </w:r>
            <w:r w:rsidRPr="009C1DAE">
              <w:rPr>
                <w:sz w:val="22"/>
              </w:rPr>
              <w:t>design of Monitoring &amp; Evaluation (M&amp;E) processes</w:t>
            </w:r>
            <w:r w:rsidRPr="008E7737">
              <w:rPr>
                <w:sz w:val="22"/>
              </w:rPr>
              <w:t>)</w:t>
            </w:r>
          </w:p>
          <w:p w:rsidRPr="009C1DAE" w:rsidR="00FD298F" w:rsidP="00E94EE2" w:rsidRDefault="00FD298F" w14:paraId="42F399B7" w14:textId="6A9AF158">
            <w:pPr>
              <w:pStyle w:val="DESNZbulletedlist"/>
              <w:rPr>
                <w:sz w:val="22"/>
              </w:rPr>
            </w:pPr>
            <w:r w:rsidRPr="009C1DAE">
              <w:rPr>
                <w:sz w:val="22"/>
              </w:rPr>
              <w:t>How different stakeholder groups in future programming can facilitate the inclusion of GEDSI in design and delivery</w:t>
            </w:r>
          </w:p>
          <w:p w:rsidRPr="00E94EE2" w:rsidR="00FD298F" w:rsidP="00E94EE2" w:rsidRDefault="00FD298F" w14:paraId="04288106" w14:textId="46F52697">
            <w:pPr>
              <w:pStyle w:val="DESNZbulletedlist"/>
            </w:pPr>
            <w:r w:rsidRPr="009C1DAE">
              <w:rPr>
                <w:sz w:val="22"/>
              </w:rPr>
              <w:t>GEDSI indicators useful to include in future programme monitoring processe</w:t>
            </w:r>
            <w:r w:rsidRPr="009C1DAE" w:rsidR="008F131F">
              <w:rPr>
                <w:sz w:val="22"/>
              </w:rPr>
              <w:t>s</w:t>
            </w:r>
          </w:p>
        </w:tc>
        <w:tc>
          <w:tcPr>
            <w:tcW w:w="2376" w:type="dxa"/>
          </w:tcPr>
          <w:p w:rsidRPr="008E7737" w:rsidR="009F080F" w:rsidP="008E7737" w:rsidRDefault="009F080F" w14:paraId="307C441E" w14:textId="3AE080F4">
            <w:pPr>
              <w:pStyle w:val="Tabletext-Small"/>
              <w:spacing w:after="120"/>
              <w:ind w:left="0" w:right="0"/>
              <w:rPr>
                <w:rFonts w:cs="Arial"/>
                <w:sz w:val="22"/>
              </w:rPr>
            </w:pPr>
            <w:r w:rsidRPr="008E7737">
              <w:rPr>
                <w:rFonts w:cs="Arial"/>
                <w:sz w:val="22"/>
              </w:rPr>
              <w:t>Case studies</w:t>
            </w:r>
          </w:p>
          <w:p w:rsidRPr="008E7737" w:rsidR="009F080F" w:rsidP="008E7737" w:rsidRDefault="009F080F" w14:paraId="2A4E1282" w14:textId="16103B05">
            <w:pPr>
              <w:pStyle w:val="Tabletext-Small"/>
              <w:spacing w:after="120"/>
              <w:ind w:left="0" w:right="0"/>
              <w:rPr>
                <w:rFonts w:cs="Arial"/>
                <w:sz w:val="22"/>
              </w:rPr>
            </w:pPr>
            <w:r w:rsidRPr="008E7737">
              <w:rPr>
                <w:rFonts w:cs="Arial"/>
                <w:sz w:val="22"/>
              </w:rPr>
              <w:t>Stakeholder interviews</w:t>
            </w:r>
          </w:p>
          <w:p w:rsidRPr="008E7737" w:rsidR="009F080F" w:rsidP="008E7737" w:rsidRDefault="009F080F" w14:paraId="1028D661" w14:textId="606DC6EB">
            <w:pPr>
              <w:pStyle w:val="Tabletext-Small"/>
              <w:spacing w:after="120"/>
              <w:ind w:left="0" w:right="0"/>
              <w:rPr>
                <w:rFonts w:cs="Arial"/>
                <w:sz w:val="22"/>
              </w:rPr>
            </w:pPr>
            <w:r w:rsidRPr="008E7737">
              <w:rPr>
                <w:rFonts w:cs="Arial"/>
                <w:sz w:val="22"/>
              </w:rPr>
              <w:t>Focus groups</w:t>
            </w:r>
          </w:p>
          <w:p w:rsidRPr="008E7737" w:rsidR="009F080F" w:rsidP="008E7737" w:rsidRDefault="009F080F" w14:paraId="22979E47" w14:textId="568E5348">
            <w:pPr>
              <w:pStyle w:val="Tabletext-Small"/>
              <w:spacing w:after="120"/>
              <w:ind w:left="0" w:right="0"/>
              <w:rPr>
                <w:rFonts w:cs="Arial"/>
                <w:sz w:val="22"/>
              </w:rPr>
            </w:pPr>
            <w:r w:rsidRPr="008E7737">
              <w:rPr>
                <w:rFonts w:cs="Arial"/>
                <w:sz w:val="22"/>
              </w:rPr>
              <w:t>Desk research</w:t>
            </w:r>
          </w:p>
          <w:p w:rsidRPr="008E7737" w:rsidR="009F080F" w:rsidP="008E7737" w:rsidRDefault="009F080F" w14:paraId="46C5D02E" w14:textId="77777777">
            <w:pPr>
              <w:pStyle w:val="Tabletext-Small"/>
              <w:spacing w:after="120"/>
              <w:ind w:left="0" w:right="0"/>
              <w:rPr>
                <w:rFonts w:cs="Arial"/>
                <w:sz w:val="22"/>
              </w:rPr>
            </w:pPr>
          </w:p>
          <w:p w:rsidRPr="008E7737" w:rsidR="00FD298F" w:rsidP="008E7737" w:rsidRDefault="00FD298F" w14:paraId="2F9BDE88" w14:textId="77777777">
            <w:pPr>
              <w:pStyle w:val="Tabletext-Small"/>
              <w:spacing w:after="120"/>
              <w:ind w:left="0" w:right="0"/>
              <w:rPr>
                <w:rFonts w:cs="Arial"/>
                <w:sz w:val="22"/>
              </w:rPr>
            </w:pPr>
          </w:p>
        </w:tc>
        <w:tc>
          <w:tcPr>
            <w:tcW w:w="2469" w:type="dxa"/>
          </w:tcPr>
          <w:p w:rsidRPr="008E7737" w:rsidR="009F080F" w:rsidP="008E7737" w:rsidRDefault="009F080F" w14:paraId="4B03EAE3" w14:textId="22219BE5">
            <w:pPr>
              <w:pStyle w:val="Tabletext-Small"/>
              <w:spacing w:after="120"/>
              <w:ind w:left="0" w:right="0"/>
              <w:rPr>
                <w:rFonts w:cs="Arial"/>
                <w:sz w:val="22"/>
              </w:rPr>
            </w:pPr>
            <w:r w:rsidRPr="008E7737">
              <w:rPr>
                <w:rFonts w:cs="Arial"/>
                <w:sz w:val="22"/>
              </w:rPr>
              <w:t>In-depth interviews with IFC (programme level and country level) and DESNZ (programme level)</w:t>
            </w:r>
          </w:p>
          <w:p w:rsidRPr="008E7737" w:rsidR="009F080F" w:rsidP="009F080F" w:rsidRDefault="009F080F" w14:paraId="7056E3F9" w14:textId="1449CD0D">
            <w:pPr>
              <w:spacing w:after="120"/>
              <w:rPr>
                <w:rFonts w:cs="Arial"/>
                <w:sz w:val="22"/>
              </w:rPr>
            </w:pPr>
            <w:r w:rsidRPr="008E7737">
              <w:rPr>
                <w:rFonts w:cs="Arial"/>
                <w:sz w:val="22"/>
              </w:rPr>
              <w:t>In-depth interviews with country-level stakeholders</w:t>
            </w:r>
          </w:p>
          <w:p w:rsidRPr="008E7737" w:rsidR="009F080F" w:rsidP="008E7737" w:rsidRDefault="009F080F" w14:paraId="4D38F819" w14:textId="2CF38DB0">
            <w:pPr>
              <w:pStyle w:val="Tabletext-Small"/>
              <w:spacing w:after="120"/>
              <w:ind w:left="0" w:right="0"/>
              <w:rPr>
                <w:rFonts w:cs="Arial"/>
                <w:sz w:val="22"/>
              </w:rPr>
            </w:pPr>
            <w:r w:rsidRPr="008E7737">
              <w:rPr>
                <w:rFonts w:cs="Arial"/>
                <w:sz w:val="22"/>
              </w:rPr>
              <w:t>Focus groups with EDGE residents</w:t>
            </w:r>
          </w:p>
          <w:p w:rsidRPr="008E7737" w:rsidR="009F080F" w:rsidP="008E7737" w:rsidRDefault="009F080F" w14:paraId="0E301296" w14:textId="3544391B">
            <w:pPr>
              <w:pStyle w:val="Tabletext-Small"/>
              <w:spacing w:after="120"/>
              <w:ind w:left="0" w:right="0"/>
              <w:rPr>
                <w:rFonts w:cs="Arial"/>
                <w:sz w:val="22"/>
              </w:rPr>
            </w:pPr>
            <w:r w:rsidRPr="008E7737">
              <w:rPr>
                <w:rFonts w:cs="Arial"/>
                <w:sz w:val="22"/>
              </w:rPr>
              <w:t>Programme annual reviews, business case, and other documentation (for MAGC and other programmes)</w:t>
            </w:r>
          </w:p>
          <w:p w:rsidRPr="008E7737" w:rsidR="00FD298F" w:rsidP="008E7737" w:rsidRDefault="00FD298F" w14:paraId="77ADCC3B" w14:textId="7574C880">
            <w:pPr>
              <w:pStyle w:val="Tabletext-Small"/>
              <w:spacing w:after="120"/>
              <w:ind w:left="0" w:right="0"/>
              <w:rPr>
                <w:rFonts w:cs="Arial"/>
                <w:sz w:val="22"/>
              </w:rPr>
            </w:pPr>
          </w:p>
        </w:tc>
        <w:tc>
          <w:tcPr>
            <w:tcW w:w="2150" w:type="dxa"/>
          </w:tcPr>
          <w:p w:rsidRPr="008E7737" w:rsidR="009F080F" w:rsidP="008E7737" w:rsidRDefault="00EA4B84" w14:paraId="7FC57295" w14:textId="10E0129D">
            <w:pPr>
              <w:pStyle w:val="Tabletext-Small"/>
              <w:spacing w:after="120"/>
              <w:ind w:left="0" w:right="0"/>
              <w:rPr>
                <w:rFonts w:cs="Arial"/>
                <w:sz w:val="22"/>
              </w:rPr>
            </w:pPr>
            <w:r w:rsidRPr="008E7737">
              <w:rPr>
                <w:rFonts w:cs="Arial"/>
                <w:sz w:val="22"/>
              </w:rPr>
              <w:t xml:space="preserve">Thematic </w:t>
            </w:r>
            <w:r w:rsidRPr="008E7737" w:rsidR="009F080F">
              <w:rPr>
                <w:rFonts w:cs="Arial"/>
                <w:sz w:val="22"/>
              </w:rPr>
              <w:t>analysis of stakeholder interviews and focus groups</w:t>
            </w:r>
          </w:p>
          <w:p w:rsidRPr="008E7737" w:rsidR="009F080F" w:rsidP="008E7737" w:rsidRDefault="009F080F" w14:paraId="69050FB5" w14:textId="65E493BE">
            <w:pPr>
              <w:pStyle w:val="Tabletext-Small"/>
              <w:spacing w:after="120"/>
              <w:ind w:left="0" w:right="0"/>
              <w:rPr>
                <w:rFonts w:cs="Arial"/>
                <w:sz w:val="22"/>
              </w:rPr>
            </w:pPr>
            <w:r w:rsidRPr="008E7737">
              <w:rPr>
                <w:rFonts w:cs="Arial"/>
                <w:sz w:val="22"/>
              </w:rPr>
              <w:t>Outcome mapping</w:t>
            </w:r>
          </w:p>
          <w:p w:rsidRPr="008E7737" w:rsidR="009F080F" w:rsidP="008E7737" w:rsidRDefault="009F080F" w14:paraId="08743084" w14:textId="12EBE028">
            <w:pPr>
              <w:pStyle w:val="Tabletext-Small"/>
              <w:spacing w:after="120"/>
              <w:ind w:left="0" w:right="0"/>
              <w:rPr>
                <w:rFonts w:cs="Arial"/>
                <w:sz w:val="22"/>
              </w:rPr>
            </w:pPr>
            <w:r w:rsidRPr="008E7737">
              <w:rPr>
                <w:rFonts w:cs="Arial"/>
                <w:sz w:val="22"/>
              </w:rPr>
              <w:t>Content analysis of programme documents</w:t>
            </w:r>
          </w:p>
          <w:p w:rsidRPr="008E7737" w:rsidR="00FD298F" w:rsidP="008E7737" w:rsidRDefault="00FD298F" w14:paraId="47F7D079" w14:textId="77777777">
            <w:pPr>
              <w:pStyle w:val="Tabletext-Small"/>
              <w:spacing w:after="120"/>
              <w:ind w:left="0" w:right="0"/>
              <w:rPr>
                <w:rFonts w:cs="Arial"/>
                <w:sz w:val="22"/>
              </w:rPr>
            </w:pPr>
          </w:p>
        </w:tc>
      </w:tr>
    </w:tbl>
    <w:p w:rsidR="003C33D0" w:rsidP="00EA1E4E" w:rsidRDefault="003C33D0" w14:paraId="7C8AFC52" w14:textId="77777777">
      <w:pPr>
        <w:sectPr w:rsidR="003C33D0" w:rsidSect="003C33D0">
          <w:pgSz w:w="16838" w:h="11906" w:orient="landscape"/>
          <w:pgMar w:top="907" w:right="1418" w:bottom="907" w:left="907" w:header="709" w:footer="266" w:gutter="0"/>
          <w:cols w:space="708"/>
          <w:docGrid w:linePitch="360"/>
        </w:sectPr>
      </w:pPr>
    </w:p>
    <w:p w:rsidR="00D27DBB" w:rsidP="00D27DBB" w:rsidRDefault="00D27DBB" w14:paraId="7576D536" w14:textId="6D09D199">
      <w:pPr>
        <w:pStyle w:val="Heading1"/>
      </w:pPr>
      <w:bookmarkStart w:name="_Toc207790186" w:id="4"/>
      <w:r>
        <w:t xml:space="preserve">Annex </w:t>
      </w:r>
      <w:r w:rsidR="00274A96">
        <w:t>3</w:t>
      </w:r>
      <w:r>
        <w:t>: Methodology</w:t>
      </w:r>
      <w:bookmarkEnd w:id="4"/>
    </w:p>
    <w:p w:rsidR="00D27DBB" w:rsidP="00D27DBB" w:rsidRDefault="00D27DBB" w14:paraId="6FEB4EC8" w14:textId="77777777">
      <w:pPr>
        <w:pStyle w:val="Heading2"/>
      </w:pPr>
      <w:bookmarkStart w:name="_Toc179473985" w:id="5"/>
      <w:bookmarkStart w:name="_Toc181883568" w:id="6"/>
      <w:bookmarkStart w:name="_Toc188870848" w:id="7"/>
      <w:bookmarkStart w:name="_Toc207790187" w:id="8"/>
      <w:r>
        <w:t xml:space="preserve">Aims and scope of the </w:t>
      </w:r>
      <w:r w:rsidRPr="00D72161">
        <w:t>evaluation</w:t>
      </w:r>
      <w:bookmarkEnd w:id="5"/>
      <w:bookmarkEnd w:id="6"/>
      <w:bookmarkEnd w:id="7"/>
      <w:bookmarkEnd w:id="8"/>
    </w:p>
    <w:p w:rsidR="00D27DBB" w:rsidP="00D27DBB" w:rsidRDefault="00D27DBB" w14:paraId="313A3589" w14:textId="5D640B1E">
      <w:r>
        <w:t>The overall evaluation (across the process</w:t>
      </w:r>
      <w:r w:rsidR="00C36CFB">
        <w:t xml:space="preserve"> evaluation</w:t>
      </w:r>
      <w:r>
        <w:t>, impact</w:t>
      </w:r>
      <w:r w:rsidR="00C36CFB">
        <w:t xml:space="preserve"> evaluation,</w:t>
      </w:r>
      <w:r>
        <w:t xml:space="preserve"> and </w:t>
      </w:r>
      <w:r w:rsidR="00C36CFB">
        <w:t>Value for Money</w:t>
      </w:r>
      <w:r>
        <w:t xml:space="preserve"> </w:t>
      </w:r>
      <w:r w:rsidR="00C36CFB">
        <w:t>assessment</w:t>
      </w:r>
      <w:r>
        <w:t>) has the following key aims and objectives:</w:t>
      </w:r>
    </w:p>
    <w:p w:rsidRPr="008848C4" w:rsidR="00D27DBB" w:rsidP="00D27DBB" w:rsidRDefault="00D27DBB" w14:paraId="21248B62" w14:textId="235FE043">
      <w:pPr>
        <w:pStyle w:val="DESNZbulletedlist"/>
      </w:pPr>
      <w:r w:rsidRPr="009D4844">
        <w:t xml:space="preserve">To </w:t>
      </w:r>
      <w:r w:rsidRPr="008848C4">
        <w:t xml:space="preserve">assess whether the programme is achieving its intended benefits through a process, outcome, impact, and </w:t>
      </w:r>
      <w:r w:rsidR="00C36CFB">
        <w:t>Value for Money</w:t>
      </w:r>
      <w:r w:rsidRPr="008848C4">
        <w:t xml:space="preserve"> evaluation. </w:t>
      </w:r>
    </w:p>
    <w:p w:rsidRPr="008848C4" w:rsidR="00D27DBB" w:rsidP="00D27DBB" w:rsidRDefault="00D27DBB" w14:paraId="1203F470" w14:textId="77777777">
      <w:pPr>
        <w:pStyle w:val="DESNZbulletedlist"/>
      </w:pPr>
      <w:r>
        <w:t>T</w:t>
      </w:r>
      <w:r w:rsidRPr="008848C4">
        <w:t>o maximise learning from the evaluation to inform the delivery of MAGC, as well as to inform future strategic decisions.</w:t>
      </w:r>
    </w:p>
    <w:p w:rsidR="00D27DBB" w:rsidP="00D27DBB" w:rsidRDefault="00D27DBB" w14:paraId="3CC52B41" w14:textId="77777777">
      <w:pPr>
        <w:pStyle w:val="DESNZbulletedlist"/>
      </w:pPr>
      <w:r w:rsidRPr="00647166">
        <w:t xml:space="preserve">To </w:t>
      </w:r>
      <w:r w:rsidRPr="008848C4">
        <w:t>disseminate lessons learned more broadly on what works, why and in what contexts in interventions that aim to incentivise the green buildings sector.</w:t>
      </w:r>
    </w:p>
    <w:p w:rsidRPr="00103D6E" w:rsidR="00096DB5" w:rsidP="009A3A6F" w:rsidRDefault="00096DB5" w14:paraId="15AA463B" w14:textId="688B87E8">
      <w:r w:rsidRPr="00103D6E">
        <w:t xml:space="preserve">The </w:t>
      </w:r>
      <w:r>
        <w:t>early outcome</w:t>
      </w:r>
      <w:r w:rsidRPr="00103D6E">
        <w:t xml:space="preserve"> evaluation</w:t>
      </w:r>
      <w:r>
        <w:t>, focus of this report,</w:t>
      </w:r>
      <w:r w:rsidRPr="00103D6E">
        <w:t xml:space="preserve"> is the </w:t>
      </w:r>
      <w:r>
        <w:t>second</w:t>
      </w:r>
      <w:r w:rsidRPr="00103D6E">
        <w:t xml:space="preserve"> phase (phase 1</w:t>
      </w:r>
      <w:r>
        <w:t>b</w:t>
      </w:r>
      <w:r w:rsidRPr="00103D6E">
        <w:t xml:space="preserve">) of the interim evaluation of MAGC. While phase 1a </w:t>
      </w:r>
      <w:r>
        <w:t>was</w:t>
      </w:r>
      <w:r w:rsidRPr="00103D6E">
        <w:t xml:space="preserve"> focused on </w:t>
      </w:r>
      <w:r>
        <w:t xml:space="preserve">the </w:t>
      </w:r>
      <w:r w:rsidRPr="00103D6E">
        <w:t>process evaluation, phase 1b</w:t>
      </w:r>
      <w:r>
        <w:t xml:space="preserve"> focuses</w:t>
      </w:r>
      <w:r w:rsidRPr="00103D6E">
        <w:t xml:space="preserve"> on the early results of the programme, and outcome-related questions</w:t>
      </w:r>
      <w:r w:rsidR="00D72E53">
        <w:t>.</w:t>
      </w:r>
      <w:r>
        <w:t xml:space="preserve"> </w:t>
      </w:r>
      <w:r w:rsidR="00D72E53">
        <w:t>It also includes</w:t>
      </w:r>
      <w:r>
        <w:t xml:space="preserve"> an early Value for Money assessment</w:t>
      </w:r>
      <w:r w:rsidRPr="00103D6E">
        <w:t>.</w:t>
      </w:r>
      <w:r>
        <w:t xml:space="preserve"> The aim of this interim evaluation, </w:t>
      </w:r>
      <w:bookmarkStart w:name="_Hlk188547122" w:id="9"/>
      <w:r>
        <w:t xml:space="preserve">timed halfway through the life of the programme, </w:t>
      </w:r>
      <w:r w:rsidRPr="00103D6E">
        <w:t>is to provide insights and inform the current delivery of the programme</w:t>
      </w:r>
      <w:bookmarkEnd w:id="9"/>
      <w:r w:rsidRPr="00103D6E">
        <w:t>. The figure below shows the timings of the phases of this evaluation.</w:t>
      </w:r>
    </w:p>
    <w:p w:rsidRPr="00103D6E" w:rsidR="00096DB5" w:rsidP="009A3A6F" w:rsidRDefault="00096DB5" w14:paraId="4054F49A" w14:textId="6A159F0F">
      <w:pPr>
        <w:pStyle w:val="DESNZbulletedlist"/>
        <w:numPr>
          <w:ilvl w:val="0"/>
          <w:numId w:val="0"/>
        </w:numPr>
        <w:ind w:left="717" w:hanging="360"/>
        <w:rPr>
          <w:rStyle w:val="Boldtext"/>
        </w:rPr>
      </w:pPr>
      <w:r w:rsidRPr="00103D6E">
        <w:rPr>
          <w:rStyle w:val="Boldtext"/>
        </w:rPr>
        <w:t xml:space="preserve">Figure </w:t>
      </w:r>
      <w:r w:rsidR="005F364E">
        <w:rPr>
          <w:rStyle w:val="Boldtext"/>
        </w:rPr>
        <w:t>2.</w:t>
      </w:r>
      <w:r w:rsidRPr="00103D6E">
        <w:rPr>
          <w:rStyle w:val="Boldtext"/>
        </w:rPr>
        <w:t xml:space="preserve"> Timelines of the evaluation</w:t>
      </w:r>
    </w:p>
    <w:p w:rsidRPr="00103D6E" w:rsidR="00681682" w:rsidP="009A3A6F" w:rsidRDefault="00681682" w14:paraId="53361511" w14:textId="654EA956">
      <w:r>
        <w:rPr>
          <w:noProof/>
        </w:rPr>
        <w:drawing>
          <wp:inline distT="0" distB="0" distL="0" distR="0" wp14:anchorId="769DF56C" wp14:editId="53AA1428">
            <wp:extent cx="6211232" cy="1820173"/>
            <wp:effectExtent l="0" t="0" r="0" b="0"/>
            <wp:docPr id="969902094" name="Picture 1" descr="This image is a diagram of the Timelines of the Evaluation. A variety of time periods of the implementation of the project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02094" name="Picture 1" descr="This image is a diagram of the Timelines of the Evaluation. A variety of time periods of the implementation of the project are display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827"/>
                    <a:stretch/>
                  </pic:blipFill>
                  <pic:spPr bwMode="auto">
                    <a:xfrm>
                      <a:off x="0" y="0"/>
                      <a:ext cx="6268122" cy="1836844"/>
                    </a:xfrm>
                    <a:prstGeom prst="rect">
                      <a:avLst/>
                    </a:prstGeom>
                    <a:noFill/>
                    <a:ln>
                      <a:noFill/>
                    </a:ln>
                    <a:extLst>
                      <a:ext uri="{53640926-AAD7-44D8-BBD7-CCE9431645EC}">
                        <a14:shadowObscured xmlns:a14="http://schemas.microsoft.com/office/drawing/2010/main"/>
                      </a:ext>
                    </a:extLst>
                  </pic:spPr>
                </pic:pic>
              </a:graphicData>
            </a:graphic>
          </wp:inline>
        </w:drawing>
      </w:r>
    </w:p>
    <w:p w:rsidR="00D27DBB" w:rsidP="00D27DBB" w:rsidRDefault="00D27DBB" w14:paraId="39AA593A" w14:textId="60E825E2">
      <w:r>
        <w:t xml:space="preserve">The early outcome evaluation </w:t>
      </w:r>
      <w:r w:rsidR="00FA6DBC">
        <w:t>and Value for Money Assessment</w:t>
      </w:r>
      <w:r w:rsidR="00522247">
        <w:t>, object of this phase of the evaluation,</w:t>
      </w:r>
      <w:r w:rsidR="00FA6DBC">
        <w:t xml:space="preserve"> </w:t>
      </w:r>
      <w:r>
        <w:t xml:space="preserve">answered the </w:t>
      </w:r>
      <w:r w:rsidR="00A104D4">
        <w:t>following</w:t>
      </w:r>
      <w:r>
        <w:t xml:space="preserve"> evaluation questions (EQ4</w:t>
      </w:r>
      <w:r w:rsidR="00772ADF">
        <w:t>,</w:t>
      </w:r>
      <w:r>
        <w:t xml:space="preserve"> EQ5</w:t>
      </w:r>
      <w:r w:rsidR="00772ADF">
        <w:t>, EQ8</w:t>
      </w:r>
      <w:r>
        <w:t xml:space="preserve"> in the Evaluation framework outlined in Annex</w:t>
      </w:r>
      <w:r w:rsidR="00551529">
        <w:t xml:space="preserve"> 2</w:t>
      </w:r>
      <w:r>
        <w:t>):</w:t>
      </w:r>
    </w:p>
    <w:p w:rsidR="00D27DBB" w:rsidP="00D27DBB" w:rsidRDefault="00D27DBB" w14:paraId="16BA6D1D" w14:textId="55B01B49">
      <w:pPr>
        <w:pStyle w:val="DESNZbulletedlist"/>
      </w:pPr>
      <w:r w:rsidRPr="00AC1326">
        <w:t xml:space="preserve">To what extent has MAGC achieved early outcomes as anticipated for the </w:t>
      </w:r>
      <w:r>
        <w:t>components of:</w:t>
      </w:r>
      <w:r w:rsidR="00826B29">
        <w:t xml:space="preserve"> </w:t>
      </w:r>
      <w:r w:rsidRPr="00AC1326">
        <w:t>Investment and Advisory services</w:t>
      </w:r>
      <w:r>
        <w:t xml:space="preserve">; </w:t>
      </w:r>
      <w:r w:rsidRPr="00AC1326">
        <w:t>Capacity building</w:t>
      </w:r>
      <w:r>
        <w:t xml:space="preserve">; and </w:t>
      </w:r>
      <w:r w:rsidRPr="00AC1326">
        <w:t>EDGE Green Building Certification</w:t>
      </w:r>
      <w:r>
        <w:t>?</w:t>
      </w:r>
    </w:p>
    <w:p w:rsidR="00D27DBB" w:rsidP="00D27DBB" w:rsidRDefault="00D27DBB" w14:paraId="6422FF39" w14:textId="5153F7BA">
      <w:pPr>
        <w:pStyle w:val="DESNZbulletedlist"/>
      </w:pPr>
      <w:r w:rsidRPr="00AC1326">
        <w:t>To what extent is impact/ transformational change likely to be achieved?</w:t>
      </w:r>
    </w:p>
    <w:p w:rsidR="00FA6DBC" w:rsidP="00D27DBB" w:rsidRDefault="00FA6DBC" w14:paraId="6CF92047" w14:textId="51749C8A">
      <w:pPr>
        <w:pStyle w:val="DESNZbulletedlist"/>
      </w:pPr>
      <w:r w:rsidRPr="00FA6DBC">
        <w:t>To what extent is MAGC investment providing Value for Money for HMG?</w:t>
      </w:r>
    </w:p>
    <w:p w:rsidR="005E43AF" w:rsidP="005E43AF" w:rsidRDefault="005E43AF" w14:paraId="4F5B9CD8" w14:textId="3BFA0E71">
      <w:pPr>
        <w:pStyle w:val="DESNZbulletedlist"/>
        <w:numPr>
          <w:ilvl w:val="0"/>
          <w:numId w:val="0"/>
        </w:numPr>
      </w:pPr>
      <w:r>
        <w:t>And the following learning question</w:t>
      </w:r>
      <w:r w:rsidR="00772ADF">
        <w:t xml:space="preserve"> (Q9)</w:t>
      </w:r>
      <w:r>
        <w:t>:</w:t>
      </w:r>
    </w:p>
    <w:p w:rsidR="005E43AF" w:rsidP="009A48FC" w:rsidRDefault="009A48FC" w14:paraId="0B2709D9" w14:textId="6433B2A7">
      <w:pPr>
        <w:pStyle w:val="DESNZbulletedlist"/>
      </w:pPr>
      <w:r w:rsidRPr="009A48FC">
        <w:t xml:space="preserve">What opportunities did arise/were missed during MAGC delivery on Gender </w:t>
      </w:r>
      <w:r w:rsidRPr="009A48FC" w:rsidR="0022207A">
        <w:t xml:space="preserve">Equality </w:t>
      </w:r>
      <w:r w:rsidR="0022207A">
        <w:t>Disability</w:t>
      </w:r>
      <w:r w:rsidR="004474A8">
        <w:t xml:space="preserve"> </w:t>
      </w:r>
      <w:r w:rsidRPr="009A48FC">
        <w:t>and Social Inclusion (GE</w:t>
      </w:r>
      <w:r w:rsidR="0062780C">
        <w:t>D</w:t>
      </w:r>
      <w:r w:rsidRPr="009A48FC">
        <w:t>SI)? How could we address GE</w:t>
      </w:r>
      <w:r w:rsidR="004474A8">
        <w:t>D</w:t>
      </w:r>
      <w:r w:rsidRPr="009A48FC">
        <w:t>SI in future programme design?</w:t>
      </w:r>
    </w:p>
    <w:p w:rsidR="00D27DBB" w:rsidP="00D27DBB" w:rsidRDefault="00D27DBB" w14:paraId="527568F1" w14:textId="11F54A99">
      <w:pPr>
        <w:pStyle w:val="Heading2"/>
      </w:pPr>
      <w:bookmarkStart w:name="_Toc179473986" w:id="10"/>
      <w:bookmarkStart w:name="_Toc181883569" w:id="11"/>
      <w:bookmarkStart w:name="_Toc188870849" w:id="12"/>
      <w:bookmarkStart w:name="_Toc207790188" w:id="13"/>
      <w:r>
        <w:t>Methodology</w:t>
      </w:r>
      <w:bookmarkEnd w:id="10"/>
      <w:bookmarkEnd w:id="11"/>
      <w:bookmarkEnd w:id="12"/>
      <w:bookmarkEnd w:id="13"/>
      <w:r>
        <w:t xml:space="preserve"> </w:t>
      </w:r>
    </w:p>
    <w:p w:rsidR="00D27DBB" w:rsidP="00D27DBB" w:rsidRDefault="00D72E53" w14:paraId="69E40A81" w14:textId="112C0A77">
      <w:r>
        <w:t>The outcome evaluation took a realist evaluation approach. This is</w:t>
      </w:r>
      <w:r w:rsidR="00D27DBB">
        <w:t xml:space="preserve"> to understand the extent to which the MAGC scheme has achieved early outcomes across its component activities and </w:t>
      </w:r>
      <w:r w:rsidR="00C84128">
        <w:t>the extent to which it is likely to achieve transformational change</w:t>
      </w:r>
      <w:r>
        <w:t>.</w:t>
      </w:r>
      <w:r w:rsidR="00C84128">
        <w:t xml:space="preserve"> </w:t>
      </w:r>
    </w:p>
    <w:p w:rsidR="004A3F58" w:rsidP="004A3F58" w:rsidRDefault="004A3F58" w14:paraId="768E4575" w14:textId="4D43BF5A">
      <w:pPr>
        <w:pStyle w:val="Heading3"/>
      </w:pPr>
      <w:bookmarkStart w:name="_Toc179468544" w:id="14"/>
      <w:bookmarkStart w:name="_Toc179473987" w:id="15"/>
      <w:bookmarkStart w:name="_Toc181883570" w:id="16"/>
      <w:bookmarkStart w:name="_Toc188870850" w:id="17"/>
      <w:bookmarkStart w:name="_Toc207790189" w:id="18"/>
      <w:r>
        <w:t>Realist Evaluation approach</w:t>
      </w:r>
      <w:bookmarkEnd w:id="14"/>
      <w:bookmarkEnd w:id="15"/>
      <w:bookmarkEnd w:id="16"/>
      <w:bookmarkEnd w:id="17"/>
      <w:bookmarkEnd w:id="18"/>
      <w:r>
        <w:t xml:space="preserve"> </w:t>
      </w:r>
    </w:p>
    <w:p w:rsidR="004A3F58" w:rsidP="004A3F58" w:rsidRDefault="004A3F58" w14:paraId="0D6A001A" w14:textId="42626B7C">
      <w:r>
        <w:t>Realist evaluation is a theory-based approach which seeks to understand the context and mechanisms that underpin a programme achieving its proposed outcomes. It asks not ‘what works?’ or ‘by how much does it work’, but ‘what works, for whom, in what respects, to what extent, in what contexts, and how?’.</w:t>
      </w:r>
    </w:p>
    <w:p w:rsidR="004A3F58" w:rsidP="004A3F58" w:rsidRDefault="004A3F58" w14:paraId="36928C09" w14:textId="686E604E">
      <w:r>
        <w:t>In realist evaluation, policy interventions are seen as creating opportunities upon which people may choose to act if they are so minded and able. A fundamental concept in realist evaluation is that it is not the intervention itself that causes the outcome</w:t>
      </w:r>
      <w:r w:rsidR="00FF4A1B">
        <w:t>.</w:t>
      </w:r>
      <w:r>
        <w:t xml:space="preserve"> </w:t>
      </w:r>
      <w:r w:rsidR="00FF4A1B">
        <w:t>I</w:t>
      </w:r>
      <w:r>
        <w:t>nstead</w:t>
      </w:r>
      <w:r w:rsidR="00F11D6C">
        <w:t>,</w:t>
      </w:r>
      <w:r>
        <w:t xml:space="preserve"> </w:t>
      </w:r>
      <w:r w:rsidR="00FF4A1B">
        <w:t>it is</w:t>
      </w:r>
      <w:r>
        <w:t xml:space="preserve"> an individual’s response to the resources and opportunities provided by the intervention that causes the outcome. The combination of a programme’s resources and an individual’s response to them is termed in realist evaluation ‘the mechanism’. It is this mechanism that determines the outcome, but it is also the context (i.e. resources, opportunities and constraints) that influence</w:t>
      </w:r>
      <w:r w:rsidR="6FC3A725">
        <w:t>s</w:t>
      </w:r>
      <w:r>
        <w:t xml:space="preserve"> it; as illustrated in the diagram below. Context, Mechanism and Outcome </w:t>
      </w:r>
      <w:r w:rsidR="001B6671">
        <w:t xml:space="preserve">(CMO) </w:t>
      </w:r>
      <w:r>
        <w:t>within realist evaluation form causal ‘configurations’ that can be tested.</w:t>
      </w:r>
    </w:p>
    <w:p w:rsidRPr="00E13638" w:rsidR="005F364E" w:rsidP="004A3F58" w:rsidRDefault="005F364E" w14:paraId="28CFB4B5" w14:textId="4796515F">
      <w:pPr>
        <w:rPr>
          <w:b/>
          <w:bCs/>
        </w:rPr>
      </w:pPr>
      <w:r>
        <w:rPr>
          <w:b/>
          <w:bCs/>
        </w:rPr>
        <w:t>Figure 3. Realist evaluation mechanisms</w:t>
      </w:r>
    </w:p>
    <w:p w:rsidR="00126AF7" w:rsidP="008E7737" w:rsidRDefault="00126AF7" w14:paraId="795BC86D" w14:textId="6B96DAAD">
      <w:pPr>
        <w:jc w:val="center"/>
      </w:pPr>
      <w:r w:rsidRPr="00126AF7">
        <w:rPr>
          <w:noProof/>
        </w:rPr>
        <w:drawing>
          <wp:inline distT="0" distB="0" distL="0" distR="0" wp14:anchorId="19A93D7C" wp14:editId="0FCE43D8">
            <wp:extent cx="4882936" cy="2794000"/>
            <wp:effectExtent l="0" t="0" r="0" b="6350"/>
            <wp:docPr id="1968607029" name="Picture 1" descr="This image demonstrates the realist evaluation principle explain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07029" name="Picture 1" descr="This image demonstrates the realist evaluation principle explained in the previous paragraph."/>
                    <pic:cNvPicPr/>
                  </pic:nvPicPr>
                  <pic:blipFill rotWithShape="1">
                    <a:blip r:embed="rId23"/>
                    <a:srcRect b="3483"/>
                    <a:stretch/>
                  </pic:blipFill>
                  <pic:spPr bwMode="auto">
                    <a:xfrm>
                      <a:off x="0" y="0"/>
                      <a:ext cx="4923682" cy="2817314"/>
                    </a:xfrm>
                    <a:prstGeom prst="rect">
                      <a:avLst/>
                    </a:prstGeom>
                    <a:ln>
                      <a:noFill/>
                    </a:ln>
                    <a:extLst>
                      <a:ext uri="{53640926-AAD7-44D8-BBD7-CCE9431645EC}">
                        <a14:shadowObscured xmlns:a14="http://schemas.microsoft.com/office/drawing/2010/main"/>
                      </a:ext>
                    </a:extLst>
                  </pic:spPr>
                </pic:pic>
              </a:graphicData>
            </a:graphic>
          </wp:inline>
        </w:drawing>
      </w:r>
    </w:p>
    <w:p w:rsidRPr="00020F34" w:rsidR="006C73E7" w:rsidP="004A3F58" w:rsidRDefault="006C73E7" w14:paraId="4CB6F8D1" w14:textId="13167A0D">
      <w:pPr>
        <w:rPr>
          <w:rStyle w:val="FootnoteReference"/>
        </w:rPr>
      </w:pPr>
      <w:r w:rsidRPr="00020F34">
        <w:rPr>
          <w:rStyle w:val="FootnoteReference"/>
        </w:rPr>
        <w:t xml:space="preserve">Magenta Book (2020) </w:t>
      </w:r>
      <w:hyperlink w:history="1" r:id="rId24">
        <w:r w:rsidRPr="00020F34">
          <w:rPr>
            <w:rStyle w:val="FootnoteReference"/>
          </w:rPr>
          <w:t>Supplementary Guidance on Realist Evaluation</w:t>
        </w:r>
      </w:hyperlink>
    </w:p>
    <w:p w:rsidR="004A3F58" w:rsidP="004A3F58" w:rsidRDefault="004A3F58" w14:paraId="0699B4FB" w14:textId="77777777">
      <w:r>
        <w:t>CMO configurations can be tested in evaluation in the following way:</w:t>
      </w:r>
    </w:p>
    <w:p w:rsidRPr="00E13638" w:rsidR="005F364E" w:rsidP="004A3F58" w:rsidRDefault="005F364E" w14:paraId="41413AAC" w14:textId="5FCAC4F9">
      <w:pPr>
        <w:rPr>
          <w:b/>
          <w:bCs/>
        </w:rPr>
      </w:pPr>
      <w:r>
        <w:rPr>
          <w:b/>
          <w:bCs/>
        </w:rPr>
        <w:t>Figure 4. Realist evaluation steps</w:t>
      </w:r>
    </w:p>
    <w:p w:rsidR="00B111FC" w:rsidP="008E7737" w:rsidRDefault="00B111FC" w14:paraId="6C0C3D0D" w14:textId="21DD7AB8">
      <w:pPr>
        <w:jc w:val="center"/>
      </w:pPr>
      <w:r>
        <w:rPr>
          <w:noProof/>
        </w:rPr>
        <w:drawing>
          <wp:inline distT="0" distB="0" distL="0" distR="0" wp14:anchorId="13F2DC38" wp14:editId="4D0FAFBD">
            <wp:extent cx="5071393" cy="3361267"/>
            <wp:effectExtent l="0" t="0" r="0" b="0"/>
            <wp:docPr id="1496923706" name="Picture 1" descr="This image outlines how CMO configurations can be tested i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3706" name="Picture 1" descr="This image outlines how CMO configurations can be tested in evaluation."/>
                    <pic:cNvPicPr/>
                  </pic:nvPicPr>
                  <pic:blipFill>
                    <a:blip r:embed="rId25">
                      <a:extLst>
                        <a:ext uri="{28A0092B-C50C-407E-A947-70E740481C1C}">
                          <a14:useLocalDpi xmlns:a14="http://schemas.microsoft.com/office/drawing/2010/main" val="0"/>
                        </a:ext>
                      </a:extLst>
                    </a:blip>
                    <a:stretch>
                      <a:fillRect/>
                    </a:stretch>
                  </pic:blipFill>
                  <pic:spPr>
                    <a:xfrm>
                      <a:off x="0" y="0"/>
                      <a:ext cx="5071393" cy="3361267"/>
                    </a:xfrm>
                    <a:prstGeom prst="rect">
                      <a:avLst/>
                    </a:prstGeom>
                  </pic:spPr>
                </pic:pic>
              </a:graphicData>
            </a:graphic>
          </wp:inline>
        </w:drawing>
      </w:r>
    </w:p>
    <w:p w:rsidRPr="00020F34" w:rsidR="006C73E7" w:rsidP="004A3F58" w:rsidRDefault="006C73E7" w14:paraId="189D24CE" w14:textId="19990EED">
      <w:pPr>
        <w:rPr>
          <w:vertAlign w:val="superscript"/>
        </w:rPr>
      </w:pPr>
      <w:r w:rsidRPr="00933B3C">
        <w:rPr>
          <w:rStyle w:val="FootnoteReference"/>
        </w:rPr>
        <w:t xml:space="preserve">Magenta Book (2020) </w:t>
      </w:r>
      <w:hyperlink w:history="1" r:id="rId26">
        <w:r w:rsidRPr="00933B3C">
          <w:rPr>
            <w:rStyle w:val="FootnoteReference"/>
          </w:rPr>
          <w:t>Supplementary Guidance on Realist Evaluation</w:t>
        </w:r>
      </w:hyperlink>
    </w:p>
    <w:p w:rsidR="004A3F58" w:rsidP="004A3F58" w:rsidRDefault="004A3F58" w14:paraId="68F967E6" w14:textId="77777777">
      <w:r>
        <w:t xml:space="preserve">In this cycle, the first step is to understand the </w:t>
      </w:r>
      <w:r w:rsidRPr="004A3F58">
        <w:t>formal theory upon which the programme is based</w:t>
      </w:r>
      <w:r>
        <w:t>. The theory is then translated into CMO terminology.</w:t>
      </w:r>
    </w:p>
    <w:p w:rsidR="004A3F58" w:rsidP="004A3F58" w:rsidRDefault="004A3F58" w14:paraId="4313E395" w14:textId="77777777">
      <w:r>
        <w:t xml:space="preserve">The second step is to </w:t>
      </w:r>
      <w:r w:rsidRPr="004A3F58">
        <w:t>develop CMO hypotheses</w:t>
      </w:r>
      <w:r>
        <w:t xml:space="preserve"> that the evaluator thinks should be tested. The most important hypotheses to be tested are likely to be those that relate to key causal chains in the theory behind the programme. They may also relate to particular gaps in the evidence base underpinning the policy. </w:t>
      </w:r>
    </w:p>
    <w:p w:rsidR="004A3F58" w:rsidP="004A3F58" w:rsidRDefault="004A3F58" w14:paraId="6D0E9CB9" w14:textId="77777777">
      <w:r>
        <w:t xml:space="preserve">The third step is </w:t>
      </w:r>
      <w:r w:rsidRPr="004A3F58">
        <w:t>data collection and analysis</w:t>
      </w:r>
      <w:r>
        <w:t xml:space="preserve"> (‘observations’ in the figure above). This includes collecting information on how the programme has worked differently for different groups and in what context. </w:t>
      </w:r>
    </w:p>
    <w:p w:rsidR="004A3F58" w:rsidP="004A3F58" w:rsidRDefault="004A3F58" w14:paraId="649F5DFD" w14:textId="47B9509C">
      <w:r>
        <w:t xml:space="preserve">In the fourth step, </w:t>
      </w:r>
      <w:r w:rsidRPr="004A3F58">
        <w:t>findings from the analysis</w:t>
      </w:r>
      <w:r>
        <w:t xml:space="preserve"> are used to refine the theory of the programme</w:t>
      </w:r>
      <w:r w:rsidR="00FF4A1B">
        <w:t>. They also</w:t>
      </w:r>
      <w:r>
        <w:t xml:space="preserve"> identify how context affects the outcomes of the programme and what the mechanisms may be. This results in a series of ‘final’ CMO statements, i.e. observations with clear implications for policy decisions.</w:t>
      </w:r>
    </w:p>
    <w:p w:rsidR="004A3F58" w:rsidP="004A3F58" w:rsidRDefault="004A3F58" w14:paraId="3AF9A8BE" w14:textId="6AC4BCC9">
      <w:pPr>
        <w:pStyle w:val="Heading3"/>
      </w:pPr>
      <w:bookmarkStart w:name="_Toc179468545" w:id="19"/>
      <w:bookmarkStart w:name="_Toc179473988" w:id="20"/>
      <w:bookmarkStart w:name="_Toc181883571" w:id="21"/>
      <w:bookmarkStart w:name="_Toc188870851" w:id="22"/>
      <w:bookmarkStart w:name="_Toc207790190" w:id="23"/>
      <w:r>
        <w:t>Approach to the early outcome evaluation</w:t>
      </w:r>
      <w:bookmarkEnd w:id="19"/>
      <w:bookmarkEnd w:id="20"/>
      <w:bookmarkEnd w:id="21"/>
      <w:bookmarkEnd w:id="22"/>
      <w:bookmarkEnd w:id="23"/>
    </w:p>
    <w:p w:rsidR="00DF4FB4" w:rsidP="00D27DBB" w:rsidRDefault="004A3F58" w14:paraId="06A8EFB1" w14:textId="0796FE54">
      <w:r>
        <w:t xml:space="preserve">In applying the realist evaluation approach to the </w:t>
      </w:r>
      <w:r w:rsidR="00653519">
        <w:t xml:space="preserve">MAGC </w:t>
      </w:r>
      <w:r>
        <w:t xml:space="preserve">early outcome evaluation, the research team aimed to understand the context and mechanisms </w:t>
      </w:r>
      <w:r w:rsidR="00E3244A">
        <w:t>underpinning any evidence of achievement of outcomes across the individual MAGC components</w:t>
      </w:r>
      <w:r w:rsidR="008236AB">
        <w:t>. They also aimed to understand</w:t>
      </w:r>
      <w:r w:rsidR="00CA4343">
        <w:t xml:space="preserve"> early indications of the likelihood of transformational change across the MAGC eligible countries. </w:t>
      </w:r>
      <w:r w:rsidR="00E57C12">
        <w:t>This will be through an examination of the in-country enabling and hindering factors and key mechanisms for achievement of key outcomes</w:t>
      </w:r>
      <w:r w:rsidR="008236AB">
        <w:t>. This</w:t>
      </w:r>
      <w:r w:rsidR="00E57C12">
        <w:t xml:space="preserve"> includ</w:t>
      </w:r>
      <w:r w:rsidR="008236AB">
        <w:t>es</w:t>
      </w:r>
      <w:r w:rsidR="00E57C12">
        <w:t xml:space="preserve"> the changes to the green building market </w:t>
      </w:r>
      <w:r w:rsidR="008236AB">
        <w:t>and</w:t>
      </w:r>
      <w:r w:rsidR="00E57C12">
        <w:t xml:space="preserve"> changes to the barriers to providing green finance options within the financial sector</w:t>
      </w:r>
      <w:r w:rsidR="008236AB">
        <w:t>. It also includes</w:t>
      </w:r>
      <w:r w:rsidR="00E57C12">
        <w:t xml:space="preserve"> awareness and understanding of green buildings within the </w:t>
      </w:r>
      <w:r w:rsidR="00E57C12">
        <w:t>wider market. In addition, a</w:t>
      </w:r>
      <w:r w:rsidR="006E6CFE">
        <w:t xml:space="preserve"> key aspect of delivery of the realist approach as part of the early outcome evaluation is the use of case studies</w:t>
      </w:r>
      <w:r w:rsidR="008236AB">
        <w:t>. These</w:t>
      </w:r>
      <w:r w:rsidR="00CA4343">
        <w:t xml:space="preserve"> provide an in-depth analysis of the contextual outcomes for the five case study countries of South Africa, Vietnam, </w:t>
      </w:r>
      <w:r w:rsidR="00DF4FB4">
        <w:t xml:space="preserve">Kenya, India, and Colombia. Table </w:t>
      </w:r>
      <w:r w:rsidR="003868AD">
        <w:t>2</w:t>
      </w:r>
      <w:r w:rsidR="00DF4FB4">
        <w:t xml:space="preserve"> provides the key CMO configurations</w:t>
      </w:r>
      <w:r w:rsidR="00E57C12">
        <w:t xml:space="preserve"> across the four components of the MAGC programme</w:t>
      </w:r>
      <w:r w:rsidR="001E677A">
        <w:t xml:space="preserve"> </w:t>
      </w:r>
      <w:r w:rsidR="00F1226B">
        <w:t>considered</w:t>
      </w:r>
      <w:r w:rsidR="001E677A">
        <w:t xml:space="preserve"> during the early outcome evaluation.</w:t>
      </w:r>
    </w:p>
    <w:p w:rsidRPr="00551529" w:rsidR="00551529" w:rsidP="00D27DBB" w:rsidRDefault="00551529" w14:paraId="0F295D81" w14:textId="67BB6ADF">
      <w:pPr>
        <w:rPr>
          <w:rStyle w:val="Boldtext"/>
        </w:rPr>
      </w:pPr>
      <w:r w:rsidRPr="00551529">
        <w:rPr>
          <w:rStyle w:val="Boldtext"/>
        </w:rPr>
        <w:t xml:space="preserve">Table </w:t>
      </w:r>
      <w:r w:rsidR="003868AD">
        <w:rPr>
          <w:rStyle w:val="Boldtext"/>
        </w:rPr>
        <w:t>2</w:t>
      </w:r>
      <w:r>
        <w:rPr>
          <w:rStyle w:val="Boldtext"/>
        </w:rPr>
        <w:t>. CMO Configurations for the early outcome evaluation</w:t>
      </w:r>
    </w:p>
    <w:tbl>
      <w:tblPr>
        <w:tblStyle w:val="Table-Darkblue"/>
        <w:tblW w:w="0" w:type="auto"/>
        <w:tblLayout w:type="fixed"/>
        <w:tblLook w:val="04A0" w:firstRow="1" w:lastRow="0" w:firstColumn="1" w:lastColumn="0" w:noHBand="0" w:noVBand="1"/>
      </w:tblPr>
      <w:tblGrid>
        <w:gridCol w:w="3360"/>
        <w:gridCol w:w="3361"/>
        <w:gridCol w:w="3361"/>
      </w:tblGrid>
      <w:tr w:rsidRPr="00A25B40" w:rsidR="00332D0B" w:rsidTr="00332D0B" w14:paraId="114A5037" w14:textId="77777777">
        <w:trPr>
          <w:cnfStyle w:val="100000000000" w:firstRow="1" w:lastRow="0" w:firstColumn="0" w:lastColumn="0" w:oddVBand="0" w:evenVBand="0" w:oddHBand="0" w:evenHBand="0" w:firstRowFirstColumn="0" w:firstRowLastColumn="0" w:lastRowFirstColumn="0" w:lastRowLastColumn="0"/>
        </w:trPr>
        <w:tc>
          <w:tcPr>
            <w:tcW w:w="3360" w:type="dxa"/>
          </w:tcPr>
          <w:p w:rsidRPr="00DF4FB4" w:rsidR="00332D0B" w:rsidP="00DF4FB4" w:rsidRDefault="00332D0B" w14:paraId="7EF6F79C" w14:textId="77777777">
            <w:r w:rsidRPr="00DF4FB4">
              <w:t>Context</w:t>
            </w:r>
          </w:p>
        </w:tc>
        <w:tc>
          <w:tcPr>
            <w:tcW w:w="3361" w:type="dxa"/>
          </w:tcPr>
          <w:p w:rsidRPr="00DF4FB4" w:rsidR="00332D0B" w:rsidP="00DF4FB4" w:rsidRDefault="00332D0B" w14:paraId="638618BA" w14:textId="77777777">
            <w:r w:rsidRPr="00DF4FB4">
              <w:t>Mechanism</w:t>
            </w:r>
          </w:p>
        </w:tc>
        <w:tc>
          <w:tcPr>
            <w:tcW w:w="3361" w:type="dxa"/>
          </w:tcPr>
          <w:p w:rsidRPr="00DF4FB4" w:rsidR="00332D0B" w:rsidP="00DF4FB4" w:rsidRDefault="00332D0B" w14:paraId="2A6F778E" w14:textId="77777777">
            <w:r w:rsidRPr="00DF4FB4">
              <w:t>Outcome</w:t>
            </w:r>
          </w:p>
        </w:tc>
      </w:tr>
      <w:tr w:rsidRPr="00A25B40" w:rsidR="00DF4FB4" w:rsidTr="00332D0B" w14:paraId="1D514695" w14:textId="77777777">
        <w:tc>
          <w:tcPr>
            <w:tcW w:w="10082" w:type="dxa"/>
            <w:gridSpan w:val="3"/>
          </w:tcPr>
          <w:p w:rsidRPr="00332D0B" w:rsidR="00DF4FB4" w:rsidP="00DF4FB4" w:rsidRDefault="00DF4FB4" w14:paraId="2E3E0BA3" w14:textId="77777777">
            <w:pPr>
              <w:rPr>
                <w:rStyle w:val="Boldtext"/>
              </w:rPr>
            </w:pPr>
            <w:r w:rsidRPr="00332D0B">
              <w:rPr>
                <w:rStyle w:val="Boldtext"/>
              </w:rPr>
              <w:t>Component 1 – Investment and Advisory</w:t>
            </w:r>
          </w:p>
        </w:tc>
      </w:tr>
      <w:tr w:rsidR="00DF4FB4" w:rsidTr="00332D0B" w14:paraId="28ABEBE4" w14:textId="77777777">
        <w:tc>
          <w:tcPr>
            <w:tcW w:w="3360" w:type="dxa"/>
          </w:tcPr>
          <w:p w:rsidRPr="00DF4FB4" w:rsidR="00DF4FB4" w:rsidP="00DF4FB4" w:rsidRDefault="00DF4FB4" w14:paraId="575BEC4F" w14:textId="77777777">
            <w:r>
              <w:t>In countries where there is appetite to invest in new sectors such as green buildings, but FIs lack knowledge to assess the risk of the operations…</w:t>
            </w:r>
          </w:p>
        </w:tc>
        <w:tc>
          <w:tcPr>
            <w:tcW w:w="3361" w:type="dxa"/>
          </w:tcPr>
          <w:p w:rsidRPr="00DF4FB4" w:rsidR="00DF4FB4" w:rsidP="00DF4FB4" w:rsidRDefault="00DF4FB4" w14:paraId="7C8580B1" w14:textId="77777777">
            <w:r>
              <w:t xml:space="preserve">… providing advisory services </w:t>
            </w:r>
            <w:r w:rsidRPr="009A3A6F">
              <w:rPr>
                <w:b/>
                <w:bCs/>
              </w:rPr>
              <w:t>to develop</w:t>
            </w:r>
            <w:r>
              <w:t xml:space="preserve"> capacity, paired with blended finance…</w:t>
            </w:r>
          </w:p>
        </w:tc>
        <w:tc>
          <w:tcPr>
            <w:tcW w:w="3361" w:type="dxa"/>
          </w:tcPr>
          <w:p w:rsidRPr="00DF4FB4" w:rsidR="00DF4FB4" w:rsidP="00DF4FB4" w:rsidRDefault="00DF4FB4" w14:paraId="28A6F905" w14:textId="77777777">
            <w:r>
              <w:t>… contributes to address barriers to investment and, over time, to reduce the perceived risk, hence increasing the offer of finance towards the sector.</w:t>
            </w:r>
          </w:p>
        </w:tc>
      </w:tr>
      <w:tr w:rsidR="00DF4FB4" w:rsidTr="00332D0B" w14:paraId="23762984" w14:textId="77777777">
        <w:tc>
          <w:tcPr>
            <w:tcW w:w="10082" w:type="dxa"/>
            <w:gridSpan w:val="3"/>
          </w:tcPr>
          <w:p w:rsidRPr="00332D0B" w:rsidR="00DF4FB4" w:rsidP="00DF4FB4" w:rsidRDefault="00DF4FB4" w14:paraId="668550B5" w14:textId="77777777">
            <w:pPr>
              <w:rPr>
                <w:rStyle w:val="Boldtext"/>
              </w:rPr>
            </w:pPr>
            <w:r w:rsidRPr="00332D0B">
              <w:rPr>
                <w:rStyle w:val="Boldtext"/>
              </w:rPr>
              <w:t>Component 2 – In-country capacity building</w:t>
            </w:r>
          </w:p>
        </w:tc>
      </w:tr>
      <w:tr w:rsidR="00DF4FB4" w:rsidTr="00332D0B" w14:paraId="5834AF22" w14:textId="77777777">
        <w:tc>
          <w:tcPr>
            <w:tcW w:w="3360" w:type="dxa"/>
          </w:tcPr>
          <w:p w:rsidRPr="00DF4FB4" w:rsidR="00DF4FB4" w:rsidP="00DF4FB4" w:rsidRDefault="00DF4FB4" w14:paraId="072366CD" w14:textId="77777777">
            <w:r>
              <w:t xml:space="preserve">In countries where there is limited awareness and understanding among </w:t>
            </w:r>
            <w:r w:rsidRPr="00DF4FB4">
              <w:t>policymakers about certified green buildings…</w:t>
            </w:r>
          </w:p>
        </w:tc>
        <w:tc>
          <w:tcPr>
            <w:tcW w:w="3361" w:type="dxa"/>
          </w:tcPr>
          <w:p w:rsidRPr="00DF4FB4" w:rsidR="00DF4FB4" w:rsidP="00DF4FB4" w:rsidRDefault="00DF4FB4" w14:paraId="742B82A3" w14:textId="77777777">
            <w:r>
              <w:t xml:space="preserve">…providing in-country technical assistance to </w:t>
            </w:r>
            <w:r w:rsidRPr="00DF4FB4">
              <w:t>private and public sector stakeholders…</w:t>
            </w:r>
          </w:p>
        </w:tc>
        <w:tc>
          <w:tcPr>
            <w:tcW w:w="3361" w:type="dxa"/>
          </w:tcPr>
          <w:p w:rsidRPr="00DF4FB4" w:rsidR="00DF4FB4" w:rsidP="00DF4FB4" w:rsidRDefault="00DF4FB4" w14:paraId="443FA1F3" w14:textId="77777777">
            <w:r>
              <w:t>…contributes to strengthen the enabling environment and regulatory framework for the development of a green buildings market.</w:t>
            </w:r>
          </w:p>
        </w:tc>
      </w:tr>
      <w:tr w:rsidR="00DF4FB4" w:rsidTr="00332D0B" w14:paraId="53320DAB" w14:textId="77777777">
        <w:tc>
          <w:tcPr>
            <w:tcW w:w="10082" w:type="dxa"/>
            <w:gridSpan w:val="3"/>
          </w:tcPr>
          <w:p w:rsidRPr="00332D0B" w:rsidR="00DF4FB4" w:rsidP="00DF4FB4" w:rsidRDefault="00DF4FB4" w14:paraId="782F8C9B" w14:textId="77777777">
            <w:pPr>
              <w:rPr>
                <w:rStyle w:val="Boldtext"/>
              </w:rPr>
            </w:pPr>
            <w:r w:rsidRPr="00332D0B">
              <w:rPr>
                <w:rStyle w:val="Boldtext"/>
              </w:rPr>
              <w:t>Component 3 – EDGE certification and platform improvements</w:t>
            </w:r>
          </w:p>
        </w:tc>
      </w:tr>
      <w:tr w:rsidR="00DF4FB4" w:rsidTr="00332D0B" w14:paraId="02506F50" w14:textId="77777777">
        <w:tc>
          <w:tcPr>
            <w:tcW w:w="3360" w:type="dxa"/>
          </w:tcPr>
          <w:p w:rsidRPr="00DF4FB4" w:rsidR="00DF4FB4" w:rsidP="00DF4FB4" w:rsidRDefault="00DF4FB4" w14:paraId="42434099" w14:textId="77777777">
            <w:r>
              <w:t>In countries with current low or medium EDGE certification levels…</w:t>
            </w:r>
          </w:p>
        </w:tc>
        <w:tc>
          <w:tcPr>
            <w:tcW w:w="3361" w:type="dxa"/>
          </w:tcPr>
          <w:p w:rsidRPr="00DF4FB4" w:rsidR="00DF4FB4" w:rsidP="00DF4FB4" w:rsidRDefault="00DF4FB4" w14:paraId="29120181" w14:textId="77777777">
            <w:r>
              <w:t>…the maintenance, operation, and improvements of the EDGE certification platform…</w:t>
            </w:r>
          </w:p>
        </w:tc>
        <w:tc>
          <w:tcPr>
            <w:tcW w:w="3361" w:type="dxa"/>
          </w:tcPr>
          <w:p w:rsidRPr="00DF4FB4" w:rsidR="00DF4FB4" w:rsidP="00DF4FB4" w:rsidRDefault="00DF4FB4" w14:paraId="32D07620" w14:textId="77777777">
            <w:r>
              <w:t>…contribute to strengthen the EDGE system in country and encourage green construction standards.</w:t>
            </w:r>
          </w:p>
        </w:tc>
      </w:tr>
      <w:tr w:rsidRPr="00FD70C4" w:rsidR="00DF4FB4" w:rsidTr="00332D0B" w14:paraId="20E65BB9" w14:textId="77777777">
        <w:tc>
          <w:tcPr>
            <w:tcW w:w="10082" w:type="dxa"/>
            <w:gridSpan w:val="3"/>
          </w:tcPr>
          <w:p w:rsidRPr="00E7022A" w:rsidR="00DF4FB4" w:rsidP="00DF4FB4" w:rsidRDefault="00DF4FB4" w14:paraId="62CB00B0" w14:textId="10DE9B10">
            <w:pPr>
              <w:rPr>
                <w:rStyle w:val="Boldtext"/>
              </w:rPr>
            </w:pPr>
            <w:r w:rsidRPr="00E7022A">
              <w:rPr>
                <w:rStyle w:val="Boldtext"/>
              </w:rPr>
              <w:t>Component 4 – Research and Evidence</w:t>
            </w:r>
            <w:r w:rsidR="00C93E47">
              <w:rPr>
                <w:rStyle w:val="FootnoteReference"/>
                <w:b/>
              </w:rPr>
              <w:footnoteReference w:id="9"/>
            </w:r>
          </w:p>
        </w:tc>
      </w:tr>
      <w:tr w:rsidR="00DF4FB4" w:rsidTr="00332D0B" w14:paraId="1109D392" w14:textId="77777777">
        <w:tc>
          <w:tcPr>
            <w:tcW w:w="3360" w:type="dxa"/>
          </w:tcPr>
          <w:p w:rsidRPr="00DF4FB4" w:rsidR="00DF4FB4" w:rsidP="00DF4FB4" w:rsidRDefault="00DF4FB4" w14:paraId="40599562" w14:textId="77777777">
            <w:r>
              <w:t xml:space="preserve">In countries where systems have been set up to monitor and collect data on green building financial and </w:t>
            </w:r>
            <w:r>
              <w:t>environmental performance…</w:t>
            </w:r>
          </w:p>
        </w:tc>
        <w:tc>
          <w:tcPr>
            <w:tcW w:w="3361" w:type="dxa"/>
          </w:tcPr>
          <w:p w:rsidRPr="00DF4FB4" w:rsidR="00DF4FB4" w:rsidP="00DF4FB4" w:rsidRDefault="00DF4FB4" w14:paraId="47C4ADE3" w14:textId="77777777">
            <w:r>
              <w:t>…the collection and dissemination of evidence on the performance of certified green buildings</w:t>
            </w:r>
            <w:r w:rsidRPr="00DF4FB4">
              <w:t xml:space="preserve"> is generalisable and therefore </w:t>
            </w:r>
            <w:r w:rsidRPr="00DF4FB4">
              <w:t>the learning is formulated in such a way that it can be applied beyond the country in which it was collected, and therefore it…</w:t>
            </w:r>
          </w:p>
        </w:tc>
        <w:tc>
          <w:tcPr>
            <w:tcW w:w="3361" w:type="dxa"/>
          </w:tcPr>
          <w:p w:rsidRPr="00DF4FB4" w:rsidR="00DF4FB4" w:rsidP="00DF4FB4" w:rsidRDefault="00DF4FB4" w14:paraId="5F4FBCC6" w14:textId="77777777">
            <w:r>
              <w:t xml:space="preserve">…contributes to support </w:t>
            </w:r>
            <w:r w:rsidRPr="00DF4FB4">
              <w:t xml:space="preserve">the understanding of any potential discrepancies between modelled benefits of green technologies and their </w:t>
            </w:r>
            <w:r w:rsidRPr="00DF4FB4">
              <w:t>real world results, supporting the scaling up green building construction and market acceleration.</w:t>
            </w:r>
          </w:p>
        </w:tc>
      </w:tr>
    </w:tbl>
    <w:p w:rsidR="00FD5E8B" w:rsidP="00FD5E8B" w:rsidRDefault="00FD5E8B" w14:paraId="584CA89D" w14:textId="77777777"/>
    <w:p w:rsidRPr="005F51DC" w:rsidR="005F51DC" w:rsidP="005F51DC" w:rsidRDefault="005F51DC" w14:paraId="6DFD74C7" w14:textId="3D4BB69C">
      <w:r w:rsidRPr="005F51DC">
        <w:t>The project team also generated a map of the green construction journey (</w:t>
      </w:r>
      <w:r>
        <w:t>Table</w:t>
      </w:r>
      <w:r w:rsidRPr="005F51DC">
        <w:t xml:space="preserve"> </w:t>
      </w:r>
      <w:r w:rsidR="00D64385">
        <w:t>3</w:t>
      </w:r>
      <w:r w:rsidRPr="005F51DC">
        <w:t xml:space="preserve">). The purpose of this exercise was to map </w:t>
      </w:r>
      <w:r w:rsidR="00FD1EAF">
        <w:t xml:space="preserve">in one place the </w:t>
      </w:r>
      <w:r w:rsidR="00CC5278">
        <w:t xml:space="preserve">steps of the green construction journey, the stakeholders involved, and </w:t>
      </w:r>
      <w:r w:rsidR="00416CB4">
        <w:t>how</w:t>
      </w:r>
      <w:r w:rsidRPr="005F51DC">
        <w:t xml:space="preserve"> MAGC intervenes and </w:t>
      </w:r>
      <w:r w:rsidR="00416CB4">
        <w:t>its expected outcomes across the different steps</w:t>
      </w:r>
      <w:r w:rsidRPr="005F51DC">
        <w:t>.</w:t>
      </w:r>
      <w:r w:rsidR="00416CB4">
        <w:t xml:space="preserve"> This framework helped to guide the analysis </w:t>
      </w:r>
      <w:r w:rsidR="004A18C8">
        <w:t>of early outcomes</w:t>
      </w:r>
      <w:r w:rsidRPr="005F51DC">
        <w:t xml:space="preserve"> </w:t>
      </w:r>
      <w:r w:rsidR="009B46AB">
        <w:t>by serving as a reference for the findings of qualitative interviews with the stakeholders</w:t>
      </w:r>
      <w:r w:rsidRPr="005F51DC">
        <w:t xml:space="preserve"> </w:t>
      </w:r>
      <w:r w:rsidR="00C960AE">
        <w:t>consulted.</w:t>
      </w:r>
      <w:r w:rsidRPr="005F51DC">
        <w:t xml:space="preserve"> </w:t>
      </w:r>
    </w:p>
    <w:p w:rsidR="000D3CF4" w:rsidP="005F51DC" w:rsidRDefault="000D3CF4" w14:paraId="22183F96" w14:textId="77777777">
      <w:pPr>
        <w:rPr>
          <w:rStyle w:val="Boldtext"/>
        </w:rPr>
        <w:sectPr w:rsidR="000D3CF4" w:rsidSect="00EA1E4E">
          <w:type w:val="continuous"/>
          <w:pgSz w:w="11906" w:h="16838" w:orient="portrait"/>
          <w:pgMar w:top="1418" w:right="907" w:bottom="907" w:left="907" w:header="709" w:footer="266" w:gutter="0"/>
          <w:cols w:space="708"/>
          <w:docGrid w:linePitch="360"/>
        </w:sectPr>
      </w:pPr>
    </w:p>
    <w:p w:rsidRPr="005F51DC" w:rsidR="005F51DC" w:rsidP="005F51DC" w:rsidRDefault="005F51DC" w14:paraId="2F75F7B2" w14:textId="2933BA10">
      <w:pPr>
        <w:rPr>
          <w:rStyle w:val="Boldtext"/>
        </w:rPr>
      </w:pPr>
      <w:r w:rsidRPr="005F51DC">
        <w:rPr>
          <w:rStyle w:val="Boldtext"/>
        </w:rPr>
        <w:t xml:space="preserve">Table </w:t>
      </w:r>
      <w:r w:rsidR="00D64385">
        <w:rPr>
          <w:rStyle w:val="Boldtext"/>
        </w:rPr>
        <w:t>3</w:t>
      </w:r>
      <w:r>
        <w:rPr>
          <w:rStyle w:val="Boldtext"/>
        </w:rPr>
        <w:t>.</w:t>
      </w:r>
      <w:r w:rsidRPr="005F51DC">
        <w:rPr>
          <w:rStyle w:val="Boldtext"/>
        </w:rPr>
        <w:t xml:space="preserve"> Map of the green construction journey and MAGC</w:t>
      </w:r>
    </w:p>
    <w:tbl>
      <w:tblPr>
        <w:tblStyle w:val="Table-Darkblue"/>
        <w:tblW w:w="0" w:type="auto"/>
        <w:tblLayout w:type="fixed"/>
        <w:tblLook w:val="01E0" w:firstRow="1" w:lastRow="1" w:firstColumn="1" w:lastColumn="1" w:noHBand="0" w:noVBand="0"/>
      </w:tblPr>
      <w:tblGrid>
        <w:gridCol w:w="1687"/>
        <w:gridCol w:w="1941"/>
        <w:gridCol w:w="1744"/>
        <w:gridCol w:w="2135"/>
        <w:gridCol w:w="2332"/>
        <w:gridCol w:w="2332"/>
        <w:gridCol w:w="2332"/>
      </w:tblGrid>
      <w:tr w:rsidRPr="00E94EE2" w:rsidR="005F51DC" w:rsidTr="004B6963" w14:paraId="39DBD35A" w14:textId="77777777">
        <w:trPr>
          <w:cnfStyle w:val="100000000000" w:firstRow="1" w:lastRow="0" w:firstColumn="0" w:lastColumn="0" w:oddVBand="0" w:evenVBand="0" w:oddHBand="0" w:evenHBand="0" w:firstRowFirstColumn="0" w:firstRowLastColumn="0" w:lastRowFirstColumn="0" w:lastRowLastColumn="0"/>
          <w:trHeight w:val="166"/>
          <w:tblHeader/>
        </w:trPr>
        <w:tc>
          <w:tcPr>
            <w:tcW w:w="1687" w:type="dxa"/>
          </w:tcPr>
          <w:p w:rsidRPr="00E94EE2" w:rsidR="005F51DC" w:rsidP="00B871EF" w:rsidRDefault="005F51DC" w14:paraId="5BAC35D0" w14:textId="49C4FABA">
            <w:pPr>
              <w:rPr>
                <w:rStyle w:val="Boldtext"/>
                <w:szCs w:val="24"/>
              </w:rPr>
            </w:pPr>
            <w:r w:rsidRPr="00E94EE2">
              <w:rPr>
                <w:rStyle w:val="Boldtext"/>
                <w:szCs w:val="24"/>
              </w:rPr>
              <w:t>Stage of green construction</w:t>
            </w:r>
          </w:p>
        </w:tc>
        <w:tc>
          <w:tcPr>
            <w:tcW w:w="1941" w:type="dxa"/>
          </w:tcPr>
          <w:p w:rsidRPr="00E94EE2" w:rsidR="005F51DC" w:rsidP="00B871EF" w:rsidRDefault="005F51DC" w14:paraId="789957B5" w14:textId="77777777">
            <w:pPr>
              <w:rPr>
                <w:rStyle w:val="Boldtext"/>
                <w:szCs w:val="24"/>
              </w:rPr>
            </w:pPr>
            <w:r w:rsidRPr="00E94EE2">
              <w:rPr>
                <w:rStyle w:val="Boldtext"/>
                <w:szCs w:val="24"/>
              </w:rPr>
              <w:t xml:space="preserve">Key steps </w:t>
            </w:r>
          </w:p>
        </w:tc>
        <w:tc>
          <w:tcPr>
            <w:tcW w:w="1744" w:type="dxa"/>
          </w:tcPr>
          <w:p w:rsidRPr="00E94EE2" w:rsidR="005F51DC" w:rsidP="00B871EF" w:rsidRDefault="005F51DC" w14:paraId="2DC6B138" w14:textId="77777777">
            <w:pPr>
              <w:rPr>
                <w:rStyle w:val="Boldtext"/>
                <w:szCs w:val="24"/>
              </w:rPr>
            </w:pPr>
            <w:r w:rsidRPr="00E94EE2">
              <w:rPr>
                <w:rStyle w:val="Boldtext"/>
                <w:szCs w:val="24"/>
              </w:rPr>
              <w:t>Stakeholders involved</w:t>
            </w:r>
          </w:p>
        </w:tc>
        <w:tc>
          <w:tcPr>
            <w:tcW w:w="2135" w:type="dxa"/>
          </w:tcPr>
          <w:p w:rsidRPr="00E94EE2" w:rsidR="005F51DC" w:rsidP="00B871EF" w:rsidRDefault="005F51DC" w14:paraId="3A896B90" w14:textId="77777777">
            <w:pPr>
              <w:rPr>
                <w:rStyle w:val="Boldtext"/>
                <w:szCs w:val="24"/>
              </w:rPr>
            </w:pPr>
            <w:r w:rsidRPr="00E94EE2">
              <w:rPr>
                <w:rStyle w:val="Boldtext"/>
                <w:szCs w:val="24"/>
              </w:rPr>
              <w:t>Contextual factors</w:t>
            </w:r>
          </w:p>
        </w:tc>
        <w:tc>
          <w:tcPr>
            <w:tcW w:w="2332" w:type="dxa"/>
          </w:tcPr>
          <w:p w:rsidRPr="00E94EE2" w:rsidR="005F51DC" w:rsidP="00B871EF" w:rsidRDefault="005F51DC" w14:paraId="44F05252" w14:textId="77777777">
            <w:pPr>
              <w:rPr>
                <w:rStyle w:val="Boldtext"/>
                <w:szCs w:val="24"/>
              </w:rPr>
            </w:pPr>
            <w:r w:rsidRPr="00E94EE2">
              <w:rPr>
                <w:rStyle w:val="Boldtext"/>
                <w:szCs w:val="24"/>
              </w:rPr>
              <w:t>MAGC mechanisms</w:t>
            </w:r>
          </w:p>
        </w:tc>
        <w:tc>
          <w:tcPr>
            <w:tcW w:w="2332" w:type="dxa"/>
          </w:tcPr>
          <w:p w:rsidRPr="00E94EE2" w:rsidR="005F51DC" w:rsidP="00B871EF" w:rsidRDefault="005F51DC" w14:paraId="5292F9EA" w14:textId="77777777">
            <w:pPr>
              <w:rPr>
                <w:rStyle w:val="Boldtext"/>
                <w:szCs w:val="24"/>
              </w:rPr>
            </w:pPr>
            <w:r w:rsidRPr="00E94EE2">
              <w:rPr>
                <w:rStyle w:val="Boldtext"/>
                <w:szCs w:val="24"/>
              </w:rPr>
              <w:t>MAGC expected intermediate outcomes</w:t>
            </w:r>
          </w:p>
        </w:tc>
        <w:tc>
          <w:tcPr>
            <w:tcW w:w="2332" w:type="dxa"/>
          </w:tcPr>
          <w:p w:rsidRPr="00E94EE2" w:rsidR="005F51DC" w:rsidP="00B871EF" w:rsidRDefault="005F51DC" w14:paraId="6B8A75F3" w14:textId="77777777">
            <w:pPr>
              <w:rPr>
                <w:rStyle w:val="Boldtext"/>
                <w:szCs w:val="24"/>
              </w:rPr>
            </w:pPr>
            <w:r w:rsidRPr="00E94EE2">
              <w:rPr>
                <w:rStyle w:val="Boldtext"/>
                <w:szCs w:val="24"/>
              </w:rPr>
              <w:t>MAGC expected longer term outcomes</w:t>
            </w:r>
          </w:p>
        </w:tc>
      </w:tr>
      <w:tr w:rsidRPr="00E94EE2" w:rsidR="005F51DC" w:rsidTr="00E94EE2" w14:paraId="490346CD" w14:textId="77777777">
        <w:trPr>
          <w:trHeight w:val="1808"/>
        </w:trPr>
        <w:tc>
          <w:tcPr>
            <w:tcW w:w="1687" w:type="dxa"/>
            <w:vMerge w:val="restart"/>
          </w:tcPr>
          <w:p w:rsidRPr="00E94EE2" w:rsidR="005F51DC" w:rsidP="00B871EF" w:rsidRDefault="005F51DC" w14:paraId="41480913" w14:textId="6313D108">
            <w:pPr>
              <w:rPr>
                <w:szCs w:val="24"/>
              </w:rPr>
            </w:pPr>
            <w:r w:rsidRPr="00E94EE2">
              <w:rPr>
                <w:szCs w:val="24"/>
              </w:rPr>
              <w:t>Funding and financing</w:t>
            </w:r>
          </w:p>
        </w:tc>
        <w:tc>
          <w:tcPr>
            <w:tcW w:w="1941" w:type="dxa"/>
          </w:tcPr>
          <w:p w:rsidRPr="00E94EE2" w:rsidR="005F51DC" w:rsidP="00B871EF" w:rsidRDefault="005F51DC" w14:paraId="0390EE87" w14:textId="20E9D00E">
            <w:pPr>
              <w:rPr>
                <w:szCs w:val="24"/>
              </w:rPr>
            </w:pPr>
            <w:r w:rsidRPr="00E94EE2">
              <w:rPr>
                <w:szCs w:val="24"/>
              </w:rPr>
              <w:t>Offering green building financial products</w:t>
            </w:r>
          </w:p>
        </w:tc>
        <w:tc>
          <w:tcPr>
            <w:tcW w:w="1744" w:type="dxa"/>
          </w:tcPr>
          <w:p w:rsidRPr="00E94EE2" w:rsidR="005F51DC" w:rsidP="00B871EF" w:rsidRDefault="005F51DC" w14:paraId="6A1B759A" w14:textId="65E83F39">
            <w:pPr>
              <w:rPr>
                <w:szCs w:val="24"/>
              </w:rPr>
            </w:pPr>
            <w:r w:rsidRPr="00E94EE2">
              <w:rPr>
                <w:szCs w:val="24"/>
              </w:rPr>
              <w:t>Financial intermediaries</w:t>
            </w:r>
          </w:p>
        </w:tc>
        <w:tc>
          <w:tcPr>
            <w:tcW w:w="2135" w:type="dxa"/>
          </w:tcPr>
          <w:p w:rsidRPr="00E94EE2" w:rsidR="005F51DC" w:rsidP="00B871EF" w:rsidRDefault="005F51DC" w14:paraId="3A7B7681" w14:textId="0D883EC6">
            <w:pPr>
              <w:rPr>
                <w:szCs w:val="24"/>
              </w:rPr>
            </w:pPr>
            <w:r w:rsidRPr="00E94EE2">
              <w:rPr>
                <w:szCs w:val="24"/>
              </w:rPr>
              <w:t>Availability of green financing options</w:t>
            </w:r>
          </w:p>
        </w:tc>
        <w:tc>
          <w:tcPr>
            <w:tcW w:w="2332" w:type="dxa"/>
          </w:tcPr>
          <w:p w:rsidRPr="00E94EE2" w:rsidR="005F51DC" w:rsidP="00B871EF" w:rsidRDefault="005F51DC" w14:paraId="2D7DF95F" w14:textId="6676CB9C">
            <w:pPr>
              <w:rPr>
                <w:szCs w:val="24"/>
              </w:rPr>
            </w:pPr>
            <w:r w:rsidRPr="00E94EE2">
              <w:rPr>
                <w:szCs w:val="24"/>
              </w:rPr>
              <w:t>FIs receiving blended finance and advisory services</w:t>
            </w:r>
          </w:p>
        </w:tc>
        <w:tc>
          <w:tcPr>
            <w:tcW w:w="2332" w:type="dxa"/>
          </w:tcPr>
          <w:p w:rsidRPr="00E94EE2" w:rsidR="005F51DC" w:rsidP="00B871EF" w:rsidRDefault="005F51DC" w14:paraId="54D4886D" w14:textId="4F529952">
            <w:pPr>
              <w:rPr>
                <w:szCs w:val="24"/>
              </w:rPr>
            </w:pPr>
            <w:r w:rsidRPr="00E94EE2">
              <w:rPr>
                <w:szCs w:val="24"/>
              </w:rPr>
              <w:t>Financial intermediaries willing and available to assess green building risk</w:t>
            </w:r>
          </w:p>
        </w:tc>
        <w:tc>
          <w:tcPr>
            <w:tcW w:w="2332" w:type="dxa"/>
          </w:tcPr>
          <w:p w:rsidRPr="00E94EE2" w:rsidR="005F51DC" w:rsidP="00B871EF" w:rsidRDefault="005F51DC" w14:paraId="7882B268" w14:textId="34BD01E3">
            <w:pPr>
              <w:rPr>
                <w:szCs w:val="24"/>
              </w:rPr>
            </w:pPr>
            <w:r w:rsidRPr="00E94EE2">
              <w:rPr>
                <w:szCs w:val="24"/>
              </w:rPr>
              <w:t>Competitive green finance is available</w:t>
            </w:r>
            <w:r w:rsidRPr="00E94EE2">
              <w:rPr>
                <w:szCs w:val="24"/>
              </w:rPr>
              <w:br/>
            </w:r>
            <w:r w:rsidRPr="00E94EE2">
              <w:rPr>
                <w:szCs w:val="24"/>
              </w:rPr>
              <w:br/>
            </w:r>
            <w:r w:rsidRPr="00E94EE2">
              <w:rPr>
                <w:szCs w:val="24"/>
              </w:rPr>
              <w:t>FIs understand and value green buildings</w:t>
            </w:r>
          </w:p>
        </w:tc>
      </w:tr>
      <w:tr w:rsidRPr="00E94EE2" w:rsidR="005F51DC" w:rsidTr="004B6963" w14:paraId="3861B9DC" w14:textId="77777777">
        <w:trPr>
          <w:trHeight w:val="263"/>
        </w:trPr>
        <w:tc>
          <w:tcPr>
            <w:tcW w:w="1687" w:type="dxa"/>
            <w:vMerge/>
          </w:tcPr>
          <w:p w:rsidRPr="00E94EE2" w:rsidR="005F51DC" w:rsidP="00B871EF" w:rsidRDefault="005F51DC" w14:paraId="1DC00C9A" w14:textId="77777777">
            <w:pPr>
              <w:rPr>
                <w:szCs w:val="24"/>
              </w:rPr>
            </w:pPr>
          </w:p>
        </w:tc>
        <w:tc>
          <w:tcPr>
            <w:tcW w:w="1941" w:type="dxa"/>
          </w:tcPr>
          <w:p w:rsidRPr="00E94EE2" w:rsidR="005F51DC" w:rsidP="00B871EF" w:rsidRDefault="005F51DC" w14:paraId="6BB03986" w14:textId="7856B2F3">
            <w:pPr>
              <w:rPr>
                <w:szCs w:val="24"/>
              </w:rPr>
            </w:pPr>
            <w:r w:rsidRPr="00E94EE2">
              <w:rPr>
                <w:szCs w:val="24"/>
              </w:rPr>
              <w:t>Identifying potential funding sources</w:t>
            </w:r>
          </w:p>
        </w:tc>
        <w:tc>
          <w:tcPr>
            <w:tcW w:w="1744" w:type="dxa"/>
          </w:tcPr>
          <w:p w:rsidRPr="00E94EE2" w:rsidR="005F51DC" w:rsidP="00B871EF" w:rsidRDefault="005F51DC" w14:paraId="629BB1C1" w14:textId="26B0E8BF">
            <w:pPr>
              <w:rPr>
                <w:szCs w:val="24"/>
              </w:rPr>
            </w:pPr>
            <w:r w:rsidRPr="00E94EE2">
              <w:rPr>
                <w:szCs w:val="24"/>
              </w:rPr>
              <w:t>Developers and investors</w:t>
            </w:r>
          </w:p>
        </w:tc>
        <w:tc>
          <w:tcPr>
            <w:tcW w:w="2135" w:type="dxa"/>
          </w:tcPr>
          <w:p w:rsidRPr="00E94EE2" w:rsidR="005F51DC" w:rsidP="00B871EF" w:rsidRDefault="005F51DC" w14:paraId="09FF1E7F" w14:textId="0D1A66C8">
            <w:pPr>
              <w:rPr>
                <w:szCs w:val="24"/>
              </w:rPr>
            </w:pPr>
            <w:r w:rsidRPr="00E94EE2">
              <w:rPr>
                <w:szCs w:val="24"/>
              </w:rPr>
              <w:t>Availability of green financing options</w:t>
            </w:r>
          </w:p>
        </w:tc>
        <w:tc>
          <w:tcPr>
            <w:tcW w:w="2332" w:type="dxa"/>
          </w:tcPr>
          <w:p w:rsidRPr="00E94EE2" w:rsidR="005F51DC" w:rsidP="00B871EF" w:rsidRDefault="005F51DC" w14:paraId="1B419866" w14:textId="5FA5B8E1">
            <w:pPr>
              <w:rPr>
                <w:szCs w:val="24"/>
              </w:rPr>
            </w:pPr>
            <w:r w:rsidRPr="00E94EE2">
              <w:rPr>
                <w:szCs w:val="24"/>
              </w:rPr>
              <w:t>Private sector in-country receive technical assistance</w:t>
            </w:r>
          </w:p>
        </w:tc>
        <w:tc>
          <w:tcPr>
            <w:tcW w:w="2332" w:type="dxa"/>
          </w:tcPr>
          <w:p w:rsidRPr="00E94EE2" w:rsidR="005F51DC" w:rsidP="00B871EF" w:rsidRDefault="005F51DC" w14:paraId="3E80459D" w14:textId="4A196CDC">
            <w:pPr>
              <w:rPr>
                <w:szCs w:val="24"/>
              </w:rPr>
            </w:pPr>
            <w:r w:rsidRPr="00E94EE2">
              <w:rPr>
                <w:szCs w:val="24"/>
              </w:rPr>
              <w:t>Developers understand and value green buildings</w:t>
            </w:r>
          </w:p>
          <w:p w:rsidRPr="00E94EE2" w:rsidR="005F51DC" w:rsidP="00B871EF" w:rsidRDefault="005F51DC" w14:paraId="1F7482BB" w14:textId="43A02B8B">
            <w:pPr>
              <w:rPr>
                <w:szCs w:val="24"/>
              </w:rPr>
            </w:pPr>
            <w:r w:rsidRPr="00E94EE2">
              <w:rPr>
                <w:szCs w:val="24"/>
              </w:rPr>
              <w:t>Strengthen enabling environment</w:t>
            </w:r>
          </w:p>
        </w:tc>
        <w:tc>
          <w:tcPr>
            <w:tcW w:w="2332" w:type="dxa"/>
          </w:tcPr>
          <w:p w:rsidRPr="00E94EE2" w:rsidR="005F51DC" w:rsidP="00B871EF" w:rsidRDefault="005F51DC" w14:paraId="53C7F07C" w14:textId="36F06EC8">
            <w:pPr>
              <w:rPr>
                <w:szCs w:val="24"/>
              </w:rPr>
            </w:pPr>
            <w:r w:rsidRPr="00E94EE2">
              <w:rPr>
                <w:szCs w:val="24"/>
              </w:rPr>
              <w:t>Market capacity is strengthened</w:t>
            </w:r>
          </w:p>
        </w:tc>
      </w:tr>
      <w:tr w:rsidRPr="00E94EE2" w:rsidR="005F51DC" w:rsidTr="004B6963" w14:paraId="4159B09B" w14:textId="77777777">
        <w:trPr>
          <w:trHeight w:val="263"/>
        </w:trPr>
        <w:tc>
          <w:tcPr>
            <w:tcW w:w="1687" w:type="dxa"/>
            <w:vMerge/>
          </w:tcPr>
          <w:p w:rsidRPr="00E94EE2" w:rsidR="005F51DC" w:rsidP="00B871EF" w:rsidRDefault="005F51DC" w14:paraId="18240D95" w14:textId="77777777">
            <w:pPr>
              <w:rPr>
                <w:szCs w:val="24"/>
              </w:rPr>
            </w:pPr>
          </w:p>
        </w:tc>
        <w:tc>
          <w:tcPr>
            <w:tcW w:w="1941" w:type="dxa"/>
          </w:tcPr>
          <w:p w:rsidRPr="00E94EE2" w:rsidR="005F51DC" w:rsidP="00B871EF" w:rsidRDefault="005F51DC" w14:paraId="3A29CCBE" w14:textId="052EFCE4">
            <w:pPr>
              <w:rPr>
                <w:szCs w:val="24"/>
              </w:rPr>
            </w:pPr>
            <w:r w:rsidRPr="00E94EE2">
              <w:rPr>
                <w:szCs w:val="24"/>
              </w:rPr>
              <w:t>Evaluating the financial viability of the project</w:t>
            </w:r>
          </w:p>
        </w:tc>
        <w:tc>
          <w:tcPr>
            <w:tcW w:w="1744" w:type="dxa"/>
          </w:tcPr>
          <w:p w:rsidRPr="00E94EE2" w:rsidR="005F51DC" w:rsidP="00B871EF" w:rsidRDefault="005F51DC" w14:paraId="70A07707" w14:textId="19A4B335">
            <w:pPr>
              <w:rPr>
                <w:szCs w:val="24"/>
              </w:rPr>
            </w:pPr>
            <w:r w:rsidRPr="00E94EE2">
              <w:rPr>
                <w:szCs w:val="24"/>
              </w:rPr>
              <w:t>Financial intermediaries</w:t>
            </w:r>
          </w:p>
        </w:tc>
        <w:tc>
          <w:tcPr>
            <w:tcW w:w="2135" w:type="dxa"/>
          </w:tcPr>
          <w:p w:rsidRPr="00E94EE2" w:rsidR="005F51DC" w:rsidP="00B871EF" w:rsidRDefault="005F51DC" w14:paraId="570337DC" w14:textId="5D6A55DD">
            <w:pPr>
              <w:rPr>
                <w:szCs w:val="24"/>
              </w:rPr>
            </w:pPr>
            <w:r w:rsidRPr="00E94EE2">
              <w:rPr>
                <w:szCs w:val="24"/>
              </w:rPr>
              <w:t>Investor appetite for sustainable investments</w:t>
            </w:r>
          </w:p>
        </w:tc>
        <w:tc>
          <w:tcPr>
            <w:tcW w:w="2332" w:type="dxa"/>
          </w:tcPr>
          <w:p w:rsidRPr="00E94EE2" w:rsidR="005F51DC" w:rsidP="00B871EF" w:rsidRDefault="005F51DC" w14:paraId="3182D78D" w14:textId="7208B8B0">
            <w:pPr>
              <w:rPr>
                <w:szCs w:val="24"/>
              </w:rPr>
            </w:pPr>
            <w:r w:rsidRPr="00E94EE2">
              <w:rPr>
                <w:szCs w:val="24"/>
              </w:rPr>
              <w:t>FIs receiving advisory services</w:t>
            </w:r>
          </w:p>
        </w:tc>
        <w:tc>
          <w:tcPr>
            <w:tcW w:w="2332" w:type="dxa"/>
          </w:tcPr>
          <w:p w:rsidRPr="00E94EE2" w:rsidR="005F51DC" w:rsidP="00B871EF" w:rsidRDefault="005F51DC" w14:paraId="039413E5" w14:textId="49B8E3C3">
            <w:pPr>
              <w:rPr>
                <w:szCs w:val="24"/>
              </w:rPr>
            </w:pPr>
            <w:r w:rsidRPr="00E94EE2">
              <w:rPr>
                <w:szCs w:val="24"/>
              </w:rPr>
              <w:t>Financial intermediaries willing and available to assess green building risk</w:t>
            </w:r>
          </w:p>
        </w:tc>
        <w:tc>
          <w:tcPr>
            <w:tcW w:w="2332" w:type="dxa"/>
          </w:tcPr>
          <w:p w:rsidRPr="00E94EE2" w:rsidR="005F51DC" w:rsidP="00B871EF" w:rsidRDefault="005F51DC" w14:paraId="62CBD93C" w14:textId="54498B65">
            <w:pPr>
              <w:rPr>
                <w:szCs w:val="24"/>
              </w:rPr>
            </w:pPr>
            <w:r w:rsidRPr="00E94EE2">
              <w:rPr>
                <w:szCs w:val="24"/>
              </w:rPr>
              <w:t>Competitive green finance is available</w:t>
            </w:r>
            <w:r w:rsidRPr="00E94EE2">
              <w:rPr>
                <w:szCs w:val="24"/>
              </w:rPr>
              <w:br/>
            </w:r>
            <w:r w:rsidRPr="00E94EE2">
              <w:rPr>
                <w:szCs w:val="24"/>
              </w:rPr>
              <w:br/>
            </w:r>
            <w:r w:rsidRPr="00E94EE2">
              <w:rPr>
                <w:szCs w:val="24"/>
              </w:rPr>
              <w:t>Investors understand and value green buildings</w:t>
            </w:r>
          </w:p>
        </w:tc>
      </w:tr>
      <w:tr w:rsidRPr="00E94EE2" w:rsidR="005F51DC" w:rsidTr="004B6963" w14:paraId="7E063209" w14:textId="77777777">
        <w:trPr>
          <w:trHeight w:val="263"/>
        </w:trPr>
        <w:tc>
          <w:tcPr>
            <w:tcW w:w="1687" w:type="dxa"/>
            <w:vMerge/>
          </w:tcPr>
          <w:p w:rsidRPr="00E94EE2" w:rsidR="005F51DC" w:rsidP="00B871EF" w:rsidRDefault="005F51DC" w14:paraId="28D91409" w14:textId="77777777">
            <w:pPr>
              <w:rPr>
                <w:szCs w:val="24"/>
              </w:rPr>
            </w:pPr>
          </w:p>
        </w:tc>
        <w:tc>
          <w:tcPr>
            <w:tcW w:w="1941" w:type="dxa"/>
          </w:tcPr>
          <w:p w:rsidRPr="00E94EE2" w:rsidR="005F51DC" w:rsidP="00B871EF" w:rsidRDefault="005F51DC" w14:paraId="2AE25C10" w14:textId="07E78D23">
            <w:pPr>
              <w:rPr>
                <w:szCs w:val="24"/>
              </w:rPr>
            </w:pPr>
            <w:r w:rsidRPr="00E94EE2">
              <w:rPr>
                <w:szCs w:val="24"/>
              </w:rPr>
              <w:t>Offering financial incentives such as tax breaks, grants, or subsidies</w:t>
            </w:r>
          </w:p>
        </w:tc>
        <w:tc>
          <w:tcPr>
            <w:tcW w:w="1744" w:type="dxa"/>
          </w:tcPr>
          <w:p w:rsidRPr="00E94EE2" w:rsidR="005F51DC" w:rsidP="00B871EF" w:rsidRDefault="005F51DC" w14:paraId="48F28D88" w14:textId="7A81EE11">
            <w:pPr>
              <w:rPr>
                <w:szCs w:val="24"/>
              </w:rPr>
            </w:pPr>
            <w:r w:rsidRPr="00E94EE2">
              <w:rPr>
                <w:szCs w:val="24"/>
              </w:rPr>
              <w:t>Government</w:t>
            </w:r>
          </w:p>
        </w:tc>
        <w:tc>
          <w:tcPr>
            <w:tcW w:w="2135" w:type="dxa"/>
          </w:tcPr>
          <w:p w:rsidRPr="00E94EE2" w:rsidR="005F51DC" w:rsidP="00B871EF" w:rsidRDefault="005F51DC" w14:paraId="1C2C6B55" w14:textId="0F61F4F6">
            <w:pPr>
              <w:rPr>
                <w:szCs w:val="24"/>
              </w:rPr>
            </w:pPr>
            <w:r w:rsidRPr="00E94EE2">
              <w:rPr>
                <w:szCs w:val="24"/>
              </w:rPr>
              <w:t>Government incentives and policies in place</w:t>
            </w:r>
          </w:p>
        </w:tc>
        <w:tc>
          <w:tcPr>
            <w:tcW w:w="2332" w:type="dxa"/>
          </w:tcPr>
          <w:p w:rsidRPr="00E94EE2" w:rsidR="005F51DC" w:rsidP="00B871EF" w:rsidRDefault="005F51DC" w14:paraId="6F1E55F2" w14:textId="2D860122">
            <w:pPr>
              <w:rPr>
                <w:szCs w:val="24"/>
              </w:rPr>
            </w:pPr>
            <w:r w:rsidRPr="00E94EE2">
              <w:rPr>
                <w:szCs w:val="24"/>
              </w:rPr>
              <w:t>Public sector in-country receive technical assistance</w:t>
            </w:r>
          </w:p>
        </w:tc>
        <w:tc>
          <w:tcPr>
            <w:tcW w:w="2332" w:type="dxa"/>
          </w:tcPr>
          <w:p w:rsidRPr="00E94EE2" w:rsidR="005F51DC" w:rsidP="00B871EF" w:rsidRDefault="005F51DC" w14:paraId="79D41C59" w14:textId="4E3E91F1">
            <w:pPr>
              <w:rPr>
                <w:szCs w:val="24"/>
              </w:rPr>
            </w:pPr>
            <w:r w:rsidRPr="00E94EE2">
              <w:rPr>
                <w:szCs w:val="24"/>
              </w:rPr>
              <w:t>Strengthen regulatory environment</w:t>
            </w:r>
          </w:p>
        </w:tc>
        <w:tc>
          <w:tcPr>
            <w:tcW w:w="2332" w:type="dxa"/>
          </w:tcPr>
          <w:p w:rsidRPr="00E94EE2" w:rsidR="005F51DC" w:rsidP="00B871EF" w:rsidRDefault="005F51DC" w14:paraId="595070DA" w14:textId="25A3B475">
            <w:pPr>
              <w:rPr>
                <w:szCs w:val="24"/>
              </w:rPr>
            </w:pPr>
            <w:r w:rsidRPr="00E94EE2">
              <w:rPr>
                <w:szCs w:val="24"/>
              </w:rPr>
              <w:t>Green building policy with enforcement capacity is in place</w:t>
            </w:r>
          </w:p>
        </w:tc>
      </w:tr>
      <w:tr w:rsidRPr="00E94EE2" w:rsidR="005F51DC" w:rsidTr="004B6963" w14:paraId="1B784F7C" w14:textId="77777777">
        <w:trPr>
          <w:trHeight w:val="263"/>
        </w:trPr>
        <w:tc>
          <w:tcPr>
            <w:tcW w:w="1687" w:type="dxa"/>
            <w:vMerge w:val="restart"/>
          </w:tcPr>
          <w:p w:rsidRPr="00E94EE2" w:rsidR="005F51DC" w:rsidP="00B871EF" w:rsidRDefault="005F51DC" w14:paraId="4EBA711D" w14:textId="1F79A5BD">
            <w:pPr>
              <w:rPr>
                <w:szCs w:val="24"/>
              </w:rPr>
            </w:pPr>
            <w:r w:rsidRPr="00E94EE2">
              <w:rPr>
                <w:szCs w:val="24"/>
              </w:rPr>
              <w:t>Project conception and design</w:t>
            </w:r>
          </w:p>
        </w:tc>
        <w:tc>
          <w:tcPr>
            <w:tcW w:w="1941" w:type="dxa"/>
          </w:tcPr>
          <w:p w:rsidRPr="00E94EE2" w:rsidR="005F51DC" w:rsidP="00B871EF" w:rsidRDefault="005F51DC" w14:paraId="61924A76" w14:textId="2782ADD8">
            <w:pPr>
              <w:rPr>
                <w:szCs w:val="24"/>
              </w:rPr>
            </w:pPr>
            <w:r w:rsidRPr="00E94EE2">
              <w:rPr>
                <w:szCs w:val="24"/>
              </w:rPr>
              <w:t>Feasibility studies and site selection</w:t>
            </w:r>
          </w:p>
        </w:tc>
        <w:tc>
          <w:tcPr>
            <w:tcW w:w="1744" w:type="dxa"/>
          </w:tcPr>
          <w:p w:rsidRPr="00E94EE2" w:rsidR="005F51DC" w:rsidP="00B871EF" w:rsidRDefault="005F51DC" w14:paraId="443F8468" w14:textId="509AE272">
            <w:pPr>
              <w:rPr>
                <w:szCs w:val="24"/>
              </w:rPr>
            </w:pPr>
            <w:r w:rsidRPr="00E94EE2">
              <w:rPr>
                <w:szCs w:val="24"/>
              </w:rPr>
              <w:t>Developers, investors, sustainability consultants, and local authorities</w:t>
            </w:r>
          </w:p>
        </w:tc>
        <w:tc>
          <w:tcPr>
            <w:tcW w:w="2135" w:type="dxa"/>
          </w:tcPr>
          <w:p w:rsidRPr="00E94EE2" w:rsidR="005F51DC" w:rsidP="00B871EF" w:rsidRDefault="005F51DC" w14:paraId="53C76711" w14:textId="138D31F9">
            <w:pPr>
              <w:rPr>
                <w:szCs w:val="24"/>
              </w:rPr>
            </w:pPr>
            <w:r w:rsidRPr="00E94EE2">
              <w:rPr>
                <w:szCs w:val="24"/>
              </w:rPr>
              <w:t>Local environmental regulations and incentives for green building</w:t>
            </w:r>
          </w:p>
        </w:tc>
        <w:tc>
          <w:tcPr>
            <w:tcW w:w="2332" w:type="dxa"/>
          </w:tcPr>
          <w:p w:rsidRPr="00E94EE2" w:rsidR="005F51DC" w:rsidP="00B871EF" w:rsidRDefault="005F51DC" w14:paraId="23C9D67D" w14:textId="3AB51CB2">
            <w:pPr>
              <w:rPr>
                <w:szCs w:val="24"/>
              </w:rPr>
            </w:pPr>
            <w:r w:rsidRPr="00E94EE2">
              <w:rPr>
                <w:szCs w:val="24"/>
              </w:rPr>
              <w:t>Architects, designers, developers are trained</w:t>
            </w:r>
            <w:r w:rsidRPr="00E94EE2">
              <w:rPr>
                <w:szCs w:val="24"/>
              </w:rPr>
              <w:br/>
            </w:r>
            <w:r w:rsidRPr="00E94EE2">
              <w:rPr>
                <w:szCs w:val="24"/>
              </w:rPr>
              <w:br/>
            </w:r>
            <w:r w:rsidRPr="00E94EE2">
              <w:rPr>
                <w:szCs w:val="24"/>
              </w:rPr>
              <w:t>Local authorities receive technical assistance</w:t>
            </w:r>
          </w:p>
        </w:tc>
        <w:tc>
          <w:tcPr>
            <w:tcW w:w="2332" w:type="dxa"/>
          </w:tcPr>
          <w:p w:rsidRPr="00E94EE2" w:rsidR="005F51DC" w:rsidP="00B871EF" w:rsidRDefault="005F51DC" w14:paraId="11362EB0" w14:textId="014AB289">
            <w:pPr>
              <w:rPr>
                <w:szCs w:val="24"/>
              </w:rPr>
            </w:pPr>
            <w:r w:rsidRPr="00E94EE2">
              <w:rPr>
                <w:szCs w:val="24"/>
              </w:rPr>
              <w:t xml:space="preserve">Pre-certified green building secure finance </w:t>
            </w:r>
            <w:r w:rsidRPr="00E94EE2">
              <w:rPr>
                <w:szCs w:val="24"/>
              </w:rPr>
              <w:br/>
            </w:r>
            <w:r w:rsidRPr="00E94EE2">
              <w:rPr>
                <w:szCs w:val="24"/>
              </w:rPr>
              <w:br/>
            </w:r>
            <w:r w:rsidRPr="00E94EE2">
              <w:rPr>
                <w:szCs w:val="24"/>
              </w:rPr>
              <w:t>Regulatory environment is strengthened</w:t>
            </w:r>
          </w:p>
        </w:tc>
        <w:tc>
          <w:tcPr>
            <w:tcW w:w="2332" w:type="dxa"/>
          </w:tcPr>
          <w:p w:rsidRPr="00E94EE2" w:rsidR="005F51DC" w:rsidP="00B871EF" w:rsidRDefault="005F51DC" w14:paraId="66A9CF08" w14:textId="4F1977A8">
            <w:pPr>
              <w:rPr>
                <w:szCs w:val="24"/>
              </w:rPr>
            </w:pPr>
            <w:r w:rsidRPr="00E94EE2">
              <w:rPr>
                <w:szCs w:val="24"/>
              </w:rPr>
              <w:t>Developers and green building professionals understand and value certified green buildings</w:t>
            </w:r>
          </w:p>
        </w:tc>
      </w:tr>
      <w:tr w:rsidRPr="00E94EE2" w:rsidR="005F51DC" w:rsidTr="004B6963" w14:paraId="40169F5D" w14:textId="77777777">
        <w:trPr>
          <w:trHeight w:val="263"/>
        </w:trPr>
        <w:tc>
          <w:tcPr>
            <w:tcW w:w="1687" w:type="dxa"/>
            <w:vMerge/>
          </w:tcPr>
          <w:p w:rsidRPr="00E94EE2" w:rsidR="005F51DC" w:rsidP="00B871EF" w:rsidRDefault="005F51DC" w14:paraId="718DF8E6" w14:textId="77777777">
            <w:pPr>
              <w:rPr>
                <w:szCs w:val="24"/>
              </w:rPr>
            </w:pPr>
          </w:p>
        </w:tc>
        <w:tc>
          <w:tcPr>
            <w:tcW w:w="1941" w:type="dxa"/>
          </w:tcPr>
          <w:p w:rsidRPr="00E94EE2" w:rsidR="005F51DC" w:rsidP="00B871EF" w:rsidRDefault="005F51DC" w14:paraId="6E9279E0" w14:textId="2BBF1FE0">
            <w:pPr>
              <w:rPr>
                <w:szCs w:val="24"/>
              </w:rPr>
            </w:pPr>
            <w:r w:rsidRPr="00E94EE2">
              <w:rPr>
                <w:szCs w:val="24"/>
              </w:rPr>
              <w:t>Choosing green building certification system</w:t>
            </w:r>
          </w:p>
        </w:tc>
        <w:tc>
          <w:tcPr>
            <w:tcW w:w="1744" w:type="dxa"/>
          </w:tcPr>
          <w:p w:rsidRPr="00E94EE2" w:rsidR="005F51DC" w:rsidP="00B871EF" w:rsidRDefault="005F51DC" w14:paraId="045A7CFE" w14:textId="4D10FF9B">
            <w:pPr>
              <w:rPr>
                <w:szCs w:val="24"/>
              </w:rPr>
            </w:pPr>
            <w:r w:rsidRPr="00E94EE2">
              <w:rPr>
                <w:szCs w:val="24"/>
              </w:rPr>
              <w:t>Developers, architects, sustainability consultants, and investors</w:t>
            </w:r>
          </w:p>
        </w:tc>
        <w:tc>
          <w:tcPr>
            <w:tcW w:w="2135" w:type="dxa"/>
          </w:tcPr>
          <w:p w:rsidRPr="00E94EE2" w:rsidR="005F51DC" w:rsidP="00B871EF" w:rsidRDefault="005F51DC" w14:paraId="1E79BE12" w14:textId="37ECF36E">
            <w:pPr>
              <w:rPr>
                <w:szCs w:val="24"/>
              </w:rPr>
            </w:pPr>
            <w:r w:rsidRPr="00E94EE2">
              <w:rPr>
                <w:szCs w:val="24"/>
              </w:rPr>
              <w:t>Availability and cost of sustainable materials and technologies in the region</w:t>
            </w:r>
          </w:p>
        </w:tc>
        <w:tc>
          <w:tcPr>
            <w:tcW w:w="2332" w:type="dxa"/>
          </w:tcPr>
          <w:p w:rsidRPr="00E94EE2" w:rsidR="005F51DC" w:rsidP="00B871EF" w:rsidRDefault="005F51DC" w14:paraId="3F7D68F1" w14:textId="10CD1A79">
            <w:pPr>
              <w:rPr>
                <w:szCs w:val="24"/>
              </w:rPr>
            </w:pPr>
            <w:r w:rsidRPr="00E94EE2">
              <w:rPr>
                <w:szCs w:val="24"/>
              </w:rPr>
              <w:t>Maintenance, operation, and improvements of the EDGE certification platform</w:t>
            </w:r>
          </w:p>
        </w:tc>
        <w:tc>
          <w:tcPr>
            <w:tcW w:w="2332" w:type="dxa"/>
          </w:tcPr>
          <w:p w:rsidRPr="00E94EE2" w:rsidR="005F51DC" w:rsidP="00B871EF" w:rsidRDefault="005F51DC" w14:paraId="492FCC6D" w14:textId="020B0A93">
            <w:pPr>
              <w:rPr>
                <w:szCs w:val="24"/>
              </w:rPr>
            </w:pPr>
            <w:r w:rsidRPr="00E94EE2">
              <w:rPr>
                <w:szCs w:val="24"/>
              </w:rPr>
              <w:t>Strengthen EDGE system in country</w:t>
            </w:r>
          </w:p>
        </w:tc>
        <w:tc>
          <w:tcPr>
            <w:tcW w:w="2332" w:type="dxa"/>
          </w:tcPr>
          <w:p w:rsidRPr="00E94EE2" w:rsidR="005F51DC" w:rsidP="00B871EF" w:rsidRDefault="005F51DC" w14:paraId="49C25A7F" w14:textId="1F4D54AE">
            <w:pPr>
              <w:rPr>
                <w:szCs w:val="24"/>
              </w:rPr>
            </w:pPr>
            <w:r w:rsidRPr="00E94EE2">
              <w:rPr>
                <w:szCs w:val="24"/>
              </w:rPr>
              <w:t>Developers and green building professionals understand and value certified green buildings</w:t>
            </w:r>
          </w:p>
        </w:tc>
      </w:tr>
      <w:tr w:rsidRPr="00E94EE2" w:rsidR="005F51DC" w:rsidTr="004B6963" w14:paraId="782B35EB" w14:textId="77777777">
        <w:trPr>
          <w:trHeight w:val="263"/>
        </w:trPr>
        <w:tc>
          <w:tcPr>
            <w:tcW w:w="1687" w:type="dxa"/>
            <w:vMerge/>
          </w:tcPr>
          <w:p w:rsidRPr="00E94EE2" w:rsidR="005F51DC" w:rsidP="00B871EF" w:rsidRDefault="005F51DC" w14:paraId="3EEC9BD6" w14:textId="77777777">
            <w:pPr>
              <w:rPr>
                <w:szCs w:val="24"/>
              </w:rPr>
            </w:pPr>
          </w:p>
        </w:tc>
        <w:tc>
          <w:tcPr>
            <w:tcW w:w="1941" w:type="dxa"/>
          </w:tcPr>
          <w:p w:rsidRPr="00E94EE2" w:rsidR="005F51DC" w:rsidP="00B871EF" w:rsidRDefault="005F51DC" w14:paraId="16232D8C" w14:textId="77C65C62">
            <w:pPr>
              <w:rPr>
                <w:szCs w:val="24"/>
              </w:rPr>
            </w:pPr>
            <w:r w:rsidRPr="00E94EE2">
              <w:rPr>
                <w:szCs w:val="24"/>
              </w:rPr>
              <w:t>Design developed and certified</w:t>
            </w:r>
          </w:p>
        </w:tc>
        <w:tc>
          <w:tcPr>
            <w:tcW w:w="1744" w:type="dxa"/>
          </w:tcPr>
          <w:p w:rsidRPr="00E94EE2" w:rsidR="005F51DC" w:rsidP="00B871EF" w:rsidRDefault="005F51DC" w14:paraId="5E970E4D" w14:textId="16461256">
            <w:pPr>
              <w:rPr>
                <w:szCs w:val="24"/>
              </w:rPr>
            </w:pPr>
            <w:r w:rsidRPr="00E94EE2">
              <w:rPr>
                <w:szCs w:val="24"/>
              </w:rPr>
              <w:t>Architects, engineers, sustainability consultants, and developers</w:t>
            </w:r>
          </w:p>
        </w:tc>
        <w:tc>
          <w:tcPr>
            <w:tcW w:w="2135" w:type="dxa"/>
          </w:tcPr>
          <w:p w:rsidRPr="00E94EE2" w:rsidR="005F51DC" w:rsidP="00B871EF" w:rsidRDefault="005F51DC" w14:paraId="640C93E3" w14:textId="6831714E">
            <w:pPr>
              <w:rPr>
                <w:szCs w:val="24"/>
              </w:rPr>
            </w:pPr>
            <w:r w:rsidRPr="00E94EE2">
              <w:rPr>
                <w:szCs w:val="24"/>
              </w:rPr>
              <w:t>Complexity of the chosen certification system and its documentation requirements</w:t>
            </w:r>
          </w:p>
        </w:tc>
        <w:tc>
          <w:tcPr>
            <w:tcW w:w="2332" w:type="dxa"/>
          </w:tcPr>
          <w:p w:rsidRPr="00E94EE2" w:rsidR="005F51DC" w:rsidP="00B871EF" w:rsidRDefault="005F51DC" w14:paraId="5192453A" w14:textId="2910D286">
            <w:pPr>
              <w:rPr>
                <w:szCs w:val="24"/>
              </w:rPr>
            </w:pPr>
            <w:r w:rsidRPr="00E94EE2">
              <w:rPr>
                <w:szCs w:val="24"/>
              </w:rPr>
              <w:t>Maintenance, operation, and improvements of the EDGE certification platform</w:t>
            </w:r>
          </w:p>
        </w:tc>
        <w:tc>
          <w:tcPr>
            <w:tcW w:w="2332" w:type="dxa"/>
          </w:tcPr>
          <w:p w:rsidRPr="00E94EE2" w:rsidR="005F51DC" w:rsidP="00B871EF" w:rsidRDefault="005F51DC" w14:paraId="7376B322" w14:textId="19F4A6D8">
            <w:pPr>
              <w:rPr>
                <w:szCs w:val="24"/>
              </w:rPr>
            </w:pPr>
            <w:r w:rsidRPr="00E94EE2">
              <w:rPr>
                <w:szCs w:val="24"/>
              </w:rPr>
              <w:t>Pre-certified green building secure finance</w:t>
            </w:r>
          </w:p>
        </w:tc>
        <w:tc>
          <w:tcPr>
            <w:tcW w:w="2332" w:type="dxa"/>
          </w:tcPr>
          <w:p w:rsidRPr="00E94EE2" w:rsidR="005F51DC" w:rsidP="00B871EF" w:rsidRDefault="005F51DC" w14:paraId="2BC3233A" w14:textId="64EEDD97">
            <w:pPr>
              <w:rPr>
                <w:szCs w:val="24"/>
              </w:rPr>
            </w:pPr>
            <w:r w:rsidRPr="00E94EE2">
              <w:rPr>
                <w:szCs w:val="24"/>
              </w:rPr>
              <w:t>Developers and green building professionals understand and value certified green buildings</w:t>
            </w:r>
          </w:p>
        </w:tc>
      </w:tr>
      <w:tr w:rsidRPr="00E94EE2" w:rsidR="005F51DC" w:rsidTr="004B6963" w14:paraId="6B385F5A" w14:textId="77777777">
        <w:trPr>
          <w:trHeight w:val="263"/>
        </w:trPr>
        <w:tc>
          <w:tcPr>
            <w:tcW w:w="1687" w:type="dxa"/>
            <w:vMerge/>
          </w:tcPr>
          <w:p w:rsidRPr="00E94EE2" w:rsidR="005F51DC" w:rsidP="00B871EF" w:rsidRDefault="005F51DC" w14:paraId="2CC06E03" w14:textId="77777777">
            <w:pPr>
              <w:rPr>
                <w:szCs w:val="24"/>
              </w:rPr>
            </w:pPr>
          </w:p>
        </w:tc>
        <w:tc>
          <w:tcPr>
            <w:tcW w:w="1941" w:type="dxa"/>
          </w:tcPr>
          <w:p w:rsidRPr="00E94EE2" w:rsidR="005F51DC" w:rsidP="00B871EF" w:rsidRDefault="005F51DC" w14:paraId="6D492375" w14:textId="0E5AA0EB">
            <w:pPr>
              <w:rPr>
                <w:szCs w:val="24"/>
              </w:rPr>
            </w:pPr>
            <w:r w:rsidRPr="00E94EE2">
              <w:rPr>
                <w:szCs w:val="24"/>
              </w:rPr>
              <w:t>Obtaining necessary permits and approvals from local authorities</w:t>
            </w:r>
          </w:p>
        </w:tc>
        <w:tc>
          <w:tcPr>
            <w:tcW w:w="1744" w:type="dxa"/>
          </w:tcPr>
          <w:p w:rsidRPr="00E94EE2" w:rsidR="005F51DC" w:rsidP="00B871EF" w:rsidRDefault="005F51DC" w14:paraId="29E22C74" w14:textId="5D4D51D1">
            <w:pPr>
              <w:rPr>
                <w:szCs w:val="24"/>
              </w:rPr>
            </w:pPr>
            <w:r w:rsidRPr="00E94EE2">
              <w:rPr>
                <w:szCs w:val="24"/>
              </w:rPr>
              <w:t>Developers, architects, and local authorities</w:t>
            </w:r>
          </w:p>
        </w:tc>
        <w:tc>
          <w:tcPr>
            <w:tcW w:w="2135" w:type="dxa"/>
          </w:tcPr>
          <w:p w:rsidRPr="00E94EE2" w:rsidR="005F51DC" w:rsidP="00B871EF" w:rsidRDefault="005F51DC" w14:paraId="64D015CF" w14:textId="0C29FE5B">
            <w:pPr>
              <w:rPr>
                <w:szCs w:val="24"/>
              </w:rPr>
            </w:pPr>
            <w:r w:rsidRPr="00E94EE2">
              <w:rPr>
                <w:szCs w:val="24"/>
              </w:rPr>
              <w:t>Local environmental regulations and incentives for green building</w:t>
            </w:r>
          </w:p>
        </w:tc>
        <w:tc>
          <w:tcPr>
            <w:tcW w:w="2332" w:type="dxa"/>
          </w:tcPr>
          <w:p w:rsidRPr="00E94EE2" w:rsidR="005F51DC" w:rsidP="00B871EF" w:rsidRDefault="005F51DC" w14:paraId="1DE1A4D5" w14:textId="7E7980EC">
            <w:pPr>
              <w:rPr>
                <w:szCs w:val="24"/>
              </w:rPr>
            </w:pPr>
            <w:r w:rsidRPr="00E94EE2">
              <w:rPr>
                <w:szCs w:val="24"/>
              </w:rPr>
              <w:t>Local authorities’ technical assistance</w:t>
            </w:r>
          </w:p>
        </w:tc>
        <w:tc>
          <w:tcPr>
            <w:tcW w:w="2332" w:type="dxa"/>
          </w:tcPr>
          <w:p w:rsidRPr="00E94EE2" w:rsidR="005F51DC" w:rsidP="00B871EF" w:rsidRDefault="005F51DC" w14:paraId="747D31CE" w14:textId="5E10ED51">
            <w:pPr>
              <w:rPr>
                <w:szCs w:val="24"/>
              </w:rPr>
            </w:pPr>
            <w:r w:rsidRPr="00E94EE2">
              <w:rPr>
                <w:szCs w:val="24"/>
              </w:rPr>
              <w:t xml:space="preserve">Green buildings are certified  </w:t>
            </w:r>
          </w:p>
        </w:tc>
        <w:tc>
          <w:tcPr>
            <w:tcW w:w="2332" w:type="dxa"/>
          </w:tcPr>
          <w:p w:rsidRPr="00E94EE2" w:rsidR="005F51DC" w:rsidP="00B871EF" w:rsidRDefault="008F131F" w14:paraId="01EC8F0C" w14:textId="203D4DE9">
            <w:pPr>
              <w:rPr>
                <w:szCs w:val="24"/>
              </w:rPr>
            </w:pPr>
            <w:r w:rsidRPr="00E94EE2">
              <w:rPr>
                <w:szCs w:val="24"/>
              </w:rPr>
              <w:t>Developers and green building professionals understand and value certified green buildings</w:t>
            </w:r>
          </w:p>
        </w:tc>
      </w:tr>
      <w:tr w:rsidRPr="00E94EE2" w:rsidR="005F51DC" w:rsidTr="004B6963" w14:paraId="72D99C0D" w14:textId="77777777">
        <w:trPr>
          <w:trHeight w:val="263"/>
        </w:trPr>
        <w:tc>
          <w:tcPr>
            <w:tcW w:w="1687" w:type="dxa"/>
          </w:tcPr>
          <w:p w:rsidRPr="00E94EE2" w:rsidR="005F51DC" w:rsidP="00B871EF" w:rsidRDefault="005F51DC" w14:paraId="6CAEEF0A" w14:textId="0E49FDC1">
            <w:pPr>
              <w:rPr>
                <w:szCs w:val="24"/>
              </w:rPr>
            </w:pPr>
            <w:r w:rsidRPr="00E94EE2">
              <w:rPr>
                <w:szCs w:val="24"/>
              </w:rPr>
              <w:t>Construction phase</w:t>
            </w:r>
          </w:p>
        </w:tc>
        <w:tc>
          <w:tcPr>
            <w:tcW w:w="1941" w:type="dxa"/>
          </w:tcPr>
          <w:p w:rsidRPr="00E94EE2" w:rsidR="005F51DC" w:rsidP="00B871EF" w:rsidRDefault="005F51DC" w14:paraId="0E154068" w14:textId="66137F7B">
            <w:pPr>
              <w:rPr>
                <w:szCs w:val="24"/>
              </w:rPr>
            </w:pPr>
            <w:r w:rsidRPr="00E94EE2">
              <w:rPr>
                <w:szCs w:val="24"/>
              </w:rPr>
              <w:t>Implementing the design using sustainable construction practices</w:t>
            </w:r>
          </w:p>
        </w:tc>
        <w:tc>
          <w:tcPr>
            <w:tcW w:w="1744" w:type="dxa"/>
          </w:tcPr>
          <w:p w:rsidRPr="00E94EE2" w:rsidR="005F51DC" w:rsidP="00B871EF" w:rsidRDefault="005F51DC" w14:paraId="60548D4D" w14:textId="402C17DD">
            <w:pPr>
              <w:rPr>
                <w:szCs w:val="24"/>
              </w:rPr>
            </w:pPr>
            <w:r w:rsidRPr="00E94EE2">
              <w:rPr>
                <w:szCs w:val="24"/>
              </w:rPr>
              <w:t>Developers, contractors</w:t>
            </w:r>
          </w:p>
        </w:tc>
        <w:tc>
          <w:tcPr>
            <w:tcW w:w="2135" w:type="dxa"/>
          </w:tcPr>
          <w:p w:rsidRPr="00E94EE2" w:rsidR="005F51DC" w:rsidP="00B871EF" w:rsidRDefault="005F51DC" w14:paraId="26BDB3AB" w14:textId="3D54E1BF">
            <w:pPr>
              <w:rPr>
                <w:szCs w:val="24"/>
              </w:rPr>
            </w:pPr>
            <w:r w:rsidRPr="00E94EE2">
              <w:rPr>
                <w:szCs w:val="24"/>
              </w:rPr>
              <w:t>Environmental conditions</w:t>
            </w:r>
            <w:r w:rsidRPr="00E94EE2">
              <w:rPr>
                <w:szCs w:val="24"/>
              </w:rPr>
              <w:br/>
            </w:r>
            <w:r w:rsidRPr="00E94EE2">
              <w:rPr>
                <w:szCs w:val="24"/>
              </w:rPr>
              <w:br/>
            </w:r>
            <w:r w:rsidRPr="00E94EE2">
              <w:rPr>
                <w:szCs w:val="24"/>
              </w:rPr>
              <w:t>Availability and cost of green building materials in local market</w:t>
            </w:r>
          </w:p>
        </w:tc>
        <w:tc>
          <w:tcPr>
            <w:tcW w:w="2332" w:type="dxa"/>
          </w:tcPr>
          <w:p w:rsidRPr="00E94EE2" w:rsidR="005F51DC" w:rsidP="00B871EF" w:rsidRDefault="005F51DC" w14:paraId="56A261CA" w14:textId="70BF024E">
            <w:pPr>
              <w:rPr>
                <w:szCs w:val="24"/>
              </w:rPr>
            </w:pPr>
            <w:r w:rsidRPr="00E94EE2">
              <w:rPr>
                <w:szCs w:val="24"/>
              </w:rPr>
              <w:t>In-country technical assistance</w:t>
            </w:r>
            <w:r w:rsidRPr="00E94EE2">
              <w:rPr>
                <w:szCs w:val="24"/>
              </w:rPr>
              <w:br/>
            </w:r>
            <w:r w:rsidRPr="00E94EE2">
              <w:rPr>
                <w:szCs w:val="24"/>
              </w:rPr>
              <w:br/>
            </w:r>
            <w:r w:rsidRPr="00E94EE2">
              <w:rPr>
                <w:szCs w:val="24"/>
              </w:rPr>
              <w:t>Maintenance, operation, and improvements of the EDGE certification platform</w:t>
            </w:r>
          </w:p>
        </w:tc>
        <w:tc>
          <w:tcPr>
            <w:tcW w:w="2332" w:type="dxa"/>
          </w:tcPr>
          <w:p w:rsidRPr="00E94EE2" w:rsidR="005F51DC" w:rsidP="00B871EF" w:rsidRDefault="005F51DC" w14:paraId="2E8E64D7" w14:textId="50B04ADF">
            <w:pPr>
              <w:rPr>
                <w:szCs w:val="24"/>
              </w:rPr>
            </w:pPr>
            <w:r w:rsidRPr="00E94EE2">
              <w:rPr>
                <w:szCs w:val="24"/>
              </w:rPr>
              <w:t xml:space="preserve">Green buildings are constructed  </w:t>
            </w:r>
          </w:p>
        </w:tc>
        <w:tc>
          <w:tcPr>
            <w:tcW w:w="2332" w:type="dxa"/>
          </w:tcPr>
          <w:p w:rsidRPr="00E94EE2" w:rsidR="005F51DC" w:rsidP="00B871EF" w:rsidRDefault="005F51DC" w14:paraId="27BF5982" w14:textId="1D99C946">
            <w:pPr>
              <w:rPr>
                <w:szCs w:val="24"/>
              </w:rPr>
            </w:pPr>
            <w:r w:rsidRPr="00E94EE2">
              <w:rPr>
                <w:szCs w:val="24"/>
              </w:rPr>
              <w:t>Volume of green buildings increases</w:t>
            </w:r>
          </w:p>
        </w:tc>
      </w:tr>
      <w:tr w:rsidRPr="00E94EE2" w:rsidR="005F51DC" w:rsidTr="004B6963" w14:paraId="2E8EF514" w14:textId="77777777">
        <w:trPr>
          <w:trHeight w:val="263"/>
        </w:trPr>
        <w:tc>
          <w:tcPr>
            <w:tcW w:w="1687" w:type="dxa"/>
          </w:tcPr>
          <w:p w:rsidRPr="00E94EE2" w:rsidR="005F51DC" w:rsidP="00B871EF" w:rsidRDefault="005F51DC" w14:paraId="21449809" w14:textId="2A1CB21B">
            <w:pPr>
              <w:rPr>
                <w:szCs w:val="24"/>
              </w:rPr>
            </w:pPr>
            <w:r w:rsidRPr="00E94EE2">
              <w:rPr>
                <w:szCs w:val="24"/>
              </w:rPr>
              <w:t>Certification</w:t>
            </w:r>
          </w:p>
        </w:tc>
        <w:tc>
          <w:tcPr>
            <w:tcW w:w="1941" w:type="dxa"/>
          </w:tcPr>
          <w:p w:rsidRPr="00E94EE2" w:rsidR="005F51DC" w:rsidP="00B871EF" w:rsidRDefault="005F51DC" w14:paraId="5F8947BE" w14:textId="7C573222">
            <w:pPr>
              <w:rPr>
                <w:szCs w:val="24"/>
              </w:rPr>
            </w:pPr>
            <w:r w:rsidRPr="00E94EE2">
              <w:rPr>
                <w:szCs w:val="24"/>
              </w:rPr>
              <w:t>Submitting documentation and undergoing on-site audits by the certification body</w:t>
            </w:r>
          </w:p>
        </w:tc>
        <w:tc>
          <w:tcPr>
            <w:tcW w:w="1744" w:type="dxa"/>
          </w:tcPr>
          <w:p w:rsidRPr="00E94EE2" w:rsidR="005F51DC" w:rsidP="00B871EF" w:rsidRDefault="005F51DC" w14:paraId="30921FE3" w14:textId="443A89F2">
            <w:pPr>
              <w:rPr>
                <w:szCs w:val="24"/>
              </w:rPr>
            </w:pPr>
            <w:r w:rsidRPr="00E94EE2">
              <w:rPr>
                <w:szCs w:val="24"/>
              </w:rPr>
              <w:t>Developers, green building consultants, and certification bodies</w:t>
            </w:r>
          </w:p>
        </w:tc>
        <w:tc>
          <w:tcPr>
            <w:tcW w:w="2135" w:type="dxa"/>
          </w:tcPr>
          <w:p w:rsidRPr="00E94EE2" w:rsidR="005F51DC" w:rsidP="00B871EF" w:rsidRDefault="005F51DC" w14:paraId="70DE1576" w14:textId="3A0FEB13">
            <w:pPr>
              <w:rPr>
                <w:szCs w:val="24"/>
              </w:rPr>
            </w:pPr>
            <w:r w:rsidRPr="00E94EE2">
              <w:rPr>
                <w:szCs w:val="24"/>
              </w:rPr>
              <w:t>Stringency of the certification requirements and the review process</w:t>
            </w:r>
            <w:r w:rsidRPr="00E94EE2">
              <w:rPr>
                <w:szCs w:val="24"/>
              </w:rPr>
              <w:br/>
            </w:r>
            <w:r w:rsidRPr="00E94EE2">
              <w:rPr>
                <w:szCs w:val="24"/>
              </w:rPr>
              <w:br/>
            </w:r>
            <w:r w:rsidRPr="00E94EE2">
              <w:rPr>
                <w:szCs w:val="24"/>
              </w:rPr>
              <w:t>Changes in building codes and green building standards over time</w:t>
            </w:r>
          </w:p>
        </w:tc>
        <w:tc>
          <w:tcPr>
            <w:tcW w:w="2332" w:type="dxa"/>
          </w:tcPr>
          <w:p w:rsidRPr="00E94EE2" w:rsidR="005F51DC" w:rsidP="00B871EF" w:rsidRDefault="005F51DC" w14:paraId="12EA5372" w14:textId="5C94BEE9">
            <w:pPr>
              <w:rPr>
                <w:szCs w:val="24"/>
              </w:rPr>
            </w:pPr>
            <w:r w:rsidRPr="00E94EE2">
              <w:rPr>
                <w:szCs w:val="24"/>
              </w:rPr>
              <w:t>In-country technical assistance</w:t>
            </w:r>
            <w:r w:rsidRPr="00E94EE2">
              <w:rPr>
                <w:szCs w:val="24"/>
              </w:rPr>
              <w:br/>
            </w:r>
            <w:r w:rsidRPr="00E94EE2">
              <w:rPr>
                <w:szCs w:val="24"/>
              </w:rPr>
              <w:br/>
            </w:r>
            <w:r w:rsidRPr="00E94EE2">
              <w:rPr>
                <w:szCs w:val="24"/>
              </w:rPr>
              <w:t>Maintenance, operation, and improvements of the EDGE certification platform</w:t>
            </w:r>
          </w:p>
        </w:tc>
        <w:tc>
          <w:tcPr>
            <w:tcW w:w="2332" w:type="dxa"/>
          </w:tcPr>
          <w:p w:rsidRPr="00E94EE2" w:rsidR="005F51DC" w:rsidP="00B871EF" w:rsidRDefault="005F51DC" w14:paraId="428FEE64" w14:textId="3BE04EE3">
            <w:pPr>
              <w:rPr>
                <w:szCs w:val="24"/>
              </w:rPr>
            </w:pPr>
            <w:r w:rsidRPr="00E94EE2">
              <w:rPr>
                <w:szCs w:val="24"/>
              </w:rPr>
              <w:t xml:space="preserve">Green buildings are certified  </w:t>
            </w:r>
          </w:p>
        </w:tc>
        <w:tc>
          <w:tcPr>
            <w:tcW w:w="2332" w:type="dxa"/>
          </w:tcPr>
          <w:p w:rsidRPr="00E94EE2" w:rsidR="005F51DC" w:rsidP="00B871EF" w:rsidRDefault="005F51DC" w14:paraId="26B95217" w14:textId="79CC89D2">
            <w:pPr>
              <w:rPr>
                <w:szCs w:val="24"/>
              </w:rPr>
            </w:pPr>
            <w:r w:rsidRPr="00E94EE2">
              <w:rPr>
                <w:szCs w:val="24"/>
              </w:rPr>
              <w:t>Volume of green buildings increases</w:t>
            </w:r>
          </w:p>
        </w:tc>
      </w:tr>
      <w:tr w:rsidRPr="00E94EE2" w:rsidR="005F51DC" w:rsidTr="004B6963" w14:paraId="290B776F" w14:textId="77777777">
        <w:trPr>
          <w:trHeight w:val="263"/>
        </w:trPr>
        <w:tc>
          <w:tcPr>
            <w:tcW w:w="1687" w:type="dxa"/>
            <w:vMerge w:val="restart"/>
          </w:tcPr>
          <w:p w:rsidRPr="00E94EE2" w:rsidR="005F51DC" w:rsidP="00B871EF" w:rsidRDefault="005F51DC" w14:paraId="3D5CC700" w14:textId="236D0D83">
            <w:pPr>
              <w:rPr>
                <w:szCs w:val="24"/>
              </w:rPr>
            </w:pPr>
            <w:r w:rsidRPr="00E94EE2">
              <w:rPr>
                <w:szCs w:val="24"/>
              </w:rPr>
              <w:t>Sale and occupancy</w:t>
            </w:r>
          </w:p>
        </w:tc>
        <w:tc>
          <w:tcPr>
            <w:tcW w:w="1941" w:type="dxa"/>
          </w:tcPr>
          <w:p w:rsidRPr="00E94EE2" w:rsidR="005F51DC" w:rsidP="00B871EF" w:rsidRDefault="005F51DC" w14:paraId="2B4B1076" w14:textId="42163EAC">
            <w:pPr>
              <w:rPr>
                <w:szCs w:val="24"/>
              </w:rPr>
            </w:pPr>
            <w:r w:rsidRPr="00E94EE2">
              <w:rPr>
                <w:szCs w:val="24"/>
              </w:rPr>
              <w:t>Occupancy and ongoing building management</w:t>
            </w:r>
          </w:p>
        </w:tc>
        <w:tc>
          <w:tcPr>
            <w:tcW w:w="1744" w:type="dxa"/>
            <w:vMerge w:val="restart"/>
          </w:tcPr>
          <w:p w:rsidRPr="00E94EE2" w:rsidR="005F51DC" w:rsidP="00B871EF" w:rsidRDefault="005F51DC" w14:paraId="79C340F3" w14:textId="032D9A84">
            <w:pPr>
              <w:rPr>
                <w:szCs w:val="24"/>
              </w:rPr>
            </w:pPr>
            <w:r w:rsidRPr="00E94EE2">
              <w:rPr>
                <w:szCs w:val="24"/>
              </w:rPr>
              <w:t>Building owners, facility managers, and occupants</w:t>
            </w:r>
          </w:p>
        </w:tc>
        <w:tc>
          <w:tcPr>
            <w:tcW w:w="2135" w:type="dxa"/>
          </w:tcPr>
          <w:p w:rsidRPr="00E94EE2" w:rsidR="005F51DC" w:rsidP="00B871EF" w:rsidRDefault="005F51DC" w14:paraId="529FB26C" w14:textId="7AC1510A">
            <w:pPr>
              <w:rPr>
                <w:szCs w:val="24"/>
              </w:rPr>
            </w:pPr>
            <w:r w:rsidRPr="00E94EE2">
              <w:rPr>
                <w:szCs w:val="24"/>
              </w:rPr>
              <w:t>Occupant behaviour and its impact on energy consumption</w:t>
            </w:r>
          </w:p>
        </w:tc>
        <w:tc>
          <w:tcPr>
            <w:tcW w:w="2332" w:type="dxa"/>
          </w:tcPr>
          <w:p w:rsidRPr="00E94EE2" w:rsidR="005F51DC" w:rsidP="00B871EF" w:rsidRDefault="005F51DC" w14:paraId="538CB4B9" w14:textId="12551374">
            <w:pPr>
              <w:rPr>
                <w:szCs w:val="24"/>
              </w:rPr>
            </w:pPr>
            <w:r w:rsidRPr="00E94EE2">
              <w:rPr>
                <w:szCs w:val="24"/>
              </w:rPr>
              <w:t>In-country awareness raising</w:t>
            </w:r>
          </w:p>
        </w:tc>
        <w:tc>
          <w:tcPr>
            <w:tcW w:w="2332" w:type="dxa"/>
          </w:tcPr>
          <w:p w:rsidRPr="00E94EE2" w:rsidR="005F51DC" w:rsidP="00B871EF" w:rsidRDefault="005F51DC" w14:paraId="57FDEEBA" w14:textId="35781786">
            <w:pPr>
              <w:rPr>
                <w:szCs w:val="24"/>
              </w:rPr>
            </w:pPr>
            <w:r w:rsidRPr="00E94EE2">
              <w:rPr>
                <w:szCs w:val="24"/>
              </w:rPr>
              <w:t>Future residents/occupiers understand and value certified green buildings</w:t>
            </w:r>
          </w:p>
        </w:tc>
        <w:tc>
          <w:tcPr>
            <w:tcW w:w="2332" w:type="dxa"/>
          </w:tcPr>
          <w:p w:rsidRPr="00E94EE2" w:rsidR="005F51DC" w:rsidP="00B871EF" w:rsidRDefault="005F51DC" w14:paraId="43BC4763" w14:textId="0817FF17">
            <w:pPr>
              <w:rPr>
                <w:szCs w:val="24"/>
              </w:rPr>
            </w:pPr>
            <w:r w:rsidRPr="00E94EE2">
              <w:rPr>
                <w:szCs w:val="24"/>
              </w:rPr>
              <w:t>Occupied green building stock demonstrates environmental performance</w:t>
            </w:r>
          </w:p>
        </w:tc>
      </w:tr>
      <w:tr w:rsidRPr="00E94EE2" w:rsidR="005F51DC" w:rsidTr="004B6963" w14:paraId="492A6B14" w14:textId="77777777">
        <w:trPr>
          <w:trHeight w:val="263"/>
        </w:trPr>
        <w:tc>
          <w:tcPr>
            <w:tcW w:w="1687" w:type="dxa"/>
            <w:vMerge/>
          </w:tcPr>
          <w:p w:rsidRPr="00E94EE2" w:rsidR="005F51DC" w:rsidP="00B871EF" w:rsidRDefault="005F51DC" w14:paraId="37F1A854" w14:textId="77777777">
            <w:pPr>
              <w:rPr>
                <w:szCs w:val="24"/>
              </w:rPr>
            </w:pPr>
          </w:p>
        </w:tc>
        <w:tc>
          <w:tcPr>
            <w:tcW w:w="1941" w:type="dxa"/>
          </w:tcPr>
          <w:p w:rsidRPr="00E94EE2" w:rsidR="005F51DC" w:rsidP="00B871EF" w:rsidRDefault="005F51DC" w14:paraId="4CD37189" w14:textId="4242541F">
            <w:pPr>
              <w:rPr>
                <w:szCs w:val="24"/>
              </w:rPr>
            </w:pPr>
            <w:r w:rsidRPr="00E94EE2">
              <w:rPr>
                <w:szCs w:val="24"/>
              </w:rPr>
              <w:t>Monitoring building performance data</w:t>
            </w:r>
          </w:p>
        </w:tc>
        <w:tc>
          <w:tcPr>
            <w:tcW w:w="1744" w:type="dxa"/>
            <w:vMerge/>
          </w:tcPr>
          <w:p w:rsidRPr="00E94EE2" w:rsidR="005F51DC" w:rsidP="00B871EF" w:rsidRDefault="005F51DC" w14:paraId="66B7787F" w14:textId="77777777">
            <w:pPr>
              <w:rPr>
                <w:szCs w:val="24"/>
              </w:rPr>
            </w:pPr>
          </w:p>
        </w:tc>
        <w:tc>
          <w:tcPr>
            <w:tcW w:w="2135" w:type="dxa"/>
          </w:tcPr>
          <w:p w:rsidRPr="00E94EE2" w:rsidR="005F51DC" w:rsidP="00B871EF" w:rsidRDefault="005F51DC" w14:paraId="27969746" w14:textId="2132F2F2">
            <w:pPr>
              <w:rPr>
                <w:szCs w:val="24"/>
              </w:rPr>
            </w:pPr>
            <w:r w:rsidRPr="00E94EE2">
              <w:rPr>
                <w:szCs w:val="24"/>
              </w:rPr>
              <w:t>Evolving occupant needs and expectations regarding sustainability</w:t>
            </w:r>
          </w:p>
        </w:tc>
        <w:tc>
          <w:tcPr>
            <w:tcW w:w="2332" w:type="dxa"/>
          </w:tcPr>
          <w:p w:rsidRPr="00E94EE2" w:rsidR="005F51DC" w:rsidP="00B871EF" w:rsidRDefault="005F51DC" w14:paraId="57362AED" w14:textId="66D0BECF">
            <w:pPr>
              <w:rPr>
                <w:szCs w:val="24"/>
              </w:rPr>
            </w:pPr>
            <w:r w:rsidRPr="00E94EE2">
              <w:rPr>
                <w:szCs w:val="24"/>
              </w:rPr>
              <w:t>Collection and dissemination of evidence on green building performance</w:t>
            </w:r>
          </w:p>
        </w:tc>
        <w:tc>
          <w:tcPr>
            <w:tcW w:w="2332" w:type="dxa"/>
          </w:tcPr>
          <w:p w:rsidRPr="00E94EE2" w:rsidR="005F51DC" w:rsidP="00B871EF" w:rsidRDefault="005F51DC" w14:paraId="54199F69" w14:textId="1A6FDD58">
            <w:pPr>
              <w:rPr>
                <w:szCs w:val="24"/>
              </w:rPr>
            </w:pPr>
            <w:r w:rsidRPr="00E94EE2">
              <w:rPr>
                <w:szCs w:val="24"/>
              </w:rPr>
              <w:t>Delivery is improved and learning is generated</w:t>
            </w:r>
          </w:p>
        </w:tc>
        <w:tc>
          <w:tcPr>
            <w:tcW w:w="2332" w:type="dxa"/>
          </w:tcPr>
          <w:p w:rsidRPr="00E94EE2" w:rsidR="005F51DC" w:rsidP="00B871EF" w:rsidRDefault="005F51DC" w14:paraId="76056CC3" w14:textId="77777777">
            <w:pPr>
              <w:rPr>
                <w:szCs w:val="24"/>
              </w:rPr>
            </w:pPr>
            <w:r w:rsidRPr="00E94EE2">
              <w:rPr>
                <w:szCs w:val="24"/>
              </w:rPr>
              <w:t>Evidence based is built to support scaling up green buildings and market acceleration</w:t>
            </w:r>
          </w:p>
        </w:tc>
      </w:tr>
    </w:tbl>
    <w:p w:rsidR="004B6963" w:rsidP="00FD5E8B" w:rsidRDefault="004B6963" w14:paraId="530EAE67" w14:textId="77777777">
      <w:pPr>
        <w:pStyle w:val="Heading3"/>
        <w:sectPr w:rsidR="004B6963" w:rsidSect="004B6963">
          <w:type w:val="continuous"/>
          <w:pgSz w:w="16838" w:h="11906" w:orient="landscape"/>
          <w:pgMar w:top="907" w:right="1418" w:bottom="907" w:left="907" w:header="709" w:footer="266" w:gutter="0"/>
          <w:cols w:space="708"/>
          <w:docGrid w:linePitch="360"/>
        </w:sectPr>
      </w:pPr>
      <w:bookmarkStart w:name="_Toc179468546" w:id="24"/>
    </w:p>
    <w:p w:rsidR="00CF1C42" w:rsidP="00CF1C42" w:rsidRDefault="00CF1C42" w14:paraId="40EA1F64" w14:textId="77777777">
      <w:pPr>
        <w:pStyle w:val="Heading3"/>
      </w:pPr>
      <w:bookmarkStart w:name="_Toc188870852" w:id="25"/>
      <w:bookmarkStart w:name="_Toc207790191" w:id="26"/>
      <w:bookmarkStart w:name="_Toc179473989" w:id="27"/>
      <w:bookmarkStart w:name="_Toc181883572" w:id="28"/>
      <w:bookmarkStart w:name="_Toc179468547" w:id="29"/>
      <w:bookmarkStart w:name="_Toc179473990" w:id="30"/>
      <w:bookmarkEnd w:id="24"/>
      <w:r>
        <w:t>Approach to assess Value for Money</w:t>
      </w:r>
      <w:bookmarkEnd w:id="25"/>
      <w:bookmarkEnd w:id="26"/>
      <w:r>
        <w:t xml:space="preserve"> </w:t>
      </w:r>
      <w:bookmarkEnd w:id="27"/>
      <w:bookmarkEnd w:id="28"/>
    </w:p>
    <w:p w:rsidRPr="00784197" w:rsidR="00CF1C42" w:rsidP="00CF1C42" w:rsidRDefault="00CF1C42" w14:paraId="70C30FCC" w14:textId="21CBCB6E">
      <w:r>
        <w:t>The Evaluation undertook a qualitative Value for Money Assessment, following the ‘</w:t>
      </w:r>
      <w:r>
        <w:rPr>
          <w:rStyle w:val="Boldtext"/>
        </w:rPr>
        <w:t>5</w:t>
      </w:r>
      <w:r w:rsidRPr="00027401">
        <w:rPr>
          <w:rStyle w:val="Boldtext"/>
        </w:rPr>
        <w:t>E approach’</w:t>
      </w:r>
      <w:r>
        <w:rPr>
          <w:rStyle w:val="Boldtext"/>
        </w:rPr>
        <w:t>.</w:t>
      </w:r>
      <w:r>
        <w:t xml:space="preserve"> This approach builds on the </w:t>
      </w:r>
      <w:r w:rsidRPr="00784197">
        <w:t>‘3e’ approach taken by DESNZ to assess Value for Money in the MAGC business case</w:t>
      </w:r>
      <w:r w:rsidR="002A1C94">
        <w:t>.</w:t>
      </w:r>
      <w:r w:rsidRPr="00784197">
        <w:t xml:space="preserve"> </w:t>
      </w:r>
      <w:r w:rsidR="002A1C94">
        <w:t>It</w:t>
      </w:r>
      <w:r w:rsidRPr="00784197">
        <w:t xml:space="preserve"> expands on this by adding the dimension of, ‘equity’, reflecting DFID’s (now FCDO’s) approach to </w:t>
      </w:r>
      <w:r>
        <w:t>Value for Money</w:t>
      </w:r>
      <w:r w:rsidRPr="00784197">
        <w:t xml:space="preserve"> assessments for international development programmes</w:t>
      </w:r>
      <w:r>
        <w:rPr>
          <w:rStyle w:val="FootnoteReference"/>
        </w:rPr>
        <w:footnoteReference w:id="10"/>
      </w:r>
      <w:r>
        <w:t xml:space="preserve">, and splitting out effectiveness and cost-effectiveness. </w:t>
      </w:r>
    </w:p>
    <w:p w:rsidR="00CF1C42" w:rsidP="00CF1C42" w:rsidRDefault="00CF1C42" w14:paraId="06420876" w14:textId="4078B007">
      <w:r w:rsidRPr="00784197">
        <w:t xml:space="preserve">Within the </w:t>
      </w:r>
      <w:r>
        <w:t>5</w:t>
      </w:r>
      <w:r w:rsidRPr="00784197">
        <w:t>e approach, the</w:t>
      </w:r>
      <w:r>
        <w:t xml:space="preserve"> five</w:t>
      </w:r>
      <w:r w:rsidRPr="00784197">
        <w:t xml:space="preserve"> criteria of economy, efficiency, effectiveness</w:t>
      </w:r>
      <w:r>
        <w:t xml:space="preserve">, </w:t>
      </w:r>
      <w:r w:rsidRPr="00784197">
        <w:t xml:space="preserve">cost-effectiveness and equity are explored separately and triangulated to form a coherent assessment of overall </w:t>
      </w:r>
      <w:r>
        <w:t>Value for Money</w:t>
      </w:r>
      <w:r w:rsidRPr="00784197">
        <w:t>.</w:t>
      </w:r>
      <w:r>
        <w:t xml:space="preserve"> </w:t>
      </w:r>
      <w:r w:rsidRPr="000501AF">
        <w:t xml:space="preserve">During the evaluation’s inception phase in late 2023, a </w:t>
      </w:r>
      <w:r>
        <w:t>Value for Money</w:t>
      </w:r>
      <w:r w:rsidRPr="00784197">
        <w:t xml:space="preserve"> </w:t>
      </w:r>
      <w:r w:rsidRPr="000501AF">
        <w:t xml:space="preserve">framework </w:t>
      </w:r>
      <w:r>
        <w:t xml:space="preserve">(Annex 6) </w:t>
      </w:r>
      <w:r w:rsidRPr="000501AF">
        <w:t>was created that define</w:t>
      </w:r>
      <w:r>
        <w:t>s</w:t>
      </w:r>
      <w:r w:rsidRPr="000501AF">
        <w:t xml:space="preserve"> each of the criteria specific to the MAGC programme.</w:t>
      </w:r>
    </w:p>
    <w:p w:rsidR="00CF1C42" w:rsidP="00CF1C42" w:rsidRDefault="00CF1C42" w14:paraId="2E4B5A61" w14:textId="77777777">
      <w:pPr>
        <w:pStyle w:val="DESNZbulletedlist"/>
        <w:ind w:left="714" w:hanging="357"/>
      </w:pPr>
      <w:r w:rsidRPr="00784197">
        <w:rPr>
          <w:rStyle w:val="Boldtext"/>
        </w:rPr>
        <w:t>Economy</w:t>
      </w:r>
      <w:r>
        <w:t xml:space="preserve">: </w:t>
      </w:r>
      <w:r w:rsidRPr="001A5A0E">
        <w:t xml:space="preserve">This criterion refers </w:t>
      </w:r>
      <w:r>
        <w:t xml:space="preserve">to </w:t>
      </w:r>
      <w:r w:rsidRPr="000E4442">
        <w:t>the amount of money spent to procure the programme activity</w:t>
      </w:r>
      <w:r>
        <w:t xml:space="preserve">, looking at </w:t>
      </w:r>
      <w:r w:rsidRPr="000E4442">
        <w:t>achievement of the least cost for the relevant level of quality.</w:t>
      </w:r>
    </w:p>
    <w:p w:rsidR="00CF1C42" w:rsidP="00CF1C42" w:rsidRDefault="00CF1C42" w14:paraId="1BD707F8" w14:textId="5BDBE67E">
      <w:pPr>
        <w:pStyle w:val="DESNZbulletedlist"/>
        <w:ind w:left="714" w:hanging="357"/>
      </w:pPr>
      <w:r w:rsidRPr="00784197">
        <w:rPr>
          <w:rStyle w:val="Boldtext"/>
        </w:rPr>
        <w:t>Efficiency</w:t>
      </w:r>
      <w:r>
        <w:t>:</w:t>
      </w:r>
      <w:r w:rsidRPr="001A5A0E">
        <w:t xml:space="preserve"> This criterion </w:t>
      </w:r>
      <w:r>
        <w:t xml:space="preserve">looks at </w:t>
      </w:r>
      <w:r w:rsidRPr="000E4442">
        <w:t>the level of resources (time, money, people) the programme takes to convert inputs into outputs</w:t>
      </w:r>
      <w:r>
        <w:t xml:space="preserve"> </w:t>
      </w:r>
      <w:r w:rsidR="002A1C94">
        <w:t>It</w:t>
      </w:r>
      <w:r>
        <w:t xml:space="preserve"> aim</w:t>
      </w:r>
      <w:r w:rsidR="002A1C94">
        <w:t>s</w:t>
      </w:r>
      <w:r>
        <w:t xml:space="preserve"> to assess whether </w:t>
      </w:r>
      <w:r w:rsidRPr="001A5A0E">
        <w:t xml:space="preserve">activities </w:t>
      </w:r>
      <w:r>
        <w:t xml:space="preserve">are </w:t>
      </w:r>
      <w:r w:rsidRPr="001A5A0E">
        <w:t>being delivered with the least resources, or (more commonly) being delivered with the level of resources initially set aside for the activities</w:t>
      </w:r>
      <w:r>
        <w:t>/</w:t>
      </w:r>
      <w:r w:rsidRPr="001A5A0E">
        <w:t>least waste.</w:t>
      </w:r>
    </w:p>
    <w:p w:rsidR="00CF1C42" w:rsidP="00CF1C42" w:rsidRDefault="00CF1C42" w14:paraId="23596892" w14:textId="77777777">
      <w:pPr>
        <w:pStyle w:val="DESNZbulletedlist"/>
        <w:ind w:left="714" w:hanging="357"/>
      </w:pPr>
      <w:bookmarkStart w:name="_Hlk181109118" w:id="31"/>
      <w:r w:rsidRPr="00784197">
        <w:rPr>
          <w:rStyle w:val="Boldtext"/>
        </w:rPr>
        <w:t>Effectiveness</w:t>
      </w:r>
      <w:r>
        <w:t xml:space="preserve">: This criterion assesses </w:t>
      </w:r>
      <w:r w:rsidRPr="001A5A0E">
        <w:t>how much impact was achieved</w:t>
      </w:r>
      <w:r>
        <w:t xml:space="preserve">. </w:t>
      </w:r>
    </w:p>
    <w:p w:rsidR="00CF1C42" w:rsidP="00CF1C42" w:rsidRDefault="00CF1C42" w14:paraId="380D7AB6" w14:textId="77777777">
      <w:pPr>
        <w:pStyle w:val="DESNZbulletedlist"/>
        <w:ind w:left="714" w:hanging="357"/>
      </w:pPr>
      <w:r>
        <w:rPr>
          <w:rStyle w:val="Boldtext"/>
        </w:rPr>
        <w:t>Cost</w:t>
      </w:r>
      <w:r w:rsidRPr="00E94EE2">
        <w:t>-</w:t>
      </w:r>
      <w:r w:rsidRPr="00E94EE2">
        <w:rPr>
          <w:rStyle w:val="Boldtext"/>
        </w:rPr>
        <w:t>effectiveness</w:t>
      </w:r>
      <w:r w:rsidRPr="005C5760">
        <w:t>:</w:t>
      </w:r>
      <w:r>
        <w:rPr>
          <w:b/>
          <w:bCs/>
        </w:rPr>
        <w:t xml:space="preserve"> </w:t>
      </w:r>
      <w:r>
        <w:t xml:space="preserve">This criterion compares costs to the outcomes and impact achieved (assessing how much impact was achieved relative to the inputs). </w:t>
      </w:r>
    </w:p>
    <w:bookmarkEnd w:id="31"/>
    <w:p w:rsidR="00CF1C42" w:rsidP="00CF1C42" w:rsidRDefault="00CF1C42" w14:paraId="78297181" w14:textId="7395437F">
      <w:pPr>
        <w:pStyle w:val="DESNZbulletedlist"/>
        <w:ind w:left="714" w:hanging="357"/>
      </w:pPr>
      <w:r w:rsidRPr="00784197">
        <w:rPr>
          <w:rStyle w:val="Boldtext"/>
        </w:rPr>
        <w:t>Equity</w:t>
      </w:r>
      <w:r>
        <w:t xml:space="preserve">: </w:t>
      </w:r>
      <w:r w:rsidRPr="00BD7BE1">
        <w:t xml:space="preserve">This criterion </w:t>
      </w:r>
      <w:r>
        <w:t>refers to the extent to which costs and benefits of the programme are distributed</w:t>
      </w:r>
      <w:r w:rsidR="002A1C94">
        <w:t>. It</w:t>
      </w:r>
      <w:r>
        <w:t xml:space="preserve"> specifically assess</w:t>
      </w:r>
      <w:r w:rsidR="002A1C94">
        <w:t>es</w:t>
      </w:r>
      <w:r>
        <w:t xml:space="preserve"> how </w:t>
      </w:r>
      <w:r w:rsidRPr="000E4442">
        <w:t>successfully the programme activities have engaged with different relevant marginalised groups, and to what extent the programme’s benefits ultimately are distributed amongst these. A key focus will be on the gender distribution in the capacity building context.</w:t>
      </w:r>
      <w:r>
        <w:t xml:space="preserve"> </w:t>
      </w:r>
    </w:p>
    <w:p w:rsidR="00CF1C42" w:rsidP="00CF1C42" w:rsidRDefault="00CF1C42" w14:paraId="68F45673" w14:textId="77777777">
      <w:r>
        <w:t>Annex 6 provides the Value for Money</w:t>
      </w:r>
      <w:r w:rsidRPr="00784197">
        <w:t xml:space="preserve"> </w:t>
      </w:r>
      <w:r>
        <w:t>assessment rubric, which provides an assessment framework for rating the five Value for Money</w:t>
      </w:r>
      <w:r w:rsidRPr="00784197">
        <w:t xml:space="preserve"> </w:t>
      </w:r>
      <w:r>
        <w:t>criteria.</w:t>
      </w:r>
    </w:p>
    <w:p w:rsidR="00C84128" w:rsidP="00C84128" w:rsidRDefault="00EA1E4E" w14:paraId="1AF64C17" w14:textId="5B2EA079">
      <w:pPr>
        <w:pStyle w:val="Heading3"/>
      </w:pPr>
      <w:bookmarkStart w:name="_Toc181883573" w:id="32"/>
      <w:bookmarkStart w:name="_Toc188870853" w:id="33"/>
      <w:bookmarkStart w:name="_Toc207790192" w:id="34"/>
      <w:r>
        <w:t>Summary of the r</w:t>
      </w:r>
      <w:r w:rsidR="00C84128">
        <w:t>esearch undertaken</w:t>
      </w:r>
      <w:bookmarkEnd w:id="29"/>
      <w:bookmarkEnd w:id="30"/>
      <w:bookmarkEnd w:id="32"/>
      <w:bookmarkEnd w:id="33"/>
      <w:bookmarkEnd w:id="34"/>
    </w:p>
    <w:p w:rsidR="008B0D6C" w:rsidP="008B0D6C" w:rsidRDefault="00142C79" w14:paraId="0FE053CD" w14:textId="1D2152A1">
      <w:r>
        <w:t>Primary r</w:t>
      </w:r>
      <w:r w:rsidR="008B0D6C">
        <w:t xml:space="preserve">esearch undertaken as part of the outcome evaluation included </w:t>
      </w:r>
      <w:r>
        <w:t xml:space="preserve">a total of </w:t>
      </w:r>
      <w:r w:rsidR="00BD40B7">
        <w:t>95</w:t>
      </w:r>
      <w:r>
        <w:t xml:space="preserve"> interviews across the levels of analysis</w:t>
      </w:r>
      <w:r w:rsidR="0092536B">
        <w:t>, as presented in the table below</w:t>
      </w:r>
      <w:r w:rsidR="002A1C94">
        <w:t>.</w:t>
      </w:r>
      <w:r w:rsidR="0092536B">
        <w:t xml:space="preserve"> </w:t>
      </w:r>
      <w:r w:rsidR="002A1C94">
        <w:t xml:space="preserve"> It also included</w:t>
      </w:r>
      <w:r w:rsidR="0092536B">
        <w:t xml:space="preserve"> </w:t>
      </w:r>
      <w:r w:rsidRPr="0092536B" w:rsidR="0092536B">
        <w:t xml:space="preserve">a total of </w:t>
      </w:r>
      <w:r w:rsidR="0070552C">
        <w:t>five</w:t>
      </w:r>
      <w:r w:rsidRPr="0092536B" w:rsidR="0092536B">
        <w:t xml:space="preserve"> focus groups </w:t>
      </w:r>
      <w:r w:rsidR="0092536B">
        <w:t xml:space="preserve">in </w:t>
      </w:r>
      <w:r w:rsidR="0070552C">
        <w:t xml:space="preserve">four </w:t>
      </w:r>
      <w:r w:rsidR="0092536B">
        <w:t xml:space="preserve">case study countries </w:t>
      </w:r>
      <w:r w:rsidRPr="0092536B" w:rsidR="0092536B">
        <w:t>(T3</w:t>
      </w:r>
      <w:r w:rsidR="004F17D2">
        <w:t xml:space="preserve">, </w:t>
      </w:r>
      <w:r w:rsidR="003649E8">
        <w:t xml:space="preserve">Colombia, Kenya, </w:t>
      </w:r>
      <w:r w:rsidR="00F7427A">
        <w:t>South Africa, Vietnam</w:t>
      </w:r>
      <w:r w:rsidRPr="0092536B" w:rsidR="0092536B">
        <w:t>)</w:t>
      </w:r>
      <w:r w:rsidR="0092536B">
        <w:t>.</w:t>
      </w:r>
      <w:r w:rsidDel="00142C79" w:rsidR="0092536B">
        <w:t xml:space="preserve"> </w:t>
      </w:r>
    </w:p>
    <w:p w:rsidR="008B0D6C" w:rsidP="008B0D6C" w:rsidRDefault="008B0D6C" w14:paraId="40C4244C" w14:textId="47BE9E94">
      <w:pPr>
        <w:pStyle w:val="DESNZbulletedlist"/>
        <w:numPr>
          <w:ilvl w:val="0"/>
          <w:numId w:val="0"/>
        </w:numPr>
      </w:pPr>
      <w:r>
        <w:t>The early outcome evaluation also included the secondary research activities of:</w:t>
      </w:r>
    </w:p>
    <w:p w:rsidR="008B0D6C" w:rsidP="008B0D6C" w:rsidRDefault="008B0D6C" w14:paraId="3FB146F5" w14:textId="58395A28">
      <w:pPr>
        <w:pStyle w:val="DESNZbulletedlist"/>
      </w:pPr>
      <w:r>
        <w:t>Review of programme monitoring information: The project team conducted a full review of all available historic and current project monitoring information</w:t>
      </w:r>
      <w:r w:rsidR="00D471E2">
        <w:t>.</w:t>
      </w:r>
      <w:r>
        <w:t xml:space="preserve"> </w:t>
      </w:r>
      <w:r w:rsidR="00D471E2">
        <w:t xml:space="preserve">This </w:t>
      </w:r>
      <w:r>
        <w:t>includ</w:t>
      </w:r>
      <w:r w:rsidR="00D471E2">
        <w:t>ed</w:t>
      </w:r>
      <w:r>
        <w:t xml:space="preserve"> annual </w:t>
      </w:r>
      <w:r>
        <w:t>reports, annual reviews, Logframe reports and results frameworks up to FY 2024. This fed into the design and implementation of primary research.</w:t>
      </w:r>
    </w:p>
    <w:p w:rsidR="008B0D6C" w:rsidP="008B0D6C" w:rsidRDefault="008B0D6C" w14:paraId="0EFC0C8F" w14:textId="2B3E3CB0">
      <w:pPr>
        <w:pStyle w:val="DESNZbulletedlist"/>
      </w:pPr>
      <w:r>
        <w:t>Political Economy Analysis: An in-depth analysis of a number of different key secondary data sources</w:t>
      </w:r>
      <w:r w:rsidR="00D471E2">
        <w:t>.</w:t>
      </w:r>
      <w:r>
        <w:t xml:space="preserve"> </w:t>
      </w:r>
      <w:r w:rsidR="00D471E2">
        <w:t>Sources included</w:t>
      </w:r>
      <w:r>
        <w:t xml:space="preserve"> the World Bank, International Monetary Fund, and United Nations Framework Convention on Climate Change</w:t>
      </w:r>
      <w:r w:rsidR="00D471E2">
        <w:t>.</w:t>
      </w:r>
      <w:r>
        <w:t xml:space="preserve"> </w:t>
      </w:r>
      <w:r w:rsidR="00D471E2">
        <w:t>This aims</w:t>
      </w:r>
      <w:r>
        <w:t xml:space="preserve"> to understand the political, economic and green building market characteristics of each of the five case study countries. This includes an analysis of the political institutions, economic development, climate change priorities, climate investment potential and development of the green building market within each case study country. This also builds on a wider high-level political economy analysis undertaken during the process evaluation that assessed the political economy across the whole list of MAGC eligible countries. This analysis conducted during the process evaluation is provided in annex </w:t>
      </w:r>
      <w:r w:rsidR="00D85735">
        <w:t>12</w:t>
      </w:r>
      <w:r>
        <w:t>.</w:t>
      </w:r>
    </w:p>
    <w:p w:rsidR="008B0D6C" w:rsidP="008B0D6C" w:rsidRDefault="008B0D6C" w14:paraId="767A7E79" w14:textId="77777777">
      <w:pPr>
        <w:pStyle w:val="DESNZbulletedlist"/>
      </w:pPr>
      <w:r>
        <w:t>Financial Market Analysis: An analysis of the financial market within each case study country, exploring the depth, liquidity, and maturity of the green finance market.</w:t>
      </w:r>
    </w:p>
    <w:p w:rsidR="008B0D6C" w:rsidP="008E7737" w:rsidRDefault="008B0D6C" w14:paraId="198F12A5" w14:textId="77B0D402">
      <w:pPr>
        <w:pStyle w:val="DESNZbulletedlist"/>
      </w:pPr>
      <w:r>
        <w:t>Stakeholder Analysis:</w:t>
      </w:r>
      <w:r w:rsidR="00A4775D">
        <w:t xml:space="preserve"> Desk-research and analysis of key actors involved in the green building sector in T2 and T3 countries. This included FIs, developers, property managers, policy stakeholders, and related organisations. The stakeholder analysis aimed to identify key actors to be invited to an interview as part of the evaluation.</w:t>
      </w:r>
      <w:bookmarkStart w:name="_Toc179468548" w:id="35"/>
      <w:bookmarkStart w:name="_Toc179473991" w:id="36"/>
    </w:p>
    <w:p w:rsidR="00FA6DBC" w:rsidP="00FA6DBC" w:rsidRDefault="00FA6DBC" w14:paraId="23A33A3C" w14:textId="0DABF97E">
      <w:pPr>
        <w:pStyle w:val="Heading3"/>
      </w:pPr>
      <w:bookmarkStart w:name="_Toc181883574" w:id="37"/>
      <w:bookmarkStart w:name="_Toc188870854" w:id="38"/>
      <w:bookmarkStart w:name="_Toc207790193" w:id="39"/>
      <w:r>
        <w:t>GEDSI</w:t>
      </w:r>
      <w:bookmarkEnd w:id="35"/>
      <w:bookmarkEnd w:id="36"/>
      <w:bookmarkEnd w:id="37"/>
      <w:bookmarkEnd w:id="38"/>
      <w:bookmarkEnd w:id="39"/>
      <w:r>
        <w:t xml:space="preserve"> </w:t>
      </w:r>
    </w:p>
    <w:p w:rsidR="00F079B5" w:rsidP="00F079B5" w:rsidRDefault="00F079B5" w14:paraId="16A928A0" w14:textId="226A2941">
      <w:r>
        <w:t>As set out in the Terms of Reference, IFC is committed to continuing to scale up climate solutions that put equality of opportunity and human rights into action. Learning about how Gender, Equality,</w:t>
      </w:r>
      <w:r w:rsidR="002A31D9">
        <w:t xml:space="preserve"> Diversity,</w:t>
      </w:r>
      <w:r>
        <w:t xml:space="preserve"> and Social Inclusion (GE</w:t>
      </w:r>
      <w:r w:rsidR="002A31D9">
        <w:t>D</w:t>
      </w:r>
      <w:r>
        <w:t xml:space="preserve">SI) can be designed and delivered in future similar programmes is an objective of the process evaluation, early outcome evaluation and the outcome and impact evaluation. </w:t>
      </w:r>
    </w:p>
    <w:p w:rsidR="00F9672B" w:rsidP="00F079B5" w:rsidRDefault="00937CA8" w14:paraId="6CFBE677" w14:textId="290F7E6D">
      <w:r>
        <w:t>The evaluation team’s</w:t>
      </w:r>
      <w:r w:rsidR="00F079B5">
        <w:t xml:space="preserve"> planned approach to GE</w:t>
      </w:r>
      <w:r w:rsidR="002A31D9">
        <w:t>D</w:t>
      </w:r>
      <w:r w:rsidR="00F079B5">
        <w:t>SI has been refined in the scoping phase based on feedback from stakeholder interviews and the desk review findings. The scoping activities highlighted that GE</w:t>
      </w:r>
      <w:r w:rsidR="000325FC">
        <w:t>D</w:t>
      </w:r>
      <w:r w:rsidR="00F079B5">
        <w:t>SI was not a key consideration in MAGC’s design phase and is therefore not an objective for IFC nor embedded into monitoring processes</w:t>
      </w:r>
      <w:r w:rsidR="006856DB">
        <w:t>. However,</w:t>
      </w:r>
      <w:r w:rsidR="00F079B5">
        <w:t xml:space="preserve"> there are </w:t>
      </w:r>
      <w:r w:rsidRPr="00F079B5" w:rsidR="00F079B5">
        <w:t>opportunities for identifying GE</w:t>
      </w:r>
      <w:r w:rsidR="002A31D9">
        <w:t>D</w:t>
      </w:r>
      <w:r w:rsidRPr="00F079B5" w:rsidR="00F079B5">
        <w:t>SI learnings</w:t>
      </w:r>
      <w:r w:rsidR="00F079B5">
        <w:t xml:space="preserve"> through the evaluation. </w:t>
      </w:r>
    </w:p>
    <w:p w:rsidR="00F079B5" w:rsidP="00F079B5" w:rsidRDefault="00937CA8" w14:paraId="72884B1A" w14:textId="37269F31">
      <w:r>
        <w:t>The evaluation team is</w:t>
      </w:r>
      <w:r w:rsidR="00F079B5">
        <w:t xml:space="preserve"> therefore using findings on GE</w:t>
      </w:r>
      <w:r w:rsidR="002A31D9">
        <w:t>D</w:t>
      </w:r>
      <w:r w:rsidR="00F079B5">
        <w:t xml:space="preserve">SI </w:t>
      </w:r>
      <w:r w:rsidR="0040780E">
        <w:t>generated from</w:t>
      </w:r>
      <w:r w:rsidR="007172B0">
        <w:t xml:space="preserve"> the early outcome evaluation </w:t>
      </w:r>
      <w:r w:rsidR="00F079B5">
        <w:t>to identify opportunities to strengthen GE</w:t>
      </w:r>
      <w:r w:rsidR="002A31D9">
        <w:t>D</w:t>
      </w:r>
      <w:r w:rsidR="00F079B5">
        <w:t xml:space="preserve">SI delivery in </w:t>
      </w:r>
      <w:r w:rsidRPr="00020F34" w:rsidR="00F079B5">
        <w:rPr>
          <w:rStyle w:val="Boldtext"/>
        </w:rPr>
        <w:t>future DESNZ and IFC programming</w:t>
      </w:r>
      <w:r w:rsidR="006856DB">
        <w:rPr>
          <w:rStyle w:val="Boldtext"/>
        </w:rPr>
        <w:t>.</w:t>
      </w:r>
      <w:r w:rsidR="00F079B5">
        <w:t xml:space="preserve"> </w:t>
      </w:r>
      <w:r>
        <w:t>The team</w:t>
      </w:r>
      <w:r w:rsidR="006856DB">
        <w:t xml:space="preserve"> are also using them</w:t>
      </w:r>
      <w:r w:rsidR="00F079B5">
        <w:t xml:space="preserve"> to generate learnings for </w:t>
      </w:r>
      <w:r w:rsidRPr="00020F34" w:rsidR="00F079B5">
        <w:rPr>
          <w:rStyle w:val="Boldtext"/>
        </w:rPr>
        <w:t>the international development community around consideration of GESI in green construction</w:t>
      </w:r>
      <w:r w:rsidR="00F079B5">
        <w:t xml:space="preserve"> more widely. GE</w:t>
      </w:r>
      <w:r w:rsidR="006F2F1A">
        <w:t>D</w:t>
      </w:r>
      <w:r w:rsidR="00F079B5">
        <w:t xml:space="preserve">SI </w:t>
      </w:r>
      <w:r w:rsidR="006856DB">
        <w:t>is</w:t>
      </w:r>
      <w:r w:rsidR="00F079B5">
        <w:t xml:space="preserve"> increasingly a focus within DESNZ and the government more widely</w:t>
      </w:r>
      <w:r w:rsidR="006856DB">
        <w:t>.</w:t>
      </w:r>
      <w:r w:rsidR="00F079B5">
        <w:t xml:space="preserve"> </w:t>
      </w:r>
      <w:r w:rsidR="006856DB">
        <w:t>T</w:t>
      </w:r>
      <w:r w:rsidR="00F079B5">
        <w:t>his allows the evaluation to generate important learnings for future programming without placing undue burden on IFC to deliver on new objectives.</w:t>
      </w:r>
    </w:p>
    <w:p w:rsidR="0095511C" w:rsidP="00F079B5" w:rsidRDefault="0095511C" w14:paraId="0284AEAA" w14:textId="1A188446">
      <w:r>
        <w:t>The research activities</w:t>
      </w:r>
      <w:r w:rsidR="0045257F">
        <w:t xml:space="preserve"> of the early outcome evaluation informing GEDSI learnings were the following:</w:t>
      </w:r>
    </w:p>
    <w:p w:rsidRPr="00E713D1" w:rsidR="00FA6DBC" w:rsidP="00FA6DBC" w:rsidRDefault="005F037D" w14:paraId="6F838BB7" w14:textId="6F40B2A1">
      <w:pPr>
        <w:pStyle w:val="DESNZbulletedlist"/>
      </w:pPr>
      <w:r w:rsidRPr="00020F34">
        <w:rPr>
          <w:rStyle w:val="Boldtext"/>
        </w:rPr>
        <w:t>A</w:t>
      </w:r>
      <w:r w:rsidRPr="00020F34" w:rsidR="00FA6DBC">
        <w:rPr>
          <w:rStyle w:val="Boldtext"/>
        </w:rPr>
        <w:t xml:space="preserve"> (T1) longitudinal analysis of key activities and results of the MAGC programme</w:t>
      </w:r>
      <w:r w:rsidR="006856DB">
        <w:t>. This</w:t>
      </w:r>
      <w:r w:rsidR="00FA6DBC">
        <w:t xml:space="preserve"> includ</w:t>
      </w:r>
      <w:r w:rsidR="006856DB">
        <w:t>es</w:t>
      </w:r>
      <w:r w:rsidR="00FA6DBC">
        <w:t xml:space="preserve"> an </w:t>
      </w:r>
      <w:r w:rsidRPr="00E713D1" w:rsidR="00FA6DBC">
        <w:t>analysis of GE</w:t>
      </w:r>
      <w:r w:rsidR="00060EB0">
        <w:t>D</w:t>
      </w:r>
      <w:r w:rsidRPr="00E713D1" w:rsidR="00FA6DBC">
        <w:t xml:space="preserve">SI relevant indicators to inform the development of </w:t>
      </w:r>
      <w:r w:rsidRPr="00E713D1" w:rsidR="00FA6DBC">
        <w:t xml:space="preserve">learnings for future programming, enablers and barriers and understanding </w:t>
      </w:r>
      <w:r w:rsidR="00664C59">
        <w:t>different</w:t>
      </w:r>
      <w:r w:rsidRPr="00E713D1" w:rsidR="00FA6DBC">
        <w:t xml:space="preserve"> context</w:t>
      </w:r>
      <w:r w:rsidR="00664C59">
        <w:t>s can affect</w:t>
      </w:r>
      <w:r w:rsidR="00FA6752">
        <w:t xml:space="preserve"> impacts observed in countries</w:t>
      </w:r>
      <w:r w:rsidRPr="00E713D1" w:rsidR="00FA6DBC">
        <w:t>.</w:t>
      </w:r>
      <w:r w:rsidR="00FA6DBC">
        <w:t xml:space="preserve"> This includes the effectiveness of the inclusion of indicators such as t</w:t>
      </w:r>
      <w:r w:rsidRPr="00E713D1" w:rsidR="00FA6DBC">
        <w:t>he gender split of auditors and experts within the EDGE Gender and Social Inclusion Standard</w:t>
      </w:r>
      <w:r w:rsidR="006856DB">
        <w:t>. It also includes</w:t>
      </w:r>
      <w:r w:rsidR="00FA6DBC">
        <w:t xml:space="preserve"> the p</w:t>
      </w:r>
      <w:r w:rsidRPr="00E713D1" w:rsidR="00FA6DBC">
        <w:t>roportion of investments for affordable housing under the updated administrative arrangement for the investment agreement on affordable housing.</w:t>
      </w:r>
    </w:p>
    <w:p w:rsidRPr="00FA6DBC" w:rsidR="00FA6DBC" w:rsidP="00FA6DBC" w:rsidRDefault="00FA6DBC" w14:paraId="2493EE88" w14:textId="5B94E703">
      <w:pPr>
        <w:pStyle w:val="DESNZbulletedlist"/>
      </w:pPr>
      <w:r w:rsidRPr="00020F34">
        <w:rPr>
          <w:rStyle w:val="Boldtext"/>
        </w:rPr>
        <w:t xml:space="preserve">T3 stakeholder </w:t>
      </w:r>
      <w:r w:rsidR="006C6F9D">
        <w:rPr>
          <w:rStyle w:val="Boldtext"/>
        </w:rPr>
        <w:t>analysis</w:t>
      </w:r>
      <w:r w:rsidRPr="00FA6DBC" w:rsidR="006C6F9D">
        <w:t xml:space="preserve"> </w:t>
      </w:r>
      <w:r w:rsidRPr="00FA6DBC">
        <w:t xml:space="preserve">to understand who the main in-country stakeholders </w:t>
      </w:r>
      <w:r w:rsidRPr="00FA6DBC" w:rsidR="00982C3F">
        <w:t>that could benefit from GE</w:t>
      </w:r>
      <w:r w:rsidR="00982C3F">
        <w:t>D</w:t>
      </w:r>
      <w:r w:rsidRPr="00FA6DBC" w:rsidR="00982C3F">
        <w:t>SI outputs and outcomes</w:t>
      </w:r>
      <w:r w:rsidRPr="00FA6DBC">
        <w:t xml:space="preserve"> are</w:t>
      </w:r>
      <w:r w:rsidR="00982C3F">
        <w:t>,</w:t>
      </w:r>
      <w:r w:rsidRPr="00FA6DBC">
        <w:t xml:space="preserve"> both participants and non-participants in MAGC.</w:t>
      </w:r>
    </w:p>
    <w:p w:rsidRPr="00FA6DBC" w:rsidR="00FA6DBC" w:rsidP="00FA6DBC" w:rsidRDefault="00FA6DBC" w14:paraId="5A32A568" w14:textId="1C7A35AC">
      <w:pPr>
        <w:pStyle w:val="DESNZbulletedlist"/>
      </w:pPr>
      <w:r w:rsidRPr="00020F34">
        <w:rPr>
          <w:rStyle w:val="Boldtext"/>
        </w:rPr>
        <w:t>T2 and T3 interviews with in-country stakeholders</w:t>
      </w:r>
      <w:r w:rsidR="00431F5B">
        <w:rPr>
          <w:rStyle w:val="Boldtext"/>
        </w:rPr>
        <w:t xml:space="preserve"> </w:t>
      </w:r>
      <w:r w:rsidRPr="00FA6DBC">
        <w:t>to inform outcome mapping through including questions to understand whether unplanned GE</w:t>
      </w:r>
      <w:r w:rsidR="00426670">
        <w:t>D</w:t>
      </w:r>
      <w:r w:rsidRPr="00FA6DBC">
        <w:t>SI outputs and interim outcomes have been achieved</w:t>
      </w:r>
      <w:r w:rsidR="006856DB">
        <w:t>.</w:t>
      </w:r>
      <w:r w:rsidRPr="00FA6DBC">
        <w:t xml:space="preserve"> </w:t>
      </w:r>
      <w:r w:rsidR="006856DB">
        <w:t>It also</w:t>
      </w:r>
      <w:r w:rsidRPr="00FA6DBC">
        <w:t xml:space="preserve"> explore</w:t>
      </w:r>
      <w:r w:rsidR="006856DB">
        <w:t>s</w:t>
      </w:r>
      <w:r w:rsidRPr="00FA6DBC">
        <w:t xml:space="preserve"> learnings for future delivery, including barriers and enablers, and the role of context.</w:t>
      </w:r>
    </w:p>
    <w:p w:rsidRPr="00FA6DBC" w:rsidR="00FA6DBC" w:rsidP="00FA6DBC" w:rsidRDefault="00FA6DBC" w14:paraId="640063FD" w14:textId="47F2C35C">
      <w:pPr>
        <w:pStyle w:val="DESNZbulletedlist"/>
      </w:pPr>
      <w:r w:rsidRPr="00020F34">
        <w:rPr>
          <w:rStyle w:val="Boldtext"/>
        </w:rPr>
        <w:t>T3 focus groups with EDGE building residents</w:t>
      </w:r>
      <w:r w:rsidRPr="00FA6DBC">
        <w:t xml:space="preserve"> to understand whether unplanned GE</w:t>
      </w:r>
      <w:r w:rsidR="00B668EB">
        <w:t>D</w:t>
      </w:r>
      <w:r w:rsidRPr="00FA6DBC">
        <w:t>SI outputs and interim outcomes have been achieved, informing outcome mapping.</w:t>
      </w:r>
    </w:p>
    <w:p w:rsidR="00D27DBB" w:rsidP="00FD5E8B" w:rsidRDefault="00D27DBB" w14:paraId="6C73D977" w14:textId="5A5934D1">
      <w:pPr>
        <w:pStyle w:val="Heading3"/>
      </w:pPr>
      <w:bookmarkStart w:name="_Toc179468549" w:id="40"/>
      <w:bookmarkStart w:name="_Toc179473992" w:id="41"/>
      <w:bookmarkStart w:name="_Toc181883575" w:id="42"/>
      <w:bookmarkStart w:name="_Toc188870855" w:id="43"/>
      <w:bookmarkStart w:name="_Toc207790194" w:id="44"/>
      <w:r w:rsidRPr="00FD5E8B">
        <w:t>Team</w:t>
      </w:r>
      <w:bookmarkEnd w:id="40"/>
      <w:bookmarkEnd w:id="41"/>
      <w:bookmarkEnd w:id="42"/>
      <w:bookmarkEnd w:id="43"/>
      <w:bookmarkEnd w:id="44"/>
    </w:p>
    <w:p w:rsidR="00D27DBB" w:rsidP="00D27DBB" w:rsidRDefault="00D27DBB" w14:paraId="336AABEF" w14:textId="1B415B70">
      <w:r>
        <w:t xml:space="preserve">The Evaluation and Learning team consists of evaluators, researchers and climate finance specialists from </w:t>
      </w:r>
      <w:r w:rsidRPr="008322D8">
        <w:t>Ipsos</w:t>
      </w:r>
      <w:r>
        <w:t xml:space="preserve"> and external experts. The project is managed centrally</w:t>
      </w:r>
      <w:r w:rsidRPr="008322D8">
        <w:t xml:space="preserve"> </w:t>
      </w:r>
      <w:r>
        <w:t xml:space="preserve">by a Project Director, Deputy Project Director and Project Manager at Ipsos UK. </w:t>
      </w:r>
      <w:r w:rsidR="00C84128">
        <w:t>T</w:t>
      </w:r>
      <w:r>
        <w:t>he team</w:t>
      </w:r>
      <w:r w:rsidR="00E667DC">
        <w:t>, as shown in the organogram below,</w:t>
      </w:r>
      <w:r>
        <w:t xml:space="preserve"> is divided into sub-teams for cross-cutting and country specific analysis: The </w:t>
      </w:r>
      <w:r w:rsidRPr="008322D8">
        <w:t>Project Management</w:t>
      </w:r>
      <w:r>
        <w:t xml:space="preserve"> </w:t>
      </w:r>
      <w:r w:rsidRPr="008322D8">
        <w:t>Team</w:t>
      </w:r>
      <w:r>
        <w:t xml:space="preserve"> (Ipsos UK), </w:t>
      </w:r>
      <w:r w:rsidR="003679D0">
        <w:t>oversees the evaluation technically and operationally. The Project Director is the Team Leader. T</w:t>
      </w:r>
      <w:r>
        <w:t xml:space="preserve">he </w:t>
      </w:r>
      <w:r w:rsidRPr="008322D8">
        <w:t>Design &amp; analysis team</w:t>
      </w:r>
      <w:r>
        <w:t xml:space="preserve"> (Ipsos UK)</w:t>
      </w:r>
      <w:r w:rsidR="003679D0">
        <w:t xml:space="preserve"> lead the design and analysis of specific thematic strands. T</w:t>
      </w:r>
      <w:r>
        <w:t xml:space="preserve">he </w:t>
      </w:r>
      <w:r w:rsidRPr="008322D8">
        <w:t>Climate Finance Expert Panel</w:t>
      </w:r>
      <w:r>
        <w:t xml:space="preserve"> (four external experts)</w:t>
      </w:r>
      <w:r w:rsidR="003679D0">
        <w:t xml:space="preserve"> advise the team on technical matters of the climate finance and green construction sector and review draft deliverables. T</w:t>
      </w:r>
      <w:r>
        <w:t xml:space="preserve">he </w:t>
      </w:r>
      <w:r w:rsidRPr="008322D8">
        <w:t>Case Study/Country research team</w:t>
      </w:r>
      <w:r>
        <w:t xml:space="preserve"> </w:t>
      </w:r>
      <w:r w:rsidR="003679D0">
        <w:t>lead the primary and secondary research in-country and the case study deliverables</w:t>
      </w:r>
      <w:r>
        <w:t xml:space="preserve">. </w:t>
      </w:r>
      <w:r w:rsidR="00311FB3">
        <w:t>This involves five teams in Ipsos country offices for each case study, and five independent green building thematic experts.</w:t>
      </w:r>
    </w:p>
    <w:p w:rsidR="005F364E" w:rsidP="00D27DBB" w:rsidRDefault="00E667DC" w14:paraId="461B49AB" w14:textId="3A6AB937">
      <w:pPr>
        <w:rPr>
          <w:rStyle w:val="Heading4Char"/>
        </w:rPr>
      </w:pPr>
      <w:r w:rsidRPr="008E7737">
        <w:rPr>
          <w:rStyle w:val="Heading4Char"/>
        </w:rPr>
        <w:t>Organogram</w:t>
      </w:r>
    </w:p>
    <w:p w:rsidR="005F364E" w:rsidP="00D27DBB" w:rsidRDefault="005F364E" w14:paraId="2D7CBC74" w14:textId="77777777">
      <w:pPr>
        <w:rPr>
          <w:rStyle w:val="Heading4Char"/>
        </w:rPr>
      </w:pPr>
    </w:p>
    <w:p w:rsidR="005F364E" w:rsidP="00D27DBB" w:rsidRDefault="005F364E" w14:paraId="5AF5181E" w14:textId="77777777">
      <w:pPr>
        <w:rPr>
          <w:rStyle w:val="Heading4Char"/>
        </w:rPr>
      </w:pPr>
    </w:p>
    <w:p w:rsidR="005F364E" w:rsidP="00D27DBB" w:rsidRDefault="005F364E" w14:paraId="36D8C166" w14:textId="77777777">
      <w:pPr>
        <w:rPr>
          <w:rStyle w:val="Heading4Char"/>
        </w:rPr>
      </w:pPr>
    </w:p>
    <w:p w:rsidR="005F364E" w:rsidP="00D27DBB" w:rsidRDefault="005F364E" w14:paraId="1D7021B3" w14:textId="77777777">
      <w:pPr>
        <w:rPr>
          <w:rStyle w:val="Heading4Char"/>
        </w:rPr>
      </w:pPr>
    </w:p>
    <w:p w:rsidR="005F364E" w:rsidP="00D27DBB" w:rsidRDefault="005F364E" w14:paraId="61704C9B" w14:textId="77777777">
      <w:pPr>
        <w:rPr>
          <w:rStyle w:val="Heading4Char"/>
        </w:rPr>
      </w:pPr>
    </w:p>
    <w:p w:rsidR="005F364E" w:rsidP="00D27DBB" w:rsidRDefault="005F364E" w14:paraId="4BF519B6" w14:textId="77777777">
      <w:pPr>
        <w:rPr>
          <w:rStyle w:val="Heading4Char"/>
        </w:rPr>
      </w:pPr>
    </w:p>
    <w:p w:rsidR="005F364E" w:rsidP="00D27DBB" w:rsidRDefault="005F364E" w14:paraId="114883D3" w14:textId="77777777">
      <w:pPr>
        <w:rPr>
          <w:rStyle w:val="Heading4Char"/>
        </w:rPr>
      </w:pPr>
    </w:p>
    <w:p w:rsidRPr="00E13638" w:rsidR="005F364E" w:rsidP="00D27DBB" w:rsidRDefault="005F364E" w14:paraId="68D58318" w14:textId="417A31BC">
      <w:pPr>
        <w:rPr>
          <w:rStyle w:val="Heading4Char"/>
          <w:sz w:val="24"/>
          <w:szCs w:val="24"/>
        </w:rPr>
      </w:pPr>
      <w:r w:rsidRPr="00E13638">
        <w:rPr>
          <w:rStyle w:val="Heading4Char"/>
          <w:sz w:val="24"/>
          <w:szCs w:val="24"/>
        </w:rPr>
        <w:t>Figure</w:t>
      </w:r>
      <w:r>
        <w:rPr>
          <w:rStyle w:val="Heading4Char"/>
          <w:sz w:val="24"/>
          <w:szCs w:val="24"/>
        </w:rPr>
        <w:t xml:space="preserve"> 5. Team organogram</w:t>
      </w:r>
    </w:p>
    <w:p w:rsidR="00E667DC" w:rsidP="00D27DBB" w:rsidRDefault="00E667DC" w14:paraId="41E549BB" w14:textId="25DA314E">
      <w:r>
        <w:rPr>
          <w:noProof/>
        </w:rPr>
        <w:drawing>
          <wp:inline distT="0" distB="0" distL="0" distR="0" wp14:anchorId="15D645B9" wp14:editId="0B4AE7C4">
            <wp:extent cx="6387465" cy="3530600"/>
            <wp:effectExtent l="0" t="0" r="0" b="0"/>
            <wp:docPr id="1652272887" name="Picture 1" descr="This organogram demonstrates the Evaluation and Learning team and how they are linked. It highlights the different divisions and how they report back to the Ipsos UK Project Managemen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2887" name="Picture 1" descr="This organogram demonstrates the Evaluation and Learning team and how they are linked. It highlights the different divisions and how they report back to the Ipsos UK Project Management Tea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886"/>
                    <a:stretch/>
                  </pic:blipFill>
                  <pic:spPr bwMode="auto">
                    <a:xfrm>
                      <a:off x="0" y="0"/>
                      <a:ext cx="6411206" cy="3543723"/>
                    </a:xfrm>
                    <a:prstGeom prst="rect">
                      <a:avLst/>
                    </a:prstGeom>
                    <a:noFill/>
                    <a:ln>
                      <a:noFill/>
                    </a:ln>
                    <a:extLst>
                      <a:ext uri="{53640926-AAD7-44D8-BBD7-CCE9431645EC}">
                        <a14:shadowObscured xmlns:a14="http://schemas.microsoft.com/office/drawing/2010/main"/>
                      </a:ext>
                    </a:extLst>
                  </pic:spPr>
                </pic:pic>
              </a:graphicData>
            </a:graphic>
          </wp:inline>
        </w:drawing>
      </w:r>
    </w:p>
    <w:p w:rsidR="00D27DBB" w:rsidP="00D27DBB" w:rsidRDefault="00D27DBB" w14:paraId="1E52B37D" w14:textId="6FEAE448">
      <w:r>
        <w:t xml:space="preserve">The analysis and reporting of the </w:t>
      </w:r>
      <w:r w:rsidR="00C84128">
        <w:t>Early Outcome</w:t>
      </w:r>
      <w:r>
        <w:t xml:space="preserve"> evaluation was primarily delivered by Ipsos’ UK team. This includes the design and delivery of the qualitative interviews with stakeholders, design of the updated process map, the Theory of Change review, and delivery of the political economy analysis. Ipsos’ in-country teams within the case study countries of Kenya, </w:t>
      </w:r>
      <w:r w:rsidR="00C84128">
        <w:t>Vietnam</w:t>
      </w:r>
      <w:r>
        <w:t>, South Africa, Columbia and India were involved in the de</w:t>
      </w:r>
      <w:r w:rsidR="00C84128">
        <w:t>livery of case study primary research</w:t>
      </w:r>
      <w:r w:rsidR="00311FB3">
        <w:t>.</w:t>
      </w:r>
      <w:r w:rsidR="00C84128">
        <w:t xml:space="preserve"> </w:t>
      </w:r>
      <w:r w:rsidR="00311FB3">
        <w:t xml:space="preserve">This </w:t>
      </w:r>
      <w:r w:rsidR="00C84128">
        <w:t>includ</w:t>
      </w:r>
      <w:r w:rsidR="00311FB3">
        <w:t>ed</w:t>
      </w:r>
      <w:r w:rsidR="00C84128">
        <w:t xml:space="preserve"> interviews with programme stakeholders, financial intermediaries, building sector stakeholders and wider policy stakeholders</w:t>
      </w:r>
      <w:r w:rsidR="00657B41">
        <w:t xml:space="preserve">, and focus groups with </w:t>
      </w:r>
      <w:r w:rsidR="0015164A">
        <w:t xml:space="preserve">EDGE building </w:t>
      </w:r>
      <w:r w:rsidR="00657B41">
        <w:t>residents</w:t>
      </w:r>
      <w:r w:rsidR="00311FB3">
        <w:t>.</w:t>
      </w:r>
      <w:r w:rsidR="00C84128">
        <w:t xml:space="preserve"> </w:t>
      </w:r>
      <w:r w:rsidR="00311FB3">
        <w:t>It also involved</w:t>
      </w:r>
      <w:r w:rsidR="00C84128">
        <w:t xml:space="preserve"> delivery of secondary research which included the political economy analysis and financial market analysis conducted at case study country level. </w:t>
      </w:r>
    </w:p>
    <w:p w:rsidR="00D27DBB" w:rsidP="00D27DBB" w:rsidRDefault="00D27DBB" w14:paraId="0A22F5B8" w14:textId="49F8D5EB">
      <w:r>
        <w:t xml:space="preserve">Throughout delivery of the </w:t>
      </w:r>
      <w:r w:rsidR="00C84128">
        <w:t>early outcome</w:t>
      </w:r>
      <w:r>
        <w:t xml:space="preserve"> evaluation, the Ipsos team (and expert panel) were able to work freely and without interference from DESNZ, IFC or any other relevant stakeholders. The evaluation team was able to maintain full independence throughout design and delivery of the process evaluation.</w:t>
      </w:r>
    </w:p>
    <w:p w:rsidR="00D27DBB" w:rsidP="00D27DBB" w:rsidRDefault="00D27DBB" w14:paraId="7A393FE6" w14:textId="77777777">
      <w:pPr>
        <w:pStyle w:val="Heading4"/>
      </w:pPr>
      <w:r>
        <w:t>Conflicts of interest</w:t>
      </w:r>
    </w:p>
    <w:p w:rsidR="00D27DBB" w:rsidP="00D27DBB" w:rsidRDefault="00D27DBB" w14:paraId="01555345" w14:textId="77777777">
      <w:r>
        <w:t>There were no conflicts of interest identified within the Ipsos team or the expert panel.</w:t>
      </w:r>
    </w:p>
    <w:p w:rsidR="00EA1E4E" w:rsidP="00EA1E4E" w:rsidRDefault="00EA1E4E" w14:paraId="3C075298" w14:textId="70E93B59">
      <w:pPr>
        <w:pStyle w:val="Heading2"/>
      </w:pPr>
      <w:bookmarkStart w:name="_Toc179473993" w:id="45"/>
      <w:bookmarkStart w:name="_Toc181883576" w:id="46"/>
      <w:bookmarkStart w:name="_Toc188870856" w:id="47"/>
      <w:bookmarkStart w:name="_Toc207790195" w:id="48"/>
      <w:r>
        <w:t>Primary data collection</w:t>
      </w:r>
      <w:bookmarkEnd w:id="45"/>
      <w:bookmarkEnd w:id="46"/>
      <w:bookmarkEnd w:id="47"/>
      <w:bookmarkEnd w:id="48"/>
    </w:p>
    <w:p w:rsidR="00BA0D64" w:rsidP="008E7737" w:rsidRDefault="00BA0D64" w14:paraId="2BF88657" w14:textId="77777777">
      <w:pPr>
        <w:pStyle w:val="Heading3"/>
      </w:pPr>
      <w:bookmarkStart w:name="_Toc181883577" w:id="49"/>
      <w:bookmarkStart w:name="_Toc188870857" w:id="50"/>
      <w:bookmarkStart w:name="_Toc207790196" w:id="51"/>
      <w:bookmarkStart w:name="_Toc179468551" w:id="52"/>
      <w:bookmarkStart w:name="_Toc179473994" w:id="53"/>
      <w:r>
        <w:t>Levels of analysis</w:t>
      </w:r>
      <w:bookmarkEnd w:id="49"/>
      <w:bookmarkEnd w:id="50"/>
      <w:bookmarkEnd w:id="51"/>
    </w:p>
    <w:p w:rsidR="00BA0D64" w:rsidP="00CC1AAE" w:rsidRDefault="00BA0D64" w14:paraId="3DE5990F" w14:textId="4AB18A85">
      <w:r w:rsidRPr="008E7737">
        <w:rPr>
          <w:rStyle w:val="Boldtext"/>
        </w:rPr>
        <w:t>Tier 0 (T0):</w:t>
      </w:r>
      <w:r>
        <w:t xml:space="preserve"> This is MAGC programme level, covering the DESNZ and IFC programme teams.</w:t>
      </w:r>
    </w:p>
    <w:p w:rsidR="00BA0D64" w:rsidP="00CC1AAE" w:rsidRDefault="00BA0D64" w14:paraId="2C2DA141" w14:textId="61A42997">
      <w:r w:rsidRPr="008E7737">
        <w:rPr>
          <w:rStyle w:val="Boldtext"/>
        </w:rPr>
        <w:t>Tier 1 (T1):</w:t>
      </w:r>
      <w:r>
        <w:t xml:space="preserve"> This level includes all MAGC eligible countries. </w:t>
      </w:r>
    </w:p>
    <w:p w:rsidR="00BA0D64" w:rsidP="00CC1AAE" w:rsidRDefault="00BA0D64" w14:paraId="6D8FF50E" w14:textId="438E1F1F">
      <w:r w:rsidRPr="008E7737">
        <w:rPr>
          <w:rStyle w:val="Boldtext"/>
        </w:rPr>
        <w:t>Tier 2 (T2):</w:t>
      </w:r>
      <w:r>
        <w:t xml:space="preserve"> This level includes MAGC countries with substantial delivery at the time of reporting. This includes the following 10 countries: Colombia, Mexico, Peru, South Africa, Kenya, Ghana, Indonesia, Vietnam, Philippines, India, and Egypt.</w:t>
      </w:r>
    </w:p>
    <w:p w:rsidR="00BA0D64" w:rsidP="008E7737" w:rsidRDefault="00BA0D64" w14:paraId="778C645E" w14:textId="2FDC7224">
      <w:r w:rsidRPr="008E7737">
        <w:rPr>
          <w:rStyle w:val="Boldtext"/>
        </w:rPr>
        <w:t>Tier 3 (T3):</w:t>
      </w:r>
      <w:r>
        <w:t xml:space="preserve"> Five </w:t>
      </w:r>
      <w:r w:rsidR="00557ABE">
        <w:t>deep</w:t>
      </w:r>
      <w:r>
        <w:t xml:space="preserve">-dive MAGC countries. This includes Colombia, South Africa, Kenya, Vietnam, and India. At this level, the evaluation </w:t>
      </w:r>
      <w:r w:rsidR="00E508B2">
        <w:t>has done</w:t>
      </w:r>
      <w:r>
        <w:t xml:space="preserve"> a more in-depth assessment through case studies to assess outcomes and impact.</w:t>
      </w:r>
    </w:p>
    <w:p w:rsidRPr="00EA1E4E" w:rsidR="00EA1E4E" w:rsidP="00EA1E4E" w:rsidRDefault="00EA1E4E" w14:paraId="4713D969" w14:textId="4BB84719">
      <w:pPr>
        <w:pStyle w:val="Heading3"/>
      </w:pPr>
      <w:bookmarkStart w:name="_Toc181883578" w:id="54"/>
      <w:bookmarkStart w:name="_Toc188870858" w:id="55"/>
      <w:bookmarkStart w:name="_Toc207790197" w:id="56"/>
      <w:r w:rsidRPr="00EA1E4E">
        <w:t>Research tools development</w:t>
      </w:r>
      <w:bookmarkEnd w:id="52"/>
      <w:bookmarkEnd w:id="53"/>
      <w:bookmarkEnd w:id="54"/>
      <w:bookmarkEnd w:id="55"/>
      <w:bookmarkEnd w:id="56"/>
    </w:p>
    <w:p w:rsidR="00977943" w:rsidP="00EA1E4E" w:rsidRDefault="004C7322" w14:paraId="394F56AA" w14:textId="4397C161">
      <w:r w:rsidRPr="00EA1E4E">
        <w:t>For primary data collection, the evaluation used semi-structured interviews with programme and external stakeholders. Semi</w:t>
      </w:r>
      <w:r>
        <w:t>-</w:t>
      </w:r>
      <w:r w:rsidRPr="00EA1E4E">
        <w:t xml:space="preserve">structured interviews were based on the </w:t>
      </w:r>
      <w:r>
        <w:t>topic</w:t>
      </w:r>
      <w:r w:rsidRPr="00EA1E4E">
        <w:t xml:space="preserve"> guides (included in Annex </w:t>
      </w:r>
      <w:r>
        <w:t>7</w:t>
      </w:r>
      <w:r w:rsidRPr="00EA1E4E">
        <w:t xml:space="preserve"> of this report). The </w:t>
      </w:r>
      <w:r>
        <w:t>topic</w:t>
      </w:r>
      <w:r w:rsidRPr="00EA1E4E">
        <w:t xml:space="preserve"> guides were developed based on the overarching evaluation questions, specific judgment criteria, and the type of stakeholder consulted. They were finalised in agreement with DESNZ, tested with a first sub-sample of programme stakeholder interviews, and refined for the subsequent interviews.</w:t>
      </w:r>
      <w:r>
        <w:t xml:space="preserve"> The testing and refinement was conducted in English by the core evaluation team before the research tools were translated and used by in-country teams for T3 case studies</w:t>
      </w:r>
      <w:r w:rsidR="00977943">
        <w:t xml:space="preserve">. </w:t>
      </w:r>
    </w:p>
    <w:p w:rsidRPr="00EA1E4E" w:rsidR="00EA1E4E" w:rsidP="00EA1E4E" w:rsidRDefault="00C960AE" w14:paraId="5F887639" w14:textId="2D5C5C1D">
      <w:r>
        <w:t xml:space="preserve">The design </w:t>
      </w:r>
      <w:r w:rsidR="004D0016">
        <w:t xml:space="preserve">of the interview </w:t>
      </w:r>
      <w:r w:rsidR="00DD3244">
        <w:t>topic</w:t>
      </w:r>
      <w:r w:rsidRPr="00EA1E4E" w:rsidR="00DD3244">
        <w:t xml:space="preserve"> </w:t>
      </w:r>
      <w:r w:rsidR="004D0016">
        <w:t xml:space="preserve">guides was also informed by the principles of the </w:t>
      </w:r>
      <w:r w:rsidRPr="00E1086C" w:rsidR="00E1086C">
        <w:t>Qualitative Impact Assessment Protocol (</w:t>
      </w:r>
      <w:proofErr w:type="spellStart"/>
      <w:r w:rsidRPr="00E1086C" w:rsidR="00E1086C">
        <w:t>QuIP</w:t>
      </w:r>
      <w:proofErr w:type="spellEnd"/>
      <w:r w:rsidRPr="00E1086C" w:rsidR="00E1086C">
        <w:t>)</w:t>
      </w:r>
      <w:r w:rsidR="00E94EE2">
        <w:t>.</w:t>
      </w:r>
      <w:r w:rsidR="00E1086C">
        <w:t xml:space="preserve"> </w:t>
      </w:r>
      <w:r w:rsidR="008E3A85">
        <w:t>This is</w:t>
      </w:r>
      <w:r w:rsidR="00E1086C">
        <w:t xml:space="preserve"> an evaluation approach </w:t>
      </w:r>
      <w:r w:rsidR="000A48EC">
        <w:t xml:space="preserve">that </w:t>
      </w:r>
      <w:r w:rsidRPr="000A48EC" w:rsidR="000A48EC">
        <w:t>collects and documents narrative causal statements directly from those affected by an intervention.</w:t>
      </w:r>
      <w:r w:rsidR="000A48EC">
        <w:rPr>
          <w:rStyle w:val="FootnoteReference"/>
        </w:rPr>
        <w:footnoteReference w:id="11"/>
      </w:r>
      <w:r w:rsidR="00AA0C4E">
        <w:t xml:space="preserve"> While this</w:t>
      </w:r>
      <w:r w:rsidR="00176E7A">
        <w:t xml:space="preserve"> is a qualitative approach to impact assessment, the principles of </w:t>
      </w:r>
      <w:proofErr w:type="spellStart"/>
      <w:r w:rsidR="00176E7A">
        <w:t>QuIP</w:t>
      </w:r>
      <w:proofErr w:type="spellEnd"/>
      <w:r w:rsidR="00176E7A">
        <w:t xml:space="preserve"> were suitable for the early outcome evaluation of MAGC</w:t>
      </w:r>
      <w:r w:rsidR="004437FC">
        <w:t>. This is</w:t>
      </w:r>
      <w:r w:rsidR="00176E7A">
        <w:t xml:space="preserve"> specifically because of </w:t>
      </w:r>
      <w:r w:rsidR="00487BFC">
        <w:t>the guidance on having questionnaires “</w:t>
      </w:r>
      <w:r w:rsidRPr="00487BFC" w:rsidR="00487BFC">
        <w:rPr>
          <w:rStyle w:val="Italic"/>
        </w:rPr>
        <w:t>tailored specifically to the activities and expected impacts (according to a theory of change) of the project or programme being evaluated. However, they remain open-ended and exploratory, collecting information about all relevant, and even unexpected, influences on change in the selected domains</w:t>
      </w:r>
      <w:r w:rsidR="00A35A4B">
        <w:rPr>
          <w:rStyle w:val="FootnoteReference"/>
          <w:i/>
        </w:rPr>
        <w:footnoteReference w:id="12"/>
      </w:r>
      <w:r w:rsidR="00487BFC">
        <w:t>.”</w:t>
      </w:r>
    </w:p>
    <w:p w:rsidR="00E508B2" w:rsidP="00EA1E4E" w:rsidRDefault="00EA1E4E" w14:paraId="141513F0" w14:textId="77777777">
      <w:pPr>
        <w:pStyle w:val="Heading3"/>
      </w:pPr>
      <w:bookmarkStart w:name="_Toc207790198" w:id="57"/>
      <w:bookmarkStart w:name="_Toc179468552" w:id="58"/>
      <w:bookmarkStart w:name="_Toc179473995" w:id="59"/>
      <w:bookmarkStart w:name="_Toc181883579" w:id="60"/>
      <w:bookmarkStart w:name="_Toc188870859" w:id="61"/>
      <w:r w:rsidRPr="00EA1E4E">
        <w:t>Interview</w:t>
      </w:r>
      <w:r w:rsidR="00E508B2">
        <w:t>s</w:t>
      </w:r>
      <w:bookmarkEnd w:id="57"/>
    </w:p>
    <w:p w:rsidRPr="00EA1E4E" w:rsidR="00EA1E4E" w:rsidP="00E13638" w:rsidRDefault="00E508B2" w14:paraId="112C43D3" w14:textId="3E78361A">
      <w:pPr>
        <w:pStyle w:val="Heading4"/>
      </w:pPr>
      <w:r>
        <w:t>S</w:t>
      </w:r>
      <w:r w:rsidRPr="00EA1E4E" w:rsidR="00EA1E4E">
        <w:t>ampling approach</w:t>
      </w:r>
      <w:bookmarkEnd w:id="58"/>
      <w:bookmarkEnd w:id="59"/>
      <w:bookmarkEnd w:id="60"/>
      <w:bookmarkEnd w:id="61"/>
    </w:p>
    <w:p w:rsidRPr="00EA1E4E" w:rsidR="00EA1E4E" w:rsidP="00EA1E4E" w:rsidRDefault="00EA1E4E" w14:paraId="6A32A455" w14:textId="77777777">
      <w:r w:rsidRPr="00EA1E4E">
        <w:t xml:space="preserve">A </w:t>
      </w:r>
      <w:r w:rsidRPr="00EA1E4E">
        <w:rPr>
          <w:rStyle w:val="Boldtext"/>
        </w:rPr>
        <w:t>purposive sampling</w:t>
      </w:r>
      <w:r w:rsidRPr="00EA1E4E">
        <w:rPr>
          <w:rStyle w:val="FootnoteReference"/>
        </w:rPr>
        <w:footnoteReference w:id="13"/>
      </w:r>
      <w:r w:rsidRPr="00EA1E4E">
        <w:t xml:space="preserve"> approach has been used to select participants that are most suitable for depth interviews. This is primarily to ensure that, from the available stakeholders identified, participants are selected that have relevant knowledge of the green building sector in the country.</w:t>
      </w:r>
    </w:p>
    <w:p w:rsidRPr="00EA1E4E" w:rsidR="00EA1E4E" w:rsidP="00EA1E4E" w:rsidRDefault="00EA1E4E" w14:paraId="33D730F0" w14:textId="3DCACE4B">
      <w:r w:rsidRPr="00EA1E4E">
        <w:rPr>
          <w:rStyle w:val="Boldtext"/>
        </w:rPr>
        <w:t>IFC &amp; DESNZ Programme Level Stakeholders (T0):</w:t>
      </w:r>
      <w:r w:rsidRPr="00EA1E4E">
        <w:t xml:space="preserve"> IFC &amp; DESNZ programme level stakeholders were purposively sampled to select participants that hold key information about the programme, its history, its rationale and its delivery and important perspectives/viewpoints about the effectiveness and efficiency of delivery. This includes stakeholders involved with the design and setup of the programme from IFC and DESNZ</w:t>
      </w:r>
      <w:r w:rsidR="00910745">
        <w:t>. It also includes</w:t>
      </w:r>
      <w:r w:rsidRPr="00EA1E4E">
        <w:t xml:space="preserve"> stakeholders within </w:t>
      </w:r>
      <w:r w:rsidRPr="00EA1E4E">
        <w:t xml:space="preserve">IFC responsible for the implementation, delivery and management of MAGC components, and stakeholders with DESNZ responsible for MAGC programme management. DESNZ and IFC have provided contact details for the interview participants, who were contacted by Ipsos to take part in interviews. </w:t>
      </w:r>
    </w:p>
    <w:p w:rsidRPr="00EA1E4E" w:rsidR="00EA1E4E" w:rsidP="00EA1E4E" w:rsidRDefault="00EA1E4E" w14:paraId="617D3BC8" w14:textId="628F7384">
      <w:r w:rsidRPr="00EA1E4E">
        <w:rPr>
          <w:rStyle w:val="Boldtext"/>
        </w:rPr>
        <w:t>IFC Country Offices &amp; Country Level Stakeholders (</w:t>
      </w:r>
      <w:r w:rsidRPr="00EA1E4E" w:rsidR="00E84A89">
        <w:rPr>
          <w:rStyle w:val="Boldtext"/>
        </w:rPr>
        <w:t>T</w:t>
      </w:r>
      <w:r w:rsidR="00E84A89">
        <w:rPr>
          <w:rStyle w:val="Boldtext"/>
        </w:rPr>
        <w:t>2&amp;T3</w:t>
      </w:r>
      <w:r w:rsidRPr="00EA1E4E">
        <w:rPr>
          <w:rStyle w:val="Boldtext"/>
        </w:rPr>
        <w:t>):</w:t>
      </w:r>
      <w:r w:rsidRPr="00EA1E4E">
        <w:t xml:space="preserve"> Stakeholders in IFC country offices and country level stakeholders were also purposively sampled</w:t>
      </w:r>
      <w:r w:rsidR="00910745">
        <w:t>.</w:t>
      </w:r>
      <w:r w:rsidRPr="00EA1E4E">
        <w:t xml:space="preserve"> </w:t>
      </w:r>
      <w:r w:rsidR="00910745">
        <w:t>This was</w:t>
      </w:r>
      <w:r w:rsidRPr="00EA1E4E">
        <w:t xml:space="preserve"> to involve those holding key factual information about the financ</w:t>
      </w:r>
      <w:r w:rsidR="00A07406">
        <w:t>ial</w:t>
      </w:r>
      <w:r w:rsidRPr="00EA1E4E">
        <w:t xml:space="preserve"> management of programme, as well as perspectives/viewpoints about the extent to which early outcomes have materialised as expected. IFC helped Ipsos to identify stakeholders from T2 and T3 countries with relevant knowledge of the green building sector and/or MAGC.</w:t>
      </w:r>
    </w:p>
    <w:p w:rsidRPr="00EA1E4E" w:rsidR="00EA1E4E" w:rsidP="00EA1E4E" w:rsidRDefault="00EA1E4E" w14:paraId="1C6B4445" w14:textId="7EFB21FA">
      <w:r w:rsidRPr="00EA1E4E">
        <w:rPr>
          <w:rStyle w:val="Boldtext"/>
        </w:rPr>
        <w:t>In-Country Stakeholders (T2&amp;T3):</w:t>
      </w:r>
      <w:r w:rsidRPr="00EA1E4E">
        <w:t xml:space="preserve"> External stakeholders were selected to participate in the research to provide important perspectives/viewpoints on contextual information</w:t>
      </w:r>
      <w:r w:rsidR="00910745">
        <w:t>.</w:t>
      </w:r>
      <w:r w:rsidRPr="00EA1E4E">
        <w:t xml:space="preserve"> </w:t>
      </w:r>
      <w:r w:rsidR="00910745">
        <w:t>This was</w:t>
      </w:r>
      <w:r w:rsidRPr="00EA1E4E">
        <w:t xml:space="preserve"> </w:t>
      </w:r>
      <w:r w:rsidRPr="00EA1E4E" w:rsidR="00152958">
        <w:t>in regard to</w:t>
      </w:r>
      <w:r w:rsidRPr="00EA1E4E">
        <w:t xml:space="preserve"> the green building sector in the country, early outcomes materialised in the four key components, as well as any early signs of transformational change. These stakeholders were sampled purposively, but – when hard to reach – </w:t>
      </w:r>
      <w:r w:rsidR="00937CA8">
        <w:t>the evaluation team</w:t>
      </w:r>
      <w:r w:rsidRPr="00EA1E4E">
        <w:t xml:space="preserve"> considered convenience or snowball sampling</w:t>
      </w:r>
      <w:r w:rsidRPr="00EA1E4E">
        <w:rPr>
          <w:rStyle w:val="FootnoteReference"/>
        </w:rPr>
        <w:footnoteReference w:id="14"/>
      </w:r>
      <w:r w:rsidRPr="00EA1E4E">
        <w:t xml:space="preserve"> as necessary. Stakeholders for these interviews included financial intermediaries, building sector stakeholders (i.e., property managers, developers, EDGE experts) and policy stakeholders (stakeholders in embassies, government departments and government organisations). This sample was generated through an initial stakeholder scoping exercise at the country level, where the project team identified relevant financial intermediaries, building sector stakeholders and wider policy stakeholders. This was through a review of MAGC reporting (identifying the financial intermediaries that had made deals to implement concessional finance/advisory support, or policymakers that had received capacity building support). This scoping exercise also included a review of wider financial and building markets to identify wider stakeholders who may have not been directly involved in MAGC. Any potential bias arising from this sample being non-comprehensive and/or non-representative is highlighted clearly in the limitations section in Annex </w:t>
      </w:r>
      <w:r w:rsidR="00F8499A">
        <w:t>4</w:t>
      </w:r>
      <w:r w:rsidRPr="00EA1E4E">
        <w:t>.</w:t>
      </w:r>
    </w:p>
    <w:p w:rsidRPr="00E508B2" w:rsidR="00EA1E4E" w:rsidP="00E13638" w:rsidRDefault="00EA1E4E" w14:paraId="5A26D206" w14:textId="77777777">
      <w:pPr>
        <w:pStyle w:val="Heading4"/>
        <w:rPr>
          <w:rStyle w:val="Boldtext"/>
        </w:rPr>
      </w:pPr>
      <w:r w:rsidRPr="00E508B2">
        <w:rPr>
          <w:rStyle w:val="Boldtext"/>
          <w:b/>
        </w:rPr>
        <w:t>Summary of early outcome evaluation and Value for Money assessment interviews</w:t>
      </w:r>
    </w:p>
    <w:p w:rsidRPr="00EA1E4E" w:rsidR="00EA1E4E" w:rsidP="00EA1E4E" w:rsidRDefault="00EA1E4E" w14:paraId="1E540A8C" w14:textId="2BA0E2B6">
      <w:r w:rsidRPr="00EA1E4E">
        <w:t xml:space="preserve">For the early outcome evaluation and the Value for Money assessment, </w:t>
      </w:r>
      <w:r w:rsidR="00937CA8">
        <w:t>the evaluation team</w:t>
      </w:r>
      <w:r w:rsidRPr="00EA1E4E">
        <w:t xml:space="preserve"> sampled a total </w:t>
      </w:r>
      <w:r w:rsidRPr="00EA1E4E">
        <w:rPr>
          <w:rStyle w:val="Boldtext"/>
        </w:rPr>
        <w:t>of 10 interviews with the MAGC programme team (T0 level) along with 30</w:t>
      </w:r>
      <w:r w:rsidR="00C40C1C">
        <w:rPr>
          <w:rStyle w:val="Boldtext"/>
        </w:rPr>
        <w:t xml:space="preserve"> </w:t>
      </w:r>
      <w:r w:rsidRPr="00EA1E4E">
        <w:rPr>
          <w:rStyle w:val="Boldtext"/>
        </w:rPr>
        <w:t>country-level wider stakeholder interviews (T2 level)</w:t>
      </w:r>
      <w:r w:rsidRPr="00EA1E4E" w:rsidR="00C40C1C">
        <w:rPr>
          <w:rStyle w:val="FootnoteReference"/>
        </w:rPr>
        <w:footnoteReference w:id="15"/>
      </w:r>
      <w:r w:rsidRPr="00EA1E4E" w:rsidR="00C40C1C">
        <w:rPr>
          <w:rStyle w:val="Boldtext"/>
        </w:rPr>
        <w:t xml:space="preserve"> </w:t>
      </w:r>
      <w:r w:rsidRPr="00EA1E4E">
        <w:rPr>
          <w:rStyle w:val="Boldtext"/>
        </w:rPr>
        <w:t>and 75 country level interviews in case study countries (T3 level)</w:t>
      </w:r>
      <w:r w:rsidRPr="00EA1E4E">
        <w:t xml:space="preserve"> to assess early outcomes and signs of transformation. </w:t>
      </w:r>
      <w:r w:rsidR="00032C37">
        <w:t xml:space="preserve">The interviews lasted for up to one hour. </w:t>
      </w:r>
      <w:r w:rsidRPr="00032C37" w:rsidR="00032C37">
        <w:t>At T2</w:t>
      </w:r>
      <w:r w:rsidR="00032C37">
        <w:t xml:space="preserve"> level, interviews </w:t>
      </w:r>
      <w:r w:rsidRPr="00032C37" w:rsidR="00032C37">
        <w:t xml:space="preserve">were conducted in English.  At T3, </w:t>
      </w:r>
      <w:r w:rsidR="00032C37">
        <w:t>interviews</w:t>
      </w:r>
      <w:r w:rsidRPr="00032C37" w:rsidR="00032C37">
        <w:t xml:space="preserve"> were conducted in English or the language of the case study country.</w:t>
      </w:r>
      <w:r w:rsidR="00032C37">
        <w:t xml:space="preserve"> </w:t>
      </w:r>
      <w:r w:rsidRPr="00EA1E4E">
        <w:t>The target sample of these interviews amongst these countries can be found in the table below</w:t>
      </w:r>
      <w:r w:rsidR="00910745">
        <w:t>.</w:t>
      </w:r>
      <w:r w:rsidRPr="00EA1E4E">
        <w:t xml:space="preserve"> </w:t>
      </w:r>
      <w:r w:rsidR="00910745">
        <w:t>This</w:t>
      </w:r>
      <w:r w:rsidRPr="00EA1E4E">
        <w:t xml:space="preserve"> was </w:t>
      </w:r>
      <w:r w:rsidRPr="00EA1E4E">
        <w:t>proposed by Ipsos in the evaluation scoping report and confirmed in consultation with DESNZ and IFC.</w:t>
      </w:r>
    </w:p>
    <w:p w:rsidRPr="00EA1E4E" w:rsidR="00EA1E4E" w:rsidP="00EA1E4E" w:rsidRDefault="003401BB" w14:paraId="19255296" w14:textId="6C4BA331">
      <w:pPr>
        <w:rPr>
          <w:rStyle w:val="Boldtext"/>
        </w:rPr>
      </w:pPr>
      <w:r>
        <w:rPr>
          <w:rStyle w:val="Boldtext"/>
        </w:rPr>
        <w:t xml:space="preserve">Table </w:t>
      </w:r>
      <w:r w:rsidR="004C09A9">
        <w:rPr>
          <w:rStyle w:val="Boldtext"/>
        </w:rPr>
        <w:t>4</w:t>
      </w:r>
      <w:r>
        <w:rPr>
          <w:rStyle w:val="Boldtext"/>
        </w:rPr>
        <w:t xml:space="preserve">. </w:t>
      </w:r>
      <w:r w:rsidRPr="00EA1E4E" w:rsidR="00EA1E4E">
        <w:rPr>
          <w:rStyle w:val="Boldtext"/>
        </w:rPr>
        <w:t>Early outcome and Value for Money qualitative sample</w:t>
      </w:r>
      <w:r w:rsidR="0092536B">
        <w:rPr>
          <w:rStyle w:val="Boldtext"/>
        </w:rPr>
        <w:t xml:space="preserve"> target and achieved</w:t>
      </w:r>
      <w:r w:rsidRPr="00EA1E4E" w:rsidR="00EA1E4E">
        <w:rPr>
          <w:rStyle w:val="Boldtext"/>
        </w:rPr>
        <w:t xml:space="preserve"> by level (T0, T2, T3)</w:t>
      </w:r>
    </w:p>
    <w:tbl>
      <w:tblPr>
        <w:tblStyle w:val="TableGrid"/>
        <w:tblW w:w="0" w:type="auto"/>
        <w:tblLayout w:type="fixed"/>
        <w:tblLook w:val="04A0" w:firstRow="1" w:lastRow="0" w:firstColumn="1" w:lastColumn="0" w:noHBand="0" w:noVBand="1"/>
      </w:tblPr>
      <w:tblGrid>
        <w:gridCol w:w="421"/>
        <w:gridCol w:w="1559"/>
        <w:gridCol w:w="1417"/>
        <w:gridCol w:w="1417"/>
        <w:gridCol w:w="1418"/>
        <w:gridCol w:w="1417"/>
        <w:gridCol w:w="1418"/>
        <w:gridCol w:w="1015"/>
      </w:tblGrid>
      <w:tr w:rsidR="00A66BC4" w:rsidTr="009A3A6F" w14:paraId="6D16A850" w14:textId="77777777">
        <w:trPr>
          <w:trHeight w:val="797"/>
        </w:trPr>
        <w:tc>
          <w:tcPr>
            <w:tcW w:w="1980" w:type="dxa"/>
            <w:gridSpan w:val="2"/>
          </w:tcPr>
          <w:p w:rsidRPr="00EA1E4E" w:rsidR="00EA1E4E" w:rsidP="00EA1E4E" w:rsidRDefault="00EA1E4E" w14:paraId="47DE0109" w14:textId="28C5819B">
            <w:pPr>
              <w:rPr>
                <w:rStyle w:val="Boldtext"/>
              </w:rPr>
            </w:pPr>
            <w:bookmarkStart w:name="_Hlk188363311" w:id="62"/>
            <w:r w:rsidRPr="00EA1E4E">
              <w:rPr>
                <w:rStyle w:val="Boldtext"/>
              </w:rPr>
              <w:t>Country</w:t>
            </w:r>
          </w:p>
        </w:tc>
        <w:tc>
          <w:tcPr>
            <w:tcW w:w="1417" w:type="dxa"/>
          </w:tcPr>
          <w:p w:rsidRPr="00EA1E4E" w:rsidR="00EA1E4E" w:rsidP="00EA1E4E" w:rsidRDefault="00EA1E4E" w14:paraId="2ADA871E" w14:textId="4D9514F9">
            <w:pPr>
              <w:rPr>
                <w:rStyle w:val="Boldtext"/>
              </w:rPr>
            </w:pPr>
            <w:r w:rsidRPr="00EA1E4E">
              <w:rPr>
                <w:rStyle w:val="Boldtext"/>
              </w:rPr>
              <w:t>Financial intermediaries (achieved/</w:t>
            </w:r>
            <w:r w:rsidR="00EA23D1">
              <w:rPr>
                <w:rStyle w:val="Boldtext"/>
              </w:rPr>
              <w:t xml:space="preserve"> </w:t>
            </w:r>
            <w:r w:rsidRPr="00EA1E4E">
              <w:rPr>
                <w:rStyle w:val="Boldtext"/>
              </w:rPr>
              <w:t>target)</w:t>
            </w:r>
          </w:p>
        </w:tc>
        <w:tc>
          <w:tcPr>
            <w:tcW w:w="1417" w:type="dxa"/>
          </w:tcPr>
          <w:p w:rsidRPr="00EA1E4E" w:rsidR="00EA1E4E" w:rsidP="00EA1E4E" w:rsidRDefault="00EA1E4E" w14:paraId="1C7E635E" w14:textId="4447011C">
            <w:pPr>
              <w:rPr>
                <w:rStyle w:val="Boldtext"/>
              </w:rPr>
            </w:pPr>
            <w:r w:rsidRPr="00EA1E4E">
              <w:rPr>
                <w:rStyle w:val="Boldtext"/>
              </w:rPr>
              <w:t>Building sector stakeholders</w:t>
            </w:r>
          </w:p>
        </w:tc>
        <w:tc>
          <w:tcPr>
            <w:tcW w:w="1418" w:type="dxa"/>
          </w:tcPr>
          <w:p w:rsidRPr="00EA1E4E" w:rsidR="00EA1E4E" w:rsidP="00EA1E4E" w:rsidRDefault="00EA1E4E" w14:paraId="37B6BBFB" w14:textId="507209D0">
            <w:pPr>
              <w:rPr>
                <w:rStyle w:val="Boldtext"/>
              </w:rPr>
            </w:pPr>
            <w:r w:rsidRPr="00EA1E4E">
              <w:rPr>
                <w:rStyle w:val="Boldtext"/>
              </w:rPr>
              <w:t>Policy &amp; wider stakeholders</w:t>
            </w:r>
          </w:p>
        </w:tc>
        <w:tc>
          <w:tcPr>
            <w:tcW w:w="1417" w:type="dxa"/>
          </w:tcPr>
          <w:p w:rsidRPr="00EA1E4E" w:rsidR="00EA1E4E" w:rsidP="00EA1E4E" w:rsidRDefault="008D5CB4" w14:paraId="785653D0" w14:textId="682B2A8C">
            <w:pPr>
              <w:rPr>
                <w:rStyle w:val="Boldtext"/>
              </w:rPr>
            </w:pPr>
            <w:r>
              <w:rPr>
                <w:rStyle w:val="Boldtext"/>
              </w:rPr>
              <w:t>IFC offices</w:t>
            </w:r>
          </w:p>
        </w:tc>
        <w:tc>
          <w:tcPr>
            <w:tcW w:w="1418" w:type="dxa"/>
          </w:tcPr>
          <w:p w:rsidRPr="00EA1E4E" w:rsidR="00EA1E4E" w:rsidP="00EA1E4E" w:rsidRDefault="0012577A" w14:paraId="22DA4548" w14:textId="69596C0A">
            <w:pPr>
              <w:rPr>
                <w:rStyle w:val="Boldtext"/>
              </w:rPr>
            </w:pPr>
            <w:r>
              <w:rPr>
                <w:rStyle w:val="Boldtext"/>
              </w:rPr>
              <w:t xml:space="preserve">DESNZ </w:t>
            </w:r>
            <w:r w:rsidR="005100EA">
              <w:rPr>
                <w:rStyle w:val="Boldtext"/>
              </w:rPr>
              <w:t>MAGC team</w:t>
            </w:r>
          </w:p>
        </w:tc>
        <w:tc>
          <w:tcPr>
            <w:tcW w:w="1015" w:type="dxa"/>
          </w:tcPr>
          <w:p w:rsidRPr="00EA1E4E" w:rsidR="00EA1E4E" w:rsidP="00EA1E4E" w:rsidRDefault="00EA1E4E" w14:paraId="2AA0923B" w14:textId="3486EB69">
            <w:pPr>
              <w:rPr>
                <w:rStyle w:val="Boldtext"/>
              </w:rPr>
            </w:pPr>
            <w:r w:rsidRPr="00EA1E4E">
              <w:rPr>
                <w:rStyle w:val="Boldtext"/>
              </w:rPr>
              <w:t>Total</w:t>
            </w:r>
          </w:p>
        </w:tc>
      </w:tr>
      <w:tr w:rsidR="00327DFE" w:rsidTr="009A3A6F" w14:paraId="62C1EE7F" w14:textId="77777777">
        <w:trPr>
          <w:trHeight w:val="199"/>
        </w:trPr>
        <w:tc>
          <w:tcPr>
            <w:tcW w:w="421" w:type="dxa"/>
            <w:vMerge w:val="restart"/>
          </w:tcPr>
          <w:p w:rsidRPr="00EA1E4E" w:rsidR="00327DFE" w:rsidP="00EA1E4E" w:rsidRDefault="00327DFE" w14:paraId="1943FED3" w14:textId="4E455C86">
            <w:r w:rsidRPr="00EA1E4E">
              <w:t>T3</w:t>
            </w:r>
          </w:p>
        </w:tc>
        <w:tc>
          <w:tcPr>
            <w:tcW w:w="1559" w:type="dxa"/>
          </w:tcPr>
          <w:p w:rsidRPr="00EA1E4E" w:rsidR="00327DFE" w:rsidP="00EA1E4E" w:rsidRDefault="00327DFE" w14:paraId="60939E92" w14:textId="34DE26B2">
            <w:r w:rsidRPr="00EA1E4E">
              <w:t>Colombia</w:t>
            </w:r>
          </w:p>
        </w:tc>
        <w:tc>
          <w:tcPr>
            <w:tcW w:w="1417" w:type="dxa"/>
          </w:tcPr>
          <w:p w:rsidRPr="004B248F" w:rsidR="00327DFE" w:rsidP="00EA1E4E" w:rsidRDefault="00327DFE" w14:paraId="1A37308A" w14:textId="6613B606">
            <w:r w:rsidRPr="004B248F">
              <w:t>3/5</w:t>
            </w:r>
          </w:p>
        </w:tc>
        <w:tc>
          <w:tcPr>
            <w:tcW w:w="1417" w:type="dxa"/>
          </w:tcPr>
          <w:p w:rsidRPr="004B248F" w:rsidR="00327DFE" w:rsidP="00EA1E4E" w:rsidRDefault="00327DFE" w14:paraId="524DEE61" w14:textId="6236591C">
            <w:r w:rsidRPr="004B248F">
              <w:t>5/5</w:t>
            </w:r>
          </w:p>
        </w:tc>
        <w:tc>
          <w:tcPr>
            <w:tcW w:w="1418" w:type="dxa"/>
          </w:tcPr>
          <w:p w:rsidRPr="004B248F" w:rsidR="00327DFE" w:rsidP="00EA1E4E" w:rsidRDefault="00327DFE" w14:paraId="12BEEDB0" w14:textId="552D2799">
            <w:r w:rsidRPr="004B248F">
              <w:t>5/4</w:t>
            </w:r>
          </w:p>
        </w:tc>
        <w:tc>
          <w:tcPr>
            <w:tcW w:w="1417" w:type="dxa"/>
          </w:tcPr>
          <w:p w:rsidRPr="004B248F" w:rsidR="00327DFE" w:rsidP="00EA1E4E" w:rsidRDefault="00327DFE" w14:paraId="41B12260" w14:textId="07C4CB30">
            <w:r w:rsidRPr="004B248F">
              <w:t>1/1</w:t>
            </w:r>
          </w:p>
        </w:tc>
        <w:tc>
          <w:tcPr>
            <w:tcW w:w="1418" w:type="dxa"/>
          </w:tcPr>
          <w:p w:rsidRPr="004B248F" w:rsidR="00327DFE" w:rsidP="00EA1E4E" w:rsidRDefault="00327DFE" w14:paraId="43808182" w14:textId="6A772B28">
            <w:r w:rsidRPr="004B248F">
              <w:t>NA</w:t>
            </w:r>
          </w:p>
        </w:tc>
        <w:tc>
          <w:tcPr>
            <w:tcW w:w="1015" w:type="dxa"/>
          </w:tcPr>
          <w:p w:rsidRPr="004B248F" w:rsidR="00327DFE" w:rsidP="00EA1E4E" w:rsidRDefault="00327DFE" w14:paraId="33F540C1" w14:textId="1564A328">
            <w:pPr>
              <w:rPr>
                <w:rStyle w:val="Boldtext"/>
              </w:rPr>
            </w:pPr>
            <w:r w:rsidRPr="004B248F">
              <w:rPr>
                <w:rStyle w:val="Boldtext"/>
              </w:rPr>
              <w:t>14/15</w:t>
            </w:r>
          </w:p>
        </w:tc>
      </w:tr>
      <w:tr w:rsidR="00327DFE" w:rsidTr="009A3A6F" w14:paraId="17895EEC" w14:textId="77777777">
        <w:trPr>
          <w:trHeight w:val="193"/>
        </w:trPr>
        <w:tc>
          <w:tcPr>
            <w:tcW w:w="421" w:type="dxa"/>
            <w:vMerge/>
          </w:tcPr>
          <w:p w:rsidRPr="00EA1E4E" w:rsidR="00327DFE" w:rsidP="00EA1E4E" w:rsidRDefault="00327DFE" w14:paraId="44E77BCB" w14:textId="77777777"/>
        </w:tc>
        <w:tc>
          <w:tcPr>
            <w:tcW w:w="1559" w:type="dxa"/>
          </w:tcPr>
          <w:p w:rsidRPr="00EA1E4E" w:rsidR="00327DFE" w:rsidP="00EA1E4E" w:rsidRDefault="00327DFE" w14:paraId="7F84E5AC" w14:textId="7EEC6EEC">
            <w:r w:rsidRPr="00EA1E4E">
              <w:t>India</w:t>
            </w:r>
          </w:p>
        </w:tc>
        <w:tc>
          <w:tcPr>
            <w:tcW w:w="1417" w:type="dxa"/>
          </w:tcPr>
          <w:p w:rsidRPr="004B248F" w:rsidR="00327DFE" w:rsidP="00EA1E4E" w:rsidRDefault="00327DFE" w14:paraId="286BE9E7" w14:textId="6AE60BE8">
            <w:r w:rsidRPr="004B248F">
              <w:t>3/5</w:t>
            </w:r>
          </w:p>
        </w:tc>
        <w:tc>
          <w:tcPr>
            <w:tcW w:w="1417" w:type="dxa"/>
          </w:tcPr>
          <w:p w:rsidRPr="004B248F" w:rsidR="00327DFE" w:rsidP="00EA1E4E" w:rsidRDefault="00327DFE" w14:paraId="4EF9047B" w14:textId="5B6A44D9">
            <w:r w:rsidRPr="004B248F">
              <w:t>2/5</w:t>
            </w:r>
          </w:p>
        </w:tc>
        <w:tc>
          <w:tcPr>
            <w:tcW w:w="1418" w:type="dxa"/>
          </w:tcPr>
          <w:p w:rsidRPr="004B248F" w:rsidR="00327DFE" w:rsidP="00EA1E4E" w:rsidRDefault="00327DFE" w14:paraId="422DBA0D" w14:textId="7816FC7B">
            <w:r w:rsidRPr="004B248F">
              <w:t>2/4</w:t>
            </w:r>
          </w:p>
        </w:tc>
        <w:tc>
          <w:tcPr>
            <w:tcW w:w="1417" w:type="dxa"/>
          </w:tcPr>
          <w:p w:rsidRPr="004B248F" w:rsidR="00327DFE" w:rsidP="00EA1E4E" w:rsidRDefault="00327DFE" w14:paraId="6F47569E" w14:textId="2B0C902E">
            <w:r w:rsidRPr="004B248F">
              <w:t>1/1</w:t>
            </w:r>
          </w:p>
        </w:tc>
        <w:tc>
          <w:tcPr>
            <w:tcW w:w="1418" w:type="dxa"/>
          </w:tcPr>
          <w:p w:rsidRPr="004B248F" w:rsidR="00327DFE" w:rsidP="00EA1E4E" w:rsidRDefault="00327DFE" w14:paraId="1ED2D9B2" w14:textId="028E941B">
            <w:r w:rsidRPr="004B248F">
              <w:t>NA</w:t>
            </w:r>
          </w:p>
        </w:tc>
        <w:tc>
          <w:tcPr>
            <w:tcW w:w="1015" w:type="dxa"/>
          </w:tcPr>
          <w:p w:rsidRPr="004B248F" w:rsidR="00327DFE" w:rsidP="00EA1E4E" w:rsidRDefault="00327DFE" w14:paraId="19F64387" w14:textId="4BFAEC21">
            <w:pPr>
              <w:rPr>
                <w:rStyle w:val="Boldtext"/>
              </w:rPr>
            </w:pPr>
            <w:r w:rsidRPr="004B248F">
              <w:rPr>
                <w:rStyle w:val="Boldtext"/>
              </w:rPr>
              <w:t>8/15</w:t>
            </w:r>
          </w:p>
        </w:tc>
      </w:tr>
      <w:tr w:rsidR="00327DFE" w:rsidTr="009A3A6F" w14:paraId="7434B284" w14:textId="77777777">
        <w:trPr>
          <w:trHeight w:val="58"/>
        </w:trPr>
        <w:tc>
          <w:tcPr>
            <w:tcW w:w="421" w:type="dxa"/>
            <w:vMerge/>
          </w:tcPr>
          <w:p w:rsidRPr="00EA1E4E" w:rsidR="00327DFE" w:rsidP="00EA1E4E" w:rsidRDefault="00327DFE" w14:paraId="0C0B4526" w14:textId="77777777"/>
        </w:tc>
        <w:tc>
          <w:tcPr>
            <w:tcW w:w="1559" w:type="dxa"/>
          </w:tcPr>
          <w:p w:rsidRPr="00EA1E4E" w:rsidR="00327DFE" w:rsidP="00EA1E4E" w:rsidRDefault="00327DFE" w14:paraId="27688C3C" w14:textId="31789DD6">
            <w:r w:rsidRPr="00EA1E4E">
              <w:t>Kenya</w:t>
            </w:r>
          </w:p>
        </w:tc>
        <w:tc>
          <w:tcPr>
            <w:tcW w:w="1417" w:type="dxa"/>
          </w:tcPr>
          <w:p w:rsidRPr="004B248F" w:rsidR="00327DFE" w:rsidP="00EA1E4E" w:rsidRDefault="00327DFE" w14:paraId="70D8B3EF" w14:textId="130DA491">
            <w:r w:rsidRPr="004B248F">
              <w:t>2/5</w:t>
            </w:r>
          </w:p>
        </w:tc>
        <w:tc>
          <w:tcPr>
            <w:tcW w:w="1417" w:type="dxa"/>
          </w:tcPr>
          <w:p w:rsidRPr="004B248F" w:rsidR="00327DFE" w:rsidP="00EA1E4E" w:rsidRDefault="00327DFE" w14:paraId="447BC55F" w14:textId="6ADA0002">
            <w:r w:rsidRPr="004B248F">
              <w:t>4/5</w:t>
            </w:r>
          </w:p>
        </w:tc>
        <w:tc>
          <w:tcPr>
            <w:tcW w:w="1418" w:type="dxa"/>
          </w:tcPr>
          <w:p w:rsidRPr="004B248F" w:rsidR="00327DFE" w:rsidP="00EA1E4E" w:rsidRDefault="00327DFE" w14:paraId="5B4F9691" w14:textId="198EFBBE">
            <w:r w:rsidRPr="004B248F">
              <w:t>3/4</w:t>
            </w:r>
          </w:p>
        </w:tc>
        <w:tc>
          <w:tcPr>
            <w:tcW w:w="1417" w:type="dxa"/>
          </w:tcPr>
          <w:p w:rsidRPr="004B248F" w:rsidR="00327DFE" w:rsidP="00EA1E4E" w:rsidRDefault="00327DFE" w14:paraId="17501657" w14:textId="184CC06B">
            <w:r w:rsidRPr="004B248F">
              <w:t>0/1</w:t>
            </w:r>
          </w:p>
        </w:tc>
        <w:tc>
          <w:tcPr>
            <w:tcW w:w="1418" w:type="dxa"/>
          </w:tcPr>
          <w:p w:rsidRPr="004B248F" w:rsidR="00327DFE" w:rsidP="00EA1E4E" w:rsidRDefault="00327DFE" w14:paraId="7675BD07" w14:textId="7D6E1D7C">
            <w:r w:rsidRPr="004B248F">
              <w:t>NA</w:t>
            </w:r>
          </w:p>
        </w:tc>
        <w:tc>
          <w:tcPr>
            <w:tcW w:w="1015" w:type="dxa"/>
          </w:tcPr>
          <w:p w:rsidRPr="004B248F" w:rsidR="00327DFE" w:rsidP="00EA1E4E" w:rsidRDefault="00327DFE" w14:paraId="1DE1A2F1" w14:textId="75E59DBE">
            <w:pPr>
              <w:rPr>
                <w:rStyle w:val="Boldtext"/>
              </w:rPr>
            </w:pPr>
            <w:r w:rsidRPr="004B248F">
              <w:rPr>
                <w:rStyle w:val="Boldtext"/>
              </w:rPr>
              <w:t>9/15</w:t>
            </w:r>
          </w:p>
        </w:tc>
      </w:tr>
      <w:tr w:rsidR="00327DFE" w:rsidTr="009A3A6F" w14:paraId="6530A25F" w14:textId="77777777">
        <w:trPr>
          <w:trHeight w:val="103"/>
        </w:trPr>
        <w:tc>
          <w:tcPr>
            <w:tcW w:w="421" w:type="dxa"/>
            <w:vMerge/>
          </w:tcPr>
          <w:p w:rsidRPr="00EA1E4E" w:rsidR="00327DFE" w:rsidP="00EA1E4E" w:rsidRDefault="00327DFE" w14:paraId="24B17049" w14:textId="77777777"/>
        </w:tc>
        <w:tc>
          <w:tcPr>
            <w:tcW w:w="1559" w:type="dxa"/>
          </w:tcPr>
          <w:p w:rsidRPr="00EA1E4E" w:rsidR="00327DFE" w:rsidP="00EA1E4E" w:rsidRDefault="00327DFE" w14:paraId="462D5D96" w14:textId="76C83044">
            <w:r w:rsidRPr="00EA1E4E">
              <w:t>South Africa</w:t>
            </w:r>
          </w:p>
        </w:tc>
        <w:tc>
          <w:tcPr>
            <w:tcW w:w="1417" w:type="dxa"/>
          </w:tcPr>
          <w:p w:rsidRPr="004B248F" w:rsidR="00327DFE" w:rsidP="00EA1E4E" w:rsidRDefault="00327DFE" w14:paraId="556C1EC1" w14:textId="799B4C0B">
            <w:r w:rsidRPr="004B248F">
              <w:t>4/5</w:t>
            </w:r>
          </w:p>
        </w:tc>
        <w:tc>
          <w:tcPr>
            <w:tcW w:w="1417" w:type="dxa"/>
          </w:tcPr>
          <w:p w:rsidRPr="004B248F" w:rsidR="00327DFE" w:rsidP="00EA1E4E" w:rsidRDefault="00327DFE" w14:paraId="2FE4B518" w14:textId="71139B30">
            <w:r w:rsidRPr="004B248F">
              <w:t>4/5</w:t>
            </w:r>
          </w:p>
        </w:tc>
        <w:tc>
          <w:tcPr>
            <w:tcW w:w="1418" w:type="dxa"/>
          </w:tcPr>
          <w:p w:rsidRPr="004B248F" w:rsidR="00327DFE" w:rsidP="00EA1E4E" w:rsidRDefault="00327DFE" w14:paraId="74043188" w14:textId="50F9DE2D">
            <w:r w:rsidRPr="004B248F">
              <w:t>5/4</w:t>
            </w:r>
          </w:p>
        </w:tc>
        <w:tc>
          <w:tcPr>
            <w:tcW w:w="1417" w:type="dxa"/>
          </w:tcPr>
          <w:p w:rsidRPr="004B248F" w:rsidR="00327DFE" w:rsidP="00EA1E4E" w:rsidRDefault="00327DFE" w14:paraId="5FED2A1C" w14:textId="7C53ABC3">
            <w:r w:rsidRPr="004B248F">
              <w:t>1/1</w:t>
            </w:r>
          </w:p>
        </w:tc>
        <w:tc>
          <w:tcPr>
            <w:tcW w:w="1418" w:type="dxa"/>
          </w:tcPr>
          <w:p w:rsidRPr="004B248F" w:rsidR="00327DFE" w:rsidP="00EA1E4E" w:rsidRDefault="00327DFE" w14:paraId="2875702E" w14:textId="3429AC59">
            <w:r w:rsidRPr="004B248F">
              <w:t>NA</w:t>
            </w:r>
          </w:p>
        </w:tc>
        <w:tc>
          <w:tcPr>
            <w:tcW w:w="1015" w:type="dxa"/>
          </w:tcPr>
          <w:p w:rsidRPr="004B248F" w:rsidR="00327DFE" w:rsidP="00EA1E4E" w:rsidRDefault="00327DFE" w14:paraId="3C5D5FCA" w14:textId="0B36CB80">
            <w:pPr>
              <w:rPr>
                <w:rStyle w:val="Boldtext"/>
              </w:rPr>
            </w:pPr>
            <w:r w:rsidRPr="004B248F">
              <w:rPr>
                <w:rStyle w:val="Boldtext"/>
              </w:rPr>
              <w:t>14/15</w:t>
            </w:r>
          </w:p>
        </w:tc>
      </w:tr>
      <w:tr w:rsidR="00327DFE" w:rsidTr="009A3A6F" w14:paraId="1319FB89" w14:textId="77777777">
        <w:trPr>
          <w:trHeight w:val="58"/>
        </w:trPr>
        <w:tc>
          <w:tcPr>
            <w:tcW w:w="421" w:type="dxa"/>
            <w:vMerge/>
          </w:tcPr>
          <w:p w:rsidRPr="00EA1E4E" w:rsidR="00327DFE" w:rsidP="00EA1E4E" w:rsidRDefault="00327DFE" w14:paraId="15D1F620" w14:textId="77777777"/>
        </w:tc>
        <w:tc>
          <w:tcPr>
            <w:tcW w:w="1559" w:type="dxa"/>
          </w:tcPr>
          <w:p w:rsidRPr="00EA1E4E" w:rsidR="00327DFE" w:rsidP="00EA1E4E" w:rsidRDefault="00327DFE" w14:paraId="32DBD469" w14:textId="0AEC99F0">
            <w:r w:rsidRPr="00EA1E4E">
              <w:t>Vietnam</w:t>
            </w:r>
          </w:p>
        </w:tc>
        <w:tc>
          <w:tcPr>
            <w:tcW w:w="1417" w:type="dxa"/>
          </w:tcPr>
          <w:p w:rsidRPr="004B248F" w:rsidR="00327DFE" w:rsidP="00EA1E4E" w:rsidRDefault="00327DFE" w14:paraId="36708F1F" w14:textId="6F201A61">
            <w:r w:rsidRPr="004B248F">
              <w:t>5/5</w:t>
            </w:r>
          </w:p>
        </w:tc>
        <w:tc>
          <w:tcPr>
            <w:tcW w:w="1417" w:type="dxa"/>
          </w:tcPr>
          <w:p w:rsidRPr="004B248F" w:rsidR="00327DFE" w:rsidP="00EA1E4E" w:rsidRDefault="00327DFE" w14:paraId="172F5CF9" w14:textId="36F75C94">
            <w:r w:rsidRPr="004B248F">
              <w:t>4/5</w:t>
            </w:r>
          </w:p>
        </w:tc>
        <w:tc>
          <w:tcPr>
            <w:tcW w:w="1418" w:type="dxa"/>
          </w:tcPr>
          <w:p w:rsidRPr="004B248F" w:rsidR="00327DFE" w:rsidP="00EA1E4E" w:rsidRDefault="00327DFE" w14:paraId="0F0E8597" w14:textId="306F5614">
            <w:r w:rsidRPr="004B248F">
              <w:t>5/4</w:t>
            </w:r>
          </w:p>
        </w:tc>
        <w:tc>
          <w:tcPr>
            <w:tcW w:w="1417" w:type="dxa"/>
          </w:tcPr>
          <w:p w:rsidRPr="004B248F" w:rsidR="00327DFE" w:rsidP="00EA1E4E" w:rsidRDefault="00327DFE" w14:paraId="3B27B01F" w14:textId="43332EE6">
            <w:r w:rsidRPr="004B248F">
              <w:t>1/1</w:t>
            </w:r>
          </w:p>
        </w:tc>
        <w:tc>
          <w:tcPr>
            <w:tcW w:w="1418" w:type="dxa"/>
          </w:tcPr>
          <w:p w:rsidRPr="004B248F" w:rsidR="00327DFE" w:rsidP="00EA1E4E" w:rsidRDefault="00327DFE" w14:paraId="7C9C6CED" w14:textId="3692F282">
            <w:r w:rsidRPr="004B248F">
              <w:t>NA</w:t>
            </w:r>
          </w:p>
        </w:tc>
        <w:tc>
          <w:tcPr>
            <w:tcW w:w="1015" w:type="dxa"/>
          </w:tcPr>
          <w:p w:rsidRPr="004B248F" w:rsidR="00327DFE" w:rsidP="00EA1E4E" w:rsidRDefault="00327DFE" w14:paraId="180BADDF" w14:textId="342C4C09">
            <w:pPr>
              <w:rPr>
                <w:rStyle w:val="Boldtext"/>
              </w:rPr>
            </w:pPr>
            <w:r w:rsidRPr="004B248F">
              <w:rPr>
                <w:rStyle w:val="Boldtext"/>
              </w:rPr>
              <w:t>15/15</w:t>
            </w:r>
          </w:p>
        </w:tc>
      </w:tr>
      <w:tr w:rsidR="002178D9" w:rsidTr="0018289A" w14:paraId="7EBB0A90" w14:textId="77777777">
        <w:trPr>
          <w:trHeight w:val="58"/>
        </w:trPr>
        <w:tc>
          <w:tcPr>
            <w:tcW w:w="421" w:type="dxa"/>
            <w:vMerge/>
          </w:tcPr>
          <w:p w:rsidRPr="00EA1E4E" w:rsidR="002178D9" w:rsidP="00EA1E4E" w:rsidRDefault="002178D9" w14:paraId="3AB32CF9" w14:textId="77777777"/>
        </w:tc>
        <w:tc>
          <w:tcPr>
            <w:tcW w:w="8646" w:type="dxa"/>
            <w:gridSpan w:val="6"/>
          </w:tcPr>
          <w:p w:rsidRPr="004B248F" w:rsidR="002178D9" w:rsidP="00EA1E4E" w:rsidRDefault="002178D9" w14:paraId="5249DBE4" w14:textId="43AEBC6C">
            <w:r>
              <w:t>T3 total</w:t>
            </w:r>
          </w:p>
        </w:tc>
        <w:tc>
          <w:tcPr>
            <w:tcW w:w="1015" w:type="dxa"/>
          </w:tcPr>
          <w:p w:rsidRPr="004B248F" w:rsidR="002178D9" w:rsidP="00EA1E4E" w:rsidRDefault="00EE737F" w14:paraId="76859BE8" w14:textId="10B77405">
            <w:pPr>
              <w:rPr>
                <w:rStyle w:val="Boldtext"/>
              </w:rPr>
            </w:pPr>
            <w:r>
              <w:rPr>
                <w:rStyle w:val="Boldtext"/>
              </w:rPr>
              <w:t>60</w:t>
            </w:r>
            <w:r w:rsidR="00A954CF">
              <w:rPr>
                <w:rStyle w:val="Boldtext"/>
              </w:rPr>
              <w:t>/75</w:t>
            </w:r>
          </w:p>
        </w:tc>
      </w:tr>
      <w:bookmarkEnd w:id="62"/>
      <w:tr w:rsidR="00A954CF" w:rsidTr="009A3A6F" w14:paraId="123A8663" w14:textId="77777777">
        <w:trPr>
          <w:trHeight w:val="187"/>
        </w:trPr>
        <w:tc>
          <w:tcPr>
            <w:tcW w:w="421" w:type="dxa"/>
            <w:vMerge w:val="restart"/>
          </w:tcPr>
          <w:p w:rsidRPr="00EA1E4E" w:rsidR="00A954CF" w:rsidP="00EA1E4E" w:rsidRDefault="00A954CF" w14:paraId="66D38119" w14:textId="0833B8C5">
            <w:r w:rsidRPr="00EA1E4E">
              <w:t>T2</w:t>
            </w:r>
          </w:p>
        </w:tc>
        <w:tc>
          <w:tcPr>
            <w:tcW w:w="1559" w:type="dxa"/>
          </w:tcPr>
          <w:p w:rsidRPr="00EA1E4E" w:rsidR="00A954CF" w:rsidP="00EA1E4E" w:rsidRDefault="00A954CF" w14:paraId="5B0C7D1D" w14:textId="02272599">
            <w:r w:rsidRPr="00EA1E4E">
              <w:t>Peru</w:t>
            </w:r>
          </w:p>
        </w:tc>
        <w:tc>
          <w:tcPr>
            <w:tcW w:w="1417" w:type="dxa"/>
          </w:tcPr>
          <w:p w:rsidRPr="004B248F" w:rsidR="00A954CF" w:rsidP="00EA1E4E" w:rsidRDefault="00A954CF" w14:paraId="0928A3FF" w14:textId="0707FC91">
            <w:r w:rsidRPr="004B248F">
              <w:t>1/2</w:t>
            </w:r>
          </w:p>
        </w:tc>
        <w:tc>
          <w:tcPr>
            <w:tcW w:w="1417" w:type="dxa"/>
          </w:tcPr>
          <w:p w:rsidRPr="004B248F" w:rsidR="00A954CF" w:rsidP="00EA1E4E" w:rsidRDefault="00A954CF" w14:paraId="772814AC" w14:textId="4EC2D33E">
            <w:r w:rsidRPr="004B248F">
              <w:t>3/2</w:t>
            </w:r>
          </w:p>
        </w:tc>
        <w:tc>
          <w:tcPr>
            <w:tcW w:w="1418" w:type="dxa"/>
          </w:tcPr>
          <w:p w:rsidRPr="004B248F" w:rsidR="00A954CF" w:rsidP="00EA1E4E" w:rsidRDefault="00A954CF" w14:paraId="57ADFCAD" w14:textId="745CB58C">
            <w:r w:rsidRPr="004B248F">
              <w:t>1/1</w:t>
            </w:r>
          </w:p>
        </w:tc>
        <w:tc>
          <w:tcPr>
            <w:tcW w:w="1417" w:type="dxa"/>
          </w:tcPr>
          <w:p w:rsidRPr="004B248F" w:rsidR="00A954CF" w:rsidP="00EA1E4E" w:rsidRDefault="00A954CF" w14:paraId="48C34BCB" w14:textId="2F4EA90E">
            <w:r w:rsidRPr="004B248F">
              <w:t>NA</w:t>
            </w:r>
          </w:p>
        </w:tc>
        <w:tc>
          <w:tcPr>
            <w:tcW w:w="1418" w:type="dxa"/>
          </w:tcPr>
          <w:p w:rsidRPr="004B248F" w:rsidR="00A954CF" w:rsidP="00EA1E4E" w:rsidRDefault="00A954CF" w14:paraId="073F8783" w14:textId="6DAF51BB">
            <w:r w:rsidRPr="004B248F">
              <w:t>NA</w:t>
            </w:r>
          </w:p>
        </w:tc>
        <w:tc>
          <w:tcPr>
            <w:tcW w:w="1015" w:type="dxa"/>
          </w:tcPr>
          <w:p w:rsidRPr="004B248F" w:rsidR="00A954CF" w:rsidP="00EA1E4E" w:rsidRDefault="00A954CF" w14:paraId="2B3E5B1F" w14:textId="0F912A74">
            <w:pPr>
              <w:rPr>
                <w:rStyle w:val="Boldtext"/>
              </w:rPr>
            </w:pPr>
            <w:r w:rsidRPr="004B248F">
              <w:rPr>
                <w:rStyle w:val="Boldtext"/>
              </w:rPr>
              <w:t>5/5</w:t>
            </w:r>
          </w:p>
        </w:tc>
      </w:tr>
      <w:tr w:rsidR="00A954CF" w:rsidTr="009A3A6F" w14:paraId="6443E267" w14:textId="77777777">
        <w:trPr>
          <w:trHeight w:val="58"/>
        </w:trPr>
        <w:tc>
          <w:tcPr>
            <w:tcW w:w="421" w:type="dxa"/>
            <w:vMerge/>
          </w:tcPr>
          <w:p w:rsidRPr="00EA1E4E" w:rsidR="00A954CF" w:rsidP="00EA1E4E" w:rsidRDefault="00A954CF" w14:paraId="6A423A6F" w14:textId="77777777"/>
        </w:tc>
        <w:tc>
          <w:tcPr>
            <w:tcW w:w="1559" w:type="dxa"/>
          </w:tcPr>
          <w:p w:rsidRPr="00EA1E4E" w:rsidR="00A954CF" w:rsidP="00EA1E4E" w:rsidRDefault="00A954CF" w14:paraId="09C8B68E" w14:textId="5EFC37E0">
            <w:r w:rsidRPr="00EA1E4E">
              <w:t>Mexico</w:t>
            </w:r>
          </w:p>
        </w:tc>
        <w:tc>
          <w:tcPr>
            <w:tcW w:w="1417" w:type="dxa"/>
          </w:tcPr>
          <w:p w:rsidRPr="004B248F" w:rsidR="00A954CF" w:rsidP="00EA1E4E" w:rsidRDefault="00A954CF" w14:paraId="74100D38" w14:textId="7991CCC2">
            <w:r w:rsidRPr="004B248F">
              <w:t>1/1</w:t>
            </w:r>
          </w:p>
        </w:tc>
        <w:tc>
          <w:tcPr>
            <w:tcW w:w="1417" w:type="dxa"/>
          </w:tcPr>
          <w:p w:rsidRPr="004B248F" w:rsidR="00A954CF" w:rsidP="00EA1E4E" w:rsidRDefault="00A954CF" w14:paraId="26D820EB" w14:textId="0F7F783D">
            <w:r w:rsidRPr="004B248F">
              <w:t>2/2</w:t>
            </w:r>
          </w:p>
        </w:tc>
        <w:tc>
          <w:tcPr>
            <w:tcW w:w="1418" w:type="dxa"/>
          </w:tcPr>
          <w:p w:rsidRPr="004B248F" w:rsidR="00A954CF" w:rsidP="00EA1E4E" w:rsidRDefault="00A954CF" w14:paraId="4C73AFB6" w14:textId="4570C036">
            <w:r w:rsidRPr="004B248F">
              <w:t>1/2</w:t>
            </w:r>
          </w:p>
        </w:tc>
        <w:tc>
          <w:tcPr>
            <w:tcW w:w="1417" w:type="dxa"/>
          </w:tcPr>
          <w:p w:rsidRPr="004B248F" w:rsidR="00A954CF" w:rsidP="00EA1E4E" w:rsidRDefault="00A954CF" w14:paraId="0D28B8E1" w14:textId="441D25D6">
            <w:r w:rsidRPr="004B248F">
              <w:t>NA</w:t>
            </w:r>
          </w:p>
        </w:tc>
        <w:tc>
          <w:tcPr>
            <w:tcW w:w="1418" w:type="dxa"/>
          </w:tcPr>
          <w:p w:rsidRPr="004B248F" w:rsidR="00A954CF" w:rsidP="00EA1E4E" w:rsidRDefault="00A954CF" w14:paraId="6E494875" w14:textId="6F287D0E">
            <w:r w:rsidRPr="004B248F">
              <w:t>NA</w:t>
            </w:r>
          </w:p>
        </w:tc>
        <w:tc>
          <w:tcPr>
            <w:tcW w:w="1015" w:type="dxa"/>
          </w:tcPr>
          <w:p w:rsidRPr="004B248F" w:rsidR="00A954CF" w:rsidP="00EA1E4E" w:rsidRDefault="00A954CF" w14:paraId="0C6D9D9A" w14:textId="1D139DE1">
            <w:pPr>
              <w:rPr>
                <w:rStyle w:val="Boldtext"/>
              </w:rPr>
            </w:pPr>
            <w:r w:rsidRPr="004B248F">
              <w:rPr>
                <w:rStyle w:val="Boldtext"/>
              </w:rPr>
              <w:t>4/5</w:t>
            </w:r>
          </w:p>
        </w:tc>
      </w:tr>
      <w:tr w:rsidR="00A954CF" w:rsidTr="009A3A6F" w14:paraId="44F55566" w14:textId="77777777">
        <w:trPr>
          <w:trHeight w:val="115"/>
        </w:trPr>
        <w:tc>
          <w:tcPr>
            <w:tcW w:w="421" w:type="dxa"/>
            <w:vMerge/>
          </w:tcPr>
          <w:p w:rsidRPr="00EA1E4E" w:rsidR="00A954CF" w:rsidP="00EA1E4E" w:rsidRDefault="00A954CF" w14:paraId="1B5171DF" w14:textId="77777777"/>
        </w:tc>
        <w:tc>
          <w:tcPr>
            <w:tcW w:w="1559" w:type="dxa"/>
          </w:tcPr>
          <w:p w:rsidRPr="00EA1E4E" w:rsidR="00A954CF" w:rsidP="00EA1E4E" w:rsidRDefault="00A954CF" w14:paraId="1E8A336F" w14:textId="725F9830">
            <w:r w:rsidRPr="00EA1E4E">
              <w:t>Indonesia</w:t>
            </w:r>
          </w:p>
        </w:tc>
        <w:tc>
          <w:tcPr>
            <w:tcW w:w="1417" w:type="dxa"/>
          </w:tcPr>
          <w:p w:rsidRPr="004B248F" w:rsidR="00A954CF" w:rsidP="00EA1E4E" w:rsidRDefault="00A954CF" w14:paraId="36E3DE60" w14:textId="5580D3EA">
            <w:r w:rsidRPr="004B248F">
              <w:t>0/1</w:t>
            </w:r>
          </w:p>
        </w:tc>
        <w:tc>
          <w:tcPr>
            <w:tcW w:w="1417" w:type="dxa"/>
          </w:tcPr>
          <w:p w:rsidRPr="004B248F" w:rsidR="00A954CF" w:rsidP="00EA1E4E" w:rsidRDefault="00A954CF" w14:paraId="5ED6D36D" w14:textId="31ABEECE">
            <w:r w:rsidRPr="004B248F">
              <w:t>0/2</w:t>
            </w:r>
          </w:p>
        </w:tc>
        <w:tc>
          <w:tcPr>
            <w:tcW w:w="1418" w:type="dxa"/>
          </w:tcPr>
          <w:p w:rsidRPr="004B248F" w:rsidR="00A954CF" w:rsidP="00EA1E4E" w:rsidRDefault="00A954CF" w14:paraId="7279F288" w14:textId="7CB7036F">
            <w:r w:rsidRPr="004B248F">
              <w:t>2/2</w:t>
            </w:r>
          </w:p>
        </w:tc>
        <w:tc>
          <w:tcPr>
            <w:tcW w:w="1417" w:type="dxa"/>
          </w:tcPr>
          <w:p w:rsidRPr="004B248F" w:rsidR="00A954CF" w:rsidP="00EA1E4E" w:rsidRDefault="00A954CF" w14:paraId="4B5A47DD" w14:textId="62BD3DDB">
            <w:r w:rsidRPr="004B248F">
              <w:t>NA</w:t>
            </w:r>
          </w:p>
        </w:tc>
        <w:tc>
          <w:tcPr>
            <w:tcW w:w="1418" w:type="dxa"/>
          </w:tcPr>
          <w:p w:rsidRPr="004B248F" w:rsidR="00A954CF" w:rsidP="00EA1E4E" w:rsidRDefault="00A954CF" w14:paraId="6183B7E2" w14:textId="4EB27042">
            <w:r w:rsidRPr="004B248F">
              <w:t>NA</w:t>
            </w:r>
          </w:p>
        </w:tc>
        <w:tc>
          <w:tcPr>
            <w:tcW w:w="1015" w:type="dxa"/>
          </w:tcPr>
          <w:p w:rsidRPr="004B248F" w:rsidR="00A954CF" w:rsidP="00EA1E4E" w:rsidRDefault="00A954CF" w14:paraId="153247B3" w14:textId="63736098">
            <w:pPr>
              <w:rPr>
                <w:rStyle w:val="Boldtext"/>
              </w:rPr>
            </w:pPr>
            <w:r w:rsidRPr="004B248F">
              <w:rPr>
                <w:rStyle w:val="Boldtext"/>
              </w:rPr>
              <w:t>2/5</w:t>
            </w:r>
          </w:p>
        </w:tc>
      </w:tr>
      <w:tr w:rsidR="00A954CF" w:rsidTr="009A3A6F" w14:paraId="63AD3DD1" w14:textId="77777777">
        <w:trPr>
          <w:trHeight w:val="151"/>
        </w:trPr>
        <w:tc>
          <w:tcPr>
            <w:tcW w:w="421" w:type="dxa"/>
            <w:vMerge/>
          </w:tcPr>
          <w:p w:rsidRPr="00EA1E4E" w:rsidR="00A954CF" w:rsidP="00EA1E4E" w:rsidRDefault="00A954CF" w14:paraId="12DA0CD0" w14:textId="77777777"/>
        </w:tc>
        <w:tc>
          <w:tcPr>
            <w:tcW w:w="1559" w:type="dxa"/>
          </w:tcPr>
          <w:p w:rsidRPr="00EA1E4E" w:rsidR="00A954CF" w:rsidP="00EA1E4E" w:rsidRDefault="00C33A9D" w14:paraId="522A4A79" w14:textId="5802FAED">
            <w:r>
              <w:t>P</w:t>
            </w:r>
            <w:r w:rsidRPr="00EA1E4E" w:rsidR="00A954CF">
              <w:t>hilippines</w:t>
            </w:r>
          </w:p>
        </w:tc>
        <w:tc>
          <w:tcPr>
            <w:tcW w:w="1417" w:type="dxa"/>
          </w:tcPr>
          <w:p w:rsidRPr="004B248F" w:rsidR="00A954CF" w:rsidP="00EA1E4E" w:rsidRDefault="00A954CF" w14:paraId="3B77E5AA" w14:textId="64F96405">
            <w:r w:rsidRPr="004B248F">
              <w:t>1/1</w:t>
            </w:r>
          </w:p>
        </w:tc>
        <w:tc>
          <w:tcPr>
            <w:tcW w:w="1417" w:type="dxa"/>
          </w:tcPr>
          <w:p w:rsidRPr="004B248F" w:rsidR="00A954CF" w:rsidP="00EA1E4E" w:rsidRDefault="00A954CF" w14:paraId="01B27F35" w14:textId="52C8BC12">
            <w:r w:rsidRPr="004B248F">
              <w:t>3/2</w:t>
            </w:r>
          </w:p>
        </w:tc>
        <w:tc>
          <w:tcPr>
            <w:tcW w:w="1418" w:type="dxa"/>
          </w:tcPr>
          <w:p w:rsidRPr="004B248F" w:rsidR="00A954CF" w:rsidP="00EA1E4E" w:rsidRDefault="00A954CF" w14:paraId="37C6BC91" w14:textId="11BD77E4">
            <w:r w:rsidRPr="004B248F">
              <w:t>1/2</w:t>
            </w:r>
          </w:p>
        </w:tc>
        <w:tc>
          <w:tcPr>
            <w:tcW w:w="1417" w:type="dxa"/>
          </w:tcPr>
          <w:p w:rsidRPr="004B248F" w:rsidR="00A954CF" w:rsidP="00EA1E4E" w:rsidRDefault="00A954CF" w14:paraId="5E3CD5E0" w14:textId="08B92FFA">
            <w:r w:rsidRPr="004B248F">
              <w:t>NA</w:t>
            </w:r>
          </w:p>
        </w:tc>
        <w:tc>
          <w:tcPr>
            <w:tcW w:w="1418" w:type="dxa"/>
          </w:tcPr>
          <w:p w:rsidRPr="004B248F" w:rsidR="00A954CF" w:rsidP="00EA1E4E" w:rsidRDefault="00A954CF" w14:paraId="5EE5E2FE" w14:textId="5AEE5F73">
            <w:r w:rsidRPr="004B248F">
              <w:t>NA</w:t>
            </w:r>
          </w:p>
        </w:tc>
        <w:tc>
          <w:tcPr>
            <w:tcW w:w="1015" w:type="dxa"/>
          </w:tcPr>
          <w:p w:rsidRPr="004B248F" w:rsidR="00A954CF" w:rsidP="00EA1E4E" w:rsidRDefault="00A954CF" w14:paraId="34420457" w14:textId="1CD59240">
            <w:pPr>
              <w:rPr>
                <w:rStyle w:val="Boldtext"/>
              </w:rPr>
            </w:pPr>
            <w:r w:rsidRPr="004B248F">
              <w:rPr>
                <w:rStyle w:val="Boldtext"/>
              </w:rPr>
              <w:t>5/5</w:t>
            </w:r>
          </w:p>
        </w:tc>
      </w:tr>
      <w:tr w:rsidR="00A954CF" w:rsidTr="009A3A6F" w14:paraId="17708CC1" w14:textId="77777777">
        <w:trPr>
          <w:trHeight w:val="315"/>
        </w:trPr>
        <w:tc>
          <w:tcPr>
            <w:tcW w:w="421" w:type="dxa"/>
            <w:vMerge/>
          </w:tcPr>
          <w:p w:rsidRPr="00EA1E4E" w:rsidR="00A954CF" w:rsidP="00EA1E4E" w:rsidRDefault="00A954CF" w14:paraId="08296E52" w14:textId="77777777"/>
        </w:tc>
        <w:tc>
          <w:tcPr>
            <w:tcW w:w="1559" w:type="dxa"/>
          </w:tcPr>
          <w:p w:rsidRPr="00EA1E4E" w:rsidR="00A954CF" w:rsidP="00EA1E4E" w:rsidRDefault="00A954CF" w14:paraId="3879E8C7" w14:textId="553378F9">
            <w:r w:rsidRPr="00EA1E4E">
              <w:t>Egypt</w:t>
            </w:r>
          </w:p>
        </w:tc>
        <w:tc>
          <w:tcPr>
            <w:tcW w:w="1417" w:type="dxa"/>
          </w:tcPr>
          <w:p w:rsidRPr="004B248F" w:rsidR="00A954CF" w:rsidP="00EA1E4E" w:rsidRDefault="00A954CF" w14:paraId="37E3DB7B" w14:textId="108AEED1">
            <w:r w:rsidRPr="004B248F">
              <w:t>1/2</w:t>
            </w:r>
          </w:p>
        </w:tc>
        <w:tc>
          <w:tcPr>
            <w:tcW w:w="1417" w:type="dxa"/>
          </w:tcPr>
          <w:p w:rsidRPr="004B248F" w:rsidR="00A954CF" w:rsidP="00EA1E4E" w:rsidRDefault="00A954CF" w14:paraId="3B67D892" w14:textId="5C72F9C4">
            <w:r w:rsidRPr="004B248F">
              <w:t>3/2</w:t>
            </w:r>
          </w:p>
        </w:tc>
        <w:tc>
          <w:tcPr>
            <w:tcW w:w="1418" w:type="dxa"/>
          </w:tcPr>
          <w:p w:rsidRPr="004B248F" w:rsidR="00A954CF" w:rsidP="00EA1E4E" w:rsidRDefault="00A954CF" w14:paraId="19EC3F8B" w14:textId="7D8B72F6">
            <w:r w:rsidRPr="004B248F">
              <w:t>1/1</w:t>
            </w:r>
          </w:p>
        </w:tc>
        <w:tc>
          <w:tcPr>
            <w:tcW w:w="1417" w:type="dxa"/>
          </w:tcPr>
          <w:p w:rsidRPr="004B248F" w:rsidR="00A954CF" w:rsidP="00EA1E4E" w:rsidRDefault="00A954CF" w14:paraId="174E7D8F" w14:textId="1BC6DBFC">
            <w:r w:rsidRPr="004B248F">
              <w:t>NA</w:t>
            </w:r>
          </w:p>
        </w:tc>
        <w:tc>
          <w:tcPr>
            <w:tcW w:w="1418" w:type="dxa"/>
          </w:tcPr>
          <w:p w:rsidRPr="004B248F" w:rsidR="00A954CF" w:rsidP="00EA1E4E" w:rsidRDefault="00A954CF" w14:paraId="3933840F" w14:textId="5CF55E52">
            <w:r w:rsidRPr="004B248F">
              <w:t>NA</w:t>
            </w:r>
          </w:p>
        </w:tc>
        <w:tc>
          <w:tcPr>
            <w:tcW w:w="1015" w:type="dxa"/>
          </w:tcPr>
          <w:p w:rsidRPr="004B248F" w:rsidR="00A954CF" w:rsidP="00EA1E4E" w:rsidRDefault="00A954CF" w14:paraId="085DF444" w14:textId="3C418A58">
            <w:pPr>
              <w:rPr>
                <w:rStyle w:val="Boldtext"/>
              </w:rPr>
            </w:pPr>
            <w:r w:rsidRPr="004B248F">
              <w:rPr>
                <w:rStyle w:val="Boldtext"/>
              </w:rPr>
              <w:t>5/5</w:t>
            </w:r>
          </w:p>
        </w:tc>
      </w:tr>
      <w:tr w:rsidR="00A954CF" w:rsidTr="009A3A6F" w14:paraId="36C5DC23" w14:textId="77777777">
        <w:trPr>
          <w:trHeight w:val="351"/>
        </w:trPr>
        <w:tc>
          <w:tcPr>
            <w:tcW w:w="421" w:type="dxa"/>
            <w:vMerge/>
          </w:tcPr>
          <w:p w:rsidRPr="00EA1E4E" w:rsidR="00A954CF" w:rsidP="00EA1E4E" w:rsidRDefault="00A954CF" w14:paraId="53D4767E" w14:textId="77777777"/>
        </w:tc>
        <w:tc>
          <w:tcPr>
            <w:tcW w:w="1559" w:type="dxa"/>
          </w:tcPr>
          <w:p w:rsidRPr="00EA1E4E" w:rsidR="00A954CF" w:rsidP="00EA1E4E" w:rsidRDefault="00A954CF" w14:paraId="18D2AA53" w14:textId="237E4F10">
            <w:r w:rsidRPr="00EA1E4E">
              <w:t>Ghana</w:t>
            </w:r>
          </w:p>
        </w:tc>
        <w:tc>
          <w:tcPr>
            <w:tcW w:w="1417" w:type="dxa"/>
          </w:tcPr>
          <w:p w:rsidRPr="004B248F" w:rsidR="00A954CF" w:rsidP="00EA1E4E" w:rsidRDefault="00A954CF" w14:paraId="64DCF0DE" w14:textId="49073B5B">
            <w:r w:rsidRPr="004B248F">
              <w:t>0/1</w:t>
            </w:r>
          </w:p>
        </w:tc>
        <w:tc>
          <w:tcPr>
            <w:tcW w:w="1417" w:type="dxa"/>
          </w:tcPr>
          <w:p w:rsidRPr="004B248F" w:rsidR="00A954CF" w:rsidP="00EA1E4E" w:rsidRDefault="00A954CF" w14:paraId="0B114FC4" w14:textId="2613E037">
            <w:r w:rsidRPr="004B248F">
              <w:t>2/2</w:t>
            </w:r>
          </w:p>
        </w:tc>
        <w:tc>
          <w:tcPr>
            <w:tcW w:w="1418" w:type="dxa"/>
          </w:tcPr>
          <w:p w:rsidRPr="004B248F" w:rsidR="00A954CF" w:rsidP="00EA1E4E" w:rsidRDefault="00A954CF" w14:paraId="322DC0E2" w14:textId="0B3AC4CE">
            <w:r w:rsidRPr="004B248F">
              <w:t>2/2</w:t>
            </w:r>
          </w:p>
        </w:tc>
        <w:tc>
          <w:tcPr>
            <w:tcW w:w="1417" w:type="dxa"/>
          </w:tcPr>
          <w:p w:rsidRPr="004B248F" w:rsidR="00A954CF" w:rsidP="00EA1E4E" w:rsidRDefault="00A954CF" w14:paraId="204D7E29" w14:textId="0E280C75">
            <w:r w:rsidRPr="004B248F">
              <w:t>NA</w:t>
            </w:r>
          </w:p>
        </w:tc>
        <w:tc>
          <w:tcPr>
            <w:tcW w:w="1418" w:type="dxa"/>
          </w:tcPr>
          <w:p w:rsidRPr="004B248F" w:rsidR="00A954CF" w:rsidP="00EA1E4E" w:rsidRDefault="00A954CF" w14:paraId="57EDBF7D" w14:textId="505A1F5C">
            <w:r w:rsidRPr="004B248F">
              <w:t>NA</w:t>
            </w:r>
          </w:p>
        </w:tc>
        <w:tc>
          <w:tcPr>
            <w:tcW w:w="1015" w:type="dxa"/>
          </w:tcPr>
          <w:p w:rsidRPr="004B248F" w:rsidR="00A954CF" w:rsidP="00EA1E4E" w:rsidRDefault="00A954CF" w14:paraId="56D7FB05" w14:textId="2008EC84">
            <w:pPr>
              <w:rPr>
                <w:rStyle w:val="Boldtext"/>
              </w:rPr>
            </w:pPr>
            <w:r w:rsidRPr="004B248F">
              <w:rPr>
                <w:rStyle w:val="Boldtext"/>
              </w:rPr>
              <w:t>4/5</w:t>
            </w:r>
          </w:p>
        </w:tc>
      </w:tr>
      <w:tr w:rsidR="00A954CF" w:rsidTr="00AD126F" w14:paraId="25EA5041" w14:textId="77777777">
        <w:trPr>
          <w:trHeight w:val="486"/>
        </w:trPr>
        <w:tc>
          <w:tcPr>
            <w:tcW w:w="421" w:type="dxa"/>
            <w:vMerge/>
          </w:tcPr>
          <w:p w:rsidRPr="00EA1E4E" w:rsidR="00A954CF" w:rsidP="00EA1E4E" w:rsidRDefault="00A954CF" w14:paraId="02E85179" w14:textId="77777777"/>
        </w:tc>
        <w:tc>
          <w:tcPr>
            <w:tcW w:w="8646" w:type="dxa"/>
            <w:gridSpan w:val="6"/>
          </w:tcPr>
          <w:p w:rsidRPr="004B248F" w:rsidR="00A954CF" w:rsidP="00EA1E4E" w:rsidRDefault="00A954CF" w14:paraId="2940C4D9" w14:textId="2E1F685E">
            <w:r>
              <w:t>T2 total</w:t>
            </w:r>
          </w:p>
        </w:tc>
        <w:tc>
          <w:tcPr>
            <w:tcW w:w="1015" w:type="dxa"/>
          </w:tcPr>
          <w:p w:rsidRPr="004B248F" w:rsidR="00A954CF" w:rsidP="00EA1E4E" w:rsidRDefault="00DA27EE" w14:paraId="34CC8A81" w14:textId="341F6C21">
            <w:pPr>
              <w:rPr>
                <w:rStyle w:val="Boldtext"/>
              </w:rPr>
            </w:pPr>
            <w:r>
              <w:rPr>
                <w:rStyle w:val="Boldtext"/>
              </w:rPr>
              <w:t>25/30</w:t>
            </w:r>
          </w:p>
        </w:tc>
      </w:tr>
      <w:tr w:rsidR="00A66BC4" w:rsidTr="009A3A6F" w14:paraId="4C48BA50" w14:textId="77777777">
        <w:trPr>
          <w:trHeight w:val="486"/>
        </w:trPr>
        <w:tc>
          <w:tcPr>
            <w:tcW w:w="421" w:type="dxa"/>
          </w:tcPr>
          <w:p w:rsidRPr="00EA1E4E" w:rsidR="00EA1E4E" w:rsidP="00EA1E4E" w:rsidRDefault="00EA1E4E" w14:paraId="5F9B0514" w14:textId="595944FF">
            <w:r w:rsidRPr="00EA1E4E">
              <w:t>T0</w:t>
            </w:r>
          </w:p>
        </w:tc>
        <w:tc>
          <w:tcPr>
            <w:tcW w:w="1559" w:type="dxa"/>
          </w:tcPr>
          <w:p w:rsidRPr="00EA1E4E" w:rsidR="00EA1E4E" w:rsidP="00EA1E4E" w:rsidRDefault="00EA1E4E" w14:paraId="591EAC5A" w14:textId="352843FB">
            <w:r w:rsidRPr="00EA1E4E">
              <w:t>Programme level</w:t>
            </w:r>
          </w:p>
        </w:tc>
        <w:tc>
          <w:tcPr>
            <w:tcW w:w="1417" w:type="dxa"/>
          </w:tcPr>
          <w:p w:rsidRPr="004B248F" w:rsidR="00EA1E4E" w:rsidP="00EA1E4E" w:rsidRDefault="00EA1E4E" w14:paraId="08C6DB9B" w14:textId="2EB7C33C">
            <w:r w:rsidRPr="004B248F">
              <w:t>NA</w:t>
            </w:r>
          </w:p>
        </w:tc>
        <w:tc>
          <w:tcPr>
            <w:tcW w:w="1417" w:type="dxa"/>
          </w:tcPr>
          <w:p w:rsidRPr="004B248F" w:rsidR="00EA1E4E" w:rsidP="00EA1E4E" w:rsidRDefault="00EA1E4E" w14:paraId="4FE373CB" w14:textId="2ABBAF9B">
            <w:r w:rsidRPr="004B248F">
              <w:t>NA</w:t>
            </w:r>
          </w:p>
        </w:tc>
        <w:tc>
          <w:tcPr>
            <w:tcW w:w="1418" w:type="dxa"/>
          </w:tcPr>
          <w:p w:rsidRPr="004B248F" w:rsidR="00EA1E4E" w:rsidP="00EA1E4E" w:rsidRDefault="00EA1E4E" w14:paraId="63DE0C35" w14:textId="46371A90">
            <w:r w:rsidRPr="004B248F">
              <w:t>NA</w:t>
            </w:r>
          </w:p>
        </w:tc>
        <w:tc>
          <w:tcPr>
            <w:tcW w:w="1417" w:type="dxa"/>
          </w:tcPr>
          <w:p w:rsidRPr="004B248F" w:rsidR="00EA1E4E" w:rsidP="00EA1E4E" w:rsidRDefault="00EA1E4E" w14:paraId="588748CF" w14:textId="3D729A14">
            <w:r w:rsidRPr="004B248F">
              <w:t>5/5</w:t>
            </w:r>
          </w:p>
        </w:tc>
        <w:tc>
          <w:tcPr>
            <w:tcW w:w="1418" w:type="dxa"/>
          </w:tcPr>
          <w:p w:rsidRPr="004B248F" w:rsidR="00EA1E4E" w:rsidP="00EA1E4E" w:rsidRDefault="00EA1E4E" w14:paraId="59011B31" w14:textId="0E7C8087">
            <w:r w:rsidRPr="004B248F">
              <w:t>5/5</w:t>
            </w:r>
          </w:p>
        </w:tc>
        <w:tc>
          <w:tcPr>
            <w:tcW w:w="1015" w:type="dxa"/>
          </w:tcPr>
          <w:p w:rsidRPr="004B248F" w:rsidR="00EA1E4E" w:rsidP="00EA1E4E" w:rsidRDefault="00EA1E4E" w14:paraId="1A7D1985" w14:textId="1C058A5F">
            <w:pPr>
              <w:rPr>
                <w:rStyle w:val="Boldtext"/>
              </w:rPr>
            </w:pPr>
            <w:r w:rsidRPr="004B248F">
              <w:rPr>
                <w:rStyle w:val="Boldtext"/>
              </w:rPr>
              <w:t>10</w:t>
            </w:r>
            <w:r w:rsidRPr="004B248F" w:rsidR="00CC1AAE">
              <w:rPr>
                <w:rStyle w:val="Boldtext"/>
              </w:rPr>
              <w:t>/10</w:t>
            </w:r>
          </w:p>
        </w:tc>
      </w:tr>
      <w:tr w:rsidR="00A66BC4" w:rsidTr="009A3A6F" w14:paraId="5541017C" w14:textId="77777777">
        <w:trPr>
          <w:trHeight w:val="443"/>
        </w:trPr>
        <w:tc>
          <w:tcPr>
            <w:tcW w:w="1980" w:type="dxa"/>
            <w:gridSpan w:val="2"/>
          </w:tcPr>
          <w:p w:rsidRPr="00EA1E4E" w:rsidR="00EA1E4E" w:rsidP="00EA1E4E" w:rsidRDefault="00EA1E4E" w14:paraId="1D207558" w14:textId="1220D900">
            <w:pPr>
              <w:rPr>
                <w:rStyle w:val="Boldtext"/>
              </w:rPr>
            </w:pPr>
            <w:r w:rsidRPr="00EA1E4E">
              <w:rPr>
                <w:rStyle w:val="Boldtext"/>
              </w:rPr>
              <w:t>Total</w:t>
            </w:r>
          </w:p>
        </w:tc>
        <w:tc>
          <w:tcPr>
            <w:tcW w:w="1417" w:type="dxa"/>
          </w:tcPr>
          <w:p w:rsidRPr="004B248F" w:rsidR="00EA1E4E" w:rsidP="00EA1E4E" w:rsidRDefault="00BD40B7" w14:paraId="01426220" w14:textId="391D2832">
            <w:pPr>
              <w:rPr>
                <w:rStyle w:val="Boldtext"/>
              </w:rPr>
            </w:pPr>
            <w:r w:rsidRPr="004B248F">
              <w:rPr>
                <w:rStyle w:val="Boldtext"/>
              </w:rPr>
              <w:t>21</w:t>
            </w:r>
            <w:r w:rsidRPr="004B248F" w:rsidR="00C104A6">
              <w:rPr>
                <w:rStyle w:val="Boldtext"/>
              </w:rPr>
              <w:t>/33</w:t>
            </w:r>
          </w:p>
        </w:tc>
        <w:tc>
          <w:tcPr>
            <w:tcW w:w="1417" w:type="dxa"/>
          </w:tcPr>
          <w:p w:rsidRPr="004B248F" w:rsidR="00EA1E4E" w:rsidP="00EA1E4E" w:rsidRDefault="00EA1E4E" w14:paraId="6ABB1F18" w14:textId="12413710">
            <w:pPr>
              <w:rPr>
                <w:rStyle w:val="Boldtext"/>
              </w:rPr>
            </w:pPr>
            <w:r w:rsidRPr="004B248F">
              <w:rPr>
                <w:rStyle w:val="Boldtext"/>
              </w:rPr>
              <w:t>3</w:t>
            </w:r>
            <w:r w:rsidRPr="004B248F" w:rsidR="00BD40B7">
              <w:rPr>
                <w:rStyle w:val="Boldtext"/>
              </w:rPr>
              <w:t>2</w:t>
            </w:r>
            <w:r w:rsidRPr="004B248F" w:rsidR="00C104A6">
              <w:rPr>
                <w:rStyle w:val="Boldtext"/>
              </w:rPr>
              <w:t>/37</w:t>
            </w:r>
          </w:p>
        </w:tc>
        <w:tc>
          <w:tcPr>
            <w:tcW w:w="1418" w:type="dxa"/>
          </w:tcPr>
          <w:p w:rsidRPr="004B248F" w:rsidR="00EA1E4E" w:rsidP="00EA1E4E" w:rsidRDefault="00EA69FD" w14:paraId="27A4C1C6" w14:textId="2CE0E72B">
            <w:pPr>
              <w:rPr>
                <w:rStyle w:val="Boldtext"/>
              </w:rPr>
            </w:pPr>
            <w:r w:rsidRPr="004B248F">
              <w:rPr>
                <w:rStyle w:val="Boldtext"/>
              </w:rPr>
              <w:t>2</w:t>
            </w:r>
            <w:r w:rsidRPr="004B248F" w:rsidR="00BD40B7">
              <w:rPr>
                <w:rStyle w:val="Boldtext"/>
              </w:rPr>
              <w:t>8</w:t>
            </w:r>
            <w:r w:rsidRPr="004B248F" w:rsidR="00EA23D1">
              <w:rPr>
                <w:rStyle w:val="Boldtext"/>
              </w:rPr>
              <w:t>/30</w:t>
            </w:r>
          </w:p>
        </w:tc>
        <w:tc>
          <w:tcPr>
            <w:tcW w:w="1417" w:type="dxa"/>
          </w:tcPr>
          <w:p w:rsidRPr="004B248F" w:rsidR="00EA1E4E" w:rsidP="00EA1E4E" w:rsidRDefault="00BD40B7" w14:paraId="76AA9701" w14:textId="31BBCACB">
            <w:pPr>
              <w:rPr>
                <w:rStyle w:val="Boldtext"/>
              </w:rPr>
            </w:pPr>
            <w:r w:rsidRPr="004B248F">
              <w:rPr>
                <w:rStyle w:val="Boldtext"/>
              </w:rPr>
              <w:t>9</w:t>
            </w:r>
            <w:r w:rsidRPr="004B248F" w:rsidR="00EA23D1">
              <w:rPr>
                <w:rStyle w:val="Boldtext"/>
              </w:rPr>
              <w:t>/10</w:t>
            </w:r>
          </w:p>
        </w:tc>
        <w:tc>
          <w:tcPr>
            <w:tcW w:w="1418" w:type="dxa"/>
          </w:tcPr>
          <w:p w:rsidRPr="004B248F" w:rsidR="00EA1E4E" w:rsidP="00EA1E4E" w:rsidRDefault="00EA1E4E" w14:paraId="096FE58C" w14:textId="79ABA561">
            <w:pPr>
              <w:rPr>
                <w:rStyle w:val="Boldtext"/>
              </w:rPr>
            </w:pPr>
            <w:r w:rsidRPr="004B248F">
              <w:rPr>
                <w:rStyle w:val="Boldtext"/>
              </w:rPr>
              <w:t>5</w:t>
            </w:r>
            <w:r w:rsidRPr="004B248F" w:rsidR="00EA23D1">
              <w:rPr>
                <w:rStyle w:val="Boldtext"/>
              </w:rPr>
              <w:t>/5</w:t>
            </w:r>
          </w:p>
        </w:tc>
        <w:tc>
          <w:tcPr>
            <w:tcW w:w="1015" w:type="dxa"/>
          </w:tcPr>
          <w:p w:rsidRPr="004B248F" w:rsidR="00EA1E4E" w:rsidP="00EA1E4E" w:rsidRDefault="00BD40B7" w14:paraId="24C5D9CB" w14:textId="7DFF1562">
            <w:pPr>
              <w:rPr>
                <w:rStyle w:val="Boldtext"/>
              </w:rPr>
            </w:pPr>
            <w:r w:rsidRPr="004B248F">
              <w:rPr>
                <w:rStyle w:val="Boldtext"/>
              </w:rPr>
              <w:t>95</w:t>
            </w:r>
            <w:r w:rsidRPr="004B248F" w:rsidR="00EA23D1">
              <w:rPr>
                <w:rStyle w:val="Boldtext"/>
              </w:rPr>
              <w:t>/115</w:t>
            </w:r>
          </w:p>
        </w:tc>
      </w:tr>
    </w:tbl>
    <w:p w:rsidR="00E94EE2" w:rsidP="009A3A6F" w:rsidRDefault="00E94EE2" w14:paraId="31A82EDB" w14:textId="77777777">
      <w:bookmarkStart w:name="_Toc179468553" w:id="63"/>
      <w:bookmarkStart w:name="_Toc179473996" w:id="64"/>
      <w:bookmarkStart w:name="_Toc181883580" w:id="65"/>
    </w:p>
    <w:p w:rsidR="005B0E5C" w:rsidP="009A3A6F" w:rsidRDefault="004C7322" w14:paraId="5612301E" w14:textId="0CD82B50">
      <w:r>
        <w:t xml:space="preserve">The evaluation team faced challenges in achieving sample due to non-responsiveness from financial intermediaries and building sector stakeholders. The evaluation team mitigated the risk of evidence gaps where possible by supplementing the primary data collection with analysis of appropriate secondary data (including up to date Logframe and annual report data). </w:t>
      </w:r>
      <w:r>
        <w:t xml:space="preserve">However, it is worth noting that, despite </w:t>
      </w:r>
      <w:r w:rsidRPr="005B0E5C">
        <w:t xml:space="preserve">these challenges, </w:t>
      </w:r>
      <w:r>
        <w:t xml:space="preserve">the response rate from financial intermediaries is </w:t>
      </w:r>
      <w:r w:rsidR="00C1268B">
        <w:t xml:space="preserve">relatively </w:t>
      </w:r>
      <w:r>
        <w:t>high when compared to response rates in</w:t>
      </w:r>
      <w:r w:rsidRPr="005B0E5C">
        <w:t xml:space="preserve"> evaluation</w:t>
      </w:r>
      <w:r>
        <w:t>s</w:t>
      </w:r>
      <w:r w:rsidRPr="005B0E5C">
        <w:t xml:space="preserve"> of </w:t>
      </w:r>
      <w:r>
        <w:t>similar scope</w:t>
      </w:r>
      <w:r w:rsidRPr="005B0E5C">
        <w:t>.</w:t>
      </w:r>
      <w:r>
        <w:t xml:space="preserve"> The limitations under Annex 4 further explain the impact this might have had on the interim evaluation and how it will be mitigated in the final phase</w:t>
      </w:r>
      <w:r w:rsidR="005B0E5C">
        <w:t>.</w:t>
      </w:r>
    </w:p>
    <w:p w:rsidRPr="00EA1E4E" w:rsidR="00EA1E4E" w:rsidP="00EA1E4E" w:rsidRDefault="00EA1E4E" w14:paraId="4C589946" w14:textId="417E9091">
      <w:pPr>
        <w:pStyle w:val="Heading3"/>
      </w:pPr>
      <w:bookmarkStart w:name="_Toc188870860" w:id="66"/>
      <w:bookmarkStart w:name="_Toc207790199" w:id="67"/>
      <w:r w:rsidRPr="00EA1E4E">
        <w:t>Focus group approach</w:t>
      </w:r>
      <w:bookmarkEnd w:id="63"/>
      <w:bookmarkEnd w:id="64"/>
      <w:bookmarkEnd w:id="65"/>
      <w:bookmarkEnd w:id="66"/>
      <w:bookmarkEnd w:id="67"/>
    </w:p>
    <w:p w:rsidR="004C7322" w:rsidP="004C7322" w:rsidRDefault="004C7322" w14:paraId="54E39A41" w14:textId="77777777">
      <w:r w:rsidRPr="00B86CF3">
        <w:t>Focus groups were conducted with residents of EDGE-certified buildings to understand their views around living in a green certified building, including their awareness of green buildings and their perceived costs and benefits.</w:t>
      </w:r>
      <w:r>
        <w:t xml:space="preserve"> The focus groups were recruited and led by the case study leads in case study countries, and conducted in Colombia (10 participants), Vietnam (6 participants), Kenya (6 participants) and South Africa (10 participants). Focus group participants were shortlisted based upon the profile of the buildings in which they resided (see Table below). The main selection criterion for residents is that their building was certified with IFC EDGE. The focus groups sometimes contained residents of the same building, though not always. </w:t>
      </w:r>
    </w:p>
    <w:p w:rsidR="008B6507" w:rsidP="004C7322" w:rsidRDefault="004C7322" w14:paraId="6561C276" w14:textId="3D07A6C3">
      <w:r>
        <w:t>Recruitment for the focus groups was carried out by Ipsos case study leads, with support from green building developers of EDGE certified buildings. Developers were identified and sampled through purposive and snowballing sample approaches (in collaboration with IFC) to participate in the evaluation. To support appropriate selection of sample, initially identified residents were asked to complete a screener questionnaire (see Annex 7) with those not meeting the sample selection criteria being thanked for the participation in the screener questionnaire and removed from the participant list</w:t>
      </w:r>
      <w:r w:rsidR="00132FE7">
        <w:t xml:space="preserve">. </w:t>
      </w:r>
    </w:p>
    <w:p w:rsidRPr="002572F9" w:rsidR="00557ABE" w:rsidP="004C7322" w:rsidRDefault="00557ABE" w14:paraId="28E93D1F" w14:textId="5484619A">
      <w:pPr>
        <w:rPr>
          <w:b/>
        </w:rPr>
      </w:pPr>
      <w:r>
        <w:rPr>
          <w:rStyle w:val="Boldtext"/>
        </w:rPr>
        <w:t xml:space="preserve">Table </w:t>
      </w:r>
      <w:r w:rsidR="004C09A9">
        <w:rPr>
          <w:rStyle w:val="Boldtext"/>
        </w:rPr>
        <w:t>5</w:t>
      </w:r>
      <w:r>
        <w:rPr>
          <w:rStyle w:val="Boldtext"/>
        </w:rPr>
        <w:t>. Focus groups</w:t>
      </w:r>
      <w:r w:rsidR="00FB7E1B">
        <w:rPr>
          <w:rStyle w:val="Boldtext"/>
        </w:rPr>
        <w:t xml:space="preserve"> participants summary</w:t>
      </w:r>
    </w:p>
    <w:tbl>
      <w:tblPr>
        <w:tblStyle w:val="TableGrid"/>
        <w:tblW w:w="0" w:type="auto"/>
        <w:tblLook w:val="04A0" w:firstRow="1" w:lastRow="0" w:firstColumn="1" w:lastColumn="0" w:noHBand="0" w:noVBand="1"/>
      </w:tblPr>
      <w:tblGrid>
        <w:gridCol w:w="2485"/>
        <w:gridCol w:w="1906"/>
        <w:gridCol w:w="1923"/>
        <w:gridCol w:w="1906"/>
        <w:gridCol w:w="1862"/>
      </w:tblGrid>
      <w:tr w:rsidR="008B6507" w:rsidTr="00FD6F63" w14:paraId="24527869" w14:textId="77777777">
        <w:tc>
          <w:tcPr>
            <w:tcW w:w="2485" w:type="dxa"/>
          </w:tcPr>
          <w:p w:rsidRPr="009A3A6F" w:rsidR="008B6507" w:rsidP="00B86CF3" w:rsidRDefault="008B6507" w14:paraId="67C27AE7" w14:textId="2D9CB063">
            <w:pPr>
              <w:rPr>
                <w:b/>
                <w:bCs/>
              </w:rPr>
            </w:pPr>
            <w:r w:rsidRPr="009A3A6F">
              <w:rPr>
                <w:b/>
                <w:bCs/>
              </w:rPr>
              <w:t>Characteristics</w:t>
            </w:r>
            <w:r w:rsidR="00AB2349">
              <w:rPr>
                <w:b/>
                <w:bCs/>
              </w:rPr>
              <w:t xml:space="preserve"> of focus groups</w:t>
            </w:r>
          </w:p>
        </w:tc>
        <w:tc>
          <w:tcPr>
            <w:tcW w:w="1906" w:type="dxa"/>
          </w:tcPr>
          <w:p w:rsidRPr="009A3A6F" w:rsidR="008B6507" w:rsidP="00B86CF3" w:rsidRDefault="008B6507" w14:paraId="5C71454C" w14:textId="72361907">
            <w:pPr>
              <w:rPr>
                <w:b/>
                <w:bCs/>
              </w:rPr>
            </w:pPr>
            <w:r w:rsidRPr="009A3A6F">
              <w:rPr>
                <w:b/>
                <w:bCs/>
              </w:rPr>
              <w:t>Colombia</w:t>
            </w:r>
          </w:p>
        </w:tc>
        <w:tc>
          <w:tcPr>
            <w:tcW w:w="1923" w:type="dxa"/>
          </w:tcPr>
          <w:p w:rsidRPr="009A3A6F" w:rsidR="008B6507" w:rsidP="00B86CF3" w:rsidRDefault="008B6507" w14:paraId="007C539F" w14:textId="1B912C1F">
            <w:pPr>
              <w:rPr>
                <w:b/>
                <w:bCs/>
              </w:rPr>
            </w:pPr>
            <w:r w:rsidRPr="009A3A6F">
              <w:rPr>
                <w:b/>
                <w:bCs/>
              </w:rPr>
              <w:t>South Africa</w:t>
            </w:r>
          </w:p>
        </w:tc>
        <w:tc>
          <w:tcPr>
            <w:tcW w:w="1906" w:type="dxa"/>
          </w:tcPr>
          <w:p w:rsidRPr="009A3A6F" w:rsidR="008B6507" w:rsidP="00B86CF3" w:rsidRDefault="008B6507" w14:paraId="3CA0BA87" w14:textId="0671669A">
            <w:pPr>
              <w:rPr>
                <w:b/>
                <w:bCs/>
              </w:rPr>
            </w:pPr>
            <w:r w:rsidRPr="009A3A6F">
              <w:rPr>
                <w:b/>
                <w:bCs/>
              </w:rPr>
              <w:t>Vietnam</w:t>
            </w:r>
          </w:p>
        </w:tc>
        <w:tc>
          <w:tcPr>
            <w:tcW w:w="1862" w:type="dxa"/>
          </w:tcPr>
          <w:p w:rsidRPr="009A3A6F" w:rsidR="008B6507" w:rsidP="00B86CF3" w:rsidRDefault="008B6507" w14:paraId="7D20969F" w14:textId="3F3803A1">
            <w:pPr>
              <w:rPr>
                <w:b/>
                <w:bCs/>
              </w:rPr>
            </w:pPr>
            <w:r w:rsidRPr="009A3A6F">
              <w:rPr>
                <w:b/>
                <w:bCs/>
              </w:rPr>
              <w:t>Kenya</w:t>
            </w:r>
          </w:p>
        </w:tc>
      </w:tr>
      <w:tr w:rsidR="008B6507" w:rsidTr="00FD6F63" w14:paraId="7EF0F5D0" w14:textId="77777777">
        <w:tc>
          <w:tcPr>
            <w:tcW w:w="2485" w:type="dxa"/>
          </w:tcPr>
          <w:p w:rsidR="008B6507" w:rsidP="00B86CF3" w:rsidRDefault="008B6507" w14:paraId="72B626D0" w14:textId="7F1109DE">
            <w:r>
              <w:t>N. of different buildings</w:t>
            </w:r>
          </w:p>
        </w:tc>
        <w:tc>
          <w:tcPr>
            <w:tcW w:w="1906" w:type="dxa"/>
          </w:tcPr>
          <w:p w:rsidR="008B6507" w:rsidP="00B86CF3" w:rsidRDefault="00287EBB" w14:paraId="50FBDDF7" w14:textId="2AC4BC6F">
            <w:r>
              <w:t>5</w:t>
            </w:r>
          </w:p>
        </w:tc>
        <w:tc>
          <w:tcPr>
            <w:tcW w:w="1923" w:type="dxa"/>
          </w:tcPr>
          <w:p w:rsidR="008B6507" w:rsidP="00B86CF3" w:rsidRDefault="00287EBB" w14:paraId="697F35DA" w14:textId="739193EC">
            <w:r>
              <w:t>2</w:t>
            </w:r>
          </w:p>
        </w:tc>
        <w:tc>
          <w:tcPr>
            <w:tcW w:w="1906" w:type="dxa"/>
          </w:tcPr>
          <w:p w:rsidR="008B6507" w:rsidP="00B86CF3" w:rsidRDefault="00287EBB" w14:paraId="5041E654" w14:textId="3DBB2073">
            <w:r>
              <w:t>1</w:t>
            </w:r>
          </w:p>
        </w:tc>
        <w:tc>
          <w:tcPr>
            <w:tcW w:w="1862" w:type="dxa"/>
          </w:tcPr>
          <w:p w:rsidR="008B6507" w:rsidP="00B86CF3" w:rsidRDefault="00287EBB" w14:paraId="0B2E0135" w14:textId="109F218C">
            <w:r>
              <w:t>4</w:t>
            </w:r>
          </w:p>
        </w:tc>
      </w:tr>
      <w:tr w:rsidR="009B7D12" w:rsidTr="00FD6F63" w14:paraId="56B45C8C" w14:textId="77777777">
        <w:tc>
          <w:tcPr>
            <w:tcW w:w="2485" w:type="dxa"/>
          </w:tcPr>
          <w:p w:rsidR="009B7D12" w:rsidP="00B86CF3" w:rsidRDefault="009B7D12" w14:paraId="76657C77" w14:textId="29EB5B03">
            <w:r>
              <w:t>N. of participants</w:t>
            </w:r>
          </w:p>
        </w:tc>
        <w:tc>
          <w:tcPr>
            <w:tcW w:w="1906" w:type="dxa"/>
          </w:tcPr>
          <w:p w:rsidR="009B7D12" w:rsidP="00B86CF3" w:rsidRDefault="00C4585E" w14:paraId="2E64E422" w14:textId="1C57374A">
            <w:r>
              <w:t>10</w:t>
            </w:r>
          </w:p>
        </w:tc>
        <w:tc>
          <w:tcPr>
            <w:tcW w:w="1923" w:type="dxa"/>
          </w:tcPr>
          <w:p w:rsidR="009B7D12" w:rsidP="00B86CF3" w:rsidRDefault="00C4585E" w14:paraId="6F90AC6A" w14:textId="1586E0EB">
            <w:r>
              <w:t>10</w:t>
            </w:r>
          </w:p>
        </w:tc>
        <w:tc>
          <w:tcPr>
            <w:tcW w:w="1906" w:type="dxa"/>
          </w:tcPr>
          <w:p w:rsidR="009B7D12" w:rsidP="00B86CF3" w:rsidRDefault="00C4585E" w14:paraId="1C3343F7" w14:textId="2B4E1AB5">
            <w:r>
              <w:t>6</w:t>
            </w:r>
          </w:p>
        </w:tc>
        <w:tc>
          <w:tcPr>
            <w:tcW w:w="1862" w:type="dxa"/>
          </w:tcPr>
          <w:p w:rsidR="009B7D12" w:rsidP="00B86CF3" w:rsidRDefault="00C4585E" w14:paraId="75C30C1B" w14:textId="7D3A9EE7">
            <w:r>
              <w:t>6</w:t>
            </w:r>
          </w:p>
        </w:tc>
      </w:tr>
      <w:tr w:rsidR="00C4585E" w:rsidTr="00FD6F63" w14:paraId="0CFC7017" w14:textId="77777777">
        <w:tc>
          <w:tcPr>
            <w:tcW w:w="2485" w:type="dxa"/>
          </w:tcPr>
          <w:p w:rsidR="00C4585E" w:rsidP="00B86CF3" w:rsidRDefault="00C4585E" w14:paraId="28EBA717" w14:textId="2B60423B">
            <w:r>
              <w:t>N. of homeowners</w:t>
            </w:r>
          </w:p>
        </w:tc>
        <w:tc>
          <w:tcPr>
            <w:tcW w:w="1906" w:type="dxa"/>
          </w:tcPr>
          <w:p w:rsidR="00C4585E" w:rsidP="00B86CF3" w:rsidRDefault="00FD6F63" w14:paraId="7375DA7F" w14:textId="3645FB71">
            <w:r>
              <w:t>10</w:t>
            </w:r>
          </w:p>
        </w:tc>
        <w:tc>
          <w:tcPr>
            <w:tcW w:w="1923" w:type="dxa"/>
          </w:tcPr>
          <w:p w:rsidR="00C4585E" w:rsidP="00B86CF3" w:rsidRDefault="00FD6F63" w14:paraId="0B4C1C5F" w14:textId="58000227">
            <w:r>
              <w:t>3</w:t>
            </w:r>
          </w:p>
        </w:tc>
        <w:tc>
          <w:tcPr>
            <w:tcW w:w="1906" w:type="dxa"/>
          </w:tcPr>
          <w:p w:rsidR="00C4585E" w:rsidP="00B86CF3" w:rsidRDefault="00FD6F63" w14:paraId="01E92116" w14:textId="62B3976D">
            <w:r>
              <w:t>6</w:t>
            </w:r>
          </w:p>
        </w:tc>
        <w:tc>
          <w:tcPr>
            <w:tcW w:w="1862" w:type="dxa"/>
          </w:tcPr>
          <w:p w:rsidR="00C4585E" w:rsidP="00B86CF3" w:rsidRDefault="00FD6F63" w14:paraId="67A701C9" w14:textId="48D1430E">
            <w:r>
              <w:t>0</w:t>
            </w:r>
          </w:p>
        </w:tc>
      </w:tr>
      <w:tr w:rsidR="00C4585E" w:rsidTr="00FD6F63" w14:paraId="3A73733B" w14:textId="77777777">
        <w:tc>
          <w:tcPr>
            <w:tcW w:w="2485" w:type="dxa"/>
          </w:tcPr>
          <w:p w:rsidR="00C4585E" w:rsidP="00B86CF3" w:rsidRDefault="00C4585E" w14:paraId="75907BAD" w14:textId="4BD9DCF1">
            <w:r>
              <w:t>N. of tenants</w:t>
            </w:r>
          </w:p>
        </w:tc>
        <w:tc>
          <w:tcPr>
            <w:tcW w:w="1906" w:type="dxa"/>
          </w:tcPr>
          <w:p w:rsidR="00C4585E" w:rsidP="00B86CF3" w:rsidRDefault="00FD6F63" w14:paraId="42E59E86" w14:textId="5FCF4C5C">
            <w:r>
              <w:t>0</w:t>
            </w:r>
          </w:p>
        </w:tc>
        <w:tc>
          <w:tcPr>
            <w:tcW w:w="1923" w:type="dxa"/>
          </w:tcPr>
          <w:p w:rsidR="00C4585E" w:rsidP="00B86CF3" w:rsidRDefault="00FD6F63" w14:paraId="7DFF4C20" w14:textId="4BA655EC">
            <w:r>
              <w:t>7</w:t>
            </w:r>
          </w:p>
        </w:tc>
        <w:tc>
          <w:tcPr>
            <w:tcW w:w="1906" w:type="dxa"/>
          </w:tcPr>
          <w:p w:rsidR="00C4585E" w:rsidP="00B86CF3" w:rsidRDefault="00FD6F63" w14:paraId="46185279" w14:textId="52726362">
            <w:r>
              <w:t>0</w:t>
            </w:r>
          </w:p>
        </w:tc>
        <w:tc>
          <w:tcPr>
            <w:tcW w:w="1862" w:type="dxa"/>
          </w:tcPr>
          <w:p w:rsidR="00C4585E" w:rsidP="00B86CF3" w:rsidRDefault="00FD6F63" w14:paraId="2E20C6B2" w14:textId="11E71759">
            <w:r>
              <w:t>6</w:t>
            </w:r>
          </w:p>
        </w:tc>
      </w:tr>
      <w:tr w:rsidR="00FD6F63" w:rsidTr="00FD6F63" w14:paraId="11256E8F" w14:textId="77777777">
        <w:tc>
          <w:tcPr>
            <w:tcW w:w="2485" w:type="dxa"/>
          </w:tcPr>
          <w:p w:rsidR="00FD6F63" w:rsidP="00FD6F63" w:rsidRDefault="00FD6F63" w14:paraId="59F48FAF" w14:textId="4A31CDCE">
            <w:r>
              <w:t>N. residents for which it was a new property when started living there</w:t>
            </w:r>
          </w:p>
        </w:tc>
        <w:tc>
          <w:tcPr>
            <w:tcW w:w="1906" w:type="dxa"/>
          </w:tcPr>
          <w:p w:rsidR="00FD6F63" w:rsidP="00FD6F63" w:rsidRDefault="00FD6F63" w14:paraId="16390D62" w14:textId="73B12A2E">
            <w:r>
              <w:t>10</w:t>
            </w:r>
          </w:p>
        </w:tc>
        <w:tc>
          <w:tcPr>
            <w:tcW w:w="1923" w:type="dxa"/>
          </w:tcPr>
          <w:p w:rsidR="00FD6F63" w:rsidP="00FD6F63" w:rsidRDefault="00FD6F63" w14:paraId="25C33627" w14:textId="6EAC1873">
            <w:r>
              <w:t>5</w:t>
            </w:r>
          </w:p>
        </w:tc>
        <w:tc>
          <w:tcPr>
            <w:tcW w:w="1906" w:type="dxa"/>
          </w:tcPr>
          <w:p w:rsidR="00FD6F63" w:rsidP="00FD6F63" w:rsidRDefault="00FD6F63" w14:paraId="4D014FEE" w14:textId="5B32E9CA">
            <w:r>
              <w:t>4</w:t>
            </w:r>
          </w:p>
        </w:tc>
        <w:tc>
          <w:tcPr>
            <w:tcW w:w="1862" w:type="dxa"/>
          </w:tcPr>
          <w:p w:rsidR="00FD6F63" w:rsidP="00FD6F63" w:rsidRDefault="00FD6F63" w14:paraId="46644E87" w14:textId="4B3FC785">
            <w:r>
              <w:t>1</w:t>
            </w:r>
          </w:p>
        </w:tc>
      </w:tr>
      <w:tr w:rsidR="00FD6F63" w:rsidTr="00FD6F63" w14:paraId="3ABD77F9" w14:textId="77777777">
        <w:tc>
          <w:tcPr>
            <w:tcW w:w="2485" w:type="dxa"/>
          </w:tcPr>
          <w:p w:rsidR="00FD6F63" w:rsidP="00FD6F63" w:rsidRDefault="00FD6F63" w14:paraId="1A235A26" w14:textId="0A9C9125">
            <w:r>
              <w:t>EDGE/EDGE Advanced</w:t>
            </w:r>
          </w:p>
        </w:tc>
        <w:tc>
          <w:tcPr>
            <w:tcW w:w="1906" w:type="dxa"/>
          </w:tcPr>
          <w:p w:rsidR="00FD6F63" w:rsidP="00FD6F63" w:rsidRDefault="00FD6F63" w14:paraId="0AE21B08" w14:textId="56ACC698">
            <w:r>
              <w:t xml:space="preserve">EDGE </w:t>
            </w:r>
          </w:p>
        </w:tc>
        <w:tc>
          <w:tcPr>
            <w:tcW w:w="1923" w:type="dxa"/>
          </w:tcPr>
          <w:p w:rsidR="00FD6F63" w:rsidP="00FD6F63" w:rsidRDefault="00FD6F63" w14:paraId="1F33AEF1" w14:textId="0D18D8CB">
            <w:r>
              <w:t xml:space="preserve">EDGE </w:t>
            </w:r>
          </w:p>
        </w:tc>
        <w:tc>
          <w:tcPr>
            <w:tcW w:w="1906" w:type="dxa"/>
          </w:tcPr>
          <w:p w:rsidR="00FD6F63" w:rsidP="00FD6F63" w:rsidRDefault="00FD6F63" w14:paraId="1CCB0D66" w14:textId="1C875FE1">
            <w:r>
              <w:t>EDGE</w:t>
            </w:r>
          </w:p>
        </w:tc>
        <w:tc>
          <w:tcPr>
            <w:tcW w:w="1862" w:type="dxa"/>
          </w:tcPr>
          <w:p w:rsidR="00FD6F63" w:rsidP="00FD6F63" w:rsidRDefault="00FD6F63" w14:paraId="34CDBE39" w14:textId="03340910">
            <w:r>
              <w:t xml:space="preserve">EDGE </w:t>
            </w:r>
          </w:p>
        </w:tc>
      </w:tr>
      <w:tr w:rsidR="00FD6F63" w:rsidTr="00FD6F63" w14:paraId="67625256" w14:textId="77777777">
        <w:tc>
          <w:tcPr>
            <w:tcW w:w="2485" w:type="dxa"/>
          </w:tcPr>
          <w:p w:rsidR="00FD6F63" w:rsidP="00FD6F63" w:rsidRDefault="00FD6F63" w14:paraId="2C7B91B9" w14:textId="1EFFD3BA">
            <w:r>
              <w:t>Location</w:t>
            </w:r>
          </w:p>
        </w:tc>
        <w:tc>
          <w:tcPr>
            <w:tcW w:w="1906" w:type="dxa"/>
          </w:tcPr>
          <w:p w:rsidR="00FD6F63" w:rsidP="00FD6F63" w:rsidRDefault="00FD6F63" w14:paraId="1B921E1B" w14:textId="57586033">
            <w:r>
              <w:t xml:space="preserve">Bogota, Pereira </w:t>
            </w:r>
          </w:p>
        </w:tc>
        <w:tc>
          <w:tcPr>
            <w:tcW w:w="1923" w:type="dxa"/>
          </w:tcPr>
          <w:p w:rsidR="00FD6F63" w:rsidP="00FD6F63" w:rsidRDefault="00FD6F63" w14:paraId="4F99B89D" w14:textId="618E09F7">
            <w:r>
              <w:t>Sandton</w:t>
            </w:r>
          </w:p>
        </w:tc>
        <w:tc>
          <w:tcPr>
            <w:tcW w:w="1906" w:type="dxa"/>
          </w:tcPr>
          <w:p w:rsidR="00FD6F63" w:rsidP="00FD6F63" w:rsidRDefault="00FD6F63" w14:paraId="574C51D3" w14:textId="5F1AC7B2">
            <w:r>
              <w:t>Ho Chi Mihn City</w:t>
            </w:r>
          </w:p>
        </w:tc>
        <w:tc>
          <w:tcPr>
            <w:tcW w:w="1862" w:type="dxa"/>
          </w:tcPr>
          <w:p w:rsidR="00FD6F63" w:rsidP="00FD6F63" w:rsidRDefault="00FD6F63" w14:paraId="25EBEFFC" w14:textId="785788F4">
            <w:r>
              <w:t>Nairobi</w:t>
            </w:r>
          </w:p>
        </w:tc>
      </w:tr>
      <w:tr w:rsidR="00FD6F63" w:rsidTr="00FD6F63" w14:paraId="63E332B2" w14:textId="77777777">
        <w:tc>
          <w:tcPr>
            <w:tcW w:w="2485" w:type="dxa"/>
          </w:tcPr>
          <w:p w:rsidR="00FD6F63" w:rsidP="00FD6F63" w:rsidRDefault="00FD6F63" w14:paraId="34003EC5" w14:textId="07354F34">
            <w:r>
              <w:t>Type of building</w:t>
            </w:r>
          </w:p>
        </w:tc>
        <w:tc>
          <w:tcPr>
            <w:tcW w:w="1906" w:type="dxa"/>
          </w:tcPr>
          <w:p w:rsidR="00FD6F63" w:rsidP="00FD6F63" w:rsidRDefault="00FD6F63" w14:paraId="0874D048" w14:textId="3ED67F18">
            <w:r>
              <w:t>Complex of apartments (multi-storey)</w:t>
            </w:r>
          </w:p>
        </w:tc>
        <w:tc>
          <w:tcPr>
            <w:tcW w:w="1923" w:type="dxa"/>
          </w:tcPr>
          <w:p w:rsidR="00FD6F63" w:rsidP="00FD6F63" w:rsidRDefault="00FD6F63" w14:paraId="0466FCED" w14:textId="6C2AA137">
            <w:r>
              <w:t>Complex of apartments (single or multi-storey)</w:t>
            </w:r>
          </w:p>
        </w:tc>
        <w:tc>
          <w:tcPr>
            <w:tcW w:w="1906" w:type="dxa"/>
          </w:tcPr>
          <w:p w:rsidR="00FD6F63" w:rsidP="00FD6F63" w:rsidRDefault="00FD6F63" w14:paraId="7E01CE5C" w14:textId="06E7CC58">
            <w:r>
              <w:t>Complex of apartments (multi-storey)</w:t>
            </w:r>
          </w:p>
        </w:tc>
        <w:tc>
          <w:tcPr>
            <w:tcW w:w="1862" w:type="dxa"/>
          </w:tcPr>
          <w:p w:rsidR="00FD6F63" w:rsidP="00FD6F63" w:rsidRDefault="00FD6F63" w14:paraId="26569D74" w14:textId="6662F221">
            <w:r>
              <w:t>Complex of apartments (multi-storey)</w:t>
            </w:r>
          </w:p>
        </w:tc>
      </w:tr>
    </w:tbl>
    <w:p w:rsidR="008B6507" w:rsidP="00B86CF3" w:rsidRDefault="008B6507" w14:paraId="00817302" w14:textId="77777777"/>
    <w:p w:rsidR="00B86CF3" w:rsidP="00B86CF3" w:rsidRDefault="004C7322" w14:paraId="5025B264" w14:textId="761557F9">
      <w:r>
        <w:t>Residents were invited to an in-person focus group of 5 to 10 people lasting 1.5 hours and conducted in the language of each case study country. The groups were facilitated by case study leads and structured against a topic guide (see Annex 7). Facilitators recorded focus group interactions and exchanges in written notes and (where consent was given) through audio-recordings which were there transcribed. Notes and transcriptions in local languages were then shared with the UK project team and translated into English for integration of the findings into the main analysis</w:t>
      </w:r>
      <w:r w:rsidR="00264679">
        <w:t>.</w:t>
      </w:r>
    </w:p>
    <w:p w:rsidR="006E4AE6" w:rsidP="00D773DC" w:rsidRDefault="003401BB" w14:paraId="42FC3C2F" w14:textId="77777777">
      <w:pPr>
        <w:pStyle w:val="Heading3"/>
      </w:pPr>
      <w:bookmarkStart w:name="_Toc179473997" w:id="68"/>
      <w:bookmarkStart w:name="_Toc181883581" w:id="69"/>
      <w:bookmarkStart w:name="_Toc188870861" w:id="70"/>
      <w:bookmarkStart w:name="_Toc207790200" w:id="71"/>
      <w:r>
        <w:t>List of consultees in primary</w:t>
      </w:r>
      <w:r w:rsidR="00D773DC">
        <w:t xml:space="preserve"> research</w:t>
      </w:r>
      <w:bookmarkEnd w:id="68"/>
      <w:bookmarkEnd w:id="69"/>
      <w:bookmarkEnd w:id="70"/>
      <w:bookmarkEnd w:id="71"/>
    </w:p>
    <w:p w:rsidRPr="00506D5F" w:rsidR="00CE3E66" w:rsidP="00CE3E66" w:rsidRDefault="00CE3E66" w14:paraId="677B6580" w14:textId="77777777">
      <w:pPr>
        <w:pStyle w:val="DESNZbulletedlist"/>
      </w:pPr>
      <w:r w:rsidRPr="00506D5F">
        <w:t>UK Government - Department for Energy Security and Net Zero (DESNZ) (MAGC programme team)</w:t>
      </w:r>
    </w:p>
    <w:p w:rsidRPr="00506D5F" w:rsidR="00CE3E66" w:rsidP="00CE3E66" w:rsidRDefault="00CE3E66" w14:paraId="03F1DA9C" w14:textId="77777777">
      <w:pPr>
        <w:pStyle w:val="DESNZbulletedlist"/>
      </w:pPr>
      <w:r w:rsidRPr="00506D5F">
        <w:t xml:space="preserve">International Finance Corporation (IFC) headquarters (MAGC programme team) </w:t>
      </w:r>
    </w:p>
    <w:p w:rsidRPr="00506D5F" w:rsidR="00CE3E66" w:rsidP="00CE3E66" w:rsidRDefault="00CE3E66" w14:paraId="705C56DB" w14:textId="4D5D1117">
      <w:pPr>
        <w:pStyle w:val="DESNZbulletedlist"/>
      </w:pPr>
      <w:r w:rsidRPr="00506D5F">
        <w:t xml:space="preserve">IFC country offices in </w:t>
      </w:r>
      <w:r w:rsidR="00D54F4C">
        <w:t>Colombia, Kenya</w:t>
      </w:r>
      <w:r w:rsidR="00EB13D5">
        <w:t>, South Africa, Vietnam</w:t>
      </w:r>
    </w:p>
    <w:p w:rsidR="00CE3E66" w:rsidP="00CE3E66" w:rsidRDefault="00A13E48" w14:paraId="217CF4A4" w14:textId="1F0C17A1">
      <w:pPr>
        <w:pStyle w:val="DESNZbulletedlist"/>
      </w:pPr>
      <w:r>
        <w:t>UK P</w:t>
      </w:r>
      <w:r w:rsidRPr="00506D5F" w:rsidR="00CE3E66">
        <w:t>olicymakers (British Embassy/High commission) in Colombia</w:t>
      </w:r>
      <w:r w:rsidR="002F6863">
        <w:t xml:space="preserve"> and </w:t>
      </w:r>
      <w:r w:rsidRPr="00506D5F" w:rsidR="00CE3E66">
        <w:t>South Africa</w:t>
      </w:r>
    </w:p>
    <w:p w:rsidR="003E30E0" w:rsidP="00CE3E66" w:rsidRDefault="00A13E48" w14:paraId="7F86E2C7" w14:textId="061FA68A">
      <w:pPr>
        <w:pStyle w:val="DESNZbulletedlist"/>
      </w:pPr>
      <w:r>
        <w:t>P</w:t>
      </w:r>
      <w:r w:rsidR="009B7D61">
        <w:t>olicymakers in</w:t>
      </w:r>
      <w:r w:rsidR="009B7F0F">
        <w:t xml:space="preserve"> Colombia,</w:t>
      </w:r>
      <w:r w:rsidR="00D2179E">
        <w:t xml:space="preserve"> India</w:t>
      </w:r>
      <w:r w:rsidR="004A188A">
        <w:t>, Kenya, South Africa, Vietnam, Peru, Mexico, Indonesia, the Philippines, Egypt, Ghana</w:t>
      </w:r>
    </w:p>
    <w:p w:rsidRPr="00506D5F" w:rsidR="009B593A" w:rsidP="00CE3E66" w:rsidRDefault="009B593A" w14:paraId="363533D1" w14:textId="0744AE1D">
      <w:pPr>
        <w:pStyle w:val="DESNZbulletedlist"/>
      </w:pPr>
      <w:r>
        <w:t xml:space="preserve">Stakeholders from </w:t>
      </w:r>
      <w:r w:rsidR="00C440FE">
        <w:t>f</w:t>
      </w:r>
      <w:r>
        <w:t xml:space="preserve">inancial </w:t>
      </w:r>
      <w:r w:rsidR="00C440FE">
        <w:t>intermediaries</w:t>
      </w:r>
      <w:r>
        <w:t xml:space="preserve"> in Colombia</w:t>
      </w:r>
      <w:r w:rsidR="00591B0C">
        <w:t>,</w:t>
      </w:r>
      <w:r>
        <w:t xml:space="preserve"> India, Kenya, South Africa, Vietnam, Peru, Mexico, </w:t>
      </w:r>
      <w:r w:rsidR="00C440FE">
        <w:t>the Philippines, Egypt</w:t>
      </w:r>
    </w:p>
    <w:p w:rsidRPr="00506D5F" w:rsidR="00CE3E66" w:rsidP="00CE3E66" w:rsidRDefault="00CE3E66" w14:paraId="51C1EC67" w14:textId="77777777">
      <w:pPr>
        <w:pStyle w:val="DESNZbulletedlist"/>
      </w:pPr>
      <w:r w:rsidRPr="00506D5F">
        <w:t>Green building experts in India, Peru, Kenya, South Africa, Indonesia</w:t>
      </w:r>
    </w:p>
    <w:p w:rsidRPr="00506D5F" w:rsidR="002400F5" w:rsidP="00CE3E66" w:rsidRDefault="007C59C8" w14:paraId="678A19B7" w14:textId="303E46C7">
      <w:pPr>
        <w:pStyle w:val="DESNZbulletedlist"/>
      </w:pPr>
      <w:r>
        <w:t xml:space="preserve">EDGE building residents in Colombia, </w:t>
      </w:r>
      <w:r w:rsidR="00225D4B">
        <w:t>Kenya, South Africa, Vietnam</w:t>
      </w:r>
    </w:p>
    <w:p w:rsidRPr="00EA1E4E" w:rsidR="00EA1E4E" w:rsidP="006E4AE6" w:rsidRDefault="002708E4" w14:paraId="7DFCFC9A" w14:textId="796D7EFD">
      <w:r w:rsidRPr="002708E4">
        <w:t>To maintain confidentiality in research, the names of the organisations that participated in the interviews will not be disclosed, except for the UK Government and MAGC’s delivery partner.</w:t>
      </w:r>
    </w:p>
    <w:p w:rsidR="009D1FBB" w:rsidP="00EA1E4E" w:rsidRDefault="009D1FBB" w14:paraId="254D32AF" w14:textId="7D2C75D9">
      <w:pPr>
        <w:pStyle w:val="Heading2"/>
      </w:pPr>
      <w:bookmarkStart w:name="_Toc179473998" w:id="72"/>
      <w:bookmarkStart w:name="_Toc181883582" w:id="73"/>
      <w:bookmarkStart w:name="_Toc188870862" w:id="74"/>
      <w:bookmarkStart w:name="_Toc207790201" w:id="75"/>
      <w:r>
        <w:t>Analysis and triangulation</w:t>
      </w:r>
      <w:bookmarkEnd w:id="72"/>
      <w:bookmarkEnd w:id="73"/>
      <w:bookmarkEnd w:id="74"/>
      <w:bookmarkEnd w:id="75"/>
    </w:p>
    <w:p w:rsidRPr="00525DC1" w:rsidR="00525DC1" w:rsidP="00525DC1" w:rsidRDefault="004C7322" w14:paraId="5F2FE53F" w14:textId="1D390EB9">
      <w:r>
        <w:t>The analysis approach for the evaluation included primary and secondary data analysis across the key primary data sources of the qualitative interviews with programme and external stakeholders and focus groups with residents; and key secondary data sources including programme monitoring data and publicly available wider literature. The evaluation team then triangulated the findings across the primary and secondary data sources to assess the validity of the CMO configurations as part of the realist evaluation approach and to assess the extent to which programme outcomes have been realised</w:t>
      </w:r>
      <w:r w:rsidR="00525DC1">
        <w:t>.</w:t>
      </w:r>
    </w:p>
    <w:p w:rsidRPr="00EA1E4E" w:rsidR="00525DC1" w:rsidP="00EA1E4E" w:rsidRDefault="00525DC1" w14:paraId="4B7A9BB8" w14:textId="77777777">
      <w:pPr>
        <w:pStyle w:val="Heading3"/>
        <w:rPr>
          <w:rStyle w:val="Boldtext"/>
          <w:b w:val="0"/>
          <w:color w:val="041E42"/>
        </w:rPr>
      </w:pPr>
      <w:bookmarkStart w:name="_Toc179468555" w:id="76"/>
      <w:bookmarkStart w:name="_Toc179473999" w:id="77"/>
      <w:bookmarkStart w:name="_Toc181883583" w:id="78"/>
      <w:bookmarkStart w:name="_Toc188870863" w:id="79"/>
      <w:bookmarkStart w:name="_Toc207790202" w:id="80"/>
      <w:r w:rsidRPr="00E94EE2">
        <w:t>Analysis</w:t>
      </w:r>
      <w:r w:rsidRPr="00EA1E4E">
        <w:rPr>
          <w:rStyle w:val="Boldtext"/>
          <w:b w:val="0"/>
          <w:color w:val="041E42"/>
        </w:rPr>
        <w:t xml:space="preserve"> </w:t>
      </w:r>
      <w:r w:rsidRPr="00E94EE2">
        <w:t>of</w:t>
      </w:r>
      <w:r w:rsidRPr="00EA1E4E">
        <w:rPr>
          <w:rStyle w:val="Boldtext"/>
          <w:b w:val="0"/>
          <w:color w:val="041E42"/>
        </w:rPr>
        <w:t xml:space="preserve"> </w:t>
      </w:r>
      <w:r w:rsidRPr="00E94EE2">
        <w:t>primary</w:t>
      </w:r>
      <w:r w:rsidRPr="00EA1E4E">
        <w:rPr>
          <w:rStyle w:val="Boldtext"/>
          <w:b w:val="0"/>
          <w:color w:val="041E42"/>
        </w:rPr>
        <w:t xml:space="preserve"> </w:t>
      </w:r>
      <w:r w:rsidRPr="00E94EE2">
        <w:t>data</w:t>
      </w:r>
      <w:bookmarkEnd w:id="76"/>
      <w:bookmarkEnd w:id="77"/>
      <w:bookmarkEnd w:id="78"/>
      <w:bookmarkEnd w:id="79"/>
      <w:bookmarkEnd w:id="80"/>
      <w:r w:rsidRPr="00EA1E4E">
        <w:rPr>
          <w:rStyle w:val="Boldtext"/>
          <w:b w:val="0"/>
          <w:color w:val="041E42"/>
        </w:rPr>
        <w:t xml:space="preserve"> </w:t>
      </w:r>
    </w:p>
    <w:p w:rsidR="00525DC1" w:rsidP="00525DC1" w:rsidRDefault="00525DC1" w14:paraId="39B4C905" w14:textId="563C0DB8">
      <w:r>
        <w:t>All interviews with programme stakeholders (T0)</w:t>
      </w:r>
      <w:r w:rsidR="00427B2A">
        <w:t xml:space="preserve">, </w:t>
      </w:r>
      <w:r>
        <w:t>in-country stakeholders (T2 &amp; T3)</w:t>
      </w:r>
      <w:r w:rsidR="00893A05">
        <w:t>, and the focus groups with residents (T3),</w:t>
      </w:r>
      <w:r>
        <w:t xml:space="preserve"> were recorded and transcribed. These transcriptions were collated along with any notes taken during interviews. </w:t>
      </w:r>
      <w:r w:rsidR="00937CA8">
        <w:t xml:space="preserve">The </w:t>
      </w:r>
      <w:r w:rsidR="004C7322">
        <w:t xml:space="preserve">evaluation </w:t>
      </w:r>
      <w:r w:rsidR="00937CA8">
        <w:t>team</w:t>
      </w:r>
      <w:r>
        <w:t xml:space="preserve"> then performed a thematic analysis of these transcripts, which took the following key steps:</w:t>
      </w:r>
    </w:p>
    <w:p w:rsidR="00525DC1" w:rsidP="00525DC1" w:rsidRDefault="00525DC1" w14:paraId="6790A339" w14:textId="292247AE">
      <w:pPr>
        <w:pStyle w:val="DESNZbulletedlist"/>
      </w:pPr>
      <w:r w:rsidRPr="00E94EE2">
        <w:rPr>
          <w:rStyle w:val="Boldtext"/>
        </w:rPr>
        <w:t>Familiarisation</w:t>
      </w:r>
      <w:r>
        <w:t xml:space="preserve">: </w:t>
      </w:r>
      <w:r w:rsidR="004C7322">
        <w:t>Researchers involved in the analysis familiarised themselves with the programme, context and content by reviewing the transcripts, programme annual reports and process evaluation report</w:t>
      </w:r>
      <w:r>
        <w:t>.</w:t>
      </w:r>
    </w:p>
    <w:p w:rsidR="00525DC1" w:rsidRDefault="00FD38CC" w14:paraId="32D2BCD1" w14:textId="41FA3B4C">
      <w:pPr>
        <w:pStyle w:val="DESNZbulletedlist"/>
      </w:pPr>
      <w:r w:rsidRPr="00E94EE2">
        <w:rPr>
          <w:rStyle w:val="Boldtext"/>
        </w:rPr>
        <w:t xml:space="preserve">Developing </w:t>
      </w:r>
      <w:r w:rsidRPr="00E94EE2" w:rsidR="00525DC1">
        <w:rPr>
          <w:rStyle w:val="Boldtext"/>
        </w:rPr>
        <w:t>an analysis grid</w:t>
      </w:r>
      <w:r w:rsidR="00525DC1">
        <w:t xml:space="preserve">: </w:t>
      </w:r>
      <w:r w:rsidR="004C7322">
        <w:t xml:space="preserve">Based on the structure of the evaluation questions, the topic guide questions (Annex 7), and from the initial findings of the familiarisation exercise, the project team created an initial analysis grid and code frame, with themes based primarily on the evaluation questions in columns within the grid. The </w:t>
      </w:r>
      <w:r w:rsidRPr="00DB7640" w:rsidR="004C7322">
        <w:t xml:space="preserve">code frame was then piloted on a sample of transcripts and refined as needed before being applied to the full dataset. </w:t>
      </w:r>
      <w:r w:rsidR="004C7322">
        <w:t xml:space="preserve">The analysis grid used can be found in Annex 7. </w:t>
      </w:r>
      <w:r w:rsidRPr="00DB7640" w:rsidR="004C7322">
        <w:t>As the coding progressed, emerging themes were identified and incorporated into the code frame to ensure comprehensive coverage of the data.</w:t>
      </w:r>
      <w:r w:rsidR="004C7322">
        <w:t xml:space="preserve"> </w:t>
      </w:r>
      <w:r w:rsidRPr="00B835D4" w:rsidR="004C7322">
        <w:t xml:space="preserve">This </w:t>
      </w:r>
      <w:r w:rsidR="004C7322">
        <w:t>code frame</w:t>
      </w:r>
      <w:r w:rsidRPr="00B835D4" w:rsidR="004C7322">
        <w:t xml:space="preserve"> serve</w:t>
      </w:r>
      <w:r w:rsidR="004C7322">
        <w:t>d</w:t>
      </w:r>
      <w:r w:rsidRPr="00B835D4" w:rsidR="004C7322">
        <w:t xml:space="preserve"> as a guide and ensure</w:t>
      </w:r>
      <w:r w:rsidR="004C7322">
        <w:t>d</w:t>
      </w:r>
      <w:r w:rsidRPr="00B835D4" w:rsidR="004C7322">
        <w:t xml:space="preserve"> consistency in capturing information relevant to the evaluation</w:t>
      </w:r>
      <w:r w:rsidR="004C7322">
        <w:t xml:space="preserve"> questions</w:t>
      </w:r>
      <w:r w:rsidR="00525DC1">
        <w:t>.</w:t>
      </w:r>
    </w:p>
    <w:p w:rsidR="00BE4E06" w:rsidRDefault="00525DC1" w14:paraId="33DAB355" w14:textId="6953F7A2">
      <w:pPr>
        <w:pStyle w:val="DESNZbulletedlist"/>
      </w:pPr>
      <w:r w:rsidRPr="00C97A0D">
        <w:rPr>
          <w:rStyle w:val="Boldtext"/>
        </w:rPr>
        <w:t>Data extraction and coding</w:t>
      </w:r>
      <w:r>
        <w:t xml:space="preserve">: </w:t>
      </w:r>
      <w:r w:rsidR="004C7322">
        <w:t>The project team (the six team members within the core team)</w:t>
      </w:r>
      <w:r w:rsidRPr="00B835D4" w:rsidR="004C7322">
        <w:t xml:space="preserve"> </w:t>
      </w:r>
      <w:r w:rsidR="004C7322">
        <w:t xml:space="preserve">then manually </w:t>
      </w:r>
      <w:r w:rsidRPr="00B835D4" w:rsidR="004C7322">
        <w:t>analy</w:t>
      </w:r>
      <w:r w:rsidR="004C7322">
        <w:t>sed</w:t>
      </w:r>
      <w:r w:rsidRPr="00B835D4" w:rsidR="004C7322">
        <w:t xml:space="preserve"> the interview transcripts, extracting relevant quotes, statements, or key excerpts that align</w:t>
      </w:r>
      <w:r w:rsidR="004C7322">
        <w:t>ed</w:t>
      </w:r>
      <w:r w:rsidRPr="00B835D4" w:rsidR="004C7322">
        <w:t xml:space="preserve"> with</w:t>
      </w:r>
      <w:r w:rsidR="004C7322">
        <w:t xml:space="preserve"> each theme</w:t>
      </w:r>
      <w:r w:rsidRPr="00B835D4" w:rsidR="004C7322">
        <w:t xml:space="preserve">. These extracted data points </w:t>
      </w:r>
      <w:r w:rsidR="004C7322">
        <w:t>were</w:t>
      </w:r>
      <w:r w:rsidRPr="00B835D4" w:rsidR="004C7322">
        <w:t xml:space="preserve"> then systematically organi</w:t>
      </w:r>
      <w:r w:rsidR="004C7322">
        <w:t>s</w:t>
      </w:r>
      <w:r w:rsidRPr="00B835D4" w:rsidR="004C7322">
        <w:t>ed within the corresponding theme columns</w:t>
      </w:r>
      <w:r w:rsidR="004C7322">
        <w:t>. Any emerging themes uncovered within the interview transcripts were also added to the new grid as new columns. Once the emerging themes were identified, the analysis grid was shared with in-country teams for T3 case studies, which completed the grid for their respective countries in English</w:t>
      </w:r>
      <w:r w:rsidR="00BE4E06">
        <w:t>.</w:t>
      </w:r>
    </w:p>
    <w:p w:rsidR="00525DC1" w:rsidP="009A3A6F" w:rsidRDefault="004C7322" w14:paraId="59A2621C" w14:textId="40BB5F26">
      <w:pPr>
        <w:pStyle w:val="DESNZbulletedlist"/>
        <w:numPr>
          <w:ilvl w:val="0"/>
          <w:numId w:val="0"/>
        </w:numPr>
        <w:ind w:left="717"/>
      </w:pPr>
      <w:r w:rsidRPr="00DB7640">
        <w:t xml:space="preserve">To ensure consistency in coding across the team members, </w:t>
      </w:r>
      <w:r>
        <w:t xml:space="preserve">guidelines on formatting and data extraction were shared at the beginning of the process. In an analysis session, </w:t>
      </w:r>
      <w:r w:rsidRPr="00DB7640">
        <w:t xml:space="preserve">discrepancies were discussed and resolved to establish a shared understanding of the code frame and its application. </w:t>
      </w:r>
      <w:r>
        <w:t>The coding of interview transcripts was Quality Assured by the project manager and project director to ensure consistency in analysis and to ensure compliance with ethical procedures (recording consent within the analysis grid, ensuring all quotes were identified correctly</w:t>
      </w:r>
      <w:r w:rsidR="00A17BB0">
        <w:t>).</w:t>
      </w:r>
    </w:p>
    <w:p w:rsidR="00A17BB0" w:rsidRDefault="00525DC1" w14:paraId="42BBA5F9" w14:textId="39BCA560">
      <w:pPr>
        <w:pStyle w:val="DESNZbulletedlist"/>
      </w:pPr>
      <w:r w:rsidRPr="00C97A0D">
        <w:rPr>
          <w:rStyle w:val="Boldtext"/>
        </w:rPr>
        <w:t>Theme synthesis and interpretation</w:t>
      </w:r>
      <w:r>
        <w:t xml:space="preserve">: </w:t>
      </w:r>
      <w:r w:rsidR="004C7322">
        <w:t>This involved the six-member core project team manually reviewing</w:t>
      </w:r>
      <w:r w:rsidRPr="00B835D4" w:rsidR="004C7322">
        <w:t xml:space="preserve"> the information compiled under each theme column</w:t>
      </w:r>
      <w:r w:rsidR="004C7322">
        <w:t xml:space="preserve">, which included </w:t>
      </w:r>
      <w:r w:rsidRPr="00B835D4" w:rsidR="004C7322">
        <w:t>look</w:t>
      </w:r>
      <w:r w:rsidR="004C7322">
        <w:t>ing</w:t>
      </w:r>
      <w:r w:rsidRPr="00B835D4" w:rsidR="004C7322">
        <w:t xml:space="preserve"> for patterns, trends, and insights emerging from the stakeholder responses. This step involve</w:t>
      </w:r>
      <w:r w:rsidR="004C7322">
        <w:t>d</w:t>
      </w:r>
      <w:r w:rsidRPr="00B835D4" w:rsidR="004C7322">
        <w:t xml:space="preserve"> </w:t>
      </w:r>
      <w:r w:rsidR="004C7322">
        <w:t xml:space="preserve">looking across all of the interview responses and summarising how and why the MAGC components are being achieved. This also includes summarising the key barriers to achievement, or key contextual factors, which are being reported across countries, and the key outliers. </w:t>
      </w:r>
      <w:r w:rsidRPr="00AA657F" w:rsidR="004C7322">
        <w:t xml:space="preserve">The transcripts from the </w:t>
      </w:r>
      <w:r w:rsidR="004C7322">
        <w:t>five</w:t>
      </w:r>
      <w:r w:rsidRPr="00AA657F" w:rsidR="004C7322">
        <w:t xml:space="preserve"> focus groups were analysed and summarised, with the data used to compare with the themes from the interview analysis grid (which was initially based primarily around the evaluation questions but </w:t>
      </w:r>
      <w:r w:rsidRPr="00AA657F" w:rsidR="004C7322">
        <w:t>adapted to also include themes or interesting findings that were uncovered as part of the transcript coding) at the case study level and across the portfolio</w:t>
      </w:r>
      <w:r w:rsidR="006A0CCB">
        <w:t>.</w:t>
      </w:r>
      <w:r w:rsidR="00A17BB0">
        <w:t xml:space="preserve">  </w:t>
      </w:r>
      <w:r w:rsidRPr="00B835D4">
        <w:t xml:space="preserve"> </w:t>
      </w:r>
    </w:p>
    <w:p w:rsidRPr="00525DC1" w:rsidR="00525DC1" w:rsidP="008E7737" w:rsidRDefault="00525DC1" w14:paraId="5A8EBF5D" w14:textId="36A442E7">
      <w:r>
        <w:t>The analysis grids for the programme stakeholders (T0)</w:t>
      </w:r>
      <w:r w:rsidRPr="00525DC1">
        <w:t xml:space="preserve"> and wider stakeholders (T2 &amp; T3) are provided in Annex </w:t>
      </w:r>
      <w:r w:rsidR="00050631">
        <w:t>7</w:t>
      </w:r>
      <w:r w:rsidRPr="00525DC1">
        <w:t xml:space="preserve">. </w:t>
      </w:r>
    </w:p>
    <w:p w:rsidR="00525DC1" w:rsidP="00EA1E4E" w:rsidRDefault="00525DC1" w14:paraId="6B14D012" w14:textId="77777777">
      <w:pPr>
        <w:pStyle w:val="Heading3"/>
      </w:pPr>
      <w:bookmarkStart w:name="_Toc179468556" w:id="81"/>
      <w:bookmarkStart w:name="_Toc179474000" w:id="82"/>
      <w:bookmarkStart w:name="_Toc181883584" w:id="83"/>
      <w:bookmarkStart w:name="_Toc188870864" w:id="84"/>
      <w:bookmarkStart w:name="_Toc207790203" w:id="85"/>
      <w:r>
        <w:t>Secondary data analysis</w:t>
      </w:r>
      <w:bookmarkEnd w:id="81"/>
      <w:bookmarkEnd w:id="82"/>
      <w:bookmarkEnd w:id="83"/>
      <w:bookmarkEnd w:id="84"/>
      <w:bookmarkEnd w:id="85"/>
    </w:p>
    <w:p w:rsidR="00525DC1" w:rsidP="00525DC1" w:rsidRDefault="00525DC1" w14:paraId="187F3D80" w14:textId="49EC4D37">
      <w:r>
        <w:t xml:space="preserve">For the case study countries, </w:t>
      </w:r>
      <w:r w:rsidR="00937CA8">
        <w:t>the evaluation team</w:t>
      </w:r>
      <w:r>
        <w:t xml:space="preserve"> undertook two distinct analyses: the Political Economy Analysis and the Financial Market Analysis. These were based on a review of secondary data sources including IFC MAGC Annual Reports, IFC Stakeholder Assessments, IFC Market Maturity Assessments, IFC Green Buildings Market Intelligence reports</w:t>
      </w:r>
      <w:r w:rsidR="00D26CD7">
        <w:t>.</w:t>
      </w:r>
      <w:r>
        <w:t xml:space="preserve"> </w:t>
      </w:r>
      <w:r w:rsidR="00D26CD7">
        <w:t>It also involved</w:t>
      </w:r>
      <w:r>
        <w:t xml:space="preserve"> a review of wider publicly available data.</w:t>
      </w:r>
    </w:p>
    <w:p w:rsidR="00525DC1" w:rsidP="00EA1E4E" w:rsidRDefault="00525DC1" w14:paraId="64670DD2" w14:textId="52D73759">
      <w:pPr>
        <w:pStyle w:val="Heading4"/>
      </w:pPr>
      <w:r>
        <w:t>Political Economy Analysis</w:t>
      </w:r>
      <w:r w:rsidR="00147D55">
        <w:t xml:space="preserve"> (PEA)</w:t>
      </w:r>
    </w:p>
    <w:p w:rsidR="00525DC1" w:rsidP="00525DC1" w:rsidRDefault="004C7322" w14:paraId="608A2593" w14:textId="480119F3">
      <w:r>
        <w:t>The purpose of the PEA was to understand the political and economic context for each case study. This also includes understanding the green construction context, including wider construction sector characteristics, and size and growth of the green construction sector, and the climate change context (including the aims and commitments of the country towards climate change mitigation). The analysis drew on publicly available data on country profiles (e.g. World Bank and UN databases), reports on the green construction sector, trackers of climate commitments (e.g. Climate Tracker). The PEA was carried out in the process evaluation phase, and it is presented in Annex 3 of the process evaluation Technical Report.</w:t>
      </w:r>
      <w:r>
        <w:rPr>
          <w:rStyle w:val="FootnoteReference"/>
        </w:rPr>
        <w:footnoteReference w:id="16"/>
      </w:r>
      <w:r>
        <w:t xml:space="preserve"> For this phase additional PEA was carried out at T3 level and it informed the context analysis that is included in the Case Study Annex</w:t>
      </w:r>
      <w:r w:rsidR="00DD3244">
        <w:t>.</w:t>
      </w:r>
      <w:r w:rsidR="00DD3244">
        <w:rPr>
          <w:rStyle w:val="FootnoteReference"/>
        </w:rPr>
        <w:footnoteReference w:id="17"/>
      </w:r>
    </w:p>
    <w:p w:rsidRPr="00C368DB" w:rsidR="00525DC1" w:rsidP="00EA1E4E" w:rsidRDefault="00525DC1" w14:paraId="2ED07502" w14:textId="268E1358">
      <w:pPr>
        <w:pStyle w:val="Heading4"/>
      </w:pPr>
      <w:r>
        <w:t>Financial market analysis</w:t>
      </w:r>
      <w:r w:rsidR="00147D55">
        <w:t xml:space="preserve"> (FMA)</w:t>
      </w:r>
    </w:p>
    <w:p w:rsidR="00525DC1" w:rsidP="00525DC1" w:rsidRDefault="004C7322" w14:paraId="0E25AA31" w14:textId="585BFC27">
      <w:r>
        <w:t xml:space="preserve">The purpose of the Financial Market Analysis was to provide an understanding of the landscape of the overall financial market, investment landscape, regulatory and policy environment, local financing market, developer market, risk analysis and barriers to financing. The analysis </w:t>
      </w:r>
      <w:r w:rsidRPr="006C5BE7">
        <w:t>drew on data from central bank reports, commercial bank publications, and industry analyses</w:t>
      </w:r>
      <w:r w:rsidR="006C5BE7">
        <w:t>.</w:t>
      </w:r>
    </w:p>
    <w:p w:rsidR="00525DC1" w:rsidP="00EA1E4E" w:rsidRDefault="00525DC1" w14:paraId="55FED2D2" w14:textId="77777777">
      <w:pPr>
        <w:pStyle w:val="Heading3"/>
      </w:pPr>
      <w:bookmarkStart w:name="_Toc179468557" w:id="86"/>
      <w:bookmarkStart w:name="_Toc179474001" w:id="87"/>
      <w:bookmarkStart w:name="_Toc181883585" w:id="88"/>
      <w:bookmarkStart w:name="_Toc188870865" w:id="89"/>
      <w:bookmarkStart w:name="_Toc207790204" w:id="90"/>
      <w:r>
        <w:t>Triangulation of data</w:t>
      </w:r>
      <w:bookmarkEnd w:id="86"/>
      <w:bookmarkEnd w:id="87"/>
      <w:bookmarkEnd w:id="88"/>
      <w:bookmarkEnd w:id="89"/>
      <w:bookmarkEnd w:id="90"/>
    </w:p>
    <w:p w:rsidR="0097390E" w:rsidP="00525DC1" w:rsidRDefault="004C7322" w14:paraId="3A9C952C" w14:textId="69A1D95D">
      <w:r>
        <w:t>In line with the realist evaluation approach taken, a key aspect is the triangulation of data across the qualitative and quantitative data strands. The evaluation team</w:t>
      </w:r>
      <w:r w:rsidRPr="00281EA4">
        <w:t xml:space="preserve"> have triangulate</w:t>
      </w:r>
      <w:r>
        <w:t>d</w:t>
      </w:r>
      <w:r w:rsidRPr="00281EA4">
        <w:t xml:space="preserve"> findings from primary and secondary evidence to form interpretive explanations. This involved triangulating and synthesising data collected at each level (T0 – T</w:t>
      </w:r>
      <w:r>
        <w:t>3</w:t>
      </w:r>
      <w:r w:rsidRPr="00281EA4">
        <w:t xml:space="preserve">) from multiple sources including stakeholder interviews, </w:t>
      </w:r>
      <w:r>
        <w:t xml:space="preserve">focus groups, </w:t>
      </w:r>
      <w:r w:rsidRPr="00281EA4">
        <w:t>programme documentation</w:t>
      </w:r>
      <w:r>
        <w:t>, the PEA and FMA</w:t>
      </w:r>
      <w:r w:rsidRPr="00281EA4">
        <w:t xml:space="preserve">. Once the different data collection activities </w:t>
      </w:r>
      <w:r>
        <w:t>were</w:t>
      </w:r>
      <w:r w:rsidRPr="00281EA4">
        <w:t xml:space="preserve"> completed, all evidence sources </w:t>
      </w:r>
      <w:r>
        <w:t>were</w:t>
      </w:r>
      <w:r w:rsidRPr="00281EA4">
        <w:t xml:space="preserve"> brought together and mapped against the evaluation framework</w:t>
      </w:r>
      <w:r w:rsidRPr="00281EA4" w:rsidR="00525DC1">
        <w:t xml:space="preserve">. </w:t>
      </w:r>
    </w:p>
    <w:p w:rsidR="00881A67" w:rsidP="00525DC1" w:rsidRDefault="004C7322" w14:paraId="3E2EE054" w14:textId="6D82D010">
      <w:r w:rsidRPr="00881A67">
        <w:t xml:space="preserve">For example, if </w:t>
      </w:r>
      <w:r>
        <w:t>developers</w:t>
      </w:r>
      <w:r w:rsidRPr="00881A67">
        <w:t xml:space="preserve"> reported facing challenges in </w:t>
      </w:r>
      <w:r w:rsidRPr="001546D8">
        <w:rPr>
          <w:b/>
          <w:bCs/>
        </w:rPr>
        <w:t>accessing green building finance</w:t>
      </w:r>
      <w:r w:rsidRPr="00881A67">
        <w:t xml:space="preserve"> (qualitative data), the evaluation team examined whether this was corroborated by findings from the </w:t>
      </w:r>
      <w:r>
        <w:t>political economy and financial market</w:t>
      </w:r>
      <w:r w:rsidRPr="00881A67">
        <w:t xml:space="preserve"> analysis (</w:t>
      </w:r>
      <w:r>
        <w:t>secondary data - access to finance in the country</w:t>
      </w:r>
      <w:r w:rsidRPr="00881A67">
        <w:t>)</w:t>
      </w:r>
      <w:r>
        <w:t>.</w:t>
      </w:r>
      <w:r w:rsidRPr="00881A67">
        <w:t xml:space="preserve"> </w:t>
      </w:r>
      <w:r>
        <w:t xml:space="preserve">Where the programme team or delivery teams reported information and views on </w:t>
      </w:r>
      <w:r w:rsidRPr="001546D8">
        <w:rPr>
          <w:b/>
          <w:bCs/>
        </w:rPr>
        <w:t>progress against programme targets</w:t>
      </w:r>
      <w:r>
        <w:t>, this was checked against the programme annual reports (since the start of the programme) and programme Logframe (also since the start of the programme</w:t>
      </w:r>
      <w:r w:rsidR="00881A67">
        <w:t>.</w:t>
      </w:r>
    </w:p>
    <w:p w:rsidR="00525DC1" w:rsidP="00525DC1" w:rsidRDefault="00525DC1" w14:paraId="2BEAA4E5" w14:textId="576E6CF8">
      <w:r w:rsidRPr="00281EA4">
        <w:t xml:space="preserve">The triangulation of data from across different sources and methods </w:t>
      </w:r>
      <w:r w:rsidRPr="00281EA4" w:rsidR="00147D55">
        <w:t>provide</w:t>
      </w:r>
      <w:r w:rsidR="00147D55">
        <w:t>d</w:t>
      </w:r>
      <w:r w:rsidRPr="00281EA4" w:rsidR="00147D55">
        <w:t xml:space="preserve"> </w:t>
      </w:r>
      <w:r w:rsidRPr="00281EA4">
        <w:t>greater confidence in accepting findings</w:t>
      </w:r>
      <w:r w:rsidR="00600F7D">
        <w:t>.</w:t>
      </w:r>
      <w:r w:rsidRPr="00281EA4">
        <w:t xml:space="preserve"> </w:t>
      </w:r>
      <w:r w:rsidR="00600F7D">
        <w:t>It</w:t>
      </w:r>
      <w:r w:rsidRPr="00281EA4">
        <w:t xml:space="preserve"> allow</w:t>
      </w:r>
      <w:r w:rsidR="00147D55">
        <w:t>ed</w:t>
      </w:r>
      <w:r w:rsidRPr="00281EA4">
        <w:t xml:space="preserve"> the evaluation team to continually assess whether there </w:t>
      </w:r>
      <w:r w:rsidR="00147D55">
        <w:t>was</w:t>
      </w:r>
      <w:r w:rsidRPr="00281EA4">
        <w:t xml:space="preserve"> evidence to answer the evaluation questions or whe</w:t>
      </w:r>
      <w:r w:rsidR="007C4485">
        <w:t>the</w:t>
      </w:r>
      <w:r w:rsidRPr="00281EA4">
        <w:t xml:space="preserve">r </w:t>
      </w:r>
      <w:r w:rsidR="007C4485">
        <w:t>there were</w:t>
      </w:r>
      <w:r w:rsidRPr="00281EA4">
        <w:t xml:space="preserve"> gaps in evidence that need</w:t>
      </w:r>
      <w:r w:rsidR="007C4485">
        <w:t>ed</w:t>
      </w:r>
      <w:r w:rsidRPr="00281EA4">
        <w:t xml:space="preserve"> to be filled through further research. </w:t>
      </w:r>
    </w:p>
    <w:p w:rsidR="00525DC1" w:rsidP="00525DC1" w:rsidRDefault="00525DC1" w14:paraId="63C4C087" w14:textId="25B922B0">
      <w:r>
        <w:t>The project team took part in an analysis session</w:t>
      </w:r>
      <w:r w:rsidR="00FB2A24">
        <w:t>.</w:t>
      </w:r>
      <w:r>
        <w:t xml:space="preserve"> </w:t>
      </w:r>
      <w:r w:rsidR="00FB2A24">
        <w:t>This was</w:t>
      </w:r>
      <w:r>
        <w:t xml:space="preserve"> aimed at both examining the heterogeneity across countries in the qualitative data findings and </w:t>
      </w:r>
      <w:r w:rsidR="007C4485">
        <w:t>triangulating</w:t>
      </w:r>
      <w:r>
        <w:t xml:space="preserve"> the findings of the qualitative and quantitative data. In doing so, this session was used to examine the validity of the CMO configurations identified as part of the realist approach. </w:t>
      </w:r>
    </w:p>
    <w:p w:rsidR="004C7322" w:rsidP="004C7322" w:rsidRDefault="004C7322" w14:paraId="373C6A7D" w14:textId="77777777">
      <w:r>
        <w:t xml:space="preserve">Triangulation of the data was also important for verifying the findings from programme team interviews. Given that consultations with members of the programme team for DESNZ and IFC were a central data source for the evaluation – and are likely to have potential for bias due to their direct involvement – it was important to triangulate data sources to verify findings and mitigate bias. The robustness of the findings of an evaluation are dependent on the extent to which the information sources, both primary and secondary, are free from influence or bias from individuals who have a vested interest in the evaluation’s outcome. </w:t>
      </w:r>
    </w:p>
    <w:p w:rsidR="006B06AF" w:rsidP="004C7322" w:rsidRDefault="004C7322" w14:paraId="643C674A" w14:textId="23CE1C7F">
      <w:r>
        <w:t>Both DESNZ and IFC teams reviewed the early outcome evaluation report and annexes (as with all deliverables in MEL contracts) and provided feedback on areas to clarify or investigate more. Findings were also discussed in a workshop led by Ipsos with DESNZ and IFC. All reports reflect those comments and discussions</w:t>
      </w:r>
      <w:r w:rsidR="006B06AF">
        <w:t>.</w:t>
      </w:r>
    </w:p>
    <w:p w:rsidR="004800AA" w:rsidP="009A3A6F" w:rsidRDefault="004800AA" w14:paraId="20B0AF7D" w14:textId="7B9E50D0">
      <w:pPr>
        <w:pStyle w:val="Heading3"/>
      </w:pPr>
      <w:bookmarkStart w:name="_Toc188870866" w:id="91"/>
      <w:bookmarkStart w:name="_Toc207790205" w:id="92"/>
      <w:r>
        <w:t>Divergence from T</w:t>
      </w:r>
      <w:r w:rsidR="002C798F">
        <w:t xml:space="preserve">erms </w:t>
      </w:r>
      <w:r>
        <w:t>o</w:t>
      </w:r>
      <w:r w:rsidR="002C798F">
        <w:t xml:space="preserve">f </w:t>
      </w:r>
      <w:r>
        <w:t>R</w:t>
      </w:r>
      <w:r w:rsidR="002C798F">
        <w:t>eference</w:t>
      </w:r>
      <w:bookmarkEnd w:id="91"/>
      <w:bookmarkEnd w:id="92"/>
    </w:p>
    <w:p w:rsidR="004C7322" w:rsidP="004C7322" w:rsidRDefault="004C7322" w14:paraId="0F422D07" w14:textId="77777777">
      <w:bookmarkStart w:name="_Hlk187674629" w:id="93"/>
      <w:r w:rsidRPr="00D94893">
        <w:t>The methodology implemented in this evaluation phase deviated from the Terms of Reference and Scoping Report solely in the number of T2-level interviews conducted during primary data collection. The initial target of 25 interviews was subsequently increased to 30 to ensure a consistent sample size of five interviews per T2 country.</w:t>
      </w:r>
      <w:r>
        <w:t xml:space="preserve"> </w:t>
      </w:r>
    </w:p>
    <w:p w:rsidR="00D94893" w:rsidP="004C7322" w:rsidRDefault="004C7322" w14:paraId="11CB9026" w14:textId="78C60BE7">
      <w:r>
        <w:t>There is no other divergence from the original Terms of Reference and the Scoping Report</w:t>
      </w:r>
      <w:r w:rsidR="00D94893">
        <w:t>.</w:t>
      </w:r>
    </w:p>
    <w:p w:rsidRPr="00EA1E4E" w:rsidR="00EA1E4E" w:rsidP="00EA1E4E" w:rsidRDefault="00EA1E4E" w14:paraId="03FAFE1D" w14:textId="1FF34438">
      <w:pPr>
        <w:pStyle w:val="Heading1"/>
      </w:pPr>
      <w:bookmarkStart w:name="_Toc207790206" w:id="94"/>
      <w:bookmarkEnd w:id="93"/>
      <w:r w:rsidRPr="00EA1E4E">
        <w:t xml:space="preserve">Annex </w:t>
      </w:r>
      <w:r w:rsidR="003206EC">
        <w:t>4</w:t>
      </w:r>
      <w:r w:rsidRPr="00EA1E4E">
        <w:t>: Strength of evidence</w:t>
      </w:r>
      <w:r w:rsidR="00D847FD">
        <w:t xml:space="preserve"> and limitations</w:t>
      </w:r>
      <w:bookmarkEnd w:id="94"/>
    </w:p>
    <w:p w:rsidRPr="00EA1E4E" w:rsidR="00EA1E4E" w:rsidP="00D847FD" w:rsidRDefault="00EA1E4E" w14:paraId="4EF3560E" w14:textId="77777777">
      <w:pPr>
        <w:pStyle w:val="Heading3"/>
      </w:pPr>
      <w:bookmarkStart w:name="_Toc179474003" w:id="95"/>
      <w:bookmarkStart w:name="_Toc181883587" w:id="96"/>
      <w:bookmarkStart w:name="_Toc188870868" w:id="97"/>
      <w:bookmarkStart w:name="_Toc207790207" w:id="98"/>
      <w:r w:rsidRPr="00EA1E4E">
        <w:t>Framework</w:t>
      </w:r>
      <w:bookmarkEnd w:id="95"/>
      <w:bookmarkEnd w:id="96"/>
      <w:bookmarkEnd w:id="97"/>
      <w:bookmarkEnd w:id="98"/>
    </w:p>
    <w:p w:rsidRPr="00EA1E4E" w:rsidR="00EA1E4E" w:rsidP="00EA1E4E" w:rsidRDefault="00EA1E4E" w14:paraId="683947C7" w14:textId="77777777">
      <w:r w:rsidRPr="00EA1E4E">
        <w:t xml:space="preserve">The below strength of evidence framework provides an assessment of the quality and reliability of the evidence used to support findings. Analysis of strength of evidence has been undertaken at the level of the evaluation question for this report. </w:t>
      </w:r>
    </w:p>
    <w:p w:rsidRPr="00EA1E4E" w:rsidR="00EA1E4E" w:rsidP="00EA1E4E" w:rsidRDefault="005F364E" w14:paraId="78837E52" w14:textId="3F2972C5">
      <w:pPr>
        <w:rPr>
          <w:rStyle w:val="Boldtext"/>
        </w:rPr>
      </w:pPr>
      <w:r>
        <w:rPr>
          <w:rStyle w:val="Boldtext"/>
        </w:rPr>
        <w:t xml:space="preserve">Table 6. </w:t>
      </w:r>
      <w:r w:rsidRPr="00EA1E4E" w:rsidR="00EA1E4E">
        <w:rPr>
          <w:rStyle w:val="Boldtext"/>
        </w:rPr>
        <w:t>Strength of evidence rating</w:t>
      </w:r>
    </w:p>
    <w:tbl>
      <w:tblPr>
        <w:tblpPr w:leftFromText="180" w:rightFromText="180" w:vertAnchor="text" w:horzAnchor="margin" w:tblpY="80"/>
        <w:tblW w:w="10206" w:type="dxa"/>
        <w:tblCellMar>
          <w:left w:w="0" w:type="dxa"/>
          <w:right w:w="0" w:type="dxa"/>
        </w:tblCellMar>
        <w:tblLook w:val="04A0" w:firstRow="1" w:lastRow="0" w:firstColumn="1" w:lastColumn="0" w:noHBand="0" w:noVBand="1"/>
      </w:tblPr>
      <w:tblGrid>
        <w:gridCol w:w="1560"/>
        <w:gridCol w:w="8646"/>
      </w:tblGrid>
      <w:tr w:rsidRPr="0047159B" w:rsidR="00EA1E4E" w:rsidTr="008E7737" w14:paraId="6B7AF278" w14:textId="77777777">
        <w:trPr>
          <w:trHeight w:val="1134"/>
        </w:trPr>
        <w:tc>
          <w:tcPr>
            <w:tcW w:w="1560" w:type="dxa"/>
            <w:tcBorders>
              <w:top w:val="nil"/>
              <w:left w:val="nil"/>
              <w:bottom w:val="nil"/>
              <w:right w:val="nil"/>
            </w:tcBorders>
            <w:shd w:val="clear" w:color="auto" w:fill="70AD47"/>
            <w:tcMar>
              <w:top w:w="15" w:type="dxa"/>
              <w:left w:w="108" w:type="dxa"/>
              <w:bottom w:w="0" w:type="dxa"/>
              <w:right w:w="108" w:type="dxa"/>
            </w:tcMar>
            <w:vAlign w:val="center"/>
            <w:hideMark/>
          </w:tcPr>
          <w:p w:rsidRPr="00EA1E4E" w:rsidR="00EA1E4E" w:rsidP="00EA1E4E" w:rsidRDefault="00EA1E4E" w14:paraId="6792189B" w14:textId="577D918C">
            <w:r w:rsidRPr="00EA1E4E">
              <w:t>1</w:t>
            </w:r>
            <w:r w:rsidR="000E37D2">
              <w:t>.</w:t>
            </w:r>
            <w:r w:rsidR="009521D1">
              <w:t xml:space="preserve"> Strong</w:t>
            </w:r>
          </w:p>
        </w:tc>
        <w:tc>
          <w:tcPr>
            <w:tcW w:w="8646" w:type="dxa"/>
            <w:tcBorders>
              <w:top w:val="nil"/>
              <w:left w:val="nil"/>
              <w:bottom w:val="nil"/>
              <w:right w:val="nil"/>
            </w:tcBorders>
            <w:tcMar>
              <w:top w:w="15" w:type="dxa"/>
              <w:left w:w="108" w:type="dxa"/>
              <w:bottom w:w="0" w:type="dxa"/>
              <w:right w:w="108" w:type="dxa"/>
            </w:tcMar>
            <w:vAlign w:val="center"/>
            <w:hideMark/>
          </w:tcPr>
          <w:p w:rsidRPr="00EA1E4E" w:rsidR="00EA1E4E" w:rsidP="00EA1E4E" w:rsidRDefault="00EA1E4E" w14:paraId="6AC6E638" w14:textId="2A6F3D62">
            <w:r w:rsidRPr="00EA1E4E">
              <w:t>Evidence comprises multiple</w:t>
            </w:r>
            <w:r w:rsidR="00942FB7">
              <w:t xml:space="preserve"> (2-3) </w:t>
            </w:r>
            <w:r w:rsidRPr="00EA1E4E">
              <w:t>data sources (good triangulation) which are of decent quality</w:t>
            </w:r>
            <w:r w:rsidR="00942FB7">
              <w:t xml:space="preserve"> (e.g., reliable and unbiased qualitative data, official programme documentation)</w:t>
            </w:r>
            <w:r w:rsidRPr="00EA1E4E">
              <w:t xml:space="preserve">. Where fewer sources exist, supporting evidence is more factual (e.g., quantitative data with a big enough sample from secondary sources, or </w:t>
            </w:r>
            <w:r w:rsidR="0055606A">
              <w:t xml:space="preserve">reliable qualitative </w:t>
            </w:r>
            <w:r w:rsidRPr="00EA1E4E">
              <w:t>reporting from desk review of activities undertaken)</w:t>
            </w:r>
            <w:r w:rsidR="00942FB7">
              <w:t>.</w:t>
            </w:r>
          </w:p>
        </w:tc>
      </w:tr>
      <w:tr w:rsidRPr="0047159B" w:rsidR="00EA1E4E" w:rsidTr="008E7737" w14:paraId="4FB8BBC8" w14:textId="77777777">
        <w:trPr>
          <w:trHeight w:val="1134"/>
        </w:trPr>
        <w:tc>
          <w:tcPr>
            <w:tcW w:w="1560" w:type="dxa"/>
            <w:tcBorders>
              <w:top w:val="nil"/>
              <w:left w:val="nil"/>
              <w:bottom w:val="nil"/>
              <w:right w:val="nil"/>
            </w:tcBorders>
            <w:shd w:val="clear" w:color="auto" w:fill="C5E0B3" w:themeFill="accent6" w:themeFillTint="66"/>
            <w:tcMar>
              <w:top w:w="15" w:type="dxa"/>
              <w:left w:w="108" w:type="dxa"/>
              <w:bottom w:w="0" w:type="dxa"/>
              <w:right w:w="108" w:type="dxa"/>
            </w:tcMar>
            <w:vAlign w:val="center"/>
            <w:hideMark/>
          </w:tcPr>
          <w:p w:rsidRPr="00EA1E4E" w:rsidR="00EA1E4E" w:rsidP="00EA1E4E" w:rsidRDefault="00EA1E4E" w14:paraId="66B4D6CF" w14:textId="077D8DA6">
            <w:r w:rsidRPr="00EA1E4E">
              <w:t>2</w:t>
            </w:r>
            <w:r w:rsidR="000E37D2">
              <w:t>.</w:t>
            </w:r>
            <w:r w:rsidR="009521D1">
              <w:t xml:space="preserve"> Moderate</w:t>
            </w:r>
          </w:p>
        </w:tc>
        <w:tc>
          <w:tcPr>
            <w:tcW w:w="8646" w:type="dxa"/>
            <w:tcBorders>
              <w:top w:val="nil"/>
              <w:left w:val="nil"/>
              <w:bottom w:val="nil"/>
              <w:right w:val="nil"/>
            </w:tcBorders>
            <w:tcMar>
              <w:top w:w="15" w:type="dxa"/>
              <w:left w:w="108" w:type="dxa"/>
              <w:bottom w:w="0" w:type="dxa"/>
              <w:right w:w="108" w:type="dxa"/>
            </w:tcMar>
            <w:vAlign w:val="center"/>
            <w:hideMark/>
          </w:tcPr>
          <w:p w:rsidRPr="00EA1E4E" w:rsidR="00EA1E4E" w:rsidP="00EA1E4E" w:rsidRDefault="00EA1E4E" w14:paraId="42A1AEB9" w14:textId="4E1233FA">
            <w:r w:rsidRPr="00EA1E4E">
              <w:t>Evidence comprises multiple</w:t>
            </w:r>
            <w:r w:rsidR="00942FB7">
              <w:t xml:space="preserve"> (2-3)</w:t>
            </w:r>
            <w:r w:rsidRPr="00EA1E4E">
              <w:t xml:space="preserve"> data sources (good triangulation) of lesser quality</w:t>
            </w:r>
            <w:r w:rsidR="00942FB7">
              <w:t xml:space="preserve"> </w:t>
            </w:r>
            <w:r w:rsidRPr="00942FB7" w:rsidR="00942FB7">
              <w:t>(e.g., some high-quality sources, some of lesser quality</w:t>
            </w:r>
            <w:r w:rsidRPr="00942FB7" w:rsidR="00C97A0D">
              <w:t>)</w:t>
            </w:r>
            <w:r w:rsidRPr="00EA1E4E" w:rsidR="00C97A0D">
              <w:t>, or</w:t>
            </w:r>
            <w:r w:rsidRPr="00EA1E4E">
              <w:t xml:space="preserve"> the finding is supported by fewer data sources (limited triangulation) of decent quality but are perception-based (e.g., only qualitative data)</w:t>
            </w:r>
            <w:r w:rsidR="00942FB7">
              <w:t>.</w:t>
            </w:r>
          </w:p>
        </w:tc>
      </w:tr>
      <w:tr w:rsidRPr="0047159B" w:rsidR="00EA1E4E" w:rsidTr="008E7737" w14:paraId="3EFB14F2" w14:textId="77777777">
        <w:trPr>
          <w:trHeight w:val="1134"/>
        </w:trPr>
        <w:tc>
          <w:tcPr>
            <w:tcW w:w="1560" w:type="dxa"/>
            <w:tcBorders>
              <w:top w:val="nil"/>
              <w:left w:val="nil"/>
              <w:bottom w:val="nil"/>
              <w:right w:val="nil"/>
            </w:tcBorders>
            <w:shd w:val="clear" w:color="auto" w:fill="FFE599" w:themeFill="accent4" w:themeFillTint="66"/>
            <w:tcMar>
              <w:top w:w="15" w:type="dxa"/>
              <w:left w:w="108" w:type="dxa"/>
              <w:bottom w:w="0" w:type="dxa"/>
              <w:right w:w="108" w:type="dxa"/>
            </w:tcMar>
            <w:vAlign w:val="center"/>
            <w:hideMark/>
          </w:tcPr>
          <w:p w:rsidRPr="00EA1E4E" w:rsidR="00EA1E4E" w:rsidP="00EA1E4E" w:rsidRDefault="00EA1E4E" w14:paraId="7D08D9EB" w14:textId="3030994C">
            <w:r w:rsidRPr="00EA1E4E">
              <w:t>3</w:t>
            </w:r>
            <w:r w:rsidR="000E37D2">
              <w:t>.</w:t>
            </w:r>
            <w:r w:rsidR="009521D1">
              <w:t xml:space="preserve"> Partial</w:t>
            </w:r>
          </w:p>
        </w:tc>
        <w:tc>
          <w:tcPr>
            <w:tcW w:w="8646" w:type="dxa"/>
            <w:tcBorders>
              <w:top w:val="nil"/>
              <w:left w:val="nil"/>
              <w:bottom w:val="nil"/>
              <w:right w:val="nil"/>
            </w:tcBorders>
            <w:tcMar>
              <w:top w:w="15" w:type="dxa"/>
              <w:left w:w="108" w:type="dxa"/>
              <w:bottom w:w="0" w:type="dxa"/>
              <w:right w:w="108" w:type="dxa"/>
            </w:tcMar>
            <w:vAlign w:val="center"/>
            <w:hideMark/>
          </w:tcPr>
          <w:p w:rsidRPr="00EA1E4E" w:rsidR="00EA1E4E" w:rsidP="00EA1E4E" w:rsidRDefault="00EA1E4E" w14:paraId="579D0CA6" w14:textId="0C4FEC33">
            <w:r w:rsidRPr="00EA1E4E">
              <w:t>Evidence comprises few</w:t>
            </w:r>
            <w:r w:rsidR="00942FB7">
              <w:t xml:space="preserve"> (1-2)</w:t>
            </w:r>
            <w:r w:rsidRPr="00EA1E4E">
              <w:t xml:space="preserve"> data sources (limited triangulation) and is perception-based (e.g., only </w:t>
            </w:r>
            <w:r w:rsidRPr="00EA1E4E" w:rsidR="00C97A0D">
              <w:t>qualitative</w:t>
            </w:r>
            <w:proofErr w:type="gramStart"/>
            <w:r w:rsidRPr="00EA1E4E">
              <w:t>)</w:t>
            </w:r>
            <w:r w:rsidR="00C97A0D">
              <w:t>,</w:t>
            </w:r>
            <w:r w:rsidRPr="00EA1E4E">
              <w:t xml:space="preserve"> or</w:t>
            </w:r>
            <w:proofErr w:type="gramEnd"/>
            <w:r w:rsidRPr="00EA1E4E">
              <w:t xml:space="preserve"> based on data sources that are viewed as being of lesser quality (e.g., quantitative data that is estimated, or qualitative data where there are concerns regarding informant bias)</w:t>
            </w:r>
            <w:r w:rsidR="00942FB7">
              <w:t>.</w:t>
            </w:r>
          </w:p>
        </w:tc>
      </w:tr>
      <w:tr w:rsidRPr="0047159B" w:rsidR="00EA1E4E" w:rsidTr="008E7737" w14:paraId="021B8F15" w14:textId="77777777">
        <w:trPr>
          <w:trHeight w:val="1134"/>
        </w:trPr>
        <w:tc>
          <w:tcPr>
            <w:tcW w:w="1560" w:type="dxa"/>
            <w:tcBorders>
              <w:top w:val="nil"/>
              <w:left w:val="nil"/>
              <w:bottom w:val="nil"/>
              <w:right w:val="nil"/>
            </w:tcBorders>
            <w:shd w:val="clear" w:color="auto" w:fill="C00000"/>
            <w:tcMar>
              <w:top w:w="15" w:type="dxa"/>
              <w:left w:w="108" w:type="dxa"/>
              <w:bottom w:w="0" w:type="dxa"/>
              <w:right w:w="108" w:type="dxa"/>
            </w:tcMar>
            <w:vAlign w:val="center"/>
            <w:hideMark/>
          </w:tcPr>
          <w:p w:rsidRPr="00EA1E4E" w:rsidR="00EA1E4E" w:rsidP="00EA1E4E" w:rsidRDefault="00EA1E4E" w14:paraId="415F5D2F" w14:textId="643B30EC">
            <w:r w:rsidRPr="00EA1E4E">
              <w:t>4</w:t>
            </w:r>
            <w:r w:rsidR="000E37D2">
              <w:t>.</w:t>
            </w:r>
            <w:r w:rsidR="009521D1">
              <w:t xml:space="preserve"> Weak</w:t>
            </w:r>
          </w:p>
        </w:tc>
        <w:tc>
          <w:tcPr>
            <w:tcW w:w="8646" w:type="dxa"/>
            <w:tcBorders>
              <w:top w:val="nil"/>
              <w:left w:val="nil"/>
              <w:bottom w:val="nil"/>
              <w:right w:val="nil"/>
            </w:tcBorders>
            <w:tcMar>
              <w:top w:w="15" w:type="dxa"/>
              <w:left w:w="108" w:type="dxa"/>
              <w:bottom w:w="0" w:type="dxa"/>
              <w:right w:w="108" w:type="dxa"/>
            </w:tcMar>
            <w:vAlign w:val="center"/>
            <w:hideMark/>
          </w:tcPr>
          <w:p w:rsidRPr="00EA1E4E" w:rsidR="00EA1E4E" w:rsidP="00EA1E4E" w:rsidRDefault="00EA1E4E" w14:paraId="0286A2AE" w14:textId="4C7DA840">
            <w:r w:rsidRPr="00EA1E4E">
              <w:t>Evidence comprises very limited evidence (single source, or a limited number of informants or documents within the sources) or incomplete or unreliable evidence</w:t>
            </w:r>
            <w:r w:rsidR="00942FB7">
              <w:t>.</w:t>
            </w:r>
          </w:p>
        </w:tc>
      </w:tr>
    </w:tbl>
    <w:p w:rsidRPr="00EA1E4E" w:rsidR="00EA1E4E" w:rsidP="00EA1E4E" w:rsidRDefault="00EA1E4E" w14:paraId="764CD000" w14:textId="77777777">
      <w:pPr>
        <w:pStyle w:val="Heading2"/>
      </w:pPr>
      <w:r w:rsidRPr="00EA1E4E">
        <w:br w:type="page"/>
      </w:r>
    </w:p>
    <w:p w:rsidR="006D58B6" w:rsidP="00D847FD" w:rsidRDefault="006D58B6" w14:paraId="76763254" w14:textId="77777777">
      <w:pPr>
        <w:pStyle w:val="Heading3"/>
        <w:sectPr w:rsidR="006D58B6" w:rsidSect="00082490">
          <w:pgSz w:w="11906" w:h="16838" w:orient="portrait"/>
          <w:pgMar w:top="1418" w:right="907" w:bottom="907" w:left="907" w:header="709" w:footer="266" w:gutter="0"/>
          <w:cols w:space="708"/>
          <w:docGrid w:linePitch="360"/>
        </w:sectPr>
      </w:pPr>
      <w:bookmarkStart w:name="_Toc179474004" w:id="99"/>
    </w:p>
    <w:p w:rsidR="00EA1E4E" w:rsidP="00D847FD" w:rsidRDefault="00EA1E4E" w14:paraId="7BD489C0" w14:textId="77777777">
      <w:pPr>
        <w:pStyle w:val="Heading3"/>
      </w:pPr>
      <w:bookmarkStart w:name="_Toc181883588" w:id="100"/>
      <w:bookmarkStart w:name="_Toc188870869" w:id="101"/>
      <w:bookmarkStart w:name="_Toc207790208" w:id="102"/>
      <w:r w:rsidRPr="00EA1E4E">
        <w:t>Assessment</w:t>
      </w:r>
      <w:bookmarkEnd w:id="99"/>
      <w:bookmarkEnd w:id="100"/>
      <w:bookmarkEnd w:id="101"/>
      <w:bookmarkEnd w:id="102"/>
    </w:p>
    <w:p w:rsidRPr="00E13638" w:rsidR="005F364E" w:rsidP="00E13638" w:rsidRDefault="005F364E" w14:paraId="7BF2C30E" w14:textId="2648B7F5">
      <w:pPr>
        <w:rPr>
          <w:b/>
          <w:bCs/>
        </w:rPr>
      </w:pPr>
      <w:r>
        <w:rPr>
          <w:b/>
          <w:bCs/>
        </w:rPr>
        <w:t>Table 7. Strength of evidence assessment</w:t>
      </w:r>
    </w:p>
    <w:tbl>
      <w:tblPr>
        <w:tblStyle w:val="Table-Darkblue"/>
        <w:tblW w:w="0" w:type="auto"/>
        <w:tblLayout w:type="fixed"/>
        <w:tblLook w:val="04A0" w:firstRow="1" w:lastRow="0" w:firstColumn="1" w:lastColumn="0" w:noHBand="0" w:noVBand="1"/>
      </w:tblPr>
      <w:tblGrid>
        <w:gridCol w:w="2263"/>
        <w:gridCol w:w="5387"/>
        <w:gridCol w:w="2693"/>
        <w:gridCol w:w="1418"/>
        <w:gridCol w:w="2742"/>
      </w:tblGrid>
      <w:tr w:rsidR="009C0345" w:rsidTr="00E13638" w14:paraId="249051A2" w14:textId="77777777">
        <w:trPr>
          <w:cnfStyle w:val="100000000000" w:firstRow="1" w:lastRow="0" w:firstColumn="0" w:lastColumn="0" w:oddVBand="0" w:evenVBand="0" w:oddHBand="0" w:evenHBand="0" w:firstRowFirstColumn="0" w:firstRowLastColumn="0" w:lastRowFirstColumn="0" w:lastRowLastColumn="0"/>
          <w:trHeight w:val="1183"/>
        </w:trPr>
        <w:tc>
          <w:tcPr>
            <w:tcW w:w="2263" w:type="dxa"/>
          </w:tcPr>
          <w:p w:rsidRPr="0064779C" w:rsidR="00EA1E4E" w:rsidP="0064779C" w:rsidRDefault="00EA1E4E" w14:paraId="23B589C1" w14:textId="77777777">
            <w:pPr>
              <w:rPr>
                <w:rStyle w:val="Boldtext"/>
              </w:rPr>
            </w:pPr>
            <w:r w:rsidRPr="0064779C">
              <w:rPr>
                <w:rStyle w:val="Boldtext"/>
              </w:rPr>
              <w:t>Evaluation question</w:t>
            </w:r>
          </w:p>
        </w:tc>
        <w:tc>
          <w:tcPr>
            <w:tcW w:w="5387" w:type="dxa"/>
          </w:tcPr>
          <w:p w:rsidRPr="0064779C" w:rsidR="00EA1E4E" w:rsidP="0064779C" w:rsidRDefault="00EA1E4E" w14:paraId="06728676" w14:textId="77777777">
            <w:pPr>
              <w:rPr>
                <w:rStyle w:val="Boldtext"/>
              </w:rPr>
            </w:pPr>
            <w:r w:rsidRPr="0064779C">
              <w:rPr>
                <w:rStyle w:val="Boldtext"/>
              </w:rPr>
              <w:t>Answer</w:t>
            </w:r>
          </w:p>
        </w:tc>
        <w:tc>
          <w:tcPr>
            <w:tcW w:w="2693" w:type="dxa"/>
          </w:tcPr>
          <w:p w:rsidRPr="0064779C" w:rsidR="00EA1E4E" w:rsidP="0064779C" w:rsidRDefault="00EA1E4E" w14:paraId="729D0C12" w14:textId="0D247084">
            <w:pPr>
              <w:rPr>
                <w:rStyle w:val="Boldtext"/>
              </w:rPr>
            </w:pPr>
            <w:r w:rsidRPr="0064779C">
              <w:rPr>
                <w:rStyle w:val="Boldtext"/>
              </w:rPr>
              <w:t>Sources of evidence</w:t>
            </w:r>
          </w:p>
        </w:tc>
        <w:tc>
          <w:tcPr>
            <w:tcW w:w="1418" w:type="dxa"/>
          </w:tcPr>
          <w:p w:rsidRPr="0064779C" w:rsidR="00EA1E4E" w:rsidP="0064779C" w:rsidRDefault="00EA1E4E" w14:paraId="0DE4F904" w14:textId="77777777">
            <w:pPr>
              <w:rPr>
                <w:rStyle w:val="Boldtext"/>
              </w:rPr>
            </w:pPr>
            <w:r w:rsidRPr="0064779C">
              <w:rPr>
                <w:rStyle w:val="Boldtext"/>
              </w:rPr>
              <w:t>Strength of evidence rating</w:t>
            </w:r>
          </w:p>
        </w:tc>
        <w:tc>
          <w:tcPr>
            <w:tcW w:w="2742" w:type="dxa"/>
          </w:tcPr>
          <w:p w:rsidRPr="0064779C" w:rsidR="00EA1E4E" w:rsidP="0064779C" w:rsidRDefault="00EA1E4E" w14:paraId="2431C647" w14:textId="77777777">
            <w:pPr>
              <w:rPr>
                <w:rStyle w:val="Boldtext"/>
              </w:rPr>
            </w:pPr>
            <w:r w:rsidRPr="0064779C">
              <w:rPr>
                <w:rStyle w:val="Boldtext"/>
              </w:rPr>
              <w:t>Rationale</w:t>
            </w:r>
          </w:p>
        </w:tc>
      </w:tr>
      <w:tr w:rsidRPr="000C4B86" w:rsidR="009C0345" w:rsidTr="00E13638" w14:paraId="759FBDBD" w14:textId="77777777">
        <w:trPr>
          <w:trHeight w:val="1632"/>
        </w:trPr>
        <w:tc>
          <w:tcPr>
            <w:tcW w:w="2263" w:type="dxa"/>
            <w:vMerge w:val="restart"/>
          </w:tcPr>
          <w:p w:rsidRPr="00EA1E4E" w:rsidR="00F1226B" w:rsidP="0064779C" w:rsidRDefault="006E3395" w14:paraId="4F988466" w14:textId="47493845">
            <w:r w:rsidRPr="00AC1326">
              <w:t>To what extent has MAGC achieved early outcomes as anticipated</w:t>
            </w:r>
            <w:r>
              <w:t>?</w:t>
            </w:r>
          </w:p>
        </w:tc>
        <w:tc>
          <w:tcPr>
            <w:tcW w:w="5387" w:type="dxa"/>
          </w:tcPr>
          <w:p w:rsidRPr="00EA1E4E" w:rsidR="00F1226B" w:rsidP="0064779C" w:rsidRDefault="00F1226B" w14:paraId="372B2F68" w14:textId="23381B3C">
            <w:r>
              <w:t xml:space="preserve">Component 1: </w:t>
            </w:r>
            <w:r w:rsidRPr="00F1226B">
              <w:t xml:space="preserve">The MAGC programme has successfully mobilised a significant amount of </w:t>
            </w:r>
            <w:r w:rsidR="006E3395">
              <w:t>IFC</w:t>
            </w:r>
            <w:r w:rsidRPr="00F1226B" w:rsidR="006E3395">
              <w:t xml:space="preserve"> </w:t>
            </w:r>
            <w:r w:rsidRPr="00F1226B">
              <w:t>funding, exceeding initial expectations. The programme seems to start recovering from initial delays on disbursements</w:t>
            </w:r>
            <w:r w:rsidR="00FB2A24">
              <w:t>.</w:t>
            </w:r>
            <w:r w:rsidRPr="00F1226B">
              <w:t xml:space="preserve"> </w:t>
            </w:r>
            <w:r w:rsidR="00FB2A24">
              <w:t>Also</w:t>
            </w:r>
            <w:r w:rsidRPr="00F1226B">
              <w:t xml:space="preserve"> the advisory component has played a crucial role in supporting investments and generating external interest in green construction.</w:t>
            </w:r>
          </w:p>
        </w:tc>
        <w:tc>
          <w:tcPr>
            <w:tcW w:w="2693" w:type="dxa"/>
            <w:vMerge w:val="restart"/>
          </w:tcPr>
          <w:p w:rsidRPr="00EA1E4E" w:rsidR="00F1226B" w:rsidP="0064779C" w:rsidRDefault="00E44BFC" w14:paraId="0EC66EEB" w14:textId="675DF4C2">
            <w:pPr>
              <w:rPr>
                <w:rFonts w:eastAsia="MS Mincho"/>
              </w:rPr>
            </w:pPr>
            <w:r>
              <w:rPr>
                <w:rFonts w:eastAsia="MS Mincho"/>
              </w:rPr>
              <w:t>Desk research</w:t>
            </w:r>
            <w:r w:rsidR="00B04667">
              <w:rPr>
                <w:rFonts w:eastAsia="MS Mincho"/>
              </w:rPr>
              <w:t xml:space="preserve"> (</w:t>
            </w:r>
            <w:r w:rsidR="00150B5D">
              <w:rPr>
                <w:rFonts w:eastAsia="MS Mincho"/>
              </w:rPr>
              <w:t>political economy analysis, financial market analysis</w:t>
            </w:r>
            <w:r>
              <w:rPr>
                <w:rFonts w:eastAsia="MS Mincho"/>
              </w:rPr>
              <w:t xml:space="preserve">, </w:t>
            </w:r>
            <w:r w:rsidR="00B04667">
              <w:rPr>
                <w:rFonts w:eastAsia="MS Mincho"/>
              </w:rPr>
              <w:t>programme documentation</w:t>
            </w:r>
            <w:r w:rsidR="00150B5D">
              <w:rPr>
                <w:rFonts w:eastAsia="MS Mincho"/>
              </w:rPr>
              <w:t xml:space="preserve"> review)</w:t>
            </w:r>
          </w:p>
          <w:p w:rsidR="006949F9" w:rsidP="0064779C" w:rsidRDefault="006949F9" w14:paraId="18C588FF" w14:textId="21F5C52E">
            <w:r w:rsidRPr="006949F9">
              <w:t>In-depth interviews with FIs and other in-country stakeholders (T2, T3)</w:t>
            </w:r>
          </w:p>
          <w:p w:rsidRPr="00EA1E4E" w:rsidR="006949F9" w:rsidP="0064779C" w:rsidRDefault="00131EBC" w14:paraId="37F5CD9B" w14:textId="1AEC31F5">
            <w:pPr>
              <w:rPr>
                <w:rFonts w:eastAsia="MS Mincho"/>
              </w:rPr>
            </w:pPr>
            <w:r w:rsidRPr="00131EBC">
              <w:t>In-depth interviews with IFC and DESNZ (T0) and IFC country offices (T3)</w:t>
            </w:r>
          </w:p>
          <w:p w:rsidRPr="00EA1E4E" w:rsidR="00F1226B" w:rsidP="0064779C" w:rsidRDefault="00F1226B" w14:paraId="6D99E172" w14:textId="77777777">
            <w:pPr>
              <w:rPr>
                <w:rFonts w:eastAsia="MS Mincho"/>
              </w:rPr>
            </w:pPr>
          </w:p>
          <w:p w:rsidRPr="00EA1E4E" w:rsidR="00F1226B" w:rsidP="0064779C" w:rsidRDefault="00F1226B" w14:paraId="436AB578" w14:textId="77777777">
            <w:pPr>
              <w:rPr>
                <w:rFonts w:eastAsia="MS Mincho"/>
              </w:rPr>
            </w:pPr>
          </w:p>
        </w:tc>
        <w:tc>
          <w:tcPr>
            <w:tcW w:w="1418" w:type="dxa"/>
            <w:shd w:val="clear" w:color="auto" w:fill="70AD47" w:themeFill="accent6"/>
          </w:tcPr>
          <w:p w:rsidRPr="009521D1" w:rsidR="00F1226B" w:rsidP="009521D1" w:rsidRDefault="009521D1" w14:paraId="6FC09B86" w14:textId="0F5656D9">
            <w:r w:rsidRPr="009521D1">
              <w:t>Strong</w:t>
            </w:r>
          </w:p>
        </w:tc>
        <w:tc>
          <w:tcPr>
            <w:tcW w:w="2742" w:type="dxa"/>
          </w:tcPr>
          <w:p w:rsidRPr="00EA1E4E" w:rsidR="00F1226B" w:rsidP="0064779C" w:rsidRDefault="006877AC" w14:paraId="4B1B6934" w14:textId="7E7E2E99">
            <w:r w:rsidRPr="006877AC">
              <w:t xml:space="preserve">Evidence comprises multiple data sources (good triangulation) which are of </w:t>
            </w:r>
            <w:r>
              <w:t>good</w:t>
            </w:r>
            <w:r w:rsidRPr="006877AC">
              <w:t xml:space="preserve"> quality</w:t>
            </w:r>
            <w:r w:rsidR="006C5BE7">
              <w:t xml:space="preserve">: </w:t>
            </w:r>
            <w:r>
              <w:t xml:space="preserve">Qualitative evidence from </w:t>
            </w:r>
            <w:r w:rsidR="006C5BE7">
              <w:t xml:space="preserve">21 </w:t>
            </w:r>
            <w:r>
              <w:t>FIs</w:t>
            </w:r>
            <w:r w:rsidR="006C5BE7">
              <w:t xml:space="preserve"> interviews,</w:t>
            </w:r>
            <w:r>
              <w:t xml:space="preserve"> triangulated with programme data </w:t>
            </w:r>
            <w:r w:rsidR="006C5BE7">
              <w:t xml:space="preserve">(annual reports and Logframe) </w:t>
            </w:r>
            <w:r>
              <w:t>and external secondary data</w:t>
            </w:r>
            <w:r w:rsidR="006C5BE7">
              <w:t xml:space="preserve"> (financial markets analysis)</w:t>
            </w:r>
            <w:r>
              <w:t>.</w:t>
            </w:r>
          </w:p>
        </w:tc>
      </w:tr>
      <w:tr w:rsidRPr="000C4B86" w:rsidR="009C0345" w:rsidTr="00E13638" w14:paraId="6BA10216" w14:textId="77777777">
        <w:trPr>
          <w:trHeight w:val="466"/>
        </w:trPr>
        <w:tc>
          <w:tcPr>
            <w:tcW w:w="2263" w:type="dxa"/>
            <w:vMerge/>
          </w:tcPr>
          <w:p w:rsidRPr="00EA1E4E" w:rsidR="00F1226B" w:rsidP="0064779C" w:rsidRDefault="00F1226B" w14:paraId="105CE68C" w14:textId="77777777"/>
        </w:tc>
        <w:tc>
          <w:tcPr>
            <w:tcW w:w="5387" w:type="dxa"/>
          </w:tcPr>
          <w:p w:rsidRPr="00EA1E4E" w:rsidR="00F1226B" w:rsidP="0064779C" w:rsidRDefault="00F1226B" w14:paraId="5705531D" w14:textId="0C3F6F54">
            <w:r>
              <w:t xml:space="preserve">Component 2: </w:t>
            </w:r>
            <w:r w:rsidRPr="00F1226B">
              <w:t xml:space="preserve">The capacity building delivered as part of MAGC and the strong presence of IFC in countries with country level market engagement plans were key to inform outcomes on understanding and valuing green buildings. Events and workshops have been successful in building understanding and creating connections. </w:t>
            </w:r>
            <w:r w:rsidR="006232F0">
              <w:t>Across countries, there is a need for further</w:t>
            </w:r>
            <w:r w:rsidRPr="00F1226B" w:rsidR="006232F0">
              <w:t xml:space="preserve"> </w:t>
            </w:r>
            <w:r w:rsidRPr="00F1226B">
              <w:t xml:space="preserve">capacity building efforts </w:t>
            </w:r>
            <w:r w:rsidR="006232F0">
              <w:t>focused on</w:t>
            </w:r>
            <w:r w:rsidRPr="00F1226B">
              <w:t xml:space="preserve"> end-users (to increase consumer demand through a bottom-up approach), SMEs, policymakers.</w:t>
            </w:r>
          </w:p>
        </w:tc>
        <w:tc>
          <w:tcPr>
            <w:tcW w:w="2693" w:type="dxa"/>
            <w:vMerge/>
          </w:tcPr>
          <w:p w:rsidRPr="00EA1E4E" w:rsidR="00F1226B" w:rsidP="0064779C" w:rsidRDefault="00F1226B" w14:paraId="0252599A" w14:textId="77777777"/>
        </w:tc>
        <w:tc>
          <w:tcPr>
            <w:tcW w:w="1418" w:type="dxa"/>
            <w:shd w:val="clear" w:color="auto" w:fill="C5E0B3" w:themeFill="accent6" w:themeFillTint="66"/>
          </w:tcPr>
          <w:p w:rsidRPr="00EA1E4E" w:rsidR="009521D1" w:rsidP="009521D1" w:rsidRDefault="009521D1" w14:paraId="2C442929" w14:textId="2A73036F">
            <w:r>
              <w:t>Moderate</w:t>
            </w:r>
          </w:p>
        </w:tc>
        <w:tc>
          <w:tcPr>
            <w:tcW w:w="2742" w:type="dxa"/>
          </w:tcPr>
          <w:p w:rsidRPr="00EA1E4E" w:rsidR="00F1226B" w:rsidP="0064779C" w:rsidRDefault="006877AC" w14:paraId="4DEBD6EC" w14:textId="7DAD16C0">
            <w:r>
              <w:t>T</w:t>
            </w:r>
            <w:r w:rsidRPr="006877AC">
              <w:t xml:space="preserve">he finding is </w:t>
            </w:r>
            <w:r>
              <w:t xml:space="preserve">mainly </w:t>
            </w:r>
            <w:r w:rsidRPr="006877AC">
              <w:t xml:space="preserve">supported by </w:t>
            </w:r>
            <w:r>
              <w:t>qualitative interviews data</w:t>
            </w:r>
            <w:r w:rsidRPr="006877AC">
              <w:t xml:space="preserve"> (limited triangulation) of decent </w:t>
            </w:r>
            <w:r w:rsidRPr="006877AC" w:rsidR="006C5BE7">
              <w:t>quality</w:t>
            </w:r>
            <w:r w:rsidR="006C5BE7">
              <w:t xml:space="preserve"> but</w:t>
            </w:r>
            <w:r w:rsidRPr="006877AC">
              <w:t xml:space="preserve"> are perception-based (only qualitative data)</w:t>
            </w:r>
            <w:r w:rsidR="006C5BE7">
              <w:t>: 32 interviews with green building sector stakeholders and 28 interviews with policy and wider stakeholders.</w:t>
            </w:r>
          </w:p>
        </w:tc>
      </w:tr>
      <w:tr w:rsidRPr="000C4B86" w:rsidR="009C0345" w:rsidTr="00E13638" w14:paraId="3FDFA00E" w14:textId="77777777">
        <w:trPr>
          <w:trHeight w:val="1632"/>
        </w:trPr>
        <w:tc>
          <w:tcPr>
            <w:tcW w:w="2263" w:type="dxa"/>
            <w:vMerge/>
          </w:tcPr>
          <w:p w:rsidRPr="00EA1E4E" w:rsidR="00F1226B" w:rsidP="0064779C" w:rsidRDefault="00F1226B" w14:paraId="009BA4C5" w14:textId="77777777"/>
        </w:tc>
        <w:tc>
          <w:tcPr>
            <w:tcW w:w="5387" w:type="dxa"/>
          </w:tcPr>
          <w:p w:rsidRPr="00EA1E4E" w:rsidR="00F1226B" w:rsidP="0064779C" w:rsidRDefault="00F1226B" w14:paraId="6E0CC087" w14:textId="3C54650F">
            <w:r>
              <w:t xml:space="preserve">Component 3: </w:t>
            </w:r>
            <w:r w:rsidRPr="00F1226B">
              <w:t xml:space="preserve">EDGE is demonstrating its strength as a tool for green certification, gaining traction in many countries and showing potential to drive green construction uptake. Where other certifications are prevalent, such as LEED or national certifications, this is often due to a stronger reputation </w:t>
            </w:r>
            <w:r w:rsidR="00C20341">
              <w:t xml:space="preserve">of other certifications </w:t>
            </w:r>
            <w:r w:rsidRPr="00F1226B">
              <w:t>in the country and links with existing financial incentives.</w:t>
            </w:r>
          </w:p>
        </w:tc>
        <w:tc>
          <w:tcPr>
            <w:tcW w:w="2693" w:type="dxa"/>
            <w:vMerge/>
          </w:tcPr>
          <w:p w:rsidRPr="00EA1E4E" w:rsidR="00F1226B" w:rsidP="0064779C" w:rsidRDefault="00F1226B" w14:paraId="7A42E643" w14:textId="77777777"/>
        </w:tc>
        <w:tc>
          <w:tcPr>
            <w:tcW w:w="1418" w:type="dxa"/>
            <w:shd w:val="clear" w:color="auto" w:fill="70AD47" w:themeFill="accent6"/>
          </w:tcPr>
          <w:p w:rsidRPr="00EA1E4E" w:rsidR="00F1226B" w:rsidP="0064779C" w:rsidRDefault="009521D1" w14:paraId="7388A162" w14:textId="5FAD89C3">
            <w:r>
              <w:t>Strong</w:t>
            </w:r>
          </w:p>
        </w:tc>
        <w:tc>
          <w:tcPr>
            <w:tcW w:w="2742" w:type="dxa"/>
          </w:tcPr>
          <w:p w:rsidRPr="00EA1E4E" w:rsidR="00F1226B" w:rsidP="0064779C" w:rsidRDefault="006877AC" w14:paraId="5BA40EFB" w14:textId="0AB510EE">
            <w:r w:rsidRPr="006877AC">
              <w:t xml:space="preserve">Evidence comprises multiple data sources (good triangulation) which are of good quality. Qualitative evidence from </w:t>
            </w:r>
            <w:r w:rsidR="006C5BE7">
              <w:t xml:space="preserve">32 </w:t>
            </w:r>
            <w:r>
              <w:t>interviews with the building sector</w:t>
            </w:r>
            <w:r w:rsidRPr="006877AC">
              <w:t xml:space="preserve"> has been triangulated with programme data</w:t>
            </w:r>
            <w:r>
              <w:t xml:space="preserve"> </w:t>
            </w:r>
            <w:r w:rsidR="006C5BE7">
              <w:t xml:space="preserve">(annual report and Logframe) </w:t>
            </w:r>
            <w:r>
              <w:t>and with external secondary data</w:t>
            </w:r>
            <w:r w:rsidR="006C5BE7">
              <w:t xml:space="preserve"> (PEA – status of the green building sector in the country)</w:t>
            </w:r>
            <w:r w:rsidRPr="006877AC">
              <w:t>.</w:t>
            </w:r>
          </w:p>
        </w:tc>
      </w:tr>
      <w:tr w:rsidRPr="000C4B86" w:rsidR="009C0345" w:rsidTr="00E13638" w14:paraId="027E7BD7" w14:textId="77777777">
        <w:trPr>
          <w:trHeight w:val="466"/>
        </w:trPr>
        <w:tc>
          <w:tcPr>
            <w:tcW w:w="2263" w:type="dxa"/>
            <w:vMerge/>
          </w:tcPr>
          <w:p w:rsidRPr="00EA1E4E" w:rsidR="00F1226B" w:rsidP="0064779C" w:rsidRDefault="00F1226B" w14:paraId="1E069E6A" w14:textId="77777777"/>
        </w:tc>
        <w:tc>
          <w:tcPr>
            <w:tcW w:w="5387" w:type="dxa"/>
          </w:tcPr>
          <w:p w:rsidRPr="00EA1E4E" w:rsidR="00F1226B" w:rsidP="0064779C" w:rsidRDefault="00F1226B" w14:paraId="7EF7FA42" w14:textId="5EE917DA">
            <w:r>
              <w:t xml:space="preserve">Component 4: Not a focus of the early outcome evaluation, but </w:t>
            </w:r>
            <w:r w:rsidRPr="00F1226B">
              <w:t>early indications of the direction of this component and progress towards achieving its desired outcome.</w:t>
            </w:r>
            <w:r>
              <w:t xml:space="preserve"> </w:t>
            </w:r>
            <w:r w:rsidRPr="00F1226B">
              <w:t>Programme stakeholders from the core DESNZ and IFC have expressed in interviews how the outputs of component 4 have provided actionable market intelligence and evidence to support decision-making so far.</w:t>
            </w:r>
            <w:r>
              <w:t xml:space="preserve"> </w:t>
            </w:r>
            <w:r w:rsidRPr="00F1226B">
              <w:t>On the other hand, programme stakeholders from DESNZ and IFC expressed that there is room for improvement in integrating the research component in the broader programme</w:t>
            </w:r>
            <w:r>
              <w:t>.</w:t>
            </w:r>
          </w:p>
        </w:tc>
        <w:tc>
          <w:tcPr>
            <w:tcW w:w="2693" w:type="dxa"/>
            <w:vMerge/>
          </w:tcPr>
          <w:p w:rsidRPr="00EA1E4E" w:rsidR="00F1226B" w:rsidP="0064779C" w:rsidRDefault="00F1226B" w14:paraId="0A48A732" w14:textId="77777777"/>
        </w:tc>
        <w:tc>
          <w:tcPr>
            <w:tcW w:w="1418" w:type="dxa"/>
            <w:shd w:val="clear" w:color="auto" w:fill="FFE599" w:themeFill="accent4" w:themeFillTint="66"/>
          </w:tcPr>
          <w:p w:rsidRPr="00EA1E4E" w:rsidR="00F1226B" w:rsidP="0064779C" w:rsidRDefault="009521D1" w14:paraId="2042EE53" w14:textId="2FA3A20C">
            <w:r>
              <w:t xml:space="preserve">Partial </w:t>
            </w:r>
          </w:p>
        </w:tc>
        <w:tc>
          <w:tcPr>
            <w:tcW w:w="2742" w:type="dxa"/>
          </w:tcPr>
          <w:p w:rsidRPr="00EA1E4E" w:rsidR="00F1226B" w:rsidP="0064779C" w:rsidRDefault="006877AC" w14:paraId="42BDB2BB" w14:textId="3E9A7583">
            <w:r w:rsidRPr="006877AC">
              <w:t>Evidence comprises few data sources (limited triangulation</w:t>
            </w:r>
            <w:r>
              <w:t xml:space="preserve"> with primary and secondary data external to the programme</w:t>
            </w:r>
            <w:r w:rsidRPr="006877AC">
              <w:t>) and is perception-based (only qualitative)</w:t>
            </w:r>
            <w:r w:rsidR="006C5BE7">
              <w:t>: &lt;10 interviews at programme level.</w:t>
            </w:r>
          </w:p>
        </w:tc>
      </w:tr>
      <w:tr w:rsidRPr="000C4B86" w:rsidR="009C0345" w:rsidTr="00E13638" w14:paraId="0DE050E0" w14:textId="77777777">
        <w:trPr>
          <w:trHeight w:val="1632"/>
        </w:trPr>
        <w:tc>
          <w:tcPr>
            <w:tcW w:w="2263" w:type="dxa"/>
          </w:tcPr>
          <w:p w:rsidRPr="00EA1E4E" w:rsidR="00F1226B" w:rsidP="0064779C" w:rsidRDefault="00F1226B" w14:paraId="1D6DEE2E" w14:textId="0BD94989">
            <w:r w:rsidRPr="00F1226B">
              <w:t>To what extent is transformational change likely to be achieved?</w:t>
            </w:r>
          </w:p>
        </w:tc>
        <w:tc>
          <w:tcPr>
            <w:tcW w:w="5387" w:type="dxa"/>
          </w:tcPr>
          <w:p w:rsidRPr="00EA1E4E" w:rsidR="00F1226B" w:rsidP="0064779C" w:rsidRDefault="00AD4ED8" w14:paraId="1D57171B" w14:textId="30D0EDB1">
            <w:r w:rsidRPr="00AD4ED8">
              <w:t>MAGC's contribution to transformational change in the green building sector shows promising early signs, although the extent of its ultimate impact remains to be fully assessed.</w:t>
            </w:r>
            <w:r>
              <w:t xml:space="preserve"> </w:t>
            </w:r>
            <w:r w:rsidRPr="00C707C8" w:rsidR="00C707C8">
              <w:t>The programme's capacity building activities have demonstrably increased awareness and technical skills related to green building practices</w:t>
            </w:r>
            <w:r w:rsidR="00C707C8">
              <w:t xml:space="preserve">. </w:t>
            </w:r>
            <w:r w:rsidRPr="00AD4ED8">
              <w:t>While increased market interest and the emergence of green financing solutions indicate growing momentum towards green building</w:t>
            </w:r>
            <w:r w:rsidR="00C707C8">
              <w:t>s</w:t>
            </w:r>
            <w:r w:rsidRPr="00AD4ED8">
              <w:t>, further evidence is needed to definitively quantify MAGC's specific contribution to this shift.</w:t>
            </w:r>
          </w:p>
        </w:tc>
        <w:tc>
          <w:tcPr>
            <w:tcW w:w="2693" w:type="dxa"/>
          </w:tcPr>
          <w:p w:rsidRPr="008A7F53" w:rsidR="008A7F53" w:rsidP="008A7F53" w:rsidRDefault="008A7F53" w14:paraId="33FD8B30" w14:textId="77777777">
            <w:pPr>
              <w:rPr>
                <w:rFonts w:eastAsia="MS Mincho"/>
              </w:rPr>
            </w:pPr>
            <w:r w:rsidRPr="008A7F53">
              <w:rPr>
                <w:rFonts w:eastAsia="MS Mincho"/>
              </w:rPr>
              <w:t>Desk research (political economy analysis, financial market analysis, programme documentation review)</w:t>
            </w:r>
          </w:p>
          <w:p w:rsidRPr="008A7F53" w:rsidR="008A7F53" w:rsidP="008A7F53" w:rsidRDefault="008A7F53" w14:paraId="20D180FD" w14:textId="77777777">
            <w:r w:rsidRPr="008A7F53">
              <w:t>In-depth interviews with FIs and other in-country stakeholders (T2, T3)</w:t>
            </w:r>
          </w:p>
          <w:p w:rsidRPr="008A7F53" w:rsidR="00F1226B" w:rsidP="0064779C" w:rsidRDefault="008A7F53" w14:paraId="311E29B9" w14:textId="355EF665">
            <w:pPr>
              <w:rPr>
                <w:rFonts w:eastAsia="MS Mincho"/>
              </w:rPr>
            </w:pPr>
            <w:r w:rsidRPr="008A7F53">
              <w:t>In-depth interviews with IFC and DESNZ (T0) and IFC country offices (T3)</w:t>
            </w:r>
          </w:p>
        </w:tc>
        <w:tc>
          <w:tcPr>
            <w:tcW w:w="1418" w:type="dxa"/>
            <w:shd w:val="clear" w:color="auto" w:fill="C5E0B3" w:themeFill="accent6" w:themeFillTint="66"/>
          </w:tcPr>
          <w:p w:rsidRPr="00EA1E4E" w:rsidR="00F1226B" w:rsidP="0064779C" w:rsidRDefault="009521D1" w14:paraId="6D33598C" w14:textId="35D4364E">
            <w:r>
              <w:t>Moderate</w:t>
            </w:r>
          </w:p>
        </w:tc>
        <w:tc>
          <w:tcPr>
            <w:tcW w:w="2742" w:type="dxa"/>
          </w:tcPr>
          <w:p w:rsidRPr="00EA1E4E" w:rsidR="00F1226B" w:rsidP="0064779C" w:rsidRDefault="00C707C8" w14:paraId="65FF4AAA" w14:textId="141944F3">
            <w:r w:rsidRPr="00C707C8">
              <w:t>The finding is mainly supported by qualitative interviews data (limited triangulation) of decent quality but perception-based (only qualitative data)</w:t>
            </w:r>
            <w:r w:rsidR="006C5BE7">
              <w:t>: 32 interviews with green building sector stakeholders and 28 interviews with policy and wider stakeholders, 10 interviews at programme level</w:t>
            </w:r>
          </w:p>
        </w:tc>
      </w:tr>
      <w:tr w:rsidRPr="000C4B86" w:rsidR="009C0345" w:rsidTr="00E13638" w14:paraId="03E89341" w14:textId="77777777">
        <w:trPr>
          <w:trHeight w:val="1632"/>
        </w:trPr>
        <w:tc>
          <w:tcPr>
            <w:tcW w:w="2263" w:type="dxa"/>
          </w:tcPr>
          <w:p w:rsidRPr="00F1226B" w:rsidR="00F1226B" w:rsidP="0064779C" w:rsidRDefault="00F1226B" w14:paraId="001A4DCE" w14:textId="49F4FD95">
            <w:r>
              <w:t xml:space="preserve">Learning question: </w:t>
            </w:r>
            <w:r w:rsidRPr="00F1226B">
              <w:t>What opportunities did arise/were missed during MAGC delivery on Gender Equality</w:t>
            </w:r>
            <w:r w:rsidR="009A3AF2">
              <w:t>, Disability</w:t>
            </w:r>
            <w:r w:rsidRPr="00F1226B">
              <w:t xml:space="preserve"> and Social Inclusion (GE</w:t>
            </w:r>
            <w:r w:rsidR="009A3AF2">
              <w:t>D</w:t>
            </w:r>
            <w:r w:rsidRPr="00F1226B">
              <w:t>SI)? How could we address GE</w:t>
            </w:r>
            <w:r w:rsidR="00EC1FB8">
              <w:t>D</w:t>
            </w:r>
            <w:r w:rsidRPr="00F1226B">
              <w:t>SI in future programme design?</w:t>
            </w:r>
          </w:p>
        </w:tc>
        <w:tc>
          <w:tcPr>
            <w:tcW w:w="5387" w:type="dxa"/>
          </w:tcPr>
          <w:p w:rsidRPr="00EA1E4E" w:rsidR="00F1226B" w:rsidP="0064779C" w:rsidRDefault="00710638" w14:paraId="0C277805" w14:textId="2282B9ED">
            <w:r>
              <w:t xml:space="preserve">At this stage, </w:t>
            </w:r>
            <w:r w:rsidR="009A3AF2">
              <w:t xml:space="preserve">several opportunities to achieve GEDSI outcomes through </w:t>
            </w:r>
            <w:r w:rsidR="00081D4D">
              <w:t>green construction have been identified</w:t>
            </w:r>
            <w:r w:rsidR="001523A6">
              <w:t>.</w:t>
            </w:r>
            <w:r w:rsidR="00081D4D">
              <w:t xml:space="preserve"> </w:t>
            </w:r>
            <w:r w:rsidR="001523A6">
              <w:t>However</w:t>
            </w:r>
            <w:r w:rsidR="00081D4D">
              <w:t xml:space="preserve"> </w:t>
            </w:r>
            <w:r w:rsidR="00932FC9">
              <w:t xml:space="preserve">tailored and targeted support is key to ensuring </w:t>
            </w:r>
            <w:r w:rsidR="00D438E2">
              <w:t xml:space="preserve">that marginalised groups receive the benefits </w:t>
            </w:r>
            <w:r w:rsidR="00A04ACE">
              <w:t>associated with</w:t>
            </w:r>
            <w:r w:rsidR="00D438E2">
              <w:t xml:space="preserve"> green </w:t>
            </w:r>
            <w:r w:rsidR="00A04ACE">
              <w:t>construction and can benefit from EDGE accreditation opportunities.</w:t>
            </w:r>
            <w:r w:rsidR="00EE0D26">
              <w:t xml:space="preserve"> A key overarching missed opportunity is GEDSI principles not being integrated into programme design.</w:t>
            </w:r>
            <w:r w:rsidR="00FD7F69">
              <w:t xml:space="preserve"> There have also been missed opportunities in the prioritisation of </w:t>
            </w:r>
            <w:r w:rsidR="007453F5">
              <w:t>women</w:t>
            </w:r>
            <w:r w:rsidR="00FD7F69">
              <w:t xml:space="preserve"> and </w:t>
            </w:r>
            <w:r w:rsidR="007453F5">
              <w:t>lower-income</w:t>
            </w:r>
            <w:r w:rsidR="00FD7F69">
              <w:t xml:space="preserve"> </w:t>
            </w:r>
            <w:r w:rsidR="007453F5">
              <w:t>groups above other marginalised communities</w:t>
            </w:r>
            <w:r w:rsidR="00EC1FB8">
              <w:t>. If GEDSI is to be integrated into future programme design,</w:t>
            </w:r>
            <w:r w:rsidR="004423AD">
              <w:t xml:space="preserve"> it needs to be embedded into design with support from experts</w:t>
            </w:r>
            <w:r w:rsidR="00C81745">
              <w:t xml:space="preserve">. One </w:t>
            </w:r>
            <w:r w:rsidR="004423AD">
              <w:t xml:space="preserve">option </w:t>
            </w:r>
            <w:r w:rsidR="00C81745">
              <w:t xml:space="preserve">would be </w:t>
            </w:r>
            <w:r w:rsidR="004423AD">
              <w:t xml:space="preserve">to </w:t>
            </w:r>
            <w:r w:rsidR="005D3204">
              <w:t xml:space="preserve">allocate separate funding </w:t>
            </w:r>
            <w:r w:rsidR="00697BF4">
              <w:t>to achieve</w:t>
            </w:r>
            <w:r w:rsidR="005D3204">
              <w:t xml:space="preserve"> GEDSI-related intended outcomes.</w:t>
            </w:r>
          </w:p>
        </w:tc>
        <w:tc>
          <w:tcPr>
            <w:tcW w:w="2693" w:type="dxa"/>
          </w:tcPr>
          <w:p w:rsidRPr="00697BF4" w:rsidR="00697BF4" w:rsidP="00697BF4" w:rsidRDefault="00697BF4" w14:paraId="41AE6CB3" w14:textId="76B973C2">
            <w:pPr>
              <w:rPr>
                <w:rFonts w:eastAsia="MS Mincho"/>
              </w:rPr>
            </w:pPr>
            <w:r w:rsidRPr="00697BF4">
              <w:rPr>
                <w:rFonts w:eastAsia="MS Mincho"/>
              </w:rPr>
              <w:t>Desk research (</w:t>
            </w:r>
            <w:r>
              <w:rPr>
                <w:rFonts w:eastAsia="MS Mincho"/>
              </w:rPr>
              <w:t>external document review</w:t>
            </w:r>
            <w:r w:rsidRPr="00697BF4">
              <w:rPr>
                <w:rFonts w:eastAsia="MS Mincho"/>
              </w:rPr>
              <w:t>)</w:t>
            </w:r>
          </w:p>
          <w:p w:rsidRPr="00697BF4" w:rsidR="00697BF4" w:rsidP="00697BF4" w:rsidRDefault="00697BF4" w14:paraId="5B8CDEF9" w14:textId="77777777">
            <w:r w:rsidRPr="00697BF4">
              <w:t>In-depth interviews with FIs and other in-country stakeholders (T2, T3)</w:t>
            </w:r>
          </w:p>
          <w:p w:rsidR="00697BF4" w:rsidP="00697BF4" w:rsidRDefault="00697BF4" w14:paraId="4652EF64" w14:textId="77777777">
            <w:r w:rsidRPr="00697BF4">
              <w:t>In-depth interviews with IFC and DESNZ (T0) and IFC country offices (T3)</w:t>
            </w:r>
          </w:p>
          <w:p w:rsidRPr="00697BF4" w:rsidR="00697BF4" w:rsidP="00697BF4" w:rsidRDefault="00697BF4" w14:paraId="00CFF2DF" w14:textId="44AB7DF5">
            <w:pPr>
              <w:rPr>
                <w:rFonts w:eastAsia="MS Mincho"/>
              </w:rPr>
            </w:pPr>
            <w:r>
              <w:rPr>
                <w:rFonts w:eastAsia="MS Mincho"/>
              </w:rPr>
              <w:t>Focus groups with EDGE residents (T3)</w:t>
            </w:r>
          </w:p>
          <w:p w:rsidRPr="00EA1E4E" w:rsidR="00F1226B" w:rsidP="0064779C" w:rsidRDefault="00F1226B" w14:paraId="61341F09" w14:textId="77777777"/>
        </w:tc>
        <w:tc>
          <w:tcPr>
            <w:tcW w:w="1418" w:type="dxa"/>
            <w:shd w:val="clear" w:color="auto" w:fill="C5E0B3" w:themeFill="accent6" w:themeFillTint="66"/>
          </w:tcPr>
          <w:p w:rsidRPr="00EA1E4E" w:rsidR="00F1226B" w:rsidP="0064779C" w:rsidRDefault="009521D1" w14:paraId="27978A38" w14:textId="0B5178D3">
            <w:r>
              <w:t>Moderate</w:t>
            </w:r>
          </w:p>
        </w:tc>
        <w:tc>
          <w:tcPr>
            <w:tcW w:w="2742" w:type="dxa"/>
          </w:tcPr>
          <w:p w:rsidRPr="00EA1E4E" w:rsidR="00F1226B" w:rsidP="0064779C" w:rsidRDefault="00D71350" w14:paraId="7B9E5324" w14:textId="02E6E69B">
            <w:r w:rsidRPr="00D71350">
              <w:t>The finding is mainly supported by qualitative interviews data (limited triangulation) of decent quality but perception-based (only qualitative data)</w:t>
            </w:r>
            <w:r w:rsidR="00220EF3">
              <w:t>: 32 interviews with green building sector stakeholders and 28 interviews with policy and wider stakeholders, 10 interviews at programme level</w:t>
            </w:r>
          </w:p>
        </w:tc>
      </w:tr>
      <w:tr w:rsidRPr="000C4B86" w:rsidR="009C0345" w:rsidTr="00E13638" w14:paraId="1C57B19E" w14:textId="77777777">
        <w:trPr>
          <w:trHeight w:val="45"/>
        </w:trPr>
        <w:tc>
          <w:tcPr>
            <w:tcW w:w="2263" w:type="dxa"/>
          </w:tcPr>
          <w:p w:rsidR="00F1226B" w:rsidP="0064779C" w:rsidRDefault="00F1226B" w14:paraId="32C9D146" w14:textId="0D818330">
            <w:r w:rsidRPr="00F1226B">
              <w:t>To what extent is MAGC investment providing Value for Money for HMG</w:t>
            </w:r>
            <w:r>
              <w:t>?</w:t>
            </w:r>
          </w:p>
        </w:tc>
        <w:tc>
          <w:tcPr>
            <w:tcW w:w="5387" w:type="dxa"/>
          </w:tcPr>
          <w:p w:rsidRPr="00EA1E4E" w:rsidR="00F1226B" w:rsidP="0064779C" w:rsidRDefault="003D259E" w14:paraId="036E44CC" w14:textId="4926DBCB">
            <w:r w:rsidRPr="00452D19">
              <w:t>At this stage, the assessment identified some shortcomings which prevent a ‘good’ rating in two criteria. Importantly, an assessment of value for money under the effectiveness criterion (whether the values generated exceed the costs of the programme) is not possible at this stage</w:t>
            </w:r>
            <w:r w:rsidR="001523A6">
              <w:t>. This is</w:t>
            </w:r>
            <w:r w:rsidRPr="00452D19">
              <w:t xml:space="preserve"> due to the fact that the benefits and impacts of the programme are yet to materialise</w:t>
            </w:r>
            <w:r w:rsidR="001523A6">
              <w:t>.</w:t>
            </w:r>
            <w:r w:rsidRPr="00452D19">
              <w:t xml:space="preserve"> </w:t>
            </w:r>
            <w:r w:rsidR="001523A6">
              <w:t>A</w:t>
            </w:r>
            <w:r w:rsidRPr="00452D19">
              <w:t>s such no overall assessment of value for money of the programme can be made. Nevertheless, stakeholders are confident that the programme overall is delivering good value for money, especially as they are positive on the value created through the programme’s activities.</w:t>
            </w:r>
          </w:p>
        </w:tc>
        <w:tc>
          <w:tcPr>
            <w:tcW w:w="2693" w:type="dxa"/>
          </w:tcPr>
          <w:p w:rsidR="00F1226B" w:rsidP="0064779C" w:rsidRDefault="00AD56F3" w14:paraId="25322442" w14:textId="77777777">
            <w:r>
              <w:t>Programme documentation (reporting)</w:t>
            </w:r>
          </w:p>
          <w:p w:rsidRPr="00EA1E4E" w:rsidR="00F1226B" w:rsidP="0064779C" w:rsidRDefault="00AD56F3" w14:paraId="3851FBD5" w14:textId="3814C342">
            <w:r>
              <w:t>Process evaluation and interim outcome evaluation findings</w:t>
            </w:r>
          </w:p>
        </w:tc>
        <w:tc>
          <w:tcPr>
            <w:tcW w:w="1418" w:type="dxa"/>
            <w:shd w:val="clear" w:color="auto" w:fill="70AD47" w:themeFill="accent6"/>
          </w:tcPr>
          <w:p w:rsidRPr="00EA1E4E" w:rsidR="00F1226B" w:rsidP="0064779C" w:rsidRDefault="009521D1" w14:paraId="3C36FD49" w14:textId="0F3223F0">
            <w:r>
              <w:t>Strong</w:t>
            </w:r>
          </w:p>
        </w:tc>
        <w:tc>
          <w:tcPr>
            <w:tcW w:w="2742" w:type="dxa"/>
          </w:tcPr>
          <w:p w:rsidRPr="00EA1E4E" w:rsidR="00F1226B" w:rsidP="0064779C" w:rsidRDefault="00AD56F3" w14:paraId="249FAA5F" w14:textId="2088CB77">
            <w:r>
              <w:t>The findings are primarily based on official programme reporting</w:t>
            </w:r>
            <w:r w:rsidR="00220EF3">
              <w:t xml:space="preserve"> (including annual reports and programme Logframe)</w:t>
            </w:r>
            <w:r>
              <w:t xml:space="preserve">, including of financial data. Qualitative insights are used for supporting evidence. </w:t>
            </w:r>
          </w:p>
        </w:tc>
      </w:tr>
    </w:tbl>
    <w:p w:rsidRPr="00EA1E4E" w:rsidR="00EA1E4E" w:rsidP="00EA1E4E" w:rsidRDefault="00EA1E4E" w14:paraId="65BBD157" w14:textId="77777777">
      <w:pPr>
        <w:sectPr w:rsidRPr="00EA1E4E" w:rsidR="00EA1E4E" w:rsidSect="006D58B6">
          <w:type w:val="continuous"/>
          <w:pgSz w:w="16838" w:h="11906" w:orient="landscape"/>
          <w:pgMar w:top="907" w:right="1418" w:bottom="907" w:left="907" w:header="709" w:footer="266" w:gutter="0"/>
          <w:cols w:space="708"/>
          <w:docGrid w:linePitch="360"/>
        </w:sectPr>
      </w:pPr>
    </w:p>
    <w:p w:rsidRPr="00EA1E4E" w:rsidR="00EA1E4E" w:rsidP="00D847FD" w:rsidRDefault="00EA1E4E" w14:paraId="037B1A07" w14:textId="5B25034B">
      <w:pPr>
        <w:pStyle w:val="Heading3"/>
      </w:pPr>
      <w:bookmarkStart w:name="_Toc179474005" w:id="103"/>
      <w:bookmarkStart w:name="_Toc181883589" w:id="104"/>
      <w:bookmarkStart w:name="_Toc188870870" w:id="105"/>
      <w:bookmarkStart w:name="_Toc207790209" w:id="106"/>
      <w:r w:rsidRPr="00EA1E4E">
        <w:t>Limitations</w:t>
      </w:r>
      <w:bookmarkEnd w:id="103"/>
      <w:bookmarkEnd w:id="104"/>
      <w:bookmarkEnd w:id="105"/>
      <w:bookmarkEnd w:id="106"/>
    </w:p>
    <w:p w:rsidRPr="00EA1E4E" w:rsidR="00EA1E4E" w:rsidP="00EA1E4E" w:rsidRDefault="00EA1E4E" w14:paraId="24A21E17" w14:textId="77777777">
      <w:r w:rsidRPr="00EA1E4E">
        <w:t>The methodology deployed for the early outcome evaluation is subject to the following key limitations:</w:t>
      </w:r>
    </w:p>
    <w:p w:rsidRPr="008E7737" w:rsidR="00481ECA" w:rsidP="005C0676" w:rsidRDefault="005C0676" w14:paraId="109033E7" w14:textId="435416B5">
      <w:pPr>
        <w:pStyle w:val="DESNZbulletedlist"/>
        <w:rPr>
          <w:rStyle w:val="Boldtext"/>
          <w:b w:val="0"/>
        </w:rPr>
      </w:pPr>
      <w:r>
        <w:rPr>
          <w:rStyle w:val="Boldtext"/>
        </w:rPr>
        <w:t>Smaller sample of qualitative interviews than expected</w:t>
      </w:r>
      <w:r w:rsidRPr="00EA1E4E" w:rsidR="00481ECA">
        <w:t xml:space="preserve">: </w:t>
      </w:r>
      <w:r w:rsidR="00780987">
        <w:t xml:space="preserve">For some groups of stakeholders, the evaluation research team faced challenges in achieving sample due to non-response from participants. This was particularly the case for financial intermediaries, where the evaluation achieved a total of 19 interviews out of a target of 33. Whilst the sample was sufficient to gain an understanding of the experiences of financial intermediaries, not achieving the sample may have resulted in gaps in the team’s understanding of the achievement of component 1 across all MAGC eligible countries. The evaluation team has mitigated this where possible by supplementing with appropriate secondary data (including up to date Logframe and annual report data). For the final evaluation, the evaluation team will adopt new strategies for achieving the sample of financial intermediaries, which could include the use of incentives. </w:t>
      </w:r>
      <w:r w:rsidRPr="001433F1" w:rsidR="00780987">
        <w:t xml:space="preserve">However, it is important to note that, compared to other </w:t>
      </w:r>
      <w:r w:rsidR="00780987">
        <w:t>evaluations of this scale</w:t>
      </w:r>
      <w:r w:rsidRPr="001433F1" w:rsidR="00780987">
        <w:t>, this evaluation has demonstrated comparatively strong stakeholder engagement, particularly with financial intermediaries, who are especially difficult to recruit</w:t>
      </w:r>
      <w:r w:rsidRPr="001433F1" w:rsidR="001433F1">
        <w:t>.</w:t>
      </w:r>
    </w:p>
    <w:p w:rsidRPr="00EA1E4E" w:rsidR="00EA1E4E" w:rsidP="00EA1E4E" w:rsidRDefault="00EA1E4E" w14:paraId="2DAC7CE2" w14:textId="4BCFBBE3">
      <w:pPr>
        <w:pStyle w:val="DESNZbulletedlist"/>
      </w:pPr>
      <w:r w:rsidRPr="00EA1E4E">
        <w:rPr>
          <w:rStyle w:val="Boldtext"/>
        </w:rPr>
        <w:t xml:space="preserve">Self-reported findings: </w:t>
      </w:r>
      <w:r w:rsidRPr="00EA1E4E" w:rsidR="00780987">
        <w:t xml:space="preserve">Findings from the qualitative interviews on the achievement of outcomes across the four components and early indications of achievement of transformational change are self-reported, which is likely to introduce some degree of bias on the results. Participants, especially stakeholders involved in MAGC delivery, may overestimate the impact of the programme. </w:t>
      </w:r>
      <w:r w:rsidR="00780987">
        <w:t>The evaluation team</w:t>
      </w:r>
      <w:r w:rsidRPr="00EA1E4E" w:rsidR="00780987">
        <w:t xml:space="preserve"> ha</w:t>
      </w:r>
      <w:r w:rsidR="00780987">
        <w:t>s</w:t>
      </w:r>
      <w:r w:rsidRPr="00EA1E4E" w:rsidR="00780987">
        <w:t xml:space="preserve"> aimed to mitigate this bias by triangulating qualitative findings with relevant secondary data and comparing with qualitative findings from participants not involved in programme delivery</w:t>
      </w:r>
      <w:r w:rsidRPr="00EA1E4E">
        <w:t>.</w:t>
      </w:r>
    </w:p>
    <w:p w:rsidRPr="00EA1E4E" w:rsidR="00EA1E4E" w:rsidRDefault="00EA1E4E" w14:paraId="4D3FC7D6" w14:textId="79F4C963">
      <w:pPr>
        <w:pStyle w:val="DESNZbulletedlist"/>
      </w:pPr>
      <w:r w:rsidRPr="00EA1E4E">
        <w:rPr>
          <w:rStyle w:val="Boldtext"/>
        </w:rPr>
        <w:t>Differentiating between MAGC stakeholders and non-MAGC stakeholders</w:t>
      </w:r>
      <w:r w:rsidRPr="00EA1E4E">
        <w:t xml:space="preserve">: </w:t>
      </w:r>
      <w:r w:rsidRPr="00EA1E4E" w:rsidR="00780987">
        <w:t xml:space="preserve">Some in-country stakeholders had limited awareness of having received support through the programme, due to the indirect way the support was provided (such as through </w:t>
      </w:r>
      <w:r w:rsidR="00780987">
        <w:t>EDGE workshops and events</w:t>
      </w:r>
      <w:r w:rsidRPr="00EA1E4E" w:rsidR="00780987">
        <w:t xml:space="preserve">). </w:t>
      </w:r>
      <w:r w:rsidR="00780987">
        <w:t xml:space="preserve">This meant that in some cases the evaluators were unable to know if the participant had been involved in MAGC or had received support via a different programme or initiative. </w:t>
      </w:r>
      <w:r w:rsidRPr="00EA1E4E" w:rsidR="00780987">
        <w:t>Without a clear distinction between these groups, it was challenging to isolate the specific effects and influences of the MAGC program</w:t>
      </w:r>
      <w:r w:rsidR="00780987">
        <w:t>me</w:t>
      </w:r>
      <w:r w:rsidRPr="00EA1E4E" w:rsidR="00780987">
        <w:t xml:space="preserve">. This </w:t>
      </w:r>
      <w:r w:rsidR="00780987">
        <w:t>reduced the amount of evidence the team had to evaluate</w:t>
      </w:r>
      <w:r w:rsidRPr="00EA1E4E" w:rsidR="00780987">
        <w:t xml:space="preserve"> </w:t>
      </w:r>
      <w:r w:rsidR="00780987">
        <w:t xml:space="preserve">the </w:t>
      </w:r>
      <w:r w:rsidRPr="00EA1E4E" w:rsidR="00780987">
        <w:t>attributi</w:t>
      </w:r>
      <w:r w:rsidR="00780987">
        <w:t>on of MAGC on achieving key positive</w:t>
      </w:r>
      <w:r w:rsidRPr="00EA1E4E" w:rsidR="00780987">
        <w:t xml:space="preserve"> outcomes</w:t>
      </w:r>
      <w:r w:rsidR="009521D1">
        <w:t>.</w:t>
      </w:r>
    </w:p>
    <w:p w:rsidRPr="008E7737" w:rsidR="005A33F1" w:rsidRDefault="00EA1E4E" w14:paraId="2EB881EE" w14:textId="73DF0604">
      <w:pPr>
        <w:pStyle w:val="DESNZbulletedlist"/>
        <w:rPr>
          <w:rStyle w:val="Boldtext"/>
          <w:b w:val="0"/>
        </w:rPr>
      </w:pPr>
      <w:r w:rsidRPr="00EA1E4E">
        <w:rPr>
          <w:rStyle w:val="Boldtext"/>
        </w:rPr>
        <w:t>Attribution of outcomes</w:t>
      </w:r>
      <w:r w:rsidRPr="00EA1E4E">
        <w:t xml:space="preserve">: </w:t>
      </w:r>
      <w:r w:rsidRPr="00EA1E4E" w:rsidR="00780987">
        <w:t>Determining the extent to which observed outcomes are directly attributable to MAGC can be complex</w:t>
      </w:r>
      <w:r w:rsidR="00780987">
        <w:t xml:space="preserve">. </w:t>
      </w:r>
      <w:r w:rsidRPr="00EA1E4E" w:rsidR="00780987">
        <w:t>External factors, other initiatives, or underlying trends in the economy and construction industry could also contribute to the observed changes, making it difficult to isolate the program</w:t>
      </w:r>
      <w:r w:rsidR="00780987">
        <w:t>me</w:t>
      </w:r>
      <w:r w:rsidRPr="00EA1E4E" w:rsidR="00780987">
        <w:t>'s specific impact.</w:t>
      </w:r>
      <w:r w:rsidR="00780987">
        <w:t xml:space="preserve"> To mitigate this the evaluation team has ensured to, where possible, form evaluation findings by triangulation of qualitative and secondary data sources (e.g. </w:t>
      </w:r>
      <w:bookmarkStart w:name="_Hlk188018405" w:id="107"/>
      <w:r w:rsidR="00780987">
        <w:t>by checking country-level findings from interviews against secondary data from the political economy analysis and financial markets analysis</w:t>
      </w:r>
      <w:bookmarkEnd w:id="107"/>
      <w:r w:rsidR="00780987">
        <w:t>)</w:t>
      </w:r>
      <w:r w:rsidR="005A33F1">
        <w:t>.</w:t>
      </w:r>
    </w:p>
    <w:p w:rsidRPr="00EA1E4E" w:rsidR="00EA1E4E" w:rsidP="001830A7" w:rsidRDefault="00EA1E4E" w14:paraId="48DCEE41" w14:textId="5EB4E976">
      <w:pPr>
        <w:pStyle w:val="DESNZbulletedlist"/>
      </w:pPr>
      <w:r w:rsidRPr="00EA1E4E">
        <w:rPr>
          <w:rStyle w:val="Boldtext"/>
        </w:rPr>
        <w:t>Limited data on GEDSI outcomes</w:t>
      </w:r>
      <w:r w:rsidRPr="00EA1E4E">
        <w:t xml:space="preserve">: </w:t>
      </w:r>
      <w:r w:rsidRPr="00EA1E4E" w:rsidR="00780987">
        <w:t>The interviews provided relatively limited information on achievement of GEDSI outcomes. Another limitation is that the Logframe of indicators for programme outcomes only includes information on the number of women gaining EDGE accreditation as auditors and experts from FY 2022/2023, with data from FY 2023/2024 not yet available.</w:t>
      </w:r>
      <w:r w:rsidRPr="008A0117" w:rsidR="00780987">
        <w:t xml:space="preserve"> This limited the extent to which the evaluation team was able to analyse change over time, although </w:t>
      </w:r>
      <w:r w:rsidR="00780987">
        <w:t>the evaluation team</w:t>
      </w:r>
      <w:r w:rsidRPr="008A0117" w:rsidR="00780987">
        <w:t xml:space="preserve"> will seek to assess this at the final outcome evaluation stage. Additionally, </w:t>
      </w:r>
      <w:r w:rsidR="00780987">
        <w:t>the evaluation team</w:t>
      </w:r>
      <w:r w:rsidRPr="008A0117" w:rsidR="00780987">
        <w:t xml:space="preserve"> sought to overcome the </w:t>
      </w:r>
      <w:bookmarkStart w:name="_Hlk188018661" w:id="108"/>
      <w:r w:rsidRPr="008A0117" w:rsidR="00780987">
        <w:t>barrier of limited data on GEDSI outcomes by using interviews to understand how green construction more broadly can lead to GEDSI outcomes, to inform learning and planning for future iterations of MAGC where appropriate</w:t>
      </w:r>
      <w:bookmarkEnd w:id="108"/>
      <w:r w:rsidRPr="008A0117" w:rsidR="008A0117">
        <w:t>.</w:t>
      </w:r>
      <w:r w:rsidRPr="00EA1E4E">
        <w:br w:type="page"/>
      </w:r>
    </w:p>
    <w:p w:rsidR="00D847FD" w:rsidP="00D847FD" w:rsidRDefault="004A3DCA" w14:paraId="503E18EB" w14:textId="5D4B38A8">
      <w:pPr>
        <w:pStyle w:val="Heading1"/>
      </w:pPr>
      <w:bookmarkStart w:name="_Toc207790210" w:id="109"/>
      <w:r>
        <w:t xml:space="preserve">Annex </w:t>
      </w:r>
      <w:r w:rsidR="00D847FD">
        <w:t>5</w:t>
      </w:r>
      <w:r w:rsidRPr="00D847FD" w:rsidR="00D847FD">
        <w:t>: Considerations for the KPI15 Methodology</w:t>
      </w:r>
      <w:bookmarkEnd w:id="109"/>
    </w:p>
    <w:p w:rsidRPr="00B45F73" w:rsidR="00B45F73" w:rsidP="009A3A6F" w:rsidRDefault="00B45F73" w14:paraId="55BECDDC" w14:textId="7793F55A">
      <w:pPr>
        <w:pStyle w:val="Heading3"/>
      </w:pPr>
      <w:bookmarkStart w:name="_Toc188870872" w:id="110"/>
      <w:bookmarkStart w:name="_Toc207790211" w:id="111"/>
      <w:r>
        <w:t>Overview of the methodology</w:t>
      </w:r>
      <w:bookmarkEnd w:id="110"/>
      <w:bookmarkEnd w:id="111"/>
    </w:p>
    <w:p w:rsidRPr="00D847FD" w:rsidR="00D847FD" w:rsidP="00D847FD" w:rsidRDefault="00780987" w14:paraId="794EC636" w14:textId="68D7DA2D">
      <w:r>
        <w:t>ICF KPI15 measures the e</w:t>
      </w:r>
      <w:r w:rsidRPr="00B45F73">
        <w:t>xtent to which ICF intervention is likely to lead to Transformational Change</w:t>
      </w:r>
      <w:r>
        <w:t>.</w:t>
      </w:r>
      <w:r>
        <w:rPr>
          <w:rStyle w:val="FootnoteReference"/>
        </w:rPr>
        <w:footnoteReference w:id="18"/>
      </w:r>
      <w:r>
        <w:t xml:space="preserve"> </w:t>
      </w:r>
      <w:r w:rsidRPr="00D847FD">
        <w:t xml:space="preserve">The KPI15 methodology for MAGC was developed in 2021. As the methodology will likely be reviewed </w:t>
      </w:r>
      <w:r>
        <w:t>by the end of financial year 2024</w:t>
      </w:r>
      <w:r w:rsidRPr="00D847FD">
        <w:t xml:space="preserve">, this interim evaluation provides some insights on the current criteria and indicators </w:t>
      </w:r>
      <w:r>
        <w:t>(and current scores considering these criteria and indicators) as well as</w:t>
      </w:r>
      <w:r w:rsidRPr="00D847FD">
        <w:t xml:space="preserve"> suggestions for the review. The KPI15 Results note from 2024</w:t>
      </w:r>
      <w:r>
        <w:t>, developed by DESNZ as an internal note,</w:t>
      </w:r>
      <w:r w:rsidRPr="00D847FD">
        <w:t xml:space="preserve"> </w:t>
      </w:r>
      <w:r w:rsidRPr="00E827A7">
        <w:t>explains that the methodology design prioriti</w:t>
      </w:r>
      <w:r>
        <w:t>s</w:t>
      </w:r>
      <w:r w:rsidRPr="00E827A7">
        <w:t>ed the most relevant metrics from the Logframe. However, the document also suggests that the methodology review might consider additional metrics</w:t>
      </w:r>
      <w:r w:rsidRPr="00D847FD">
        <w:t>. The following points are therefore initial reflections and suggestions for the review of the methodology informed by the findings of the interim evaluation of MAGC</w:t>
      </w:r>
      <w:r w:rsidRPr="00D847FD" w:rsidR="00D847FD">
        <w:t>.</w:t>
      </w:r>
    </w:p>
    <w:p w:rsidRPr="00D847FD" w:rsidR="00D847FD" w:rsidP="00D847FD" w:rsidRDefault="00D847FD" w14:paraId="5E16F376" w14:textId="77777777">
      <w:r w:rsidRPr="00D847FD">
        <w:t>The current KPI15 methodology for MAGC considers the following four Transformational Change Criteria and weighting:     </w:t>
      </w:r>
    </w:p>
    <w:p w:rsidRPr="001546D8" w:rsidR="00780987" w:rsidP="00780987" w:rsidRDefault="00780987" w14:paraId="28F68564" w14:textId="33297379">
      <w:pPr>
        <w:rPr>
          <w:b/>
          <w:bCs/>
        </w:rPr>
      </w:pPr>
      <w:r w:rsidRPr="00D847FD">
        <w:rPr>
          <w:rStyle w:val="Boldtext"/>
        </w:rPr>
        <w:t>Capacity and capability</w:t>
      </w:r>
      <w:r w:rsidRPr="00D847FD">
        <w:t>:</w:t>
      </w:r>
      <w:r>
        <w:t xml:space="preserve"> W</w:t>
      </w:r>
      <w:r w:rsidRPr="00B45F73">
        <w:t>here a target country and target communities have the capacities and capabilities necessary to bring about the change</w:t>
      </w:r>
      <w:r>
        <w:t>.</w:t>
      </w:r>
      <w:r>
        <w:rPr>
          <w:rStyle w:val="FootnoteReference"/>
        </w:rPr>
        <w:footnoteReference w:id="19"/>
      </w:r>
      <w:r w:rsidRPr="00B45F73">
        <w:t xml:space="preserve"> </w:t>
      </w:r>
      <w:r>
        <w:rPr>
          <w:b/>
          <w:bCs/>
        </w:rPr>
        <w:t>C</w:t>
      </w:r>
      <w:r w:rsidRPr="001546D8">
        <w:rPr>
          <w:b/>
          <w:bCs/>
        </w:rPr>
        <w:t>urrent weighting: 25%   </w:t>
      </w:r>
    </w:p>
    <w:p w:rsidRPr="001546D8" w:rsidR="00780987" w:rsidP="00780987" w:rsidRDefault="00780987" w14:paraId="146826A5" w14:textId="77777777">
      <w:pPr>
        <w:rPr>
          <w:b/>
          <w:bCs/>
        </w:rPr>
      </w:pPr>
      <w:r w:rsidRPr="00D847FD">
        <w:rPr>
          <w:rStyle w:val="Boldtext"/>
        </w:rPr>
        <w:t>Innovation</w:t>
      </w:r>
      <w:r w:rsidRPr="00D847FD">
        <w:t>:</w:t>
      </w:r>
      <w:r w:rsidRPr="00B45F73">
        <w:t xml:space="preserve"> Where wider and sustained change comes from innovation, such as new technologies, with the potential to demonstrate new ways of doing things</w:t>
      </w:r>
      <w:r>
        <w:t xml:space="preserve">. </w:t>
      </w:r>
      <w:r>
        <w:rPr>
          <w:b/>
          <w:bCs/>
        </w:rPr>
        <w:t>C</w:t>
      </w:r>
      <w:r w:rsidRPr="001546D8">
        <w:rPr>
          <w:b/>
          <w:bCs/>
        </w:rPr>
        <w:t>urrent weighting: 10%  </w:t>
      </w:r>
    </w:p>
    <w:p w:rsidR="00780987" w:rsidP="00780987" w:rsidRDefault="00780987" w14:paraId="7A9F4F32" w14:textId="77777777">
      <w:r w:rsidRPr="00D847FD">
        <w:rPr>
          <w:rStyle w:val="Boldtext"/>
        </w:rPr>
        <w:t>Leverage / create incentives for others to act</w:t>
      </w:r>
      <w:r w:rsidRPr="00D847FD">
        <w:t xml:space="preserve">: </w:t>
      </w:r>
      <w:r w:rsidRPr="00B45F73">
        <w:t>Where the costs of climate action are reduced to the point that acting on climate change risks and challenges is a sensible decision for public agencies, commercial firms, and private individuals. These cost reductions may need to be steep enough to overcome behavioural inertia</w:t>
      </w:r>
      <w:r>
        <w:t xml:space="preserve">. </w:t>
      </w:r>
      <w:r w:rsidRPr="001546D8">
        <w:rPr>
          <w:b/>
          <w:bCs/>
        </w:rPr>
        <w:t>Current weighting: 40%</w:t>
      </w:r>
      <w:r w:rsidRPr="00D847FD">
        <w:t>   </w:t>
      </w:r>
    </w:p>
    <w:p w:rsidRPr="00D847FD" w:rsidR="00780987" w:rsidP="00780987" w:rsidRDefault="00780987" w14:paraId="4CAE2767" w14:textId="77777777">
      <w:r w:rsidRPr="00D847FD">
        <w:rPr>
          <w:rStyle w:val="Boldtext"/>
        </w:rPr>
        <w:t>Critical mass</w:t>
      </w:r>
      <w:r w:rsidRPr="00D847FD">
        <w:t xml:space="preserve">: </w:t>
      </w:r>
      <w:r w:rsidRPr="00B45F73">
        <w:t>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w:t>
      </w:r>
      <w:r>
        <w:t xml:space="preserve"> </w:t>
      </w:r>
      <w:r w:rsidRPr="001546D8">
        <w:rPr>
          <w:b/>
          <w:bCs/>
        </w:rPr>
        <w:t>Current weighting: 25%</w:t>
      </w:r>
      <w:r w:rsidRPr="00D847FD">
        <w:t> </w:t>
      </w:r>
    </w:p>
    <w:p w:rsidRPr="00D25162" w:rsidR="00167D10" w:rsidP="00780987" w:rsidRDefault="00780987" w14:paraId="7F110285" w14:textId="502A662B">
      <w:pPr>
        <w:spacing w:after="0" w:line="240" w:lineRule="auto"/>
        <w:textAlignment w:val="baseline"/>
        <w:rPr>
          <w:rFonts w:ascii="Segoe UI" w:hAnsi="Segoe UI" w:eastAsia="Times New Roman" w:cs="Segoe UI"/>
          <w:sz w:val="18"/>
          <w:szCs w:val="18"/>
          <w:lang w:eastAsia="en-GB"/>
        </w:rPr>
      </w:pPr>
      <w:r>
        <w:rPr>
          <w:rStyle w:val="Boldtext"/>
          <w:b w:val="0"/>
          <w:bCs/>
        </w:rPr>
        <w:t>The KPI15 methodology includes the following scores</w:t>
      </w:r>
      <w:r w:rsidR="00167D10">
        <w:rPr>
          <w:rStyle w:val="Boldtext"/>
          <w:b w:val="0"/>
          <w:bCs/>
        </w:rPr>
        <w:t>:</w:t>
      </w:r>
      <w:r w:rsidR="00033597">
        <w:rPr>
          <w:rStyle w:val="Boldtext"/>
          <w:b w:val="0"/>
          <w:bCs/>
        </w:rPr>
        <w:br/>
      </w:r>
      <w:r w:rsidR="00167D10">
        <w:rPr>
          <w:rStyle w:val="Boldtext"/>
          <w:b w:val="0"/>
          <w:bCs/>
        </w:rPr>
        <w:br/>
      </w:r>
      <w:r w:rsidRPr="00C97A0D" w:rsidR="00167D10">
        <w:rPr>
          <w:rStyle w:val="Boldtext"/>
        </w:rPr>
        <w:t>1</w:t>
      </w:r>
      <w:r w:rsidRPr="00C97A0D" w:rsidR="00167D10">
        <w:t>:</w:t>
      </w:r>
      <w:r w:rsidRPr="00D25162" w:rsidR="00167D10">
        <w:rPr>
          <w:rFonts w:eastAsia="Times New Roman" w:cs="Arial"/>
          <w:lang w:eastAsia="en-GB"/>
        </w:rPr>
        <w:t xml:space="preserve"> Substantial evidence that suggests transformational change is unlikely or will not occur</w:t>
      </w:r>
      <w:r w:rsidR="00E8022B">
        <w:rPr>
          <w:rFonts w:eastAsia="Times New Roman" w:cs="Arial"/>
          <w:lang w:eastAsia="en-GB"/>
        </w:rPr>
        <w:t>.</w:t>
      </w:r>
      <w:r w:rsidRPr="00D25162" w:rsidR="00167D10">
        <w:rPr>
          <w:rFonts w:eastAsia="Times New Roman" w:cs="Arial"/>
          <w:lang w:eastAsia="en-GB"/>
        </w:rPr>
        <w:br/>
      </w:r>
      <w:r w:rsidRPr="00C97A0D" w:rsidR="00167D10">
        <w:rPr>
          <w:rStyle w:val="Boldtext"/>
        </w:rPr>
        <w:t>2</w:t>
      </w:r>
      <w:r w:rsidRPr="00C97A0D" w:rsidR="00167D10">
        <w:t>:</w:t>
      </w:r>
      <w:r w:rsidRPr="00D25162" w:rsidR="00167D10">
        <w:rPr>
          <w:rFonts w:eastAsia="Times New Roman" w:cs="Arial"/>
          <w:lang w:eastAsia="en-GB"/>
        </w:rPr>
        <w:t xml:space="preserve"> Partial evidence that suggests transformational change is unlikely</w:t>
      </w:r>
      <w:r w:rsidR="00E8022B">
        <w:rPr>
          <w:rFonts w:eastAsia="Times New Roman" w:cs="Arial"/>
          <w:lang w:eastAsia="en-GB"/>
        </w:rPr>
        <w:t>.</w:t>
      </w:r>
      <w:r w:rsidRPr="00D25162" w:rsidR="00167D10">
        <w:rPr>
          <w:rFonts w:eastAsia="Times New Roman" w:cs="Arial"/>
          <w:lang w:eastAsia="en-GB"/>
        </w:rPr>
        <w:br/>
      </w:r>
      <w:r w:rsidRPr="00C97A0D" w:rsidR="00167D10">
        <w:rPr>
          <w:rStyle w:val="Boldtext"/>
        </w:rPr>
        <w:t>3</w:t>
      </w:r>
      <w:r w:rsidRPr="00C97A0D" w:rsidR="00167D10">
        <w:t>:</w:t>
      </w:r>
      <w:r w:rsidRPr="00D25162" w:rsidR="00167D10">
        <w:rPr>
          <w:rFonts w:eastAsia="Times New Roman" w:cs="Arial"/>
          <w:lang w:eastAsia="en-GB"/>
        </w:rPr>
        <w:t xml:space="preserve"> Not enough evidence yet to assess, or the balance of evidence is inconclusive</w:t>
      </w:r>
      <w:r w:rsidR="00E8022B">
        <w:rPr>
          <w:rFonts w:eastAsia="Times New Roman" w:cs="Arial"/>
          <w:lang w:eastAsia="en-GB"/>
        </w:rPr>
        <w:t>.</w:t>
      </w:r>
      <w:r w:rsidRPr="00D25162" w:rsidR="00167D10">
        <w:rPr>
          <w:rFonts w:eastAsia="Times New Roman" w:cs="Arial"/>
          <w:lang w:eastAsia="en-GB"/>
        </w:rPr>
        <w:br/>
      </w:r>
      <w:r w:rsidRPr="00C97A0D" w:rsidR="00167D10">
        <w:rPr>
          <w:rStyle w:val="Boldtext"/>
        </w:rPr>
        <w:t>4</w:t>
      </w:r>
      <w:r w:rsidRPr="00C97A0D" w:rsidR="00167D10">
        <w:t>:</w:t>
      </w:r>
      <w:r w:rsidRPr="00D25162" w:rsidR="00167D10">
        <w:rPr>
          <w:rFonts w:eastAsia="Times New Roman" w:cs="Arial"/>
          <w:lang w:eastAsia="en-GB"/>
        </w:rPr>
        <w:t xml:space="preserve"> Partial evidence that suggests transformational change is likely</w:t>
      </w:r>
      <w:r w:rsidR="00E8022B">
        <w:rPr>
          <w:rFonts w:eastAsia="Times New Roman" w:cs="Arial"/>
          <w:lang w:eastAsia="en-GB"/>
        </w:rPr>
        <w:t>.</w:t>
      </w:r>
      <w:r w:rsidRPr="00D25162" w:rsidR="00167D10">
        <w:rPr>
          <w:rFonts w:eastAsia="Times New Roman" w:cs="Arial"/>
          <w:lang w:eastAsia="en-GB"/>
        </w:rPr>
        <w:br/>
      </w:r>
      <w:r w:rsidRPr="00C97A0D" w:rsidR="00167D10">
        <w:rPr>
          <w:rStyle w:val="Boldtext"/>
        </w:rPr>
        <w:t>5</w:t>
      </w:r>
      <w:r w:rsidRPr="00C97A0D" w:rsidR="00167D10">
        <w:t>:</w:t>
      </w:r>
      <w:r w:rsidRPr="00D25162" w:rsidR="00167D10">
        <w:rPr>
          <w:rFonts w:eastAsia="Times New Roman" w:cs="Arial"/>
          <w:lang w:eastAsia="en-GB"/>
        </w:rPr>
        <w:t xml:space="preserve"> Substantial evidence that suggests transformational change is likely or already occurring</w:t>
      </w:r>
      <w:r w:rsidR="00E8022B">
        <w:rPr>
          <w:rFonts w:eastAsia="Times New Roman" w:cs="Arial"/>
          <w:lang w:eastAsia="en-GB"/>
        </w:rPr>
        <w:t>.</w:t>
      </w:r>
    </w:p>
    <w:p w:rsidR="00167D10" w:rsidP="00D847FD" w:rsidRDefault="00167D10" w14:paraId="5EEE00BF" w14:textId="77777777">
      <w:pPr>
        <w:rPr>
          <w:rStyle w:val="Boldtext"/>
          <w:b w:val="0"/>
          <w:bCs/>
        </w:rPr>
      </w:pPr>
    </w:p>
    <w:p w:rsidR="00B45F73" w:rsidP="009A3A6F" w:rsidRDefault="00B45F73" w14:paraId="0A4126E5" w14:textId="07F9FCF0">
      <w:pPr>
        <w:pStyle w:val="Heading3"/>
        <w:rPr>
          <w:rStyle w:val="Boldtext"/>
          <w:b w:val="0"/>
          <w:bCs/>
        </w:rPr>
      </w:pPr>
      <w:bookmarkStart w:name="_Toc188870873" w:id="112"/>
      <w:bookmarkStart w:name="_Toc207790212" w:id="113"/>
      <w:r>
        <w:rPr>
          <w:rStyle w:val="Boldtext"/>
          <w:b w:val="0"/>
          <w:bCs/>
        </w:rPr>
        <w:t>Current KPI15 methodology: scoring for MAGC</w:t>
      </w:r>
      <w:bookmarkEnd w:id="112"/>
      <w:bookmarkEnd w:id="113"/>
    </w:p>
    <w:p w:rsidRPr="00780987" w:rsidR="00CE09F5" w:rsidP="00D847FD" w:rsidRDefault="00780987" w14:paraId="255B0981" w14:textId="192B86AA">
      <w:pPr>
        <w:rPr>
          <w:bCs/>
        </w:rPr>
      </w:pPr>
      <w:r>
        <w:rPr>
          <w:rStyle w:val="Boldtext"/>
          <w:b w:val="0"/>
          <w:bCs/>
        </w:rPr>
        <w:t xml:space="preserve">When applying the current KPI15 methodology, the score of transformational change for MAGC </w:t>
      </w:r>
      <w:r w:rsidR="0004623A">
        <w:rPr>
          <w:rStyle w:val="Boldtext"/>
          <w:b w:val="0"/>
          <w:bCs/>
        </w:rPr>
        <w:t>at this stage of the programme</w:t>
      </w:r>
      <w:r w:rsidR="00A26DC0">
        <w:rPr>
          <w:rStyle w:val="Boldtext"/>
          <w:b w:val="0"/>
          <w:bCs/>
        </w:rPr>
        <w:t xml:space="preserve"> (2024)</w:t>
      </w:r>
      <w:r w:rsidR="0004623A">
        <w:rPr>
          <w:rStyle w:val="Boldtext"/>
          <w:b w:val="0"/>
          <w:bCs/>
        </w:rPr>
        <w:t xml:space="preserve"> </w:t>
      </w:r>
      <w:r>
        <w:rPr>
          <w:rStyle w:val="Boldtext"/>
          <w:b w:val="0"/>
          <w:bCs/>
        </w:rPr>
        <w:t xml:space="preserve">is </w:t>
      </w:r>
      <w:r>
        <w:rPr>
          <w:rFonts w:eastAsia="Times New Roman" w:cs="Arial"/>
          <w:b/>
          <w:bCs/>
          <w:lang w:eastAsia="en-GB"/>
        </w:rPr>
        <w:t>4</w:t>
      </w:r>
      <w:r w:rsidRPr="00D25162">
        <w:rPr>
          <w:rFonts w:eastAsia="Times New Roman" w:cs="Arial"/>
          <w:b/>
          <w:bCs/>
          <w:lang w:eastAsia="en-GB"/>
        </w:rPr>
        <w:t xml:space="preserve">: </w:t>
      </w:r>
      <w:r w:rsidRPr="00033597">
        <w:rPr>
          <w:rFonts w:eastAsia="Times New Roman" w:cs="Arial"/>
          <w:b/>
          <w:bCs/>
          <w:lang w:eastAsia="en-GB"/>
        </w:rPr>
        <w:t>Partial evidence that suggests transformational change is likely</w:t>
      </w:r>
      <w:r>
        <w:rPr>
          <w:rStyle w:val="Boldtext"/>
          <w:b w:val="0"/>
          <w:bCs/>
        </w:rPr>
        <w:t>. A breakdown of each indicator is provided below</w:t>
      </w:r>
      <w:r w:rsidRPr="00C97A0D" w:rsidR="00CE09F5">
        <w:t>.</w:t>
      </w:r>
    </w:p>
    <w:p w:rsidRPr="00E13638" w:rsidR="005F364E" w:rsidP="00E13638" w:rsidRDefault="005F364E" w14:paraId="28460CC5" w14:textId="4738E465">
      <w:pPr>
        <w:sectPr w:rsidRPr="00E13638" w:rsidR="005F364E" w:rsidSect="006D58B6">
          <w:headerReference w:type="default" r:id="rId28"/>
          <w:footerReference w:type="default" r:id="rId29"/>
          <w:pgSz w:w="11906" w:h="16838" w:orient="portrait"/>
          <w:pgMar w:top="1418" w:right="907" w:bottom="907" w:left="907" w:header="709" w:footer="266" w:gutter="0"/>
          <w:cols w:space="708"/>
          <w:docGrid w:linePitch="360"/>
        </w:sectPr>
      </w:pPr>
    </w:p>
    <w:tbl>
      <w:tblPr>
        <w:tblStyle w:val="Table-DarkblueBanded"/>
        <w:tblW w:w="15160" w:type="dxa"/>
        <w:tblLook w:val="04A0" w:firstRow="1" w:lastRow="0" w:firstColumn="1" w:lastColumn="0" w:noHBand="0" w:noVBand="1"/>
      </w:tblPr>
      <w:tblGrid>
        <w:gridCol w:w="2260"/>
        <w:gridCol w:w="3552"/>
        <w:gridCol w:w="3961"/>
        <w:gridCol w:w="5387"/>
      </w:tblGrid>
      <w:tr w:rsidRPr="00CE09F5" w:rsidR="005F364E" w:rsidTr="00E13638" w14:paraId="35C6A93B" w14:textId="77777777">
        <w:trPr>
          <w:cnfStyle w:val="100000000000" w:firstRow="1" w:lastRow="0" w:firstColumn="0" w:lastColumn="0" w:oddVBand="0" w:evenVBand="0" w:oddHBand="0" w:evenHBand="0" w:firstRowFirstColumn="0" w:firstRowLastColumn="0" w:lastRowFirstColumn="0" w:lastRowLastColumn="0"/>
          <w:trHeight w:val="300"/>
        </w:trPr>
        <w:tc>
          <w:tcPr>
            <w:tcW w:w="15160" w:type="dxa"/>
            <w:gridSpan w:val="4"/>
            <w:shd w:val="clear" w:color="auto" w:fill="FFFFFF" w:themeFill="background1"/>
          </w:tcPr>
          <w:p w:rsidRPr="00E13638" w:rsidR="005F364E" w:rsidRDefault="005F364E" w14:paraId="196AEB04" w14:textId="21F3092B">
            <w:pPr>
              <w:spacing w:after="0" w:line="240" w:lineRule="auto"/>
              <w:textAlignment w:val="baseline"/>
              <w:rPr>
                <w:rFonts w:cs="Arial"/>
                <w:bCs/>
                <w:szCs w:val="24"/>
              </w:rPr>
            </w:pPr>
            <w:r w:rsidRPr="00E13638">
              <w:rPr>
                <w:rFonts w:cs="Arial"/>
                <w:bCs/>
                <w:color w:val="auto"/>
                <w:szCs w:val="24"/>
              </w:rPr>
              <w:t>Table</w:t>
            </w:r>
            <w:r>
              <w:rPr>
                <w:rFonts w:cs="Arial"/>
                <w:bCs/>
                <w:color w:val="auto"/>
                <w:szCs w:val="24"/>
              </w:rPr>
              <w:t xml:space="preserve"> 8. MAGC KPI15 scoring</w:t>
            </w:r>
          </w:p>
        </w:tc>
      </w:tr>
      <w:tr w:rsidRPr="00CE09F5" w:rsidR="00C97A0D" w:rsidTr="00E13638" w14:paraId="7B07993B"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shd w:val="clear" w:color="auto" w:fill="041E42"/>
            <w:hideMark/>
          </w:tcPr>
          <w:p w:rsidRPr="00E13638" w:rsidR="00C97A0D" w:rsidRDefault="00C97A0D" w14:paraId="3183A3DB" w14:textId="77777777">
            <w:pPr>
              <w:spacing w:after="0" w:line="240" w:lineRule="auto"/>
              <w:textAlignment w:val="baseline"/>
              <w:rPr>
                <w:rFonts w:cs="Arial"/>
                <w:b/>
                <w:color w:val="FFFFFF" w:themeColor="background1"/>
                <w:sz w:val="20"/>
                <w:szCs w:val="20"/>
              </w:rPr>
            </w:pPr>
            <w:r w:rsidRPr="00E13638">
              <w:rPr>
                <w:rFonts w:cs="Arial"/>
                <w:b/>
                <w:color w:val="FFFFFF" w:themeColor="background1"/>
                <w:sz w:val="20"/>
                <w:szCs w:val="20"/>
              </w:rPr>
              <w:t>Criteria   </w:t>
            </w:r>
          </w:p>
        </w:tc>
        <w:tc>
          <w:tcPr>
            <w:tcW w:w="3552" w:type="dxa"/>
            <w:shd w:val="clear" w:color="auto" w:fill="041E42"/>
            <w:hideMark/>
          </w:tcPr>
          <w:p w:rsidRPr="00E13638" w:rsidR="00C97A0D" w:rsidRDefault="00C97A0D" w14:paraId="2231E8EB" w14:textId="77777777">
            <w:pPr>
              <w:spacing w:after="0" w:line="240" w:lineRule="auto"/>
              <w:textAlignment w:val="baseline"/>
              <w:rPr>
                <w:rFonts w:cs="Arial"/>
                <w:b/>
                <w:color w:val="FFFFFF" w:themeColor="background1"/>
                <w:sz w:val="20"/>
                <w:szCs w:val="20"/>
              </w:rPr>
            </w:pPr>
            <w:r w:rsidRPr="00E13638">
              <w:rPr>
                <w:rFonts w:cs="Arial"/>
                <w:b/>
                <w:color w:val="FFFFFF" w:themeColor="background1"/>
                <w:sz w:val="20"/>
                <w:szCs w:val="20"/>
              </w:rPr>
              <w:t>Metric   </w:t>
            </w:r>
          </w:p>
        </w:tc>
        <w:tc>
          <w:tcPr>
            <w:tcW w:w="3961" w:type="dxa"/>
            <w:shd w:val="clear" w:color="auto" w:fill="041E42"/>
            <w:hideMark/>
          </w:tcPr>
          <w:p w:rsidRPr="00E13638" w:rsidR="00C97A0D" w:rsidRDefault="00C97A0D" w14:paraId="6FC14979" w14:textId="77777777">
            <w:pPr>
              <w:spacing w:after="0" w:line="240" w:lineRule="auto"/>
              <w:textAlignment w:val="baseline"/>
              <w:rPr>
                <w:rFonts w:cs="Arial"/>
                <w:b/>
                <w:color w:val="FFFFFF" w:themeColor="background1"/>
                <w:sz w:val="20"/>
                <w:szCs w:val="20"/>
              </w:rPr>
            </w:pPr>
            <w:r w:rsidRPr="00E13638">
              <w:rPr>
                <w:rFonts w:cs="Arial"/>
                <w:b/>
                <w:color w:val="FFFFFF" w:themeColor="background1"/>
                <w:sz w:val="20"/>
                <w:szCs w:val="20"/>
              </w:rPr>
              <w:t>Data   </w:t>
            </w:r>
            <w:r w:rsidRPr="00E13638">
              <w:rPr>
                <w:rFonts w:cs="Arial"/>
                <w:b/>
                <w:color w:val="FFFFFF" w:themeColor="background1"/>
                <w:sz w:val="20"/>
                <w:szCs w:val="20"/>
              </w:rPr>
              <w:br/>
            </w:r>
            <w:r w:rsidRPr="00E13638">
              <w:rPr>
                <w:rFonts w:cs="Arial"/>
                <w:b/>
                <w:color w:val="FFFFFF" w:themeColor="background1"/>
                <w:sz w:val="20"/>
                <w:szCs w:val="20"/>
              </w:rPr>
              <w:t xml:space="preserve">FY24 </w:t>
            </w:r>
          </w:p>
        </w:tc>
        <w:tc>
          <w:tcPr>
            <w:tcW w:w="5387" w:type="dxa"/>
            <w:shd w:val="clear" w:color="auto" w:fill="041E42"/>
            <w:hideMark/>
          </w:tcPr>
          <w:p w:rsidRPr="00E13638" w:rsidR="00C97A0D" w:rsidRDefault="00C97A0D" w14:paraId="652C9972" w14:textId="77777777">
            <w:pPr>
              <w:spacing w:after="0" w:line="240" w:lineRule="auto"/>
              <w:textAlignment w:val="baseline"/>
              <w:rPr>
                <w:rFonts w:cs="Arial"/>
                <w:b/>
                <w:color w:val="FFFFFF" w:themeColor="background1"/>
                <w:sz w:val="20"/>
                <w:szCs w:val="20"/>
              </w:rPr>
            </w:pPr>
            <w:r w:rsidRPr="00E13638">
              <w:rPr>
                <w:rFonts w:cs="Arial"/>
                <w:b/>
                <w:color w:val="FFFFFF" w:themeColor="background1"/>
                <w:sz w:val="20"/>
                <w:szCs w:val="20"/>
              </w:rPr>
              <w:t>Score and Justification   </w:t>
            </w:r>
          </w:p>
        </w:tc>
      </w:tr>
      <w:tr w:rsidRPr="00CE09F5" w:rsidR="00C97A0D" w:rsidTr="00E13638" w14:paraId="43A84054"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vMerge w:val="restart"/>
            <w:hideMark/>
          </w:tcPr>
          <w:p w:rsidRPr="0030350A" w:rsidR="00C97A0D" w:rsidRDefault="00C97A0D" w14:paraId="7C08ECDB" w14:textId="574B22B4">
            <w:pPr>
              <w:spacing w:after="0" w:line="240" w:lineRule="auto"/>
              <w:textAlignment w:val="baseline"/>
              <w:rPr>
                <w:rFonts w:cs="Arial"/>
                <w:sz w:val="20"/>
                <w:szCs w:val="20"/>
              </w:rPr>
            </w:pPr>
            <w:r w:rsidRPr="0030350A">
              <w:rPr>
                <w:rFonts w:cs="Arial"/>
                <w:b/>
                <w:bCs/>
                <w:sz w:val="20"/>
                <w:szCs w:val="20"/>
              </w:rPr>
              <w:t xml:space="preserve">Capacity and Capability </w:t>
            </w:r>
            <w:r w:rsidRPr="0030350A">
              <w:rPr>
                <w:rFonts w:cs="Arial"/>
                <w:sz w:val="20"/>
                <w:szCs w:val="20"/>
              </w:rPr>
              <w:t>   </w:t>
            </w:r>
          </w:p>
        </w:tc>
        <w:tc>
          <w:tcPr>
            <w:tcW w:w="3552" w:type="dxa"/>
            <w:hideMark/>
          </w:tcPr>
          <w:p w:rsidRPr="0030350A" w:rsidR="00C97A0D" w:rsidRDefault="00C97A0D" w14:paraId="7D737542" w14:textId="77777777">
            <w:pPr>
              <w:spacing w:after="0" w:line="240" w:lineRule="auto"/>
              <w:textAlignment w:val="baseline"/>
              <w:rPr>
                <w:rFonts w:cs="Arial"/>
                <w:sz w:val="20"/>
                <w:szCs w:val="20"/>
              </w:rPr>
            </w:pPr>
            <w:r w:rsidRPr="0030350A">
              <w:rPr>
                <w:rFonts w:cs="Arial"/>
                <w:b/>
                <w:bCs/>
                <w:sz w:val="20"/>
                <w:szCs w:val="20"/>
              </w:rPr>
              <w:t>Output 1a.2</w:t>
            </w:r>
            <w:r w:rsidRPr="0030350A">
              <w:rPr>
                <w:rFonts w:cs="Arial"/>
                <w:sz w:val="20"/>
                <w:szCs w:val="20"/>
              </w:rPr>
              <w:t xml:space="preserve"> Cumulative number of financial intermediaries only receiving advisory services.   </w:t>
            </w:r>
          </w:p>
          <w:p w:rsidRPr="0030350A" w:rsidR="00C97A0D" w:rsidRDefault="00C97A0D" w14:paraId="51664DCD" w14:textId="77777777">
            <w:pPr>
              <w:spacing w:after="0" w:line="240" w:lineRule="auto"/>
              <w:textAlignment w:val="baseline"/>
              <w:rPr>
                <w:rFonts w:cs="Arial"/>
                <w:sz w:val="20"/>
                <w:szCs w:val="20"/>
              </w:rPr>
            </w:pPr>
            <w:r w:rsidRPr="0030350A">
              <w:rPr>
                <w:rFonts w:cs="Arial"/>
                <w:sz w:val="20"/>
                <w:szCs w:val="20"/>
              </w:rPr>
              <w:t>   </w:t>
            </w:r>
          </w:p>
        </w:tc>
        <w:tc>
          <w:tcPr>
            <w:tcW w:w="3961" w:type="dxa"/>
            <w:hideMark/>
          </w:tcPr>
          <w:p w:rsidRPr="0030350A" w:rsidR="00C97A0D" w:rsidRDefault="00C97A0D" w14:paraId="5CC38FCE" w14:textId="77777777">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w:t>
            </w:r>
            <w:r>
              <w:rPr>
                <w:rFonts w:cs="Arial"/>
                <w:sz w:val="20"/>
                <w:szCs w:val="20"/>
              </w:rPr>
              <w:t>3</w:t>
            </w:r>
            <w:r w:rsidRPr="0030350A">
              <w:rPr>
                <w:rFonts w:cs="Arial"/>
                <w:sz w:val="20"/>
                <w:szCs w:val="20"/>
              </w:rPr>
              <w:t>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i/>
                <w:iCs/>
                <w:sz w:val="20"/>
                <w:szCs w:val="20"/>
              </w:rPr>
              <w:t>Achieved</w:t>
            </w:r>
            <w:r w:rsidRPr="0030350A">
              <w:rPr>
                <w:rFonts w:cs="Arial"/>
                <w:sz w:val="20"/>
                <w:szCs w:val="20"/>
              </w:rPr>
              <w:t xml:space="preserve">: </w:t>
            </w:r>
            <w:r>
              <w:rPr>
                <w:rFonts w:cs="Arial"/>
                <w:sz w:val="20"/>
                <w:szCs w:val="20"/>
              </w:rPr>
              <w:t>4</w:t>
            </w:r>
            <w:r w:rsidRPr="0030350A">
              <w:rPr>
                <w:rFonts w:cs="Arial"/>
                <w:sz w:val="20"/>
                <w:szCs w:val="20"/>
              </w:rPr>
              <w:t> </w:t>
            </w:r>
          </w:p>
          <w:p w:rsidRPr="0030350A" w:rsidR="00C97A0D" w:rsidRDefault="00C97A0D" w14:paraId="5570C5F9" w14:textId="77777777">
            <w:pPr>
              <w:spacing w:after="0" w:line="240" w:lineRule="auto"/>
              <w:textAlignment w:val="baseline"/>
              <w:rPr>
                <w:rFonts w:cs="Arial"/>
                <w:sz w:val="20"/>
                <w:szCs w:val="20"/>
              </w:rPr>
            </w:pPr>
          </w:p>
        </w:tc>
        <w:tc>
          <w:tcPr>
            <w:tcW w:w="5387" w:type="dxa"/>
            <w:hideMark/>
          </w:tcPr>
          <w:p w:rsidRPr="0030350A" w:rsidR="00C97A0D" w:rsidRDefault="00C97A0D" w14:paraId="6267D020" w14:textId="4E511268">
            <w:pPr>
              <w:spacing w:after="0" w:line="240" w:lineRule="auto"/>
              <w:textAlignment w:val="baseline"/>
              <w:rPr>
                <w:rFonts w:cs="Arial"/>
                <w:sz w:val="20"/>
                <w:szCs w:val="20"/>
                <w:highlight w:val="yellow"/>
              </w:rPr>
            </w:pPr>
            <w:r w:rsidRPr="00585D07">
              <w:rPr>
                <w:rFonts w:cs="Arial"/>
                <w:sz w:val="20"/>
                <w:szCs w:val="20"/>
              </w:rPr>
              <w:t>4: Partial evidence that suggests transformational change is likely  </w:t>
            </w:r>
            <w:r w:rsidRPr="00585D07">
              <w:rPr>
                <w:rFonts w:cs="Arial"/>
                <w:sz w:val="20"/>
                <w:szCs w:val="20"/>
              </w:rPr>
              <w:br/>
            </w:r>
            <w:r w:rsidRPr="00585D07">
              <w:rPr>
                <w:rFonts w:cs="Arial"/>
                <w:sz w:val="20"/>
                <w:szCs w:val="20"/>
              </w:rPr>
              <w:t>  </w:t>
            </w:r>
            <w:r w:rsidRPr="00585D07">
              <w:rPr>
                <w:rFonts w:cs="Arial"/>
                <w:sz w:val="20"/>
                <w:szCs w:val="20"/>
              </w:rPr>
              <w:br/>
            </w:r>
            <w:r w:rsidR="00B20FE2">
              <w:rPr>
                <w:rFonts w:cs="Arial"/>
                <w:sz w:val="20"/>
                <w:szCs w:val="20"/>
              </w:rPr>
              <w:t>Four institutions have been engaged against a target</w:t>
            </w:r>
            <w:r w:rsidR="00D95C60">
              <w:rPr>
                <w:rFonts w:cs="Arial"/>
                <w:sz w:val="20"/>
                <w:szCs w:val="20"/>
              </w:rPr>
              <w:t xml:space="preserve"> of three. </w:t>
            </w:r>
            <w:r w:rsidRPr="00585D07">
              <w:rPr>
                <w:rFonts w:cs="Arial"/>
                <w:sz w:val="20"/>
                <w:szCs w:val="20"/>
              </w:rPr>
              <w:t>This exceeds</w:t>
            </w:r>
            <w:r w:rsidR="00803391">
              <w:rPr>
                <w:rStyle w:val="FootnoteReference"/>
                <w:rFonts w:cs="Arial"/>
                <w:sz w:val="20"/>
                <w:szCs w:val="20"/>
              </w:rPr>
              <w:footnoteReference w:id="20"/>
            </w:r>
            <w:r w:rsidRPr="00585D07">
              <w:rPr>
                <w:rFonts w:cs="Arial"/>
                <w:sz w:val="20"/>
                <w:szCs w:val="20"/>
              </w:rPr>
              <w:t xml:space="preserve"> expected targets at this stage of the programme</w:t>
            </w:r>
            <w:r w:rsidRPr="0030350A">
              <w:rPr>
                <w:rFonts w:cs="Arial"/>
                <w:sz w:val="20"/>
                <w:szCs w:val="20"/>
              </w:rPr>
              <w:t>.    </w:t>
            </w:r>
          </w:p>
        </w:tc>
      </w:tr>
      <w:tr w:rsidRPr="00CE09F5" w:rsidR="00C97A0D" w:rsidTr="00E13638" w14:paraId="1D9D3B05"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vMerge/>
            <w:hideMark/>
          </w:tcPr>
          <w:p w:rsidRPr="0030350A" w:rsidR="00C97A0D" w:rsidRDefault="00C97A0D" w14:paraId="28B8B527" w14:textId="77777777">
            <w:pPr>
              <w:spacing w:after="0" w:line="240" w:lineRule="auto"/>
              <w:rPr>
                <w:rFonts w:cs="Arial"/>
                <w:sz w:val="20"/>
                <w:szCs w:val="20"/>
              </w:rPr>
            </w:pPr>
          </w:p>
        </w:tc>
        <w:tc>
          <w:tcPr>
            <w:tcW w:w="3552" w:type="dxa"/>
            <w:hideMark/>
          </w:tcPr>
          <w:p w:rsidRPr="0030350A" w:rsidR="00C97A0D" w:rsidRDefault="00C97A0D" w14:paraId="510A5C74" w14:textId="77777777">
            <w:pPr>
              <w:spacing w:after="0" w:line="240" w:lineRule="auto"/>
              <w:textAlignment w:val="baseline"/>
              <w:rPr>
                <w:rFonts w:cs="Arial"/>
                <w:sz w:val="20"/>
                <w:szCs w:val="20"/>
              </w:rPr>
            </w:pPr>
            <w:r w:rsidRPr="0030350A">
              <w:rPr>
                <w:rFonts w:cs="Arial"/>
                <w:b/>
                <w:bCs/>
                <w:sz w:val="20"/>
                <w:szCs w:val="20"/>
              </w:rPr>
              <w:t>Output 1a.5</w:t>
            </w:r>
            <w:r w:rsidRPr="0030350A">
              <w:rPr>
                <w:rFonts w:cs="Arial"/>
                <w:sz w:val="20"/>
                <w:szCs w:val="20"/>
              </w:rPr>
              <w:t xml:space="preserve"> Cumulative number of key stakeholders in workshops, trainings, seminars, conferences from financial intermediary level activities.   </w:t>
            </w:r>
          </w:p>
        </w:tc>
        <w:tc>
          <w:tcPr>
            <w:tcW w:w="3961" w:type="dxa"/>
            <w:hideMark/>
          </w:tcPr>
          <w:p w:rsidRPr="0030350A" w:rsidR="00C97A0D" w:rsidRDefault="00C97A0D" w14:paraId="1589AC54" w14:textId="77777777">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w:t>
            </w:r>
            <w:r>
              <w:rPr>
                <w:rFonts w:cs="Arial"/>
                <w:sz w:val="20"/>
                <w:szCs w:val="20"/>
              </w:rPr>
              <w:t>2</w:t>
            </w:r>
            <w:r w:rsidRPr="0030350A">
              <w:rPr>
                <w:rFonts w:cs="Arial"/>
                <w:sz w:val="20"/>
                <w:szCs w:val="20"/>
              </w:rPr>
              <w:t>40  </w:t>
            </w:r>
          </w:p>
          <w:p w:rsidRPr="0030350A" w:rsidR="00C97A0D" w:rsidRDefault="00C97A0D" w14:paraId="5DA4D25A"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1726BD9C" w14:textId="77777777">
            <w:pPr>
              <w:spacing w:after="0" w:line="240" w:lineRule="auto"/>
              <w:textAlignment w:val="baseline"/>
              <w:rPr>
                <w:rFonts w:cs="Arial"/>
                <w:sz w:val="20"/>
                <w:szCs w:val="20"/>
              </w:rPr>
            </w:pPr>
            <w:r w:rsidRPr="0030350A">
              <w:rPr>
                <w:rFonts w:cs="Arial"/>
                <w:i/>
                <w:iCs/>
                <w:sz w:val="20"/>
                <w:szCs w:val="20"/>
              </w:rPr>
              <w:t xml:space="preserve">Achieved: </w:t>
            </w:r>
            <w:r>
              <w:rPr>
                <w:rFonts w:cs="Arial"/>
                <w:sz w:val="20"/>
                <w:szCs w:val="20"/>
              </w:rPr>
              <w:t>930</w:t>
            </w:r>
            <w:r w:rsidRPr="0030350A">
              <w:rPr>
                <w:rFonts w:cs="Arial"/>
                <w:sz w:val="20"/>
                <w:szCs w:val="20"/>
              </w:rPr>
              <w:t> </w:t>
            </w:r>
          </w:p>
        </w:tc>
        <w:tc>
          <w:tcPr>
            <w:tcW w:w="5387" w:type="dxa"/>
            <w:hideMark/>
          </w:tcPr>
          <w:p w:rsidRPr="0030350A" w:rsidR="00C97A0D" w:rsidRDefault="00C97A0D" w14:paraId="4444C743" w14:textId="1FCECA12">
            <w:pPr>
              <w:spacing w:after="0" w:line="240" w:lineRule="auto"/>
              <w:textAlignment w:val="baseline"/>
              <w:rPr>
                <w:rFonts w:cs="Arial"/>
                <w:sz w:val="20"/>
                <w:szCs w:val="20"/>
              </w:rPr>
            </w:pPr>
            <w:r w:rsidRPr="0030350A">
              <w:rPr>
                <w:rFonts w:cs="Arial"/>
                <w:sz w:val="20"/>
                <w:szCs w:val="20"/>
              </w:rPr>
              <w:t>5: Substantial evidence that suggests transformational change is likely or already occurring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This considerably exceeds expected targets at this stage of the programme</w:t>
            </w:r>
            <w:r w:rsidR="005E5A1F">
              <w:rPr>
                <w:rFonts w:cs="Arial"/>
                <w:sz w:val="20"/>
                <w:szCs w:val="20"/>
              </w:rPr>
              <w:t xml:space="preserve">, </w:t>
            </w:r>
            <w:r w:rsidR="00F67890">
              <w:rPr>
                <w:rFonts w:cs="Arial"/>
                <w:sz w:val="20"/>
                <w:szCs w:val="20"/>
              </w:rPr>
              <w:t>considering</w:t>
            </w:r>
            <w:r w:rsidR="005E5A1F">
              <w:rPr>
                <w:rFonts w:cs="Arial"/>
                <w:sz w:val="20"/>
                <w:szCs w:val="20"/>
              </w:rPr>
              <w:t xml:space="preserve"> targets </w:t>
            </w:r>
            <w:r w:rsidR="00F67890">
              <w:rPr>
                <w:rFonts w:cs="Arial"/>
                <w:sz w:val="20"/>
                <w:szCs w:val="20"/>
              </w:rPr>
              <w:t>have been</w:t>
            </w:r>
            <w:r w:rsidR="005E5A1F">
              <w:rPr>
                <w:rFonts w:cs="Arial"/>
                <w:sz w:val="20"/>
                <w:szCs w:val="20"/>
              </w:rPr>
              <w:t xml:space="preserve"> made more ambitious (</w:t>
            </w:r>
            <w:r w:rsidR="00F67890">
              <w:rPr>
                <w:rFonts w:cs="Arial"/>
                <w:sz w:val="20"/>
                <w:szCs w:val="20"/>
              </w:rPr>
              <w:t xml:space="preserve">expected </w:t>
            </w:r>
            <w:r w:rsidR="005E5A1F">
              <w:rPr>
                <w:rFonts w:cs="Arial"/>
                <w:sz w:val="20"/>
                <w:szCs w:val="20"/>
              </w:rPr>
              <w:t>140</w:t>
            </w:r>
            <w:r w:rsidR="00F67890">
              <w:rPr>
                <w:rFonts w:cs="Arial"/>
                <w:sz w:val="20"/>
                <w:szCs w:val="20"/>
              </w:rPr>
              <w:t xml:space="preserve"> in the previous reporting year</w:t>
            </w:r>
            <w:r w:rsidR="005E5A1F">
              <w:rPr>
                <w:rFonts w:cs="Arial"/>
                <w:sz w:val="20"/>
                <w:szCs w:val="20"/>
              </w:rPr>
              <w:t>)</w:t>
            </w:r>
            <w:r w:rsidRPr="0030350A">
              <w:rPr>
                <w:rFonts w:cs="Arial"/>
                <w:sz w:val="20"/>
                <w:szCs w:val="20"/>
              </w:rPr>
              <w:t>.</w:t>
            </w:r>
          </w:p>
        </w:tc>
      </w:tr>
      <w:tr w:rsidRPr="00CE09F5" w:rsidR="00C97A0D" w:rsidTr="00E13638" w14:paraId="1210F808"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vMerge/>
            <w:hideMark/>
          </w:tcPr>
          <w:p w:rsidRPr="0030350A" w:rsidR="00C97A0D" w:rsidRDefault="00C97A0D" w14:paraId="33EDF4F3" w14:textId="77777777">
            <w:pPr>
              <w:spacing w:after="0" w:line="240" w:lineRule="auto"/>
              <w:rPr>
                <w:rFonts w:cs="Arial"/>
                <w:sz w:val="20"/>
                <w:szCs w:val="20"/>
              </w:rPr>
            </w:pPr>
          </w:p>
        </w:tc>
        <w:tc>
          <w:tcPr>
            <w:tcW w:w="3552" w:type="dxa"/>
            <w:hideMark/>
          </w:tcPr>
          <w:p w:rsidRPr="0030350A" w:rsidR="00C97A0D" w:rsidRDefault="00C97A0D" w14:paraId="4ADAE8B7" w14:textId="77777777">
            <w:pPr>
              <w:spacing w:after="0" w:line="240" w:lineRule="auto"/>
              <w:textAlignment w:val="baseline"/>
              <w:rPr>
                <w:rFonts w:cs="Arial"/>
                <w:sz w:val="20"/>
                <w:szCs w:val="20"/>
              </w:rPr>
            </w:pPr>
            <w:r w:rsidRPr="0030350A">
              <w:rPr>
                <w:rFonts w:cs="Arial"/>
                <w:b/>
                <w:bCs/>
                <w:sz w:val="20"/>
                <w:szCs w:val="20"/>
              </w:rPr>
              <w:t>Output 2.3</w:t>
            </w:r>
            <w:r w:rsidRPr="0030350A">
              <w:rPr>
                <w:rFonts w:cs="Arial"/>
                <w:sz w:val="20"/>
                <w:szCs w:val="20"/>
              </w:rPr>
              <w:t xml:space="preserve"> Cumulative number of EDGE Auditors and Experts   </w:t>
            </w:r>
          </w:p>
        </w:tc>
        <w:tc>
          <w:tcPr>
            <w:tcW w:w="3961" w:type="dxa"/>
            <w:hideMark/>
          </w:tcPr>
          <w:p w:rsidRPr="0030350A" w:rsidR="00C97A0D" w:rsidRDefault="00C97A0D" w14:paraId="4B1E9789" w14:textId="77777777">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w:t>
            </w:r>
            <w:r>
              <w:rPr>
                <w:rFonts w:cs="Arial"/>
                <w:sz w:val="20"/>
                <w:szCs w:val="20"/>
              </w:rPr>
              <w:t>1,500</w:t>
            </w:r>
          </w:p>
          <w:p w:rsidRPr="0030350A" w:rsidR="00C97A0D" w:rsidRDefault="00C97A0D" w14:paraId="6FA8418D"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24E7B5CF" w14:textId="77777777">
            <w:pPr>
              <w:spacing w:after="0" w:line="240" w:lineRule="auto"/>
              <w:textAlignment w:val="baseline"/>
              <w:rPr>
                <w:rFonts w:cs="Arial"/>
                <w:sz w:val="20"/>
                <w:szCs w:val="20"/>
              </w:rPr>
            </w:pPr>
            <w:r w:rsidRPr="0030350A">
              <w:rPr>
                <w:rFonts w:cs="Arial"/>
                <w:i/>
                <w:iCs/>
                <w:sz w:val="20"/>
                <w:szCs w:val="20"/>
              </w:rPr>
              <w:t>Achieved:</w:t>
            </w:r>
            <w:r w:rsidRPr="0030350A">
              <w:rPr>
                <w:rFonts w:cs="Arial"/>
                <w:sz w:val="20"/>
                <w:szCs w:val="20"/>
              </w:rPr>
              <w:t>  </w:t>
            </w:r>
            <w:r>
              <w:rPr>
                <w:rFonts w:cs="Arial"/>
                <w:sz w:val="20"/>
                <w:szCs w:val="20"/>
              </w:rPr>
              <w:t>1,911</w:t>
            </w:r>
          </w:p>
        </w:tc>
        <w:tc>
          <w:tcPr>
            <w:tcW w:w="5387" w:type="dxa"/>
            <w:hideMark/>
          </w:tcPr>
          <w:p w:rsidRPr="0030350A" w:rsidR="00C97A0D" w:rsidRDefault="00C97A0D" w14:paraId="68369C24" w14:textId="6AA2DBA6">
            <w:pPr>
              <w:spacing w:after="0" w:line="240" w:lineRule="auto"/>
              <w:textAlignment w:val="baseline"/>
              <w:rPr>
                <w:rFonts w:cs="Arial"/>
                <w:sz w:val="20"/>
                <w:szCs w:val="20"/>
              </w:rPr>
            </w:pPr>
            <w:r w:rsidRPr="0030350A">
              <w:rPr>
                <w:rFonts w:cs="Arial"/>
                <w:sz w:val="20"/>
                <w:szCs w:val="20"/>
              </w:rPr>
              <w:t>4: Partial evidence that suggests transformational change is likely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 xml:space="preserve">This </w:t>
            </w:r>
            <w:r w:rsidR="000B1793">
              <w:rPr>
                <w:rFonts w:cs="Arial"/>
                <w:sz w:val="20"/>
                <w:szCs w:val="20"/>
              </w:rPr>
              <w:t xml:space="preserve">result </w:t>
            </w:r>
            <w:r w:rsidR="006F02AC">
              <w:rPr>
                <w:rFonts w:cs="Arial"/>
                <w:sz w:val="20"/>
                <w:szCs w:val="20"/>
              </w:rPr>
              <w:t xml:space="preserve">slightly </w:t>
            </w:r>
            <w:r w:rsidRPr="0030350A">
              <w:rPr>
                <w:rFonts w:cs="Arial"/>
                <w:sz w:val="20"/>
                <w:szCs w:val="20"/>
              </w:rPr>
              <w:t>exceeds expected targets at this stage of the programme</w:t>
            </w:r>
            <w:r w:rsidR="003B2977">
              <w:rPr>
                <w:rFonts w:cs="Arial"/>
                <w:sz w:val="20"/>
                <w:szCs w:val="20"/>
              </w:rPr>
              <w:t xml:space="preserve"> (in the previous reporting year, 1,456</w:t>
            </w:r>
            <w:r w:rsidR="00C7629E">
              <w:rPr>
                <w:rFonts w:cs="Arial"/>
                <w:sz w:val="20"/>
                <w:szCs w:val="20"/>
              </w:rPr>
              <w:t xml:space="preserve"> was the number achieved)</w:t>
            </w:r>
            <w:r w:rsidRPr="0030350A" w:rsidR="00F67890">
              <w:rPr>
                <w:rFonts w:cs="Arial"/>
                <w:sz w:val="20"/>
                <w:szCs w:val="20"/>
              </w:rPr>
              <w:t>.</w:t>
            </w:r>
            <w:r w:rsidRPr="0030350A">
              <w:rPr>
                <w:rFonts w:cs="Arial"/>
                <w:sz w:val="20"/>
                <w:szCs w:val="20"/>
              </w:rPr>
              <w:t>  </w:t>
            </w:r>
          </w:p>
        </w:tc>
      </w:tr>
      <w:tr w:rsidRPr="00CE09F5" w:rsidR="00C97A0D" w:rsidTr="00E13638" w14:paraId="219F443A"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vMerge/>
            <w:hideMark/>
          </w:tcPr>
          <w:p w:rsidRPr="0030350A" w:rsidR="00C97A0D" w:rsidRDefault="00C97A0D" w14:paraId="3008146A" w14:textId="77777777">
            <w:pPr>
              <w:spacing w:after="0" w:line="240" w:lineRule="auto"/>
              <w:rPr>
                <w:rFonts w:cs="Arial"/>
                <w:sz w:val="20"/>
                <w:szCs w:val="20"/>
              </w:rPr>
            </w:pPr>
          </w:p>
        </w:tc>
        <w:tc>
          <w:tcPr>
            <w:tcW w:w="3552" w:type="dxa"/>
            <w:hideMark/>
          </w:tcPr>
          <w:p w:rsidRPr="0030350A" w:rsidR="00C97A0D" w:rsidRDefault="00C97A0D" w14:paraId="4103E140" w14:textId="77777777">
            <w:pPr>
              <w:spacing w:after="0" w:line="240" w:lineRule="auto"/>
              <w:textAlignment w:val="baseline"/>
              <w:rPr>
                <w:rFonts w:cs="Arial"/>
                <w:sz w:val="20"/>
                <w:szCs w:val="20"/>
              </w:rPr>
            </w:pPr>
            <w:r w:rsidRPr="0030350A">
              <w:rPr>
                <w:rFonts w:cs="Arial"/>
                <w:b/>
                <w:bCs/>
                <w:sz w:val="20"/>
                <w:szCs w:val="20"/>
              </w:rPr>
              <w:t>Output 2.4</w:t>
            </w:r>
            <w:r w:rsidRPr="0030350A">
              <w:rPr>
                <w:rFonts w:cs="Arial"/>
                <w:sz w:val="20"/>
                <w:szCs w:val="20"/>
              </w:rPr>
              <w:t xml:space="preserve"> Global number of active EDGE Users.   </w:t>
            </w:r>
          </w:p>
        </w:tc>
        <w:tc>
          <w:tcPr>
            <w:tcW w:w="3961" w:type="dxa"/>
            <w:hideMark/>
          </w:tcPr>
          <w:p w:rsidRPr="0030350A" w:rsidR="00C97A0D" w:rsidRDefault="00C97A0D" w14:paraId="4CE53DAC" w14:textId="77777777">
            <w:pPr>
              <w:spacing w:after="0" w:line="240" w:lineRule="auto"/>
              <w:textAlignment w:val="baseline"/>
              <w:rPr>
                <w:rFonts w:cs="Arial"/>
                <w:sz w:val="20"/>
                <w:szCs w:val="20"/>
              </w:rPr>
            </w:pPr>
            <w:r w:rsidRPr="0030350A">
              <w:rPr>
                <w:rFonts w:cs="Arial"/>
                <w:i/>
                <w:iCs/>
                <w:sz w:val="20"/>
                <w:szCs w:val="20"/>
              </w:rPr>
              <w:t xml:space="preserve">Expected: </w:t>
            </w:r>
            <w:r w:rsidRPr="00CE09F5">
              <w:rPr>
                <w:rFonts w:cs="Arial"/>
                <w:sz w:val="20"/>
                <w:szCs w:val="20"/>
              </w:rPr>
              <w:t>18</w:t>
            </w:r>
            <w:r>
              <w:rPr>
                <w:rFonts w:cs="Arial"/>
                <w:sz w:val="20"/>
                <w:szCs w:val="20"/>
              </w:rPr>
              <w:t>,</w:t>
            </w:r>
            <w:r w:rsidRPr="00CE09F5">
              <w:rPr>
                <w:rFonts w:cs="Arial"/>
                <w:sz w:val="20"/>
                <w:szCs w:val="20"/>
              </w:rPr>
              <w:t>758</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i/>
                <w:iCs/>
                <w:sz w:val="20"/>
                <w:szCs w:val="20"/>
              </w:rPr>
              <w:t>Achieved:</w:t>
            </w:r>
            <w:r>
              <w:t xml:space="preserve"> </w:t>
            </w:r>
            <w:r w:rsidRPr="00CE09F5">
              <w:rPr>
                <w:rFonts w:cs="Arial"/>
                <w:sz w:val="20"/>
                <w:szCs w:val="20"/>
              </w:rPr>
              <w:t>24</w:t>
            </w:r>
            <w:r>
              <w:rPr>
                <w:rFonts w:cs="Arial"/>
                <w:sz w:val="20"/>
                <w:szCs w:val="20"/>
              </w:rPr>
              <w:t>,</w:t>
            </w:r>
            <w:r w:rsidRPr="00CE09F5">
              <w:rPr>
                <w:rFonts w:cs="Arial"/>
                <w:sz w:val="20"/>
                <w:szCs w:val="20"/>
              </w:rPr>
              <w:t>210</w:t>
            </w:r>
          </w:p>
        </w:tc>
        <w:tc>
          <w:tcPr>
            <w:tcW w:w="5387" w:type="dxa"/>
            <w:hideMark/>
          </w:tcPr>
          <w:p w:rsidRPr="0030350A" w:rsidR="00C97A0D" w:rsidRDefault="00C97A0D" w14:paraId="117BDF21" w14:textId="04D156A2">
            <w:pPr>
              <w:spacing w:after="0" w:line="240" w:lineRule="auto"/>
              <w:textAlignment w:val="baseline"/>
              <w:rPr>
                <w:rFonts w:cs="Arial"/>
                <w:sz w:val="20"/>
                <w:szCs w:val="20"/>
              </w:rPr>
            </w:pPr>
            <w:r w:rsidRPr="0030350A">
              <w:rPr>
                <w:rFonts w:cs="Arial"/>
                <w:sz w:val="20"/>
                <w:szCs w:val="20"/>
              </w:rPr>
              <w:t>4: Partial evidence that suggests transformational change is likely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This exceeds expected targets at this stage of the programme</w:t>
            </w:r>
            <w:r w:rsidR="00207B3B">
              <w:rPr>
                <w:rFonts w:cs="Arial"/>
                <w:sz w:val="20"/>
                <w:szCs w:val="20"/>
              </w:rPr>
              <w:t xml:space="preserve"> (</w:t>
            </w:r>
            <w:r w:rsidR="00F203E9">
              <w:rPr>
                <w:rFonts w:cs="Arial"/>
                <w:sz w:val="20"/>
                <w:szCs w:val="20"/>
              </w:rPr>
              <w:t>in the previous reporting year, 19,867 was the number achieved)</w:t>
            </w:r>
            <w:r w:rsidRPr="0030350A">
              <w:rPr>
                <w:rFonts w:cs="Arial"/>
                <w:sz w:val="20"/>
                <w:szCs w:val="20"/>
              </w:rPr>
              <w:t>.</w:t>
            </w:r>
          </w:p>
          <w:p w:rsidRPr="0030350A" w:rsidR="00C97A0D" w:rsidRDefault="00C97A0D" w14:paraId="582BC130" w14:textId="77777777">
            <w:pPr>
              <w:spacing w:after="0" w:line="240" w:lineRule="auto"/>
              <w:textAlignment w:val="baseline"/>
              <w:rPr>
                <w:rFonts w:cs="Arial"/>
                <w:sz w:val="20"/>
                <w:szCs w:val="20"/>
              </w:rPr>
            </w:pPr>
          </w:p>
        </w:tc>
      </w:tr>
      <w:tr w:rsidRPr="00CE09F5" w:rsidR="00C97A0D" w:rsidTr="00E13638" w14:paraId="2016B29F"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vMerge/>
            <w:hideMark/>
          </w:tcPr>
          <w:p w:rsidRPr="0030350A" w:rsidR="00C97A0D" w:rsidRDefault="00C97A0D" w14:paraId="76092D39" w14:textId="77777777">
            <w:pPr>
              <w:spacing w:after="0" w:line="240" w:lineRule="auto"/>
              <w:rPr>
                <w:rFonts w:cs="Arial"/>
                <w:sz w:val="20"/>
                <w:szCs w:val="20"/>
              </w:rPr>
            </w:pPr>
          </w:p>
        </w:tc>
        <w:tc>
          <w:tcPr>
            <w:tcW w:w="3552" w:type="dxa"/>
            <w:hideMark/>
          </w:tcPr>
          <w:p w:rsidRPr="0030350A" w:rsidR="00C97A0D" w:rsidRDefault="00C97A0D" w14:paraId="5918E0D6" w14:textId="77777777">
            <w:pPr>
              <w:spacing w:after="0" w:line="240" w:lineRule="auto"/>
              <w:textAlignment w:val="baseline"/>
              <w:rPr>
                <w:rFonts w:cs="Arial"/>
                <w:sz w:val="20"/>
                <w:szCs w:val="20"/>
              </w:rPr>
            </w:pPr>
            <w:r w:rsidRPr="0030350A">
              <w:rPr>
                <w:rFonts w:cs="Arial"/>
                <w:b/>
                <w:bCs/>
                <w:sz w:val="20"/>
                <w:szCs w:val="20"/>
              </w:rPr>
              <w:t>Output 2.6</w:t>
            </w:r>
            <w:r w:rsidRPr="0030350A">
              <w:rPr>
                <w:rFonts w:cs="Arial"/>
                <w:sz w:val="20"/>
                <w:szCs w:val="20"/>
              </w:rPr>
              <w:t xml:space="preserve"> Percent of survey respondents (attending MAGC TA/Research events) reporting increased knowledge of certified green buildings.   </w:t>
            </w:r>
          </w:p>
        </w:tc>
        <w:tc>
          <w:tcPr>
            <w:tcW w:w="3961" w:type="dxa"/>
            <w:hideMark/>
          </w:tcPr>
          <w:p w:rsidRPr="0030350A" w:rsidR="00C97A0D" w:rsidRDefault="00C97A0D" w14:paraId="2A7658C5" w14:textId="77777777">
            <w:pPr>
              <w:spacing w:after="0" w:line="240" w:lineRule="auto"/>
              <w:textAlignment w:val="baseline"/>
              <w:rPr>
                <w:rFonts w:cs="Arial"/>
                <w:sz w:val="20"/>
                <w:szCs w:val="20"/>
              </w:rPr>
            </w:pPr>
            <w:r w:rsidRPr="0030350A">
              <w:rPr>
                <w:rFonts w:cs="Arial"/>
                <w:i/>
                <w:iCs/>
                <w:sz w:val="20"/>
                <w:szCs w:val="20"/>
              </w:rPr>
              <w:t>Expected: 8</w:t>
            </w:r>
            <w:r w:rsidRPr="0030350A">
              <w:rPr>
                <w:rFonts w:cs="Arial"/>
                <w:sz w:val="20"/>
                <w:szCs w:val="20"/>
              </w:rPr>
              <w:t>0%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i/>
                <w:iCs/>
                <w:sz w:val="20"/>
                <w:szCs w:val="20"/>
              </w:rPr>
              <w:t xml:space="preserve">Achieved: </w:t>
            </w:r>
            <w:r>
              <w:rPr>
                <w:rFonts w:cs="Arial"/>
                <w:sz w:val="20"/>
                <w:szCs w:val="20"/>
              </w:rPr>
              <w:t>97%</w:t>
            </w:r>
            <w:r w:rsidRPr="0030350A">
              <w:rPr>
                <w:rFonts w:cs="Arial"/>
                <w:sz w:val="20"/>
                <w:szCs w:val="20"/>
              </w:rPr>
              <w:t> </w:t>
            </w:r>
          </w:p>
        </w:tc>
        <w:tc>
          <w:tcPr>
            <w:tcW w:w="5387" w:type="dxa"/>
            <w:hideMark/>
          </w:tcPr>
          <w:p w:rsidRPr="0030350A" w:rsidR="00C97A0D" w:rsidRDefault="00C97A0D" w14:paraId="19384E0B" w14:textId="77777777">
            <w:pPr>
              <w:spacing w:after="0" w:line="240" w:lineRule="auto"/>
              <w:textAlignment w:val="baseline"/>
              <w:rPr>
                <w:rFonts w:cs="Arial"/>
                <w:sz w:val="20"/>
                <w:szCs w:val="20"/>
              </w:rPr>
            </w:pPr>
            <w:r w:rsidRPr="0030350A">
              <w:rPr>
                <w:rFonts w:cs="Arial"/>
                <w:sz w:val="20"/>
                <w:szCs w:val="20"/>
              </w:rPr>
              <w:t>4: Partial evidence that suggests transformational change is likely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This exceeds expected targets at this stage of the programme, with the majority of respondents in MAGC countries</w:t>
            </w:r>
            <w:r>
              <w:rPr>
                <w:rFonts w:cs="Arial"/>
                <w:sz w:val="20"/>
                <w:szCs w:val="20"/>
              </w:rPr>
              <w:t>.</w:t>
            </w:r>
            <w:r w:rsidRPr="0030350A">
              <w:rPr>
                <w:rFonts w:cs="Arial"/>
                <w:sz w:val="20"/>
                <w:szCs w:val="20"/>
              </w:rPr>
              <w:t>  </w:t>
            </w:r>
          </w:p>
        </w:tc>
      </w:tr>
      <w:tr w:rsidRPr="00CE09F5" w:rsidR="00C97A0D" w14:paraId="06F5597C"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hideMark/>
          </w:tcPr>
          <w:p w:rsidRPr="0030350A" w:rsidR="00C97A0D" w:rsidRDefault="00C97A0D" w14:paraId="21CF4133" w14:textId="6DF54AD5">
            <w:pPr>
              <w:spacing w:after="0" w:line="240" w:lineRule="auto"/>
              <w:textAlignment w:val="baseline"/>
              <w:rPr>
                <w:rFonts w:cs="Arial"/>
                <w:sz w:val="20"/>
                <w:szCs w:val="20"/>
              </w:rPr>
            </w:pPr>
            <w:r w:rsidRPr="0030350A">
              <w:rPr>
                <w:rFonts w:cs="Arial"/>
                <w:b/>
                <w:bCs/>
                <w:sz w:val="20"/>
                <w:szCs w:val="20"/>
              </w:rPr>
              <w:t>Capability &amp; Capacity Average Score (25%)</w:t>
            </w:r>
          </w:p>
        </w:tc>
        <w:tc>
          <w:tcPr>
            <w:tcW w:w="12900" w:type="dxa"/>
            <w:gridSpan w:val="3"/>
            <w:hideMark/>
          </w:tcPr>
          <w:p w:rsidRPr="0030350A" w:rsidR="00C97A0D" w:rsidRDefault="00C97A0D" w14:paraId="2705074A" w14:textId="77777777">
            <w:pPr>
              <w:spacing w:after="0" w:line="240" w:lineRule="auto"/>
              <w:jc w:val="right"/>
              <w:textAlignment w:val="baseline"/>
              <w:rPr>
                <w:rFonts w:cs="Arial"/>
                <w:sz w:val="20"/>
                <w:szCs w:val="20"/>
              </w:rPr>
            </w:pPr>
            <w:r w:rsidRPr="0030350A">
              <w:rPr>
                <w:rFonts w:cs="Arial"/>
                <w:b/>
                <w:bCs/>
                <w:sz w:val="20"/>
                <w:szCs w:val="20"/>
              </w:rPr>
              <w:t>4.2</w:t>
            </w:r>
            <w:r w:rsidRPr="0030350A">
              <w:rPr>
                <w:rFonts w:cs="Arial"/>
                <w:sz w:val="20"/>
                <w:szCs w:val="20"/>
              </w:rPr>
              <w:t>   </w:t>
            </w:r>
          </w:p>
        </w:tc>
      </w:tr>
      <w:tr w:rsidRPr="00CE09F5" w:rsidR="00C97A0D" w:rsidTr="00E13638" w14:paraId="67ABEB07"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hideMark/>
          </w:tcPr>
          <w:p w:rsidRPr="0030350A" w:rsidR="00C97A0D" w:rsidRDefault="00C97A0D" w14:paraId="0D7694FC"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193E3E19" w14:textId="77777777">
            <w:pPr>
              <w:spacing w:after="0" w:line="240" w:lineRule="auto"/>
              <w:textAlignment w:val="baseline"/>
              <w:rPr>
                <w:rFonts w:cs="Arial"/>
                <w:sz w:val="20"/>
                <w:szCs w:val="20"/>
              </w:rPr>
            </w:pPr>
            <w:r w:rsidRPr="0030350A">
              <w:rPr>
                <w:rFonts w:cs="Arial"/>
                <w:sz w:val="20"/>
                <w:szCs w:val="20"/>
              </w:rPr>
              <w:t>   </w:t>
            </w:r>
          </w:p>
        </w:tc>
        <w:tc>
          <w:tcPr>
            <w:tcW w:w="3961" w:type="dxa"/>
            <w:hideMark/>
          </w:tcPr>
          <w:p w:rsidRPr="0030350A" w:rsidR="00C97A0D" w:rsidRDefault="00C97A0D" w14:paraId="03E1018E" w14:textId="77777777">
            <w:pPr>
              <w:spacing w:after="0" w:line="240" w:lineRule="auto"/>
              <w:textAlignment w:val="baseline"/>
              <w:rPr>
                <w:rFonts w:cs="Arial"/>
                <w:sz w:val="20"/>
                <w:szCs w:val="20"/>
              </w:rPr>
            </w:pPr>
            <w:r w:rsidRPr="0030350A">
              <w:rPr>
                <w:rFonts w:cs="Arial"/>
                <w:sz w:val="20"/>
                <w:szCs w:val="20"/>
              </w:rPr>
              <w:t>   </w:t>
            </w:r>
          </w:p>
        </w:tc>
        <w:tc>
          <w:tcPr>
            <w:tcW w:w="5387" w:type="dxa"/>
            <w:hideMark/>
          </w:tcPr>
          <w:p w:rsidRPr="0030350A" w:rsidR="00C97A0D" w:rsidRDefault="00C97A0D" w14:paraId="6A05481A" w14:textId="77777777">
            <w:pPr>
              <w:spacing w:after="0" w:line="240" w:lineRule="auto"/>
              <w:textAlignment w:val="baseline"/>
              <w:rPr>
                <w:rFonts w:cs="Arial"/>
                <w:sz w:val="20"/>
                <w:szCs w:val="20"/>
              </w:rPr>
            </w:pPr>
            <w:r w:rsidRPr="0030350A">
              <w:rPr>
                <w:rFonts w:cs="Arial"/>
                <w:sz w:val="20"/>
                <w:szCs w:val="20"/>
              </w:rPr>
              <w:t>   </w:t>
            </w:r>
          </w:p>
        </w:tc>
      </w:tr>
      <w:tr w:rsidRPr="00CE09F5" w:rsidR="00C97A0D" w:rsidTr="00E13638" w14:paraId="4778DD9B"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vMerge w:val="restart"/>
            <w:hideMark/>
          </w:tcPr>
          <w:p w:rsidRPr="0030350A" w:rsidR="00C97A0D" w:rsidRDefault="00C97A0D" w14:paraId="496466BA" w14:textId="77777777">
            <w:pPr>
              <w:spacing w:after="0" w:line="240" w:lineRule="auto"/>
              <w:textAlignment w:val="baseline"/>
              <w:rPr>
                <w:rFonts w:cs="Arial"/>
                <w:sz w:val="20"/>
                <w:szCs w:val="20"/>
              </w:rPr>
            </w:pPr>
            <w:r w:rsidRPr="0030350A">
              <w:rPr>
                <w:rFonts w:cs="Arial"/>
                <w:b/>
                <w:bCs/>
                <w:sz w:val="20"/>
                <w:szCs w:val="20"/>
              </w:rPr>
              <w:t>Innovation</w:t>
            </w:r>
            <w:r w:rsidRPr="0030350A">
              <w:rPr>
                <w:rFonts w:cs="Arial"/>
                <w:sz w:val="20"/>
                <w:szCs w:val="20"/>
              </w:rPr>
              <w:t>   </w:t>
            </w:r>
          </w:p>
          <w:p w:rsidRPr="0030350A" w:rsidR="00C97A0D" w:rsidRDefault="00C97A0D" w14:paraId="2BC5B8BA"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5B4C722A" w14:textId="77777777">
            <w:pPr>
              <w:spacing w:after="0" w:line="240" w:lineRule="auto"/>
              <w:textAlignment w:val="baseline"/>
              <w:rPr>
                <w:rFonts w:cs="Arial"/>
                <w:sz w:val="20"/>
                <w:szCs w:val="20"/>
              </w:rPr>
            </w:pPr>
            <w:r w:rsidRPr="0030350A">
              <w:rPr>
                <w:rFonts w:cs="Arial"/>
                <w:sz w:val="20"/>
                <w:szCs w:val="20"/>
              </w:rPr>
              <w:t>Low weighting as EDGE already exists and our contribution is less impactful   </w:t>
            </w:r>
          </w:p>
        </w:tc>
        <w:tc>
          <w:tcPr>
            <w:tcW w:w="3552" w:type="dxa"/>
            <w:hideMark/>
          </w:tcPr>
          <w:p w:rsidRPr="0030350A" w:rsidR="00C97A0D" w:rsidRDefault="00C97A0D" w14:paraId="1EC490BF" w14:textId="77777777">
            <w:pPr>
              <w:spacing w:after="0" w:line="240" w:lineRule="auto"/>
              <w:textAlignment w:val="baseline"/>
              <w:rPr>
                <w:rFonts w:cs="Arial"/>
                <w:sz w:val="20"/>
                <w:szCs w:val="20"/>
              </w:rPr>
            </w:pPr>
            <w:r w:rsidRPr="0030350A">
              <w:rPr>
                <w:rFonts w:cs="Arial"/>
                <w:b/>
                <w:bCs/>
                <w:sz w:val="20"/>
                <w:szCs w:val="20"/>
              </w:rPr>
              <w:t xml:space="preserve">Output 3.1 </w:t>
            </w:r>
            <w:r w:rsidRPr="0030350A">
              <w:rPr>
                <w:rFonts w:cs="Arial"/>
                <w:sz w:val="20"/>
                <w:szCs w:val="20"/>
              </w:rPr>
              <w:t>Development and launch of EDGE tool improvements.   </w:t>
            </w:r>
          </w:p>
        </w:tc>
        <w:tc>
          <w:tcPr>
            <w:tcW w:w="3961" w:type="dxa"/>
            <w:hideMark/>
          </w:tcPr>
          <w:p w:rsidRPr="00B45F73" w:rsidR="00C97A0D" w:rsidRDefault="00C97A0D" w14:paraId="75F1C0E8" w14:textId="77777777">
            <w:pPr>
              <w:spacing w:after="0" w:line="240" w:lineRule="auto"/>
              <w:rPr>
                <w:rFonts w:cs="Arial"/>
                <w:sz w:val="20"/>
                <w:szCs w:val="20"/>
              </w:rPr>
            </w:pPr>
            <w:r w:rsidRPr="0030350A">
              <w:rPr>
                <w:rFonts w:cs="Arial"/>
                <w:i/>
                <w:iCs/>
                <w:sz w:val="20"/>
                <w:szCs w:val="20"/>
              </w:rPr>
              <w:t>Expected:</w:t>
            </w:r>
            <w:r w:rsidRPr="0030350A">
              <w:rPr>
                <w:rFonts w:cs="Arial"/>
                <w:sz w:val="20"/>
                <w:szCs w:val="20"/>
              </w:rPr>
              <w:t>  </w:t>
            </w:r>
            <w:r w:rsidRPr="0030350A">
              <w:rPr>
                <w:rFonts w:cs="Arial"/>
                <w:sz w:val="20"/>
                <w:szCs w:val="20"/>
              </w:rPr>
              <w:br/>
            </w:r>
            <w:r w:rsidRPr="001545D9">
              <w:rPr>
                <w:rFonts w:cs="Arial"/>
                <w:sz w:val="20"/>
                <w:szCs w:val="20"/>
              </w:rPr>
              <w:t>● EDGE Retrofit launched.</w:t>
            </w:r>
            <w:r>
              <w:rPr>
                <w:rFonts w:cs="Arial"/>
                <w:sz w:val="20"/>
                <w:szCs w:val="20"/>
              </w:rPr>
              <w:br/>
            </w:r>
            <w:r w:rsidRPr="001545D9">
              <w:rPr>
                <w:rFonts w:cs="Arial"/>
                <w:sz w:val="20"/>
                <w:szCs w:val="20"/>
              </w:rPr>
              <w:t>● EDGE App translations updated for version 3.0</w:t>
            </w:r>
            <w:r>
              <w:rPr>
                <w:rFonts w:cs="Arial"/>
                <w:sz w:val="20"/>
                <w:szCs w:val="20"/>
              </w:rPr>
              <w:br/>
            </w:r>
            <w:r w:rsidRPr="001545D9">
              <w:rPr>
                <w:rFonts w:cs="Arial"/>
                <w:sz w:val="20"/>
                <w:szCs w:val="20"/>
              </w:rPr>
              <w:t>● Edge App V.2 and V.3 maintained</w:t>
            </w:r>
            <w:r>
              <w:rPr>
                <w:rFonts w:cs="Arial"/>
                <w:sz w:val="20"/>
                <w:szCs w:val="20"/>
              </w:rPr>
              <w:br/>
            </w:r>
            <w:r w:rsidRPr="001545D9">
              <w:rPr>
                <w:rFonts w:cs="Arial"/>
                <w:sz w:val="20"/>
                <w:szCs w:val="20"/>
              </w:rPr>
              <w:t>● Zero Carbon new process including reviewers</w:t>
            </w:r>
            <w:r>
              <w:rPr>
                <w:rFonts w:cs="Arial"/>
                <w:sz w:val="20"/>
                <w:szCs w:val="20"/>
              </w:rPr>
              <w:br/>
            </w:r>
            <w:r w:rsidRPr="001545D9">
              <w:rPr>
                <w:rFonts w:cs="Arial"/>
                <w:sz w:val="20"/>
                <w:szCs w:val="20"/>
              </w:rPr>
              <w:t>● Launch EDGE faculty applications process</w:t>
            </w:r>
            <w:r>
              <w:rPr>
                <w:rFonts w:cs="Arial"/>
                <w:sz w:val="20"/>
                <w:szCs w:val="20"/>
              </w:rPr>
              <w:br/>
            </w:r>
            <w:r w:rsidRPr="001545D9">
              <w:rPr>
                <w:rFonts w:cs="Arial"/>
                <w:sz w:val="20"/>
                <w:szCs w:val="20"/>
              </w:rPr>
              <w:t>● Start development of version 3.1 (new engine, not yet as sophisticated as version 4, to reduce bugs) This version will enhance calculation quality of v3</w:t>
            </w:r>
            <w:r w:rsidRPr="0030350A">
              <w:rPr>
                <w:rFonts w:cs="Arial"/>
                <w:sz w:val="20"/>
                <w:szCs w:val="20"/>
              </w:rPr>
              <w:t>.</w:t>
            </w:r>
            <w:r w:rsidRPr="00CE09F5">
              <w:rPr>
                <w:rFonts w:cs="Arial"/>
                <w:bCs/>
                <w:iCs/>
                <w:sz w:val="20"/>
                <w:szCs w:val="20"/>
              </w:rPr>
              <w:t xml:space="preserve"> </w:t>
            </w:r>
            <w:r>
              <w:rPr>
                <w:rFonts w:cs="Arial"/>
                <w:bCs/>
                <w:iCs/>
                <w:sz w:val="20"/>
                <w:szCs w:val="20"/>
              </w:rPr>
              <w:br/>
            </w:r>
          </w:p>
          <w:p w:rsidRPr="001545D9" w:rsidR="00C97A0D" w:rsidRDefault="00C97A0D" w14:paraId="56827619" w14:textId="77777777">
            <w:pPr>
              <w:spacing w:after="0" w:line="240" w:lineRule="auto"/>
              <w:textAlignment w:val="baseline"/>
              <w:rPr>
                <w:rFonts w:cs="Arial"/>
                <w:sz w:val="20"/>
                <w:szCs w:val="20"/>
              </w:rPr>
            </w:pPr>
            <w:r w:rsidRPr="0030350A">
              <w:rPr>
                <w:rFonts w:cs="Arial"/>
                <w:i/>
                <w:iCs/>
                <w:sz w:val="20"/>
                <w:szCs w:val="20"/>
              </w:rPr>
              <w:t>Achieved:</w:t>
            </w:r>
            <w:r w:rsidRPr="0030350A">
              <w:rPr>
                <w:rFonts w:cs="Arial"/>
                <w:sz w:val="20"/>
                <w:szCs w:val="20"/>
              </w:rPr>
              <w:t>  </w:t>
            </w:r>
            <w:r w:rsidRPr="0030350A">
              <w:rPr>
                <w:rFonts w:cs="Arial"/>
                <w:sz w:val="20"/>
                <w:szCs w:val="20"/>
              </w:rPr>
              <w:br/>
            </w:r>
            <w:r w:rsidRPr="001545D9">
              <w:rPr>
                <w:rFonts w:cs="Arial"/>
                <w:sz w:val="20"/>
                <w:szCs w:val="20"/>
              </w:rPr>
              <w:t>● EDGE Retrofit launched.</w:t>
            </w:r>
          </w:p>
          <w:p w:rsidRPr="001545D9" w:rsidR="00C97A0D" w:rsidRDefault="00C97A0D" w14:paraId="65F9739F" w14:textId="77777777">
            <w:pPr>
              <w:spacing w:after="0" w:line="240" w:lineRule="auto"/>
              <w:textAlignment w:val="baseline"/>
              <w:rPr>
                <w:rFonts w:cs="Arial"/>
                <w:sz w:val="20"/>
                <w:szCs w:val="20"/>
              </w:rPr>
            </w:pPr>
            <w:r w:rsidRPr="001545D9">
              <w:rPr>
                <w:rFonts w:cs="Arial"/>
                <w:sz w:val="20"/>
                <w:szCs w:val="20"/>
              </w:rPr>
              <w:t xml:space="preserve">● EDGE App translations updated for version 3.0 </w:t>
            </w:r>
          </w:p>
          <w:p w:rsidRPr="001545D9" w:rsidR="00C97A0D" w:rsidRDefault="00C97A0D" w14:paraId="2DD59319" w14:textId="77777777">
            <w:pPr>
              <w:spacing w:after="0" w:line="240" w:lineRule="auto"/>
              <w:textAlignment w:val="baseline"/>
              <w:rPr>
                <w:rFonts w:cs="Arial"/>
                <w:sz w:val="20"/>
                <w:szCs w:val="20"/>
              </w:rPr>
            </w:pPr>
            <w:r w:rsidRPr="001545D9">
              <w:rPr>
                <w:rFonts w:cs="Arial"/>
                <w:sz w:val="20"/>
                <w:szCs w:val="20"/>
              </w:rPr>
              <w:t>● Edge App V.2 and V.3 maintained</w:t>
            </w:r>
          </w:p>
          <w:p w:rsidRPr="001545D9" w:rsidR="00C97A0D" w:rsidRDefault="00C97A0D" w14:paraId="7578F4FB" w14:textId="77777777">
            <w:pPr>
              <w:spacing w:after="0" w:line="240" w:lineRule="auto"/>
              <w:textAlignment w:val="baseline"/>
              <w:rPr>
                <w:rFonts w:cs="Arial"/>
                <w:sz w:val="20"/>
                <w:szCs w:val="20"/>
              </w:rPr>
            </w:pPr>
            <w:r w:rsidRPr="001545D9">
              <w:rPr>
                <w:rFonts w:cs="Arial"/>
                <w:sz w:val="20"/>
                <w:szCs w:val="20"/>
              </w:rPr>
              <w:t>● Zero Carbon new process including reviewers</w:t>
            </w:r>
          </w:p>
          <w:p w:rsidRPr="0030350A" w:rsidR="00C97A0D" w:rsidRDefault="00C97A0D" w14:paraId="3C5B254A" w14:textId="77777777">
            <w:pPr>
              <w:spacing w:after="0" w:line="240" w:lineRule="auto"/>
              <w:textAlignment w:val="baseline"/>
              <w:rPr>
                <w:rFonts w:cs="Arial"/>
                <w:sz w:val="20"/>
                <w:szCs w:val="20"/>
              </w:rPr>
            </w:pPr>
            <w:r w:rsidRPr="001545D9">
              <w:rPr>
                <w:rFonts w:cs="Arial"/>
                <w:sz w:val="20"/>
                <w:szCs w:val="20"/>
              </w:rPr>
              <w:t>● Started development of version 3.1, with more refined calculations and slight changes to the EDGE baseline</w:t>
            </w:r>
          </w:p>
        </w:tc>
        <w:tc>
          <w:tcPr>
            <w:tcW w:w="5387" w:type="dxa"/>
            <w:hideMark/>
          </w:tcPr>
          <w:p w:rsidRPr="0030350A" w:rsidR="00C97A0D" w:rsidRDefault="00C97A0D" w14:paraId="0FB25523" w14:textId="508427BD">
            <w:pPr>
              <w:spacing w:after="0" w:line="240" w:lineRule="auto"/>
              <w:textAlignment w:val="baseline"/>
              <w:rPr>
                <w:rFonts w:cs="Arial"/>
                <w:sz w:val="20"/>
                <w:szCs w:val="20"/>
              </w:rPr>
            </w:pPr>
            <w:r w:rsidRPr="0030350A">
              <w:rPr>
                <w:rFonts w:cs="Arial"/>
                <w:sz w:val="20"/>
                <w:szCs w:val="20"/>
              </w:rPr>
              <w:t>4: Partial evidence that suggests transformational change is likely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 xml:space="preserve">This </w:t>
            </w:r>
            <w:r w:rsidR="00207B3B">
              <w:rPr>
                <w:rFonts w:cs="Arial"/>
                <w:sz w:val="20"/>
                <w:szCs w:val="20"/>
              </w:rPr>
              <w:t xml:space="preserve">result </w:t>
            </w:r>
            <w:r w:rsidRPr="0030350A">
              <w:rPr>
                <w:rFonts w:cs="Arial"/>
                <w:sz w:val="20"/>
                <w:szCs w:val="20"/>
              </w:rPr>
              <w:t>meet</w:t>
            </w:r>
            <w:r w:rsidR="00207B3B">
              <w:rPr>
                <w:rFonts w:cs="Arial"/>
                <w:sz w:val="20"/>
                <w:szCs w:val="20"/>
              </w:rPr>
              <w:t>s</w:t>
            </w:r>
            <w:r w:rsidRPr="0030350A">
              <w:rPr>
                <w:rFonts w:cs="Arial"/>
                <w:sz w:val="20"/>
                <w:szCs w:val="20"/>
              </w:rPr>
              <w:t xml:space="preserve"> </w:t>
            </w:r>
            <w:r>
              <w:rPr>
                <w:rFonts w:cs="Arial"/>
                <w:sz w:val="20"/>
                <w:szCs w:val="20"/>
              </w:rPr>
              <w:t xml:space="preserve">the majority of expected </w:t>
            </w:r>
            <w:r w:rsidRPr="0030350A">
              <w:rPr>
                <w:rFonts w:cs="Arial"/>
                <w:sz w:val="20"/>
                <w:szCs w:val="20"/>
              </w:rPr>
              <w:t>targets at this stage of the programme.  </w:t>
            </w:r>
          </w:p>
        </w:tc>
      </w:tr>
      <w:tr w:rsidRPr="00CE09F5" w:rsidR="00C97A0D" w:rsidTr="00E13638" w14:paraId="2961C9EF"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vMerge/>
            <w:hideMark/>
          </w:tcPr>
          <w:p w:rsidRPr="0030350A" w:rsidR="00C97A0D" w:rsidRDefault="00C97A0D" w14:paraId="02DA5E80" w14:textId="77777777">
            <w:pPr>
              <w:spacing w:after="0" w:line="240" w:lineRule="auto"/>
              <w:rPr>
                <w:rFonts w:cs="Arial"/>
                <w:sz w:val="20"/>
                <w:szCs w:val="20"/>
              </w:rPr>
            </w:pPr>
          </w:p>
        </w:tc>
        <w:tc>
          <w:tcPr>
            <w:tcW w:w="3552" w:type="dxa"/>
            <w:hideMark/>
          </w:tcPr>
          <w:p w:rsidRPr="0030350A" w:rsidR="00C97A0D" w:rsidRDefault="00C97A0D" w14:paraId="0E680A27" w14:textId="77777777">
            <w:pPr>
              <w:spacing w:after="0" w:line="240" w:lineRule="auto"/>
              <w:textAlignment w:val="baseline"/>
              <w:rPr>
                <w:rFonts w:cs="Arial"/>
                <w:sz w:val="20"/>
                <w:szCs w:val="20"/>
              </w:rPr>
            </w:pPr>
            <w:r w:rsidRPr="0030350A">
              <w:rPr>
                <w:rFonts w:cs="Arial"/>
                <w:b/>
                <w:bCs/>
                <w:sz w:val="20"/>
                <w:szCs w:val="20"/>
              </w:rPr>
              <w:t>Output 3.2</w:t>
            </w:r>
            <w:r w:rsidRPr="0030350A">
              <w:rPr>
                <w:rFonts w:cs="Arial"/>
                <w:sz w:val="20"/>
                <w:szCs w:val="20"/>
              </w:rPr>
              <w:t xml:space="preserve"> Development and launch of CAFI tool improvements   </w:t>
            </w:r>
          </w:p>
        </w:tc>
        <w:tc>
          <w:tcPr>
            <w:tcW w:w="3961" w:type="dxa"/>
            <w:hideMark/>
          </w:tcPr>
          <w:p w:rsidRPr="0030350A" w:rsidR="00C97A0D" w:rsidRDefault="00C97A0D" w14:paraId="485A2FBE" w14:textId="77777777">
            <w:pPr>
              <w:spacing w:after="0" w:line="240" w:lineRule="auto"/>
              <w:textAlignment w:val="baseline"/>
              <w:rPr>
                <w:rFonts w:cs="Arial"/>
                <w:i/>
                <w:iCs/>
                <w:sz w:val="20"/>
                <w:szCs w:val="20"/>
              </w:rPr>
            </w:pPr>
            <w:r>
              <w:rPr>
                <w:rFonts w:cs="Arial"/>
                <w:i/>
                <w:iCs/>
                <w:sz w:val="20"/>
                <w:szCs w:val="20"/>
              </w:rPr>
              <w:t>Not in FY24 Logframe</w:t>
            </w:r>
          </w:p>
          <w:p w:rsidRPr="0030350A" w:rsidR="00C97A0D" w:rsidRDefault="00C97A0D" w14:paraId="46E677FF" w14:textId="77777777">
            <w:pPr>
              <w:spacing w:after="0" w:line="240" w:lineRule="auto"/>
              <w:textAlignment w:val="baseline"/>
              <w:rPr>
                <w:rFonts w:cs="Arial"/>
                <w:sz w:val="20"/>
                <w:szCs w:val="20"/>
              </w:rPr>
            </w:pPr>
          </w:p>
        </w:tc>
        <w:tc>
          <w:tcPr>
            <w:tcW w:w="5387" w:type="dxa"/>
            <w:hideMark/>
          </w:tcPr>
          <w:p w:rsidRPr="0030350A" w:rsidR="00C97A0D" w:rsidRDefault="00792C4D" w14:paraId="129641AA" w14:textId="09A04C89">
            <w:pPr>
              <w:spacing w:after="0" w:line="240" w:lineRule="auto"/>
              <w:textAlignment w:val="baseline"/>
              <w:rPr>
                <w:rFonts w:cs="Arial"/>
                <w:sz w:val="20"/>
                <w:szCs w:val="20"/>
              </w:rPr>
            </w:pPr>
            <w:r>
              <w:rPr>
                <w:rFonts w:cs="Arial"/>
                <w:sz w:val="20"/>
                <w:szCs w:val="20"/>
              </w:rPr>
              <w:t>NA</w:t>
            </w:r>
            <w:r w:rsidRPr="0030350A" w:rsidR="00C97A0D">
              <w:rPr>
                <w:rFonts w:cs="Arial"/>
                <w:sz w:val="20"/>
                <w:szCs w:val="20"/>
              </w:rPr>
              <w:br/>
            </w:r>
            <w:r w:rsidRPr="0030350A" w:rsidR="00C97A0D">
              <w:rPr>
                <w:rFonts w:cs="Arial"/>
                <w:sz w:val="20"/>
                <w:szCs w:val="20"/>
              </w:rPr>
              <w:br/>
            </w:r>
            <w:r w:rsidRPr="0030350A" w:rsidR="00C97A0D">
              <w:rPr>
                <w:rFonts w:cs="Arial"/>
                <w:sz w:val="20"/>
                <w:szCs w:val="20"/>
              </w:rPr>
              <w:br/>
            </w:r>
            <w:r w:rsidRPr="0030350A" w:rsidR="00C97A0D">
              <w:rPr>
                <w:rFonts w:cs="Arial"/>
                <w:sz w:val="20"/>
                <w:szCs w:val="20"/>
              </w:rPr>
              <w:br/>
            </w:r>
          </w:p>
        </w:tc>
      </w:tr>
      <w:tr w:rsidRPr="00CE09F5" w:rsidR="00C97A0D" w:rsidTr="00E13638" w14:paraId="2BE24D2C"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vMerge/>
            <w:hideMark/>
          </w:tcPr>
          <w:p w:rsidRPr="0030350A" w:rsidR="00C97A0D" w:rsidRDefault="00C97A0D" w14:paraId="278CB1FD" w14:textId="77777777">
            <w:pPr>
              <w:spacing w:after="0" w:line="240" w:lineRule="auto"/>
              <w:rPr>
                <w:rFonts w:cs="Arial"/>
                <w:sz w:val="20"/>
                <w:szCs w:val="20"/>
              </w:rPr>
            </w:pPr>
          </w:p>
        </w:tc>
        <w:tc>
          <w:tcPr>
            <w:tcW w:w="3552" w:type="dxa"/>
            <w:hideMark/>
          </w:tcPr>
          <w:p w:rsidRPr="0030350A" w:rsidR="00C97A0D" w:rsidRDefault="00C97A0D" w14:paraId="5B94FA6B" w14:textId="77777777">
            <w:pPr>
              <w:spacing w:after="0" w:line="240" w:lineRule="auto"/>
              <w:textAlignment w:val="baseline"/>
              <w:rPr>
                <w:rFonts w:cs="Arial"/>
                <w:sz w:val="20"/>
                <w:szCs w:val="20"/>
              </w:rPr>
            </w:pPr>
            <w:r w:rsidRPr="0030350A">
              <w:rPr>
                <w:rFonts w:cs="Arial"/>
                <w:b/>
                <w:bCs/>
                <w:sz w:val="20"/>
                <w:szCs w:val="20"/>
              </w:rPr>
              <w:t>Output 2.5</w:t>
            </w:r>
            <w:r w:rsidRPr="0030350A">
              <w:rPr>
                <w:rFonts w:cs="Arial"/>
                <w:sz w:val="20"/>
                <w:szCs w:val="20"/>
              </w:rPr>
              <w:t xml:space="preserve"> Cumulative number of entities that implement recommended changes from EDGE.   </w:t>
            </w:r>
          </w:p>
        </w:tc>
        <w:tc>
          <w:tcPr>
            <w:tcW w:w="3961" w:type="dxa"/>
            <w:hideMark/>
          </w:tcPr>
          <w:p w:rsidRPr="0030350A" w:rsidR="00C97A0D" w:rsidRDefault="00C97A0D" w14:paraId="7D57CDF5" w14:textId="77777777">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w:t>
            </w:r>
            <w:r>
              <w:rPr>
                <w:rFonts w:cs="Arial"/>
                <w:sz w:val="20"/>
                <w:szCs w:val="20"/>
              </w:rPr>
              <w:t>7</w:t>
            </w:r>
            <w:r w:rsidRPr="0030350A">
              <w:rPr>
                <w:rFonts w:cs="Arial"/>
                <w:sz w:val="20"/>
                <w:szCs w:val="20"/>
              </w:rPr>
              <w:t> </w:t>
            </w:r>
          </w:p>
          <w:p w:rsidRPr="0030350A" w:rsidR="00C97A0D" w:rsidRDefault="00C97A0D" w14:paraId="2C853035"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0C973301" w14:textId="77777777">
            <w:pPr>
              <w:spacing w:after="0" w:line="240" w:lineRule="auto"/>
              <w:textAlignment w:val="baseline"/>
              <w:rPr>
                <w:rFonts w:cs="Arial"/>
                <w:sz w:val="20"/>
                <w:szCs w:val="20"/>
              </w:rPr>
            </w:pPr>
            <w:r w:rsidRPr="0030350A">
              <w:rPr>
                <w:rFonts w:cs="Arial"/>
                <w:i/>
                <w:iCs/>
                <w:sz w:val="20"/>
                <w:szCs w:val="20"/>
              </w:rPr>
              <w:t>Achieved:</w:t>
            </w:r>
            <w:r w:rsidRPr="0030350A">
              <w:rPr>
                <w:rFonts w:cs="Arial"/>
                <w:sz w:val="20"/>
                <w:szCs w:val="20"/>
              </w:rPr>
              <w:t xml:space="preserve"> </w:t>
            </w:r>
            <w:r>
              <w:rPr>
                <w:rFonts w:cs="Arial"/>
                <w:sz w:val="20"/>
                <w:szCs w:val="20"/>
              </w:rPr>
              <w:t>11</w:t>
            </w:r>
            <w:r w:rsidRPr="0030350A">
              <w:rPr>
                <w:rFonts w:cs="Arial"/>
                <w:sz w:val="20"/>
                <w:szCs w:val="20"/>
              </w:rPr>
              <w:t> </w:t>
            </w:r>
          </w:p>
          <w:p w:rsidRPr="0030350A" w:rsidR="00C97A0D" w:rsidRDefault="00C97A0D" w14:paraId="1F8C675C" w14:textId="77777777">
            <w:pPr>
              <w:spacing w:after="0" w:line="240" w:lineRule="auto"/>
              <w:textAlignment w:val="baseline"/>
              <w:rPr>
                <w:rFonts w:cs="Arial"/>
                <w:sz w:val="20"/>
                <w:szCs w:val="20"/>
              </w:rPr>
            </w:pPr>
            <w:r w:rsidRPr="0030350A">
              <w:rPr>
                <w:rFonts w:cs="Arial"/>
                <w:sz w:val="20"/>
                <w:szCs w:val="20"/>
              </w:rPr>
              <w:t>  </w:t>
            </w:r>
          </w:p>
        </w:tc>
        <w:tc>
          <w:tcPr>
            <w:tcW w:w="5387" w:type="dxa"/>
            <w:hideMark/>
          </w:tcPr>
          <w:p w:rsidRPr="0030350A" w:rsidR="00C97A0D" w:rsidRDefault="00C97A0D" w14:paraId="6865FE86" w14:textId="468FF5E5">
            <w:pPr>
              <w:spacing w:after="0" w:line="240" w:lineRule="auto"/>
              <w:textAlignment w:val="baseline"/>
              <w:rPr>
                <w:rFonts w:cs="Arial"/>
                <w:sz w:val="20"/>
                <w:szCs w:val="20"/>
              </w:rPr>
            </w:pPr>
            <w:r w:rsidRPr="0030350A">
              <w:rPr>
                <w:rFonts w:cs="Arial"/>
                <w:sz w:val="20"/>
                <w:szCs w:val="20"/>
              </w:rPr>
              <w:t>4: Partial evidence that suggests transformational change is likely  </w:t>
            </w:r>
            <w:r w:rsidRPr="0030350A">
              <w:rPr>
                <w:rFonts w:cs="Arial"/>
                <w:sz w:val="20"/>
                <w:szCs w:val="20"/>
              </w:rPr>
              <w:br/>
            </w:r>
            <w:r w:rsidRPr="0030350A">
              <w:rPr>
                <w:rFonts w:cs="Arial"/>
                <w:sz w:val="20"/>
                <w:szCs w:val="20"/>
              </w:rPr>
              <w:t>  </w:t>
            </w:r>
            <w:r w:rsidRPr="0030350A">
              <w:rPr>
                <w:rFonts w:cs="Arial"/>
                <w:sz w:val="20"/>
                <w:szCs w:val="20"/>
              </w:rPr>
              <w:br/>
            </w:r>
            <w:r w:rsidRPr="00585D07">
              <w:rPr>
                <w:rFonts w:cs="Arial"/>
                <w:sz w:val="20"/>
                <w:szCs w:val="20"/>
              </w:rPr>
              <w:t>This exceeds expected targets at this stage of the programme</w:t>
            </w:r>
            <w:r w:rsidR="00F67417">
              <w:rPr>
                <w:rFonts w:cs="Arial"/>
                <w:sz w:val="20"/>
                <w:szCs w:val="20"/>
              </w:rPr>
              <w:t>, but overall number still low to be considered substantial evidence of transformational change, therefore score is 4 despite a &gt;50% exceeding target</w:t>
            </w:r>
            <w:r w:rsidRPr="00585D07" w:rsidR="00F67417">
              <w:rPr>
                <w:rFonts w:cs="Arial"/>
                <w:sz w:val="20"/>
                <w:szCs w:val="20"/>
              </w:rPr>
              <w:t>.</w:t>
            </w:r>
            <w:r w:rsidRPr="0030350A" w:rsidR="00F67417">
              <w:rPr>
                <w:rFonts w:cs="Arial"/>
                <w:color w:val="000000"/>
                <w:sz w:val="20"/>
                <w:szCs w:val="20"/>
              </w:rPr>
              <w:t>   </w:t>
            </w:r>
          </w:p>
        </w:tc>
      </w:tr>
      <w:tr w:rsidRPr="00CE09F5" w:rsidR="00C97A0D" w:rsidTr="00E13638" w14:paraId="2D523CE9" w14:textId="77777777">
        <w:trPr>
          <w:cnfStyle w:val="000000010000" w:firstRow="0" w:lastRow="0" w:firstColumn="0" w:lastColumn="0" w:oddVBand="0" w:evenVBand="0" w:oddHBand="0" w:evenHBand="1" w:firstRowFirstColumn="0" w:firstRowLastColumn="0" w:lastRowFirstColumn="0" w:lastRowLastColumn="0"/>
          <w:trHeight w:val="214"/>
        </w:trPr>
        <w:tc>
          <w:tcPr>
            <w:tcW w:w="2260" w:type="dxa"/>
            <w:hideMark/>
          </w:tcPr>
          <w:p w:rsidRPr="0030350A" w:rsidR="00C97A0D" w:rsidRDefault="00C97A0D" w14:paraId="23B75971" w14:textId="1BD93746">
            <w:pPr>
              <w:spacing w:after="0" w:line="240" w:lineRule="auto"/>
              <w:textAlignment w:val="baseline"/>
              <w:rPr>
                <w:rFonts w:cs="Arial"/>
                <w:sz w:val="20"/>
                <w:szCs w:val="20"/>
              </w:rPr>
            </w:pPr>
            <w:r w:rsidRPr="0030350A">
              <w:rPr>
                <w:rFonts w:cs="Arial"/>
                <w:b/>
                <w:bCs/>
                <w:sz w:val="20"/>
                <w:szCs w:val="20"/>
              </w:rPr>
              <w:t>Innovation Average Score (10%)</w:t>
            </w:r>
          </w:p>
        </w:tc>
        <w:tc>
          <w:tcPr>
            <w:tcW w:w="12900" w:type="dxa"/>
            <w:gridSpan w:val="3"/>
            <w:hideMark/>
          </w:tcPr>
          <w:p w:rsidRPr="0030350A" w:rsidR="00C97A0D" w:rsidRDefault="00792C4D" w14:paraId="4BEF1054" w14:textId="588C12B5">
            <w:pPr>
              <w:spacing w:after="0" w:line="240" w:lineRule="auto"/>
              <w:jc w:val="right"/>
              <w:textAlignment w:val="baseline"/>
              <w:rPr>
                <w:rFonts w:cs="Arial"/>
                <w:sz w:val="20"/>
                <w:szCs w:val="20"/>
              </w:rPr>
            </w:pPr>
            <w:r>
              <w:rPr>
                <w:rFonts w:cs="Arial"/>
                <w:b/>
                <w:bCs/>
                <w:sz w:val="20"/>
                <w:szCs w:val="20"/>
              </w:rPr>
              <w:t>4</w:t>
            </w:r>
            <w:r w:rsidRPr="0030350A" w:rsidR="00C97A0D">
              <w:rPr>
                <w:rFonts w:cs="Arial"/>
                <w:sz w:val="20"/>
                <w:szCs w:val="20"/>
              </w:rPr>
              <w:t> </w:t>
            </w:r>
          </w:p>
        </w:tc>
      </w:tr>
      <w:tr w:rsidRPr="00CE09F5" w:rsidR="00C97A0D" w:rsidTr="00E13638" w14:paraId="103E578F"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hideMark/>
          </w:tcPr>
          <w:p w:rsidRPr="0030350A" w:rsidR="00C97A0D" w:rsidRDefault="00C97A0D" w14:paraId="46F77AAE"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1F2A3C5B" w14:textId="77777777">
            <w:pPr>
              <w:spacing w:after="0" w:line="240" w:lineRule="auto"/>
              <w:textAlignment w:val="baseline"/>
              <w:rPr>
                <w:rFonts w:cs="Arial"/>
                <w:sz w:val="20"/>
                <w:szCs w:val="20"/>
              </w:rPr>
            </w:pPr>
            <w:r w:rsidRPr="0030350A">
              <w:rPr>
                <w:rFonts w:cs="Arial"/>
                <w:sz w:val="20"/>
                <w:szCs w:val="20"/>
              </w:rPr>
              <w:t>   </w:t>
            </w:r>
          </w:p>
        </w:tc>
        <w:tc>
          <w:tcPr>
            <w:tcW w:w="3961" w:type="dxa"/>
            <w:hideMark/>
          </w:tcPr>
          <w:p w:rsidRPr="0030350A" w:rsidR="00C97A0D" w:rsidRDefault="00C97A0D" w14:paraId="325A2C0D" w14:textId="77777777">
            <w:pPr>
              <w:spacing w:after="0" w:line="240" w:lineRule="auto"/>
              <w:textAlignment w:val="baseline"/>
              <w:rPr>
                <w:rFonts w:cs="Arial"/>
                <w:sz w:val="20"/>
                <w:szCs w:val="20"/>
              </w:rPr>
            </w:pPr>
            <w:r w:rsidRPr="0030350A">
              <w:rPr>
                <w:rFonts w:cs="Arial"/>
                <w:sz w:val="20"/>
                <w:szCs w:val="20"/>
              </w:rPr>
              <w:t>   </w:t>
            </w:r>
          </w:p>
        </w:tc>
        <w:tc>
          <w:tcPr>
            <w:tcW w:w="5387" w:type="dxa"/>
            <w:hideMark/>
          </w:tcPr>
          <w:p w:rsidRPr="0030350A" w:rsidR="00C97A0D" w:rsidRDefault="00C97A0D" w14:paraId="4858C304" w14:textId="77777777">
            <w:pPr>
              <w:spacing w:after="0" w:line="240" w:lineRule="auto"/>
              <w:textAlignment w:val="baseline"/>
              <w:rPr>
                <w:rFonts w:cs="Arial"/>
                <w:sz w:val="20"/>
                <w:szCs w:val="20"/>
              </w:rPr>
            </w:pPr>
            <w:r w:rsidRPr="0030350A">
              <w:rPr>
                <w:rFonts w:cs="Arial"/>
                <w:sz w:val="20"/>
                <w:szCs w:val="20"/>
              </w:rPr>
              <w:t>   </w:t>
            </w:r>
          </w:p>
        </w:tc>
      </w:tr>
      <w:tr w:rsidRPr="00CE09F5" w:rsidR="00C97A0D" w:rsidTr="00E13638" w14:paraId="7652D9D1"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hideMark/>
          </w:tcPr>
          <w:p w:rsidRPr="0030350A" w:rsidR="00C97A0D" w:rsidRDefault="00C97A0D" w14:paraId="42B1BA07" w14:textId="77777777">
            <w:pPr>
              <w:spacing w:after="0" w:line="240" w:lineRule="auto"/>
              <w:textAlignment w:val="baseline"/>
              <w:rPr>
                <w:rFonts w:cs="Arial"/>
                <w:sz w:val="20"/>
                <w:szCs w:val="20"/>
              </w:rPr>
            </w:pPr>
            <w:r w:rsidRPr="0030350A">
              <w:rPr>
                <w:rFonts w:cs="Arial"/>
                <w:b/>
                <w:bCs/>
                <w:sz w:val="20"/>
                <w:szCs w:val="20"/>
              </w:rPr>
              <w:t>Leverage / create incentives for others to act.</w:t>
            </w:r>
            <w:r w:rsidRPr="0030350A">
              <w:rPr>
                <w:rFonts w:cs="Arial"/>
                <w:sz w:val="20"/>
                <w:szCs w:val="20"/>
              </w:rPr>
              <w:t>   </w:t>
            </w:r>
          </w:p>
          <w:p w:rsidRPr="0030350A" w:rsidR="00C97A0D" w:rsidRDefault="00C97A0D" w14:paraId="373A7769"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5903BAF4"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7F280B3D" w14:textId="77777777">
            <w:pPr>
              <w:spacing w:after="0" w:line="240" w:lineRule="auto"/>
              <w:textAlignment w:val="baseline"/>
              <w:rPr>
                <w:rFonts w:cs="Arial"/>
                <w:sz w:val="20"/>
                <w:szCs w:val="20"/>
              </w:rPr>
            </w:pPr>
            <w:r w:rsidRPr="0030350A">
              <w:rPr>
                <w:rFonts w:cs="Arial"/>
                <w:b/>
                <w:bCs/>
                <w:sz w:val="20"/>
                <w:szCs w:val="20"/>
              </w:rPr>
              <w:t xml:space="preserve">Outcome 1. </w:t>
            </w:r>
            <w:r w:rsidRPr="0030350A">
              <w:rPr>
                <w:rFonts w:cs="Arial"/>
                <w:sz w:val="20"/>
                <w:szCs w:val="20"/>
              </w:rPr>
              <w:t>Cumulative cost expected to be avoided from design certified green buildings financed with MAGC blended finance.   </w:t>
            </w:r>
          </w:p>
        </w:tc>
        <w:tc>
          <w:tcPr>
            <w:tcW w:w="3961" w:type="dxa"/>
            <w:hideMark/>
          </w:tcPr>
          <w:p w:rsidRPr="0030350A" w:rsidR="00C97A0D" w:rsidRDefault="00C97A0D" w14:paraId="3E4412E1" w14:textId="281412C2">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w:t>
            </w:r>
            <w:r>
              <w:rPr>
                <w:rFonts w:cs="Arial"/>
                <w:sz w:val="20"/>
                <w:szCs w:val="20"/>
              </w:rPr>
              <w:t>771,225</w:t>
            </w:r>
            <w:r w:rsidRPr="0030350A">
              <w:rPr>
                <w:rFonts w:cs="Arial"/>
                <w:sz w:val="20"/>
                <w:szCs w:val="20"/>
              </w:rPr>
              <w:t> </w:t>
            </w:r>
            <w:r w:rsidR="00783C35">
              <w:rPr>
                <w:rFonts w:cs="Arial"/>
                <w:sz w:val="20"/>
                <w:szCs w:val="20"/>
              </w:rPr>
              <w:br/>
            </w:r>
            <w:r w:rsidRPr="00783C35" w:rsidR="00783C35">
              <w:rPr>
                <w:rFonts w:cs="Arial"/>
                <w:sz w:val="20"/>
                <w:szCs w:val="20"/>
              </w:rPr>
              <w:t>($988,750)</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i/>
                <w:iCs/>
                <w:sz w:val="20"/>
                <w:szCs w:val="20"/>
              </w:rPr>
              <w:t xml:space="preserve">Achieved: </w:t>
            </w:r>
            <w:r w:rsidR="00001899">
              <w:rPr>
                <w:rFonts w:cs="Arial"/>
                <w:sz w:val="20"/>
                <w:szCs w:val="20"/>
              </w:rPr>
              <w:t>NR</w:t>
            </w:r>
            <w:r w:rsidRPr="0030350A">
              <w:rPr>
                <w:rFonts w:cs="Arial"/>
                <w:sz w:val="20"/>
                <w:szCs w:val="20"/>
              </w:rPr>
              <w:t> </w:t>
            </w:r>
          </w:p>
        </w:tc>
        <w:tc>
          <w:tcPr>
            <w:tcW w:w="5387" w:type="dxa"/>
            <w:hideMark/>
          </w:tcPr>
          <w:p w:rsidRPr="0030350A" w:rsidR="00C97A0D" w:rsidRDefault="00A518A0" w14:paraId="549514FC" w14:textId="64998A72">
            <w:pPr>
              <w:spacing w:after="0" w:line="240" w:lineRule="auto"/>
              <w:textAlignment w:val="baseline"/>
              <w:rPr>
                <w:rFonts w:cs="Arial"/>
                <w:sz w:val="20"/>
                <w:szCs w:val="20"/>
              </w:rPr>
            </w:pPr>
            <w:r w:rsidRPr="00A518A0">
              <w:rPr>
                <w:rFonts w:cs="Arial"/>
                <w:sz w:val="20"/>
                <w:szCs w:val="20"/>
              </w:rPr>
              <w:t>3: Not enough evidence yet to assess, or the balance of evidence is inconclusive</w:t>
            </w:r>
          </w:p>
        </w:tc>
      </w:tr>
      <w:tr w:rsidRPr="00CE09F5" w:rsidR="00C97A0D" w:rsidTr="00E13638" w14:paraId="04EB8E30"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hideMark/>
          </w:tcPr>
          <w:p w:rsidRPr="0030350A" w:rsidR="00C97A0D" w:rsidRDefault="00C97A0D" w14:paraId="637B11B2"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0362D3BA" w14:textId="77777777">
            <w:pPr>
              <w:spacing w:after="0" w:line="240" w:lineRule="auto"/>
              <w:textAlignment w:val="baseline"/>
              <w:rPr>
                <w:rFonts w:cs="Arial"/>
                <w:sz w:val="20"/>
                <w:szCs w:val="20"/>
              </w:rPr>
            </w:pPr>
            <w:r w:rsidRPr="0030350A">
              <w:rPr>
                <w:rFonts w:cs="Arial"/>
                <w:b/>
                <w:bCs/>
                <w:sz w:val="20"/>
                <w:szCs w:val="20"/>
              </w:rPr>
              <w:t xml:space="preserve">Output 1b.1 </w:t>
            </w:r>
            <w:r w:rsidRPr="0030350A">
              <w:rPr>
                <w:rFonts w:cs="Arial"/>
                <w:sz w:val="20"/>
                <w:szCs w:val="20"/>
              </w:rPr>
              <w:t>Cumulative total project cost of green buildings financed related to sub-loans financed with MAGC blended finance.   </w:t>
            </w:r>
          </w:p>
        </w:tc>
        <w:tc>
          <w:tcPr>
            <w:tcW w:w="3961" w:type="dxa"/>
            <w:hideMark/>
          </w:tcPr>
          <w:p w:rsidRPr="0030350A" w:rsidR="00C97A0D" w:rsidRDefault="00C97A0D" w14:paraId="016135EE" w14:textId="13F55495">
            <w:pPr>
              <w:spacing w:after="0" w:line="240" w:lineRule="auto"/>
              <w:textAlignment w:val="baseline"/>
              <w:rPr>
                <w:rFonts w:cs="Arial"/>
                <w:sz w:val="20"/>
                <w:szCs w:val="20"/>
              </w:rPr>
            </w:pPr>
            <w:r w:rsidRPr="0030350A">
              <w:rPr>
                <w:rFonts w:cs="Arial"/>
                <w:sz w:val="20"/>
                <w:szCs w:val="20"/>
              </w:rPr>
              <w:t>Expected:</w:t>
            </w:r>
            <w:r>
              <w:rPr>
                <w:rFonts w:cs="Arial"/>
                <w:sz w:val="20"/>
                <w:szCs w:val="20"/>
              </w:rPr>
              <w:t xml:space="preserve"> £133,622,224</w:t>
            </w:r>
            <w:r w:rsidR="00783C35">
              <w:rPr>
                <w:rFonts w:cs="Arial"/>
                <w:sz w:val="20"/>
                <w:szCs w:val="20"/>
              </w:rPr>
              <w:br/>
            </w:r>
            <w:r w:rsidRPr="00783C35" w:rsidR="00783C35">
              <w:rPr>
                <w:rFonts w:cs="Arial"/>
                <w:sz w:val="20"/>
                <w:szCs w:val="20"/>
              </w:rPr>
              <w:t>($171,310,544</w:t>
            </w:r>
            <w:r w:rsidR="00783C35">
              <w:rPr>
                <w:rFonts w:cs="Arial"/>
                <w:sz w:val="20"/>
                <w:szCs w:val="20"/>
              </w:rPr>
              <w:t>)</w:t>
            </w:r>
            <w:r w:rsidRPr="0030350A">
              <w:rPr>
                <w:rFonts w:cs="Arial"/>
                <w:sz w:val="20"/>
                <w:szCs w:val="20"/>
              </w:rPr>
              <w:br/>
            </w:r>
            <w:r w:rsidRPr="0030350A">
              <w:rPr>
                <w:rFonts w:cs="Arial"/>
                <w:sz w:val="20"/>
                <w:szCs w:val="20"/>
              </w:rPr>
              <w:t>  </w:t>
            </w:r>
          </w:p>
          <w:p w:rsidRPr="0030350A" w:rsidR="00C97A0D" w:rsidRDefault="00C97A0D" w14:paraId="095E9726" w14:textId="37986D25">
            <w:pPr>
              <w:spacing w:after="0" w:line="240" w:lineRule="auto"/>
              <w:textAlignment w:val="baseline"/>
              <w:rPr>
                <w:rFonts w:cs="Arial"/>
                <w:sz w:val="20"/>
                <w:szCs w:val="20"/>
              </w:rPr>
            </w:pPr>
            <w:r w:rsidRPr="0030350A">
              <w:rPr>
                <w:rFonts w:cs="Arial"/>
                <w:sz w:val="20"/>
                <w:szCs w:val="20"/>
              </w:rPr>
              <w:t>Achieved:  </w:t>
            </w:r>
            <w:r>
              <w:rPr>
                <w:rFonts w:cs="Arial"/>
                <w:sz w:val="20"/>
                <w:szCs w:val="20"/>
              </w:rPr>
              <w:t>£297,783,681</w:t>
            </w:r>
            <w:r w:rsidR="000139D9">
              <w:rPr>
                <w:rFonts w:cs="Arial"/>
                <w:sz w:val="20"/>
                <w:szCs w:val="20"/>
              </w:rPr>
              <w:br/>
            </w:r>
            <w:r w:rsidRPr="000139D9" w:rsidR="000139D9">
              <w:rPr>
                <w:rFonts w:cs="Arial"/>
                <w:sz w:val="20"/>
                <w:szCs w:val="20"/>
              </w:rPr>
              <w:t>($381,773,950) </w:t>
            </w:r>
            <w:r w:rsidRPr="0030350A">
              <w:rPr>
                <w:rFonts w:cs="Arial"/>
                <w:sz w:val="20"/>
                <w:szCs w:val="20"/>
              </w:rPr>
              <w:br/>
            </w:r>
            <w:r w:rsidRPr="0030350A">
              <w:rPr>
                <w:rFonts w:cs="Arial"/>
                <w:sz w:val="20"/>
                <w:szCs w:val="20"/>
              </w:rPr>
              <w:t>  </w:t>
            </w:r>
            <w:r w:rsidRPr="0030350A">
              <w:rPr>
                <w:rFonts w:cs="Arial"/>
                <w:sz w:val="20"/>
                <w:szCs w:val="20"/>
              </w:rPr>
              <w:br/>
            </w:r>
            <w:r w:rsidRPr="0030350A">
              <w:rPr>
                <w:rFonts w:cs="Arial"/>
                <w:sz w:val="20"/>
                <w:szCs w:val="20"/>
              </w:rPr>
              <w:t>  </w:t>
            </w:r>
          </w:p>
        </w:tc>
        <w:tc>
          <w:tcPr>
            <w:tcW w:w="5387" w:type="dxa"/>
            <w:hideMark/>
          </w:tcPr>
          <w:p w:rsidRPr="0030350A" w:rsidR="00C97A0D" w:rsidRDefault="00EE49BC" w14:paraId="0CD93C50" w14:textId="33FA7E72">
            <w:pPr>
              <w:spacing w:after="0" w:line="240" w:lineRule="auto"/>
              <w:textAlignment w:val="baseline"/>
              <w:rPr>
                <w:rFonts w:cs="Arial"/>
                <w:sz w:val="20"/>
                <w:szCs w:val="20"/>
              </w:rPr>
            </w:pPr>
            <w:r w:rsidRPr="00585D07">
              <w:rPr>
                <w:rFonts w:cs="Arial"/>
                <w:sz w:val="20"/>
                <w:szCs w:val="20"/>
              </w:rPr>
              <w:t>5: Substantial evidence that suggests transformational change is likely or already occurring    </w:t>
            </w:r>
            <w:r w:rsidRPr="00585D07">
              <w:rPr>
                <w:rFonts w:cs="Arial"/>
                <w:sz w:val="20"/>
                <w:szCs w:val="20"/>
              </w:rPr>
              <w:br/>
            </w:r>
            <w:r w:rsidRPr="00585D07">
              <w:rPr>
                <w:rFonts w:cs="Arial"/>
                <w:sz w:val="20"/>
                <w:szCs w:val="20"/>
              </w:rPr>
              <w:t>  </w:t>
            </w:r>
            <w:r w:rsidRPr="00585D07">
              <w:rPr>
                <w:rFonts w:cs="Arial"/>
                <w:sz w:val="20"/>
                <w:szCs w:val="20"/>
              </w:rPr>
              <w:br/>
            </w:r>
            <w:r w:rsidRPr="00585D07">
              <w:rPr>
                <w:rFonts w:cs="Arial"/>
                <w:sz w:val="20"/>
                <w:szCs w:val="20"/>
              </w:rPr>
              <w:t>This considerably exceeds expected targets at this stage of the programme.</w:t>
            </w:r>
          </w:p>
        </w:tc>
      </w:tr>
      <w:tr w:rsidRPr="00CE09F5" w:rsidR="00C97A0D" w:rsidTr="00E13638" w14:paraId="46DB0E0E"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hideMark/>
          </w:tcPr>
          <w:p w:rsidRPr="0030350A" w:rsidR="00C97A0D" w:rsidRDefault="00C97A0D" w14:paraId="5BBA7D59"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1C67A07B" w14:textId="77777777">
            <w:pPr>
              <w:spacing w:after="0" w:line="240" w:lineRule="auto"/>
              <w:textAlignment w:val="baseline"/>
              <w:rPr>
                <w:rFonts w:cs="Arial"/>
                <w:sz w:val="20"/>
                <w:szCs w:val="20"/>
              </w:rPr>
            </w:pPr>
            <w:r w:rsidRPr="0030350A">
              <w:rPr>
                <w:rFonts w:cs="Arial"/>
                <w:b/>
                <w:bCs/>
                <w:sz w:val="20"/>
                <w:szCs w:val="20"/>
              </w:rPr>
              <w:t xml:space="preserve">Output 1b.3 </w:t>
            </w:r>
            <w:r w:rsidRPr="0030350A">
              <w:rPr>
                <w:rFonts w:cs="Arial"/>
                <w:sz w:val="20"/>
                <w:szCs w:val="20"/>
              </w:rPr>
              <w:t>Cumulative total green building project cost financed achieved by replicated finance.   </w:t>
            </w:r>
          </w:p>
        </w:tc>
        <w:tc>
          <w:tcPr>
            <w:tcW w:w="3961" w:type="dxa"/>
            <w:hideMark/>
          </w:tcPr>
          <w:p w:rsidRPr="0030350A" w:rsidR="00C97A0D" w:rsidRDefault="00C97A0D" w14:paraId="4E844215" w14:textId="03CA9878">
            <w:pPr>
              <w:spacing w:after="0" w:line="240" w:lineRule="auto"/>
              <w:textAlignment w:val="baseline"/>
              <w:rPr>
                <w:rFonts w:cs="Arial"/>
                <w:sz w:val="20"/>
                <w:szCs w:val="20"/>
              </w:rPr>
            </w:pPr>
            <w:r w:rsidRPr="0030350A">
              <w:rPr>
                <w:rFonts w:cs="Arial"/>
                <w:i/>
                <w:iCs/>
                <w:sz w:val="20"/>
                <w:szCs w:val="20"/>
              </w:rPr>
              <w:t>Expected:</w:t>
            </w:r>
            <w:r>
              <w:rPr>
                <w:rFonts w:cs="Arial"/>
                <w:i/>
                <w:iCs/>
                <w:sz w:val="20"/>
                <w:szCs w:val="20"/>
              </w:rPr>
              <w:t xml:space="preserve"> </w:t>
            </w:r>
            <w:r>
              <w:rPr>
                <w:rFonts w:cs="Arial"/>
                <w:sz w:val="20"/>
                <w:szCs w:val="20"/>
              </w:rPr>
              <w:t>£4,182,024</w:t>
            </w:r>
            <w:r w:rsidR="000139D9">
              <w:rPr>
                <w:rFonts w:cs="Arial"/>
                <w:sz w:val="20"/>
                <w:szCs w:val="20"/>
              </w:rPr>
              <w:br/>
            </w:r>
            <w:r w:rsidRPr="000139D9" w:rsidR="000139D9">
              <w:rPr>
                <w:rFonts w:cs="Arial"/>
                <w:i/>
                <w:iCs/>
                <w:sz w:val="20"/>
                <w:szCs w:val="20"/>
              </w:rPr>
              <w:t>($5,361,569</w:t>
            </w:r>
            <w:r w:rsidR="000139D9">
              <w:rPr>
                <w:rFonts w:cs="Arial"/>
                <w:i/>
                <w:iCs/>
                <w:sz w:val="20"/>
                <w:szCs w:val="20"/>
              </w:rPr>
              <w:t>)</w:t>
            </w:r>
            <w:r>
              <w:rPr>
                <w:rFonts w:cs="Arial"/>
                <w:sz w:val="20"/>
                <w:szCs w:val="20"/>
              </w:rPr>
              <w:br/>
            </w:r>
            <w:r>
              <w:rPr>
                <w:rFonts w:cs="Arial"/>
                <w:sz w:val="20"/>
                <w:szCs w:val="20"/>
              </w:rPr>
              <w:br/>
            </w:r>
            <w:r>
              <w:rPr>
                <w:rFonts w:cs="Arial"/>
                <w:i/>
                <w:iCs/>
                <w:sz w:val="20"/>
                <w:szCs w:val="20"/>
              </w:rPr>
              <w:t xml:space="preserve">Achieved: </w:t>
            </w:r>
            <w:r>
              <w:rPr>
                <w:rFonts w:cs="Arial"/>
                <w:sz w:val="20"/>
                <w:szCs w:val="20"/>
              </w:rPr>
              <w:t>£0</w:t>
            </w:r>
          </w:p>
          <w:p w:rsidRPr="0030350A" w:rsidR="00C97A0D" w:rsidRDefault="00C97A0D" w14:paraId="42E810B2" w14:textId="77777777">
            <w:pPr>
              <w:rPr>
                <w:rFonts w:cs="Arial"/>
                <w:i/>
                <w:iCs/>
                <w:sz w:val="20"/>
                <w:szCs w:val="20"/>
              </w:rPr>
            </w:pPr>
          </w:p>
          <w:p w:rsidRPr="0030350A" w:rsidR="00C97A0D" w:rsidRDefault="00C97A0D" w14:paraId="5BD55A2C" w14:textId="77777777">
            <w:pPr>
              <w:spacing w:after="0" w:line="240" w:lineRule="auto"/>
              <w:textAlignment w:val="baseline"/>
              <w:rPr>
                <w:rFonts w:cs="Arial"/>
                <w:sz w:val="20"/>
                <w:szCs w:val="20"/>
              </w:rPr>
            </w:pPr>
          </w:p>
        </w:tc>
        <w:tc>
          <w:tcPr>
            <w:tcW w:w="5387" w:type="dxa"/>
            <w:hideMark/>
          </w:tcPr>
          <w:p w:rsidRPr="0030350A" w:rsidR="00C97A0D" w:rsidRDefault="00C97A0D" w14:paraId="22F13E33" w14:textId="77777777">
            <w:pPr>
              <w:spacing w:after="0" w:line="240" w:lineRule="auto"/>
              <w:textAlignment w:val="baseline"/>
              <w:rPr>
                <w:rFonts w:cs="Arial"/>
                <w:sz w:val="20"/>
                <w:szCs w:val="20"/>
              </w:rPr>
            </w:pPr>
            <w:r w:rsidRPr="0030350A">
              <w:rPr>
                <w:rFonts w:cs="Arial"/>
                <w:sz w:val="20"/>
                <w:szCs w:val="20"/>
              </w:rPr>
              <w:t>3: Not enough evidence yet to assess, or the balance of evidence is inconclusive    </w:t>
            </w:r>
            <w:r w:rsidRPr="0030350A">
              <w:rPr>
                <w:rFonts w:cs="Arial"/>
                <w:sz w:val="20"/>
                <w:szCs w:val="20"/>
              </w:rPr>
              <w:br/>
            </w:r>
            <w:r w:rsidRPr="0030350A">
              <w:rPr>
                <w:rFonts w:cs="Arial"/>
                <w:sz w:val="20"/>
                <w:szCs w:val="20"/>
              </w:rPr>
              <w:t> </w:t>
            </w:r>
          </w:p>
          <w:p w:rsidRPr="0030350A" w:rsidR="00C97A0D" w:rsidRDefault="00C97A0D" w14:paraId="1BEBF9CE" w14:textId="77777777">
            <w:pPr>
              <w:spacing w:after="0" w:line="240" w:lineRule="auto"/>
              <w:textAlignment w:val="baseline"/>
              <w:rPr>
                <w:rFonts w:cs="Arial"/>
                <w:sz w:val="20"/>
                <w:szCs w:val="20"/>
              </w:rPr>
            </w:pPr>
            <w:r w:rsidRPr="0030350A">
              <w:rPr>
                <w:rFonts w:cs="Arial"/>
                <w:sz w:val="20"/>
                <w:szCs w:val="20"/>
              </w:rPr>
              <w:t>Still no results in this indicator.</w:t>
            </w:r>
          </w:p>
        </w:tc>
      </w:tr>
      <w:tr w:rsidRPr="00CE09F5" w:rsidR="00C97A0D" w:rsidTr="00E13638" w14:paraId="013D2A11"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hideMark/>
          </w:tcPr>
          <w:p w:rsidRPr="0030350A" w:rsidR="00C97A0D" w:rsidRDefault="00C97A0D" w14:paraId="5CB70E18"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75A494D8" w14:textId="77777777">
            <w:pPr>
              <w:spacing w:after="0" w:line="240" w:lineRule="auto"/>
              <w:textAlignment w:val="baseline"/>
              <w:rPr>
                <w:rFonts w:cs="Arial"/>
                <w:sz w:val="20"/>
                <w:szCs w:val="20"/>
              </w:rPr>
            </w:pPr>
            <w:r w:rsidRPr="0030350A">
              <w:rPr>
                <w:rFonts w:cs="Arial"/>
                <w:b/>
                <w:bCs/>
                <w:sz w:val="20"/>
                <w:szCs w:val="20"/>
              </w:rPr>
              <w:t>Output 1b.4</w:t>
            </w:r>
            <w:r w:rsidRPr="0030350A">
              <w:rPr>
                <w:rFonts w:cs="Arial"/>
                <w:sz w:val="20"/>
                <w:szCs w:val="20"/>
              </w:rPr>
              <w:t xml:space="preserve"> </w:t>
            </w:r>
            <w:r w:rsidRPr="003D1CF0">
              <w:rPr>
                <w:rFonts w:cs="Arial"/>
                <w:sz w:val="20"/>
                <w:szCs w:val="20"/>
              </w:rPr>
              <w:t>Cumulative number of financial intermediaries receiving MAGC blended finance capturing and reporting its full disbursement through the CAFI tool.</w:t>
            </w:r>
          </w:p>
        </w:tc>
        <w:tc>
          <w:tcPr>
            <w:tcW w:w="3961" w:type="dxa"/>
            <w:hideMark/>
          </w:tcPr>
          <w:p w:rsidRPr="0030350A" w:rsidR="00C97A0D" w:rsidRDefault="00C97A0D" w14:paraId="45EF1269" w14:textId="77777777">
            <w:pPr>
              <w:spacing w:after="0" w:line="240" w:lineRule="auto"/>
              <w:textAlignment w:val="baseline"/>
              <w:rPr>
                <w:rFonts w:cs="Arial"/>
                <w:sz w:val="20"/>
                <w:szCs w:val="20"/>
              </w:rPr>
            </w:pPr>
            <w:r w:rsidRPr="0030350A">
              <w:rPr>
                <w:rFonts w:cs="Arial"/>
                <w:i/>
                <w:iCs/>
                <w:sz w:val="20"/>
                <w:szCs w:val="20"/>
              </w:rPr>
              <w:t xml:space="preserve">Expected: </w:t>
            </w:r>
            <w:r>
              <w:rPr>
                <w:rFonts w:cs="Arial"/>
                <w:i/>
                <w:iCs/>
                <w:sz w:val="20"/>
                <w:szCs w:val="20"/>
              </w:rPr>
              <w:t>2</w:t>
            </w:r>
          </w:p>
          <w:p w:rsidRPr="0030350A" w:rsidR="00C97A0D" w:rsidRDefault="00C97A0D" w14:paraId="7FA22E5E" w14:textId="77777777">
            <w:pPr>
              <w:spacing w:after="0" w:line="240" w:lineRule="auto"/>
              <w:textAlignment w:val="baseline"/>
              <w:rPr>
                <w:rFonts w:cs="Arial"/>
                <w:sz w:val="20"/>
                <w:szCs w:val="20"/>
              </w:rPr>
            </w:pPr>
            <w:r w:rsidRPr="0030350A">
              <w:rPr>
                <w:rFonts w:cs="Arial"/>
                <w:sz w:val="20"/>
                <w:szCs w:val="20"/>
              </w:rPr>
              <w:t>  </w:t>
            </w:r>
          </w:p>
          <w:p w:rsidRPr="0030350A" w:rsidR="00C97A0D" w:rsidRDefault="00C97A0D" w14:paraId="0BD9BF64" w14:textId="77777777">
            <w:pPr>
              <w:spacing w:after="0" w:line="240" w:lineRule="auto"/>
              <w:textAlignment w:val="baseline"/>
              <w:rPr>
                <w:rFonts w:cs="Arial"/>
                <w:sz w:val="20"/>
                <w:szCs w:val="20"/>
              </w:rPr>
            </w:pPr>
            <w:r w:rsidRPr="0030350A">
              <w:rPr>
                <w:rFonts w:cs="Arial"/>
                <w:i/>
                <w:iCs/>
                <w:sz w:val="20"/>
                <w:szCs w:val="20"/>
              </w:rPr>
              <w:t>Achieved:</w:t>
            </w:r>
            <w:r w:rsidRPr="0030350A">
              <w:rPr>
                <w:rFonts w:cs="Arial"/>
                <w:sz w:val="20"/>
                <w:szCs w:val="20"/>
              </w:rPr>
              <w:t>  </w:t>
            </w:r>
            <w:r>
              <w:rPr>
                <w:rFonts w:cs="Arial"/>
                <w:sz w:val="20"/>
                <w:szCs w:val="20"/>
              </w:rPr>
              <w:t>1</w:t>
            </w:r>
            <w:r w:rsidRPr="0030350A">
              <w:rPr>
                <w:rFonts w:cs="Arial"/>
                <w:sz w:val="20"/>
                <w:szCs w:val="20"/>
              </w:rPr>
              <w:t> </w:t>
            </w:r>
          </w:p>
        </w:tc>
        <w:tc>
          <w:tcPr>
            <w:tcW w:w="5387" w:type="dxa"/>
            <w:hideMark/>
          </w:tcPr>
          <w:p w:rsidRPr="00585D07" w:rsidR="00C97A0D" w:rsidRDefault="00C97A0D" w14:paraId="3B9020E4" w14:textId="77777777">
            <w:pPr>
              <w:spacing w:after="0" w:line="240" w:lineRule="auto"/>
              <w:textAlignment w:val="baseline"/>
              <w:rPr>
                <w:rFonts w:cs="Arial"/>
                <w:sz w:val="20"/>
                <w:szCs w:val="20"/>
              </w:rPr>
            </w:pPr>
            <w:r w:rsidRPr="00585D07">
              <w:rPr>
                <w:rFonts w:cs="Arial"/>
                <w:sz w:val="20"/>
                <w:szCs w:val="20"/>
              </w:rPr>
              <w:t>3: Not enough evidence yet to assess, or the balance of evidence is inconclusive    </w:t>
            </w:r>
            <w:r w:rsidRPr="00585D07">
              <w:rPr>
                <w:rFonts w:cs="Arial"/>
                <w:sz w:val="20"/>
                <w:szCs w:val="20"/>
              </w:rPr>
              <w:br/>
            </w:r>
            <w:r w:rsidRPr="00585D07">
              <w:rPr>
                <w:rFonts w:cs="Arial"/>
                <w:sz w:val="20"/>
                <w:szCs w:val="20"/>
              </w:rPr>
              <w:t> </w:t>
            </w:r>
          </w:p>
          <w:p w:rsidRPr="0030350A" w:rsidR="00C97A0D" w:rsidRDefault="00C97A0D" w14:paraId="234AA232" w14:textId="77777777">
            <w:pPr>
              <w:spacing w:after="0" w:line="240" w:lineRule="auto"/>
              <w:textAlignment w:val="baseline"/>
              <w:rPr>
                <w:rFonts w:cs="Arial"/>
                <w:sz w:val="20"/>
                <w:szCs w:val="20"/>
              </w:rPr>
            </w:pPr>
            <w:r>
              <w:rPr>
                <w:rFonts w:cs="Arial"/>
                <w:sz w:val="20"/>
                <w:szCs w:val="20"/>
              </w:rPr>
              <w:t>This does not meet expected</w:t>
            </w:r>
            <w:r w:rsidRPr="00585D07">
              <w:rPr>
                <w:rFonts w:cs="Arial"/>
                <w:sz w:val="20"/>
                <w:szCs w:val="20"/>
              </w:rPr>
              <w:t xml:space="preserve"> targets at this stage of the programme.</w:t>
            </w:r>
          </w:p>
        </w:tc>
      </w:tr>
      <w:tr w:rsidRPr="00CE09F5" w:rsidR="00C97A0D" w:rsidTr="00E13638" w14:paraId="564AC610" w14:textId="77777777">
        <w:trPr>
          <w:cnfStyle w:val="000000010000" w:firstRow="0" w:lastRow="0" w:firstColumn="0" w:lastColumn="0" w:oddVBand="0" w:evenVBand="0" w:oddHBand="0" w:evenHBand="1" w:firstRowFirstColumn="0" w:firstRowLastColumn="0" w:lastRowFirstColumn="0" w:lastRowLastColumn="0"/>
          <w:trHeight w:val="300"/>
        </w:trPr>
        <w:tc>
          <w:tcPr>
            <w:tcW w:w="2260" w:type="dxa"/>
            <w:hideMark/>
          </w:tcPr>
          <w:p w:rsidRPr="0030350A" w:rsidR="00C97A0D" w:rsidRDefault="00C97A0D" w14:paraId="22836FBF"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2762B440" w14:textId="77777777">
            <w:pPr>
              <w:spacing w:after="0" w:line="240" w:lineRule="auto"/>
              <w:textAlignment w:val="baseline"/>
              <w:rPr>
                <w:rFonts w:cs="Arial"/>
                <w:sz w:val="20"/>
                <w:szCs w:val="20"/>
              </w:rPr>
            </w:pPr>
            <w:r w:rsidRPr="0030350A">
              <w:rPr>
                <w:rFonts w:cs="Arial"/>
                <w:b/>
                <w:bCs/>
                <w:sz w:val="20"/>
                <w:szCs w:val="20"/>
              </w:rPr>
              <w:t>Outcome 2</w:t>
            </w:r>
            <w:r w:rsidRPr="0030350A">
              <w:rPr>
                <w:rFonts w:cs="Arial"/>
                <w:sz w:val="20"/>
                <w:szCs w:val="20"/>
              </w:rPr>
              <w:t xml:space="preserve"> The proportion of financial intermediaries supported with MAGC blended finance which report that non-performing loans (NPLs) for green building finance are no worse than for traditional building finance.   </w:t>
            </w:r>
          </w:p>
        </w:tc>
        <w:tc>
          <w:tcPr>
            <w:tcW w:w="3961" w:type="dxa"/>
            <w:hideMark/>
          </w:tcPr>
          <w:p w:rsidRPr="0030350A" w:rsidR="00C97A0D" w:rsidRDefault="00C97A0D" w14:paraId="10A9D3A2" w14:textId="77777777">
            <w:pPr>
              <w:spacing w:after="0" w:line="240" w:lineRule="auto"/>
              <w:textAlignment w:val="baseline"/>
              <w:rPr>
                <w:rFonts w:cs="Arial"/>
                <w:sz w:val="20"/>
                <w:szCs w:val="20"/>
              </w:rPr>
            </w:pPr>
            <w:r w:rsidRPr="0030350A">
              <w:rPr>
                <w:rFonts w:cs="Arial"/>
                <w:i/>
                <w:iCs/>
                <w:sz w:val="20"/>
                <w:szCs w:val="20"/>
              </w:rPr>
              <w:t xml:space="preserve">Expected: </w:t>
            </w:r>
            <w:r w:rsidRPr="0030350A">
              <w:rPr>
                <w:rFonts w:cs="Arial"/>
                <w:sz w:val="20"/>
                <w:szCs w:val="20"/>
              </w:rPr>
              <w:t>Monitoring only</w:t>
            </w:r>
            <w:r w:rsidRPr="0030350A">
              <w:rPr>
                <w:rFonts w:cs="Arial"/>
                <w:sz w:val="20"/>
                <w:szCs w:val="20"/>
              </w:rPr>
              <w:br/>
            </w:r>
            <w:r w:rsidRPr="0030350A">
              <w:rPr>
                <w:rFonts w:cs="Arial"/>
                <w:sz w:val="20"/>
                <w:szCs w:val="20"/>
              </w:rPr>
              <w:br/>
            </w:r>
            <w:r w:rsidRPr="0030350A">
              <w:rPr>
                <w:rFonts w:cs="Arial"/>
                <w:sz w:val="20"/>
                <w:szCs w:val="20"/>
              </w:rPr>
              <w:t>Achieved: n/a</w:t>
            </w:r>
            <w:r w:rsidRPr="0030350A">
              <w:rPr>
                <w:rFonts w:cs="Arial"/>
                <w:sz w:val="20"/>
                <w:szCs w:val="20"/>
              </w:rPr>
              <w:br/>
            </w:r>
            <w:r w:rsidRPr="0030350A">
              <w:rPr>
                <w:rFonts w:cs="Arial"/>
                <w:sz w:val="20"/>
                <w:szCs w:val="20"/>
              </w:rPr>
              <w:br/>
            </w:r>
          </w:p>
        </w:tc>
        <w:tc>
          <w:tcPr>
            <w:tcW w:w="5387" w:type="dxa"/>
            <w:hideMark/>
          </w:tcPr>
          <w:p w:rsidRPr="0030350A" w:rsidR="00C97A0D" w:rsidRDefault="00C97A0D" w14:paraId="5E28978C" w14:textId="77777777">
            <w:pPr>
              <w:spacing w:after="0" w:line="240" w:lineRule="auto"/>
              <w:textAlignment w:val="baseline"/>
              <w:rPr>
                <w:rFonts w:cs="Arial"/>
                <w:sz w:val="20"/>
                <w:szCs w:val="20"/>
              </w:rPr>
            </w:pPr>
            <w:r w:rsidRPr="0030350A">
              <w:rPr>
                <w:rFonts w:cs="Arial"/>
                <w:sz w:val="20"/>
                <w:szCs w:val="20"/>
              </w:rPr>
              <w:t>3: Not enough evidence yet to assess, or the balance of evidence is inconclusive    </w:t>
            </w:r>
            <w:r w:rsidRPr="0030350A">
              <w:rPr>
                <w:rFonts w:cs="Arial"/>
                <w:sz w:val="20"/>
                <w:szCs w:val="20"/>
              </w:rPr>
              <w:br/>
            </w:r>
            <w:r w:rsidRPr="0030350A">
              <w:rPr>
                <w:rFonts w:cs="Arial"/>
                <w:sz w:val="20"/>
                <w:szCs w:val="20"/>
              </w:rPr>
              <w:br/>
            </w:r>
            <w:r w:rsidRPr="0030350A">
              <w:rPr>
                <w:rFonts w:cs="Arial"/>
                <w:sz w:val="20"/>
                <w:szCs w:val="20"/>
              </w:rPr>
              <w:t>This target was not planned for this review period, so has not been assessed.</w:t>
            </w:r>
            <w:r w:rsidRPr="00CE09F5">
              <w:rPr>
                <w:rFonts w:cs="Arial"/>
                <w:color w:val="000000"/>
                <w:sz w:val="20"/>
                <w:szCs w:val="20"/>
              </w:rPr>
              <w:t>   </w:t>
            </w:r>
            <w:r w:rsidRPr="0030350A">
              <w:rPr>
                <w:rFonts w:cs="Arial"/>
                <w:sz w:val="20"/>
                <w:szCs w:val="20"/>
              </w:rPr>
              <w:br/>
            </w:r>
            <w:r w:rsidRPr="0030350A">
              <w:rPr>
                <w:rFonts w:cs="Arial"/>
                <w:sz w:val="20"/>
                <w:szCs w:val="20"/>
              </w:rPr>
              <w:t>  </w:t>
            </w:r>
          </w:p>
        </w:tc>
      </w:tr>
      <w:tr w:rsidRPr="00CE09F5" w:rsidR="00C97A0D" w14:paraId="74C7D1AC" w14:textId="77777777">
        <w:trPr>
          <w:cnfStyle w:val="000000100000" w:firstRow="0" w:lastRow="0" w:firstColumn="0" w:lastColumn="0" w:oddVBand="0" w:evenVBand="0" w:oddHBand="1" w:evenHBand="0" w:firstRowFirstColumn="0" w:firstRowLastColumn="0" w:lastRowFirstColumn="0" w:lastRowLastColumn="0"/>
          <w:trHeight w:val="300"/>
        </w:trPr>
        <w:tc>
          <w:tcPr>
            <w:tcW w:w="2260" w:type="dxa"/>
            <w:hideMark/>
          </w:tcPr>
          <w:p w:rsidRPr="0030350A" w:rsidR="00C97A0D" w:rsidRDefault="00C97A0D" w14:paraId="0D9D4110" w14:textId="75276BE5">
            <w:pPr>
              <w:spacing w:after="0" w:line="240" w:lineRule="auto"/>
              <w:textAlignment w:val="baseline"/>
              <w:rPr>
                <w:rFonts w:cs="Arial"/>
                <w:sz w:val="20"/>
                <w:szCs w:val="20"/>
              </w:rPr>
            </w:pPr>
            <w:r w:rsidRPr="0030350A">
              <w:rPr>
                <w:rFonts w:cs="Arial"/>
                <w:b/>
                <w:bCs/>
                <w:sz w:val="20"/>
                <w:szCs w:val="20"/>
              </w:rPr>
              <w:t xml:space="preserve">Leverage </w:t>
            </w:r>
            <w:r w:rsidR="00BC5AC6">
              <w:rPr>
                <w:rFonts w:cs="Arial"/>
                <w:b/>
                <w:bCs/>
                <w:sz w:val="20"/>
                <w:szCs w:val="20"/>
              </w:rPr>
              <w:t>A</w:t>
            </w:r>
            <w:r w:rsidRPr="0030350A">
              <w:rPr>
                <w:rFonts w:cs="Arial"/>
                <w:b/>
                <w:bCs/>
                <w:sz w:val="20"/>
                <w:szCs w:val="20"/>
              </w:rPr>
              <w:t xml:space="preserve">verage Score </w:t>
            </w:r>
            <w:r w:rsidR="00BC5AC6">
              <w:rPr>
                <w:rFonts w:cs="Arial"/>
                <w:b/>
                <w:bCs/>
                <w:sz w:val="20"/>
                <w:szCs w:val="20"/>
              </w:rPr>
              <w:t>(</w:t>
            </w:r>
            <w:r w:rsidRPr="0030350A">
              <w:rPr>
                <w:rFonts w:cs="Arial"/>
                <w:b/>
                <w:bCs/>
                <w:sz w:val="20"/>
                <w:szCs w:val="20"/>
              </w:rPr>
              <w:t>40%)</w:t>
            </w:r>
            <w:r w:rsidRPr="0030350A">
              <w:rPr>
                <w:rFonts w:cs="Arial"/>
                <w:sz w:val="20"/>
                <w:szCs w:val="20"/>
              </w:rPr>
              <w:t> </w:t>
            </w:r>
          </w:p>
        </w:tc>
        <w:tc>
          <w:tcPr>
            <w:tcW w:w="12900" w:type="dxa"/>
            <w:gridSpan w:val="3"/>
            <w:hideMark/>
          </w:tcPr>
          <w:p w:rsidRPr="0030350A" w:rsidR="00C97A0D" w:rsidRDefault="00C97A0D" w14:paraId="64D5AFD8" w14:textId="69842432">
            <w:pPr>
              <w:spacing w:after="0" w:line="240" w:lineRule="auto"/>
              <w:jc w:val="right"/>
              <w:textAlignment w:val="baseline"/>
              <w:rPr>
                <w:rFonts w:cs="Arial"/>
                <w:sz w:val="20"/>
                <w:szCs w:val="20"/>
              </w:rPr>
            </w:pPr>
            <w:r w:rsidRPr="00CE09F5">
              <w:rPr>
                <w:rFonts w:cs="Arial"/>
                <w:b/>
                <w:bCs/>
                <w:sz w:val="20"/>
                <w:szCs w:val="20"/>
              </w:rPr>
              <w:t>3.</w:t>
            </w:r>
            <w:r w:rsidR="00A518A0">
              <w:rPr>
                <w:rFonts w:cs="Arial"/>
                <w:b/>
                <w:sz w:val="20"/>
                <w:szCs w:val="20"/>
              </w:rPr>
              <w:t>4</w:t>
            </w:r>
            <w:r w:rsidRPr="00CE09F5" w:rsidR="00666E8A">
              <w:rPr>
                <w:rFonts w:cs="Arial"/>
                <w:sz w:val="20"/>
                <w:szCs w:val="20"/>
              </w:rPr>
              <w:t>   </w:t>
            </w:r>
          </w:p>
        </w:tc>
      </w:tr>
      <w:tr w:rsidRPr="00CE09F5" w:rsidR="00C97A0D" w:rsidTr="00E13638" w14:paraId="7F93B863" w14:textId="77777777">
        <w:trPr>
          <w:cnfStyle w:val="000000010000" w:firstRow="0" w:lastRow="0" w:firstColumn="0" w:lastColumn="0" w:oddVBand="0" w:evenVBand="0" w:oddHBand="0" w:evenHBand="1" w:firstRowFirstColumn="0" w:firstRowLastColumn="0" w:lastRowFirstColumn="0" w:lastRowLastColumn="0"/>
          <w:trHeight w:val="25"/>
        </w:trPr>
        <w:tc>
          <w:tcPr>
            <w:tcW w:w="2260" w:type="dxa"/>
            <w:hideMark/>
          </w:tcPr>
          <w:p w:rsidRPr="0030350A" w:rsidR="00C97A0D" w:rsidRDefault="00C97A0D" w14:paraId="30C3BC61"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601EA9AE" w14:textId="77777777">
            <w:pPr>
              <w:spacing w:after="0" w:line="240" w:lineRule="auto"/>
              <w:textAlignment w:val="baseline"/>
              <w:rPr>
                <w:rFonts w:cs="Arial"/>
                <w:sz w:val="20"/>
                <w:szCs w:val="20"/>
              </w:rPr>
            </w:pPr>
            <w:r w:rsidRPr="0030350A">
              <w:rPr>
                <w:rFonts w:cs="Arial"/>
                <w:sz w:val="20"/>
                <w:szCs w:val="20"/>
              </w:rPr>
              <w:t>   </w:t>
            </w:r>
          </w:p>
        </w:tc>
        <w:tc>
          <w:tcPr>
            <w:tcW w:w="3961" w:type="dxa"/>
            <w:hideMark/>
          </w:tcPr>
          <w:p w:rsidRPr="0030350A" w:rsidR="00C97A0D" w:rsidRDefault="00C97A0D" w14:paraId="13606D41" w14:textId="77777777">
            <w:pPr>
              <w:spacing w:after="0" w:line="240" w:lineRule="auto"/>
              <w:textAlignment w:val="baseline"/>
              <w:rPr>
                <w:rFonts w:cs="Arial"/>
                <w:sz w:val="20"/>
                <w:szCs w:val="20"/>
              </w:rPr>
            </w:pPr>
            <w:r w:rsidRPr="00CE09F5">
              <w:rPr>
                <w:rFonts w:cs="Arial"/>
                <w:sz w:val="20"/>
                <w:szCs w:val="20"/>
              </w:rPr>
              <w:t>   </w:t>
            </w:r>
          </w:p>
        </w:tc>
        <w:tc>
          <w:tcPr>
            <w:tcW w:w="5387" w:type="dxa"/>
            <w:hideMark/>
          </w:tcPr>
          <w:p w:rsidRPr="0030350A" w:rsidR="00C97A0D" w:rsidRDefault="00C97A0D" w14:paraId="754BFF72" w14:textId="77777777">
            <w:pPr>
              <w:spacing w:after="0" w:line="240" w:lineRule="auto"/>
              <w:textAlignment w:val="baseline"/>
              <w:rPr>
                <w:rFonts w:cs="Arial"/>
                <w:sz w:val="20"/>
                <w:szCs w:val="20"/>
              </w:rPr>
            </w:pPr>
            <w:r w:rsidRPr="00CE09F5">
              <w:rPr>
                <w:rFonts w:cs="Arial"/>
                <w:sz w:val="20"/>
                <w:szCs w:val="20"/>
              </w:rPr>
              <w:t>   </w:t>
            </w:r>
          </w:p>
        </w:tc>
      </w:tr>
      <w:tr w:rsidRPr="00167D10" w:rsidR="00C97A0D" w:rsidTr="00E13638" w14:paraId="382F6EC3" w14:textId="77777777">
        <w:trPr>
          <w:cnfStyle w:val="000000100000" w:firstRow="0" w:lastRow="0" w:firstColumn="0" w:lastColumn="0" w:oddVBand="0" w:evenVBand="0" w:oddHBand="1" w:evenHBand="0" w:firstRowFirstColumn="0" w:firstRowLastColumn="0" w:lastRowFirstColumn="0" w:lastRowLastColumn="0"/>
          <w:trHeight w:val="1166"/>
        </w:trPr>
        <w:tc>
          <w:tcPr>
            <w:tcW w:w="2260" w:type="dxa"/>
            <w:vMerge w:val="restart"/>
            <w:hideMark/>
          </w:tcPr>
          <w:p w:rsidRPr="0030350A" w:rsidR="00C97A0D" w:rsidRDefault="00C97A0D" w14:paraId="6115B775" w14:textId="77777777">
            <w:pPr>
              <w:spacing w:after="0" w:line="240" w:lineRule="auto"/>
              <w:textAlignment w:val="baseline"/>
              <w:rPr>
                <w:rFonts w:cs="Arial"/>
                <w:sz w:val="20"/>
                <w:szCs w:val="20"/>
              </w:rPr>
            </w:pPr>
            <w:r w:rsidRPr="0030350A">
              <w:rPr>
                <w:rFonts w:cs="Arial"/>
                <w:b/>
                <w:bCs/>
                <w:color w:val="000000"/>
                <w:sz w:val="20"/>
                <w:szCs w:val="20"/>
              </w:rPr>
              <w:t>Critical</w:t>
            </w:r>
            <w:r w:rsidRPr="0030350A">
              <w:rPr>
                <w:rFonts w:cs="Arial"/>
                <w:b/>
                <w:bCs/>
                <w:sz w:val="20"/>
                <w:szCs w:val="20"/>
              </w:rPr>
              <w:t xml:space="preserve"> Mass</w:t>
            </w:r>
            <w:r w:rsidRPr="0030350A">
              <w:rPr>
                <w:rFonts w:cs="Arial"/>
                <w:sz w:val="20"/>
                <w:szCs w:val="20"/>
              </w:rPr>
              <w:t>   </w:t>
            </w:r>
          </w:p>
        </w:tc>
        <w:tc>
          <w:tcPr>
            <w:tcW w:w="3552" w:type="dxa"/>
            <w:hideMark/>
          </w:tcPr>
          <w:p w:rsidRPr="0030350A" w:rsidR="00C97A0D" w:rsidRDefault="00C97A0D" w14:paraId="192BE956" w14:textId="77777777">
            <w:pPr>
              <w:spacing w:after="0" w:line="240" w:lineRule="auto"/>
              <w:textAlignment w:val="baseline"/>
              <w:rPr>
                <w:rFonts w:cs="Arial"/>
                <w:sz w:val="20"/>
                <w:szCs w:val="20"/>
              </w:rPr>
            </w:pPr>
            <w:r w:rsidRPr="0030350A">
              <w:rPr>
                <w:rFonts w:cs="Arial"/>
                <w:b/>
                <w:bCs/>
                <w:sz w:val="20"/>
                <w:szCs w:val="20"/>
              </w:rPr>
              <w:t>Impact 1.</w:t>
            </w:r>
            <w:r w:rsidRPr="0030350A">
              <w:rPr>
                <w:rFonts w:cs="Arial"/>
                <w:sz w:val="20"/>
                <w:szCs w:val="20"/>
              </w:rPr>
              <w:t xml:space="preserve"> Proportion of countries where there is an evolution of the Green Buildings market (e.g. growth in market share of green certified floor space).   </w:t>
            </w:r>
          </w:p>
        </w:tc>
        <w:tc>
          <w:tcPr>
            <w:tcW w:w="3961" w:type="dxa"/>
            <w:hideMark/>
          </w:tcPr>
          <w:p w:rsidRPr="0030350A" w:rsidR="00C97A0D" w:rsidRDefault="00C97A0D" w14:paraId="44A335F3" w14:textId="77777777">
            <w:pPr>
              <w:spacing w:after="0" w:line="240" w:lineRule="auto"/>
              <w:textAlignment w:val="baseline"/>
              <w:rPr>
                <w:rFonts w:cs="Arial"/>
                <w:sz w:val="20"/>
                <w:szCs w:val="20"/>
              </w:rPr>
            </w:pPr>
            <w:r w:rsidRPr="0030350A">
              <w:rPr>
                <w:rFonts w:cs="Arial"/>
                <w:i/>
                <w:iCs/>
                <w:sz w:val="20"/>
                <w:szCs w:val="20"/>
              </w:rPr>
              <w:t xml:space="preserve">Expected: </w:t>
            </w:r>
            <w:r w:rsidRPr="0030350A">
              <w:rPr>
                <w:rFonts w:cs="Arial"/>
                <w:sz w:val="20"/>
                <w:szCs w:val="20"/>
              </w:rPr>
              <w:t>Monitoring only</w:t>
            </w:r>
            <w:r w:rsidRPr="0030350A">
              <w:rPr>
                <w:rFonts w:cs="Arial"/>
                <w:sz w:val="20"/>
                <w:szCs w:val="20"/>
              </w:rPr>
              <w:br/>
            </w:r>
            <w:r w:rsidRPr="0030350A">
              <w:rPr>
                <w:rFonts w:cs="Arial"/>
                <w:sz w:val="20"/>
                <w:szCs w:val="20"/>
              </w:rPr>
              <w:br/>
            </w:r>
            <w:r w:rsidRPr="0030350A">
              <w:rPr>
                <w:rFonts w:cs="Arial"/>
                <w:sz w:val="20"/>
                <w:szCs w:val="20"/>
              </w:rPr>
              <w:t>Achieved: n/a</w:t>
            </w:r>
            <w:r w:rsidRPr="0030350A">
              <w:rPr>
                <w:rFonts w:cs="Arial"/>
                <w:color w:val="000000"/>
                <w:sz w:val="20"/>
                <w:szCs w:val="20"/>
              </w:rPr>
              <w:t xml:space="preserve"> </w:t>
            </w:r>
          </w:p>
        </w:tc>
        <w:tc>
          <w:tcPr>
            <w:tcW w:w="5387" w:type="dxa"/>
            <w:hideMark/>
          </w:tcPr>
          <w:p w:rsidRPr="0030350A" w:rsidR="00C97A0D" w:rsidRDefault="00C97A0D" w14:paraId="44597D79" w14:textId="77777777">
            <w:pPr>
              <w:spacing w:after="0" w:line="240" w:lineRule="auto"/>
              <w:textAlignment w:val="baseline"/>
              <w:rPr>
                <w:rFonts w:cs="Arial"/>
                <w:color w:val="000000"/>
                <w:sz w:val="20"/>
                <w:szCs w:val="20"/>
              </w:rPr>
            </w:pPr>
            <w:r w:rsidRPr="0030350A">
              <w:rPr>
                <w:rFonts w:cs="Arial"/>
                <w:sz w:val="20"/>
                <w:szCs w:val="20"/>
              </w:rPr>
              <w:t>3: Not enough evidence yet to assess, or the balance of evidence is inconclusive</w:t>
            </w:r>
            <w:r w:rsidRPr="0030350A">
              <w:rPr>
                <w:rFonts w:cs="Arial"/>
                <w:sz w:val="20"/>
                <w:szCs w:val="20"/>
              </w:rPr>
              <w:br/>
            </w:r>
            <w:r w:rsidRPr="0030350A">
              <w:rPr>
                <w:rFonts w:cs="Arial"/>
                <w:sz w:val="20"/>
                <w:szCs w:val="20"/>
              </w:rPr>
              <w:br/>
            </w:r>
            <w:r w:rsidRPr="0030350A">
              <w:rPr>
                <w:rFonts w:cs="Arial"/>
                <w:color w:val="000000"/>
                <w:sz w:val="20"/>
                <w:szCs w:val="20"/>
              </w:rPr>
              <w:t>This target was not planned nor reported for this review period, so has not been assessed.   </w:t>
            </w:r>
          </w:p>
        </w:tc>
      </w:tr>
      <w:tr w:rsidRPr="00167D10" w:rsidR="00C97A0D" w:rsidTr="00E13638" w14:paraId="7863DE99" w14:textId="77777777">
        <w:trPr>
          <w:cnfStyle w:val="000000010000" w:firstRow="0" w:lastRow="0" w:firstColumn="0" w:lastColumn="0" w:oddVBand="0" w:evenVBand="0" w:oddHBand="0" w:evenHBand="1" w:firstRowFirstColumn="0" w:firstRowLastColumn="0" w:lastRowFirstColumn="0" w:lastRowLastColumn="0"/>
          <w:trHeight w:val="1113"/>
        </w:trPr>
        <w:tc>
          <w:tcPr>
            <w:tcW w:w="2260" w:type="dxa"/>
            <w:vMerge/>
            <w:hideMark/>
          </w:tcPr>
          <w:p w:rsidRPr="0030350A" w:rsidR="00C97A0D" w:rsidRDefault="00C97A0D" w14:paraId="0EB90696" w14:textId="77777777">
            <w:pPr>
              <w:spacing w:after="0" w:line="240" w:lineRule="auto"/>
              <w:rPr>
                <w:rFonts w:cs="Arial"/>
                <w:sz w:val="20"/>
                <w:szCs w:val="20"/>
              </w:rPr>
            </w:pPr>
          </w:p>
        </w:tc>
        <w:tc>
          <w:tcPr>
            <w:tcW w:w="3552" w:type="dxa"/>
            <w:hideMark/>
          </w:tcPr>
          <w:p w:rsidRPr="0030350A" w:rsidR="00C97A0D" w:rsidRDefault="00C97A0D" w14:paraId="6B3E5080" w14:textId="77777777">
            <w:pPr>
              <w:spacing w:after="0" w:line="240" w:lineRule="auto"/>
              <w:textAlignment w:val="baseline"/>
              <w:rPr>
                <w:rFonts w:cs="Arial"/>
                <w:sz w:val="20"/>
                <w:szCs w:val="20"/>
              </w:rPr>
            </w:pPr>
            <w:r w:rsidRPr="0030350A">
              <w:rPr>
                <w:rFonts w:cs="Arial"/>
                <w:b/>
                <w:bCs/>
                <w:sz w:val="20"/>
                <w:szCs w:val="20"/>
              </w:rPr>
              <w:t xml:space="preserve">Outcome 3. </w:t>
            </w:r>
            <w:r w:rsidRPr="0030350A">
              <w:rPr>
                <w:rFonts w:cs="Arial"/>
                <w:sz w:val="20"/>
                <w:szCs w:val="20"/>
              </w:rPr>
              <w:t>The number of additional financial intermediaries entering green building markets (cumulative)</w:t>
            </w:r>
            <w:r>
              <w:rPr>
                <w:rFonts w:cs="Arial"/>
                <w:sz w:val="20"/>
                <w:szCs w:val="20"/>
              </w:rPr>
              <w:t>.</w:t>
            </w:r>
            <w:r w:rsidRPr="0030350A">
              <w:rPr>
                <w:rFonts w:cs="Arial"/>
                <w:sz w:val="20"/>
                <w:szCs w:val="20"/>
              </w:rPr>
              <w:t>   </w:t>
            </w:r>
          </w:p>
        </w:tc>
        <w:tc>
          <w:tcPr>
            <w:tcW w:w="3961" w:type="dxa"/>
            <w:hideMark/>
          </w:tcPr>
          <w:p w:rsidRPr="0030350A" w:rsidR="00C97A0D" w:rsidRDefault="00C97A0D" w14:paraId="50A33E8D" w14:textId="77777777">
            <w:pPr>
              <w:spacing w:after="0" w:line="240" w:lineRule="auto"/>
              <w:textAlignment w:val="baseline"/>
              <w:rPr>
                <w:rFonts w:cs="Arial"/>
                <w:color w:val="000000"/>
                <w:sz w:val="20"/>
                <w:szCs w:val="20"/>
              </w:rPr>
            </w:pPr>
            <w:r w:rsidRPr="0030350A">
              <w:rPr>
                <w:rFonts w:cs="Arial"/>
                <w:i/>
                <w:iCs/>
                <w:sz w:val="20"/>
                <w:szCs w:val="20"/>
              </w:rPr>
              <w:t xml:space="preserve">Expected: </w:t>
            </w:r>
            <w:r w:rsidRPr="0030350A">
              <w:rPr>
                <w:rFonts w:cs="Arial"/>
                <w:sz w:val="20"/>
                <w:szCs w:val="20"/>
              </w:rPr>
              <w:t>0</w:t>
            </w:r>
            <w:r w:rsidRPr="0030350A">
              <w:rPr>
                <w:rFonts w:cs="Arial"/>
                <w:sz w:val="20"/>
                <w:szCs w:val="20"/>
              </w:rPr>
              <w:br/>
            </w:r>
            <w:r w:rsidRPr="0030350A">
              <w:rPr>
                <w:rFonts w:cs="Arial"/>
                <w:sz w:val="20"/>
                <w:szCs w:val="20"/>
              </w:rPr>
              <w:br/>
            </w:r>
            <w:r w:rsidRPr="0030350A">
              <w:rPr>
                <w:rFonts w:cs="Arial"/>
                <w:sz w:val="20"/>
                <w:szCs w:val="20"/>
              </w:rPr>
              <w:t xml:space="preserve">Achieved: </w:t>
            </w:r>
            <w:r>
              <w:rPr>
                <w:rFonts w:cs="Arial"/>
                <w:sz w:val="20"/>
                <w:szCs w:val="20"/>
              </w:rPr>
              <w:t>2</w:t>
            </w:r>
            <w:r w:rsidRPr="0030350A">
              <w:rPr>
                <w:rFonts w:cs="Arial"/>
                <w:color w:val="000000"/>
                <w:sz w:val="20"/>
                <w:szCs w:val="20"/>
              </w:rPr>
              <w:br/>
            </w:r>
            <w:r w:rsidRPr="0030350A">
              <w:rPr>
                <w:rFonts w:cs="Arial"/>
                <w:color w:val="000000"/>
                <w:sz w:val="20"/>
                <w:szCs w:val="20"/>
              </w:rPr>
              <w:br/>
            </w:r>
          </w:p>
          <w:p w:rsidRPr="0030350A" w:rsidR="00C97A0D" w:rsidRDefault="00C97A0D" w14:paraId="21A39166" w14:textId="77777777">
            <w:pPr>
              <w:spacing w:after="0" w:line="240" w:lineRule="auto"/>
              <w:textAlignment w:val="baseline"/>
              <w:rPr>
                <w:rFonts w:cs="Arial"/>
                <w:sz w:val="20"/>
                <w:szCs w:val="20"/>
              </w:rPr>
            </w:pPr>
            <w:r w:rsidRPr="0030350A">
              <w:rPr>
                <w:rFonts w:cs="Arial"/>
                <w:color w:val="000000"/>
                <w:sz w:val="20"/>
                <w:szCs w:val="20"/>
              </w:rPr>
              <w:t>   </w:t>
            </w:r>
          </w:p>
        </w:tc>
        <w:tc>
          <w:tcPr>
            <w:tcW w:w="5387" w:type="dxa"/>
            <w:hideMark/>
          </w:tcPr>
          <w:p w:rsidRPr="0030350A" w:rsidR="00C97A0D" w:rsidRDefault="00C97A0D" w14:paraId="1B0DB84B" w14:textId="0D6D85B5">
            <w:pPr>
              <w:spacing w:after="0" w:line="240" w:lineRule="auto"/>
              <w:textAlignment w:val="baseline"/>
              <w:rPr>
                <w:rFonts w:cs="Arial"/>
                <w:sz w:val="20"/>
                <w:szCs w:val="20"/>
              </w:rPr>
            </w:pPr>
            <w:r w:rsidRPr="00585D07">
              <w:rPr>
                <w:rFonts w:cs="Arial"/>
                <w:sz w:val="20"/>
                <w:szCs w:val="20"/>
              </w:rPr>
              <w:t>4: Partial evidence that suggests transformational change is likely  </w:t>
            </w:r>
            <w:r w:rsidRPr="00585D07">
              <w:rPr>
                <w:rFonts w:cs="Arial"/>
                <w:sz w:val="20"/>
                <w:szCs w:val="20"/>
              </w:rPr>
              <w:br/>
            </w:r>
            <w:r w:rsidRPr="00585D07">
              <w:rPr>
                <w:rFonts w:cs="Arial"/>
                <w:sz w:val="20"/>
                <w:szCs w:val="20"/>
              </w:rPr>
              <w:t>  </w:t>
            </w:r>
            <w:r w:rsidRPr="00585D07">
              <w:rPr>
                <w:rFonts w:cs="Arial"/>
                <w:sz w:val="20"/>
                <w:szCs w:val="20"/>
              </w:rPr>
              <w:br/>
            </w:r>
            <w:r w:rsidRPr="00585D07">
              <w:rPr>
                <w:rFonts w:cs="Arial"/>
                <w:sz w:val="20"/>
                <w:szCs w:val="20"/>
              </w:rPr>
              <w:t>This exceeds expected targets at this stage of the programme</w:t>
            </w:r>
            <w:r w:rsidR="00DD61BB">
              <w:rPr>
                <w:rFonts w:cs="Arial"/>
                <w:sz w:val="20"/>
                <w:szCs w:val="20"/>
              </w:rPr>
              <w:t xml:space="preserve">, but </w:t>
            </w:r>
            <w:r w:rsidR="00F67417">
              <w:rPr>
                <w:rFonts w:cs="Arial"/>
                <w:sz w:val="20"/>
                <w:szCs w:val="20"/>
              </w:rPr>
              <w:t xml:space="preserve">overall </w:t>
            </w:r>
            <w:r w:rsidR="00DD61BB">
              <w:rPr>
                <w:rFonts w:cs="Arial"/>
                <w:sz w:val="20"/>
                <w:szCs w:val="20"/>
              </w:rPr>
              <w:t>number still low to be considered substantial evidence of transformational change, therefore score is 4 despite a &gt;50% exc</w:t>
            </w:r>
            <w:r w:rsidR="00EE49BC">
              <w:rPr>
                <w:rFonts w:cs="Arial"/>
                <w:sz w:val="20"/>
                <w:szCs w:val="20"/>
              </w:rPr>
              <w:t>eeding target</w:t>
            </w:r>
            <w:r w:rsidRPr="00585D07">
              <w:rPr>
                <w:rFonts w:cs="Arial"/>
                <w:sz w:val="20"/>
                <w:szCs w:val="20"/>
              </w:rPr>
              <w:t>.</w:t>
            </w:r>
            <w:r w:rsidRPr="0030350A">
              <w:rPr>
                <w:rFonts w:cs="Arial"/>
                <w:color w:val="000000"/>
                <w:sz w:val="20"/>
                <w:szCs w:val="20"/>
              </w:rPr>
              <w:t>   </w:t>
            </w:r>
          </w:p>
        </w:tc>
      </w:tr>
      <w:tr w:rsidRPr="00167D10" w:rsidR="00C97A0D" w:rsidTr="00E13638" w14:paraId="313E7EF1" w14:textId="77777777">
        <w:trPr>
          <w:cnfStyle w:val="000000100000" w:firstRow="0" w:lastRow="0" w:firstColumn="0" w:lastColumn="0" w:oddVBand="0" w:evenVBand="0" w:oddHBand="1" w:evenHBand="0" w:firstRowFirstColumn="0" w:firstRowLastColumn="0" w:lastRowFirstColumn="0" w:lastRowLastColumn="0"/>
          <w:trHeight w:val="231"/>
        </w:trPr>
        <w:tc>
          <w:tcPr>
            <w:tcW w:w="2260" w:type="dxa"/>
            <w:hideMark/>
          </w:tcPr>
          <w:p w:rsidRPr="0030350A" w:rsidR="00C97A0D" w:rsidRDefault="00C97A0D" w14:paraId="2A5F8D1E" w14:textId="77777777">
            <w:pPr>
              <w:spacing w:after="0" w:line="240" w:lineRule="auto"/>
              <w:textAlignment w:val="baseline"/>
              <w:rPr>
                <w:rFonts w:cs="Arial"/>
                <w:sz w:val="20"/>
                <w:szCs w:val="20"/>
              </w:rPr>
            </w:pPr>
            <w:r w:rsidRPr="0030350A">
              <w:rPr>
                <w:rFonts w:cs="Arial"/>
                <w:sz w:val="20"/>
                <w:szCs w:val="20"/>
              </w:rPr>
              <w:t>   </w:t>
            </w:r>
          </w:p>
        </w:tc>
        <w:tc>
          <w:tcPr>
            <w:tcW w:w="3552" w:type="dxa"/>
            <w:hideMark/>
          </w:tcPr>
          <w:p w:rsidRPr="0030350A" w:rsidR="00C97A0D" w:rsidRDefault="00C97A0D" w14:paraId="2EB5835A" w14:textId="77777777">
            <w:pPr>
              <w:spacing w:after="0" w:line="240" w:lineRule="auto"/>
              <w:textAlignment w:val="baseline"/>
              <w:rPr>
                <w:rFonts w:cs="Arial"/>
                <w:sz w:val="20"/>
                <w:szCs w:val="20"/>
              </w:rPr>
            </w:pPr>
            <w:r w:rsidRPr="0030350A">
              <w:rPr>
                <w:rFonts w:cs="Arial"/>
                <w:b/>
                <w:bCs/>
                <w:sz w:val="20"/>
                <w:szCs w:val="20"/>
              </w:rPr>
              <w:t xml:space="preserve">Outcome 7. </w:t>
            </w:r>
            <w:r w:rsidRPr="0030350A">
              <w:rPr>
                <w:rFonts w:cs="Arial"/>
                <w:sz w:val="20"/>
                <w:szCs w:val="20"/>
              </w:rPr>
              <w:t>Cumulative green building floor space with EDGE post construction certification (m</w:t>
            </w:r>
            <w:r w:rsidRPr="0030350A">
              <w:rPr>
                <w:rFonts w:cs="Arial"/>
                <w:sz w:val="20"/>
                <w:szCs w:val="20"/>
                <w:vertAlign w:val="superscript"/>
              </w:rPr>
              <w:t>2</w:t>
            </w:r>
            <w:r w:rsidRPr="0030350A">
              <w:rPr>
                <w:rFonts w:cs="Arial"/>
                <w:sz w:val="20"/>
                <w:szCs w:val="20"/>
              </w:rPr>
              <w:t>)  </w:t>
            </w:r>
          </w:p>
        </w:tc>
        <w:tc>
          <w:tcPr>
            <w:tcW w:w="3961" w:type="dxa"/>
            <w:hideMark/>
          </w:tcPr>
          <w:p w:rsidRPr="0030350A" w:rsidR="00C97A0D" w:rsidRDefault="00C97A0D" w14:paraId="047CEA2B" w14:textId="77777777">
            <w:pPr>
              <w:spacing w:after="0" w:line="240" w:lineRule="auto"/>
              <w:textAlignment w:val="baseline"/>
              <w:rPr>
                <w:rFonts w:cs="Arial"/>
                <w:sz w:val="20"/>
                <w:szCs w:val="20"/>
              </w:rPr>
            </w:pPr>
            <w:r w:rsidRPr="0030350A">
              <w:rPr>
                <w:rFonts w:cs="Arial"/>
                <w:i/>
                <w:iCs/>
                <w:sz w:val="20"/>
                <w:szCs w:val="20"/>
              </w:rPr>
              <w:t>Expected:</w:t>
            </w:r>
            <w:r w:rsidRPr="0030350A">
              <w:rPr>
                <w:rFonts w:cs="Arial"/>
                <w:sz w:val="20"/>
                <w:szCs w:val="20"/>
              </w:rPr>
              <w:t xml:space="preserve"> Monitoring only </w:t>
            </w:r>
          </w:p>
          <w:p w:rsidRPr="0030350A" w:rsidR="00C97A0D" w:rsidRDefault="00C97A0D" w14:paraId="47301843" w14:textId="77777777">
            <w:pPr>
              <w:spacing w:after="0" w:line="240" w:lineRule="auto"/>
              <w:textAlignment w:val="baseline"/>
              <w:rPr>
                <w:rFonts w:cs="Arial"/>
                <w:sz w:val="20"/>
                <w:szCs w:val="20"/>
              </w:rPr>
            </w:pPr>
            <w:r w:rsidRPr="0030350A">
              <w:rPr>
                <w:rFonts w:cs="Arial"/>
                <w:sz w:val="20"/>
                <w:szCs w:val="20"/>
              </w:rPr>
              <w:t>  </w:t>
            </w:r>
          </w:p>
          <w:p w:rsidR="001C3BF6" w:rsidRDefault="00C97A0D" w14:paraId="59E772A0" w14:textId="77777777">
            <w:pPr>
              <w:spacing w:after="0" w:line="240" w:lineRule="auto"/>
              <w:textAlignment w:val="baseline"/>
              <w:rPr>
                <w:rFonts w:cs="Arial"/>
                <w:sz w:val="20"/>
                <w:szCs w:val="20"/>
              </w:rPr>
            </w:pPr>
            <w:r w:rsidRPr="0030350A">
              <w:rPr>
                <w:rFonts w:cs="Arial"/>
                <w:i/>
                <w:iCs/>
                <w:sz w:val="20"/>
                <w:szCs w:val="20"/>
              </w:rPr>
              <w:t>Achieved</w:t>
            </w:r>
            <w:r w:rsidR="001C3BF6">
              <w:rPr>
                <w:rFonts w:cs="Arial"/>
                <w:i/>
                <w:iCs/>
                <w:sz w:val="20"/>
                <w:szCs w:val="20"/>
              </w:rPr>
              <w:t xml:space="preserve"> in 2024</w:t>
            </w:r>
            <w:r w:rsidRPr="0030350A">
              <w:rPr>
                <w:rFonts w:cs="Arial"/>
                <w:i/>
                <w:iCs/>
                <w:sz w:val="20"/>
                <w:szCs w:val="20"/>
              </w:rPr>
              <w:t xml:space="preserve">: </w:t>
            </w:r>
            <w:r>
              <w:rPr>
                <w:rFonts w:cs="Arial"/>
                <w:sz w:val="20"/>
                <w:szCs w:val="20"/>
              </w:rPr>
              <w:t>31,166,327</w:t>
            </w:r>
            <w:r w:rsidRPr="0030350A">
              <w:rPr>
                <w:rFonts w:cs="Arial"/>
                <w:sz w:val="20"/>
                <w:szCs w:val="20"/>
              </w:rPr>
              <w:t xml:space="preserve"> m</w:t>
            </w:r>
            <w:r w:rsidRPr="0030350A">
              <w:rPr>
                <w:rFonts w:cs="Arial"/>
                <w:sz w:val="20"/>
                <w:szCs w:val="20"/>
                <w:vertAlign w:val="superscript"/>
              </w:rPr>
              <w:t>2</w:t>
            </w:r>
            <w:r w:rsidRPr="0030350A">
              <w:rPr>
                <w:rFonts w:cs="Arial"/>
                <w:sz w:val="20"/>
                <w:szCs w:val="20"/>
              </w:rPr>
              <w:t>. </w:t>
            </w:r>
          </w:p>
          <w:p w:rsidRPr="0030350A" w:rsidR="00C97A0D" w:rsidRDefault="001C3BF6" w14:paraId="1B1F955D" w14:textId="7B9D42C2">
            <w:pPr>
              <w:spacing w:after="0" w:line="240" w:lineRule="auto"/>
              <w:textAlignment w:val="baseline"/>
              <w:rPr>
                <w:rFonts w:cs="Arial"/>
                <w:sz w:val="20"/>
                <w:szCs w:val="20"/>
              </w:rPr>
            </w:pPr>
            <w:r>
              <w:rPr>
                <w:rFonts w:cs="Arial"/>
                <w:i/>
                <w:iCs/>
                <w:sz w:val="20"/>
                <w:szCs w:val="20"/>
              </w:rPr>
              <w:t xml:space="preserve">Achieved in 2023: </w:t>
            </w:r>
            <w:r w:rsidRPr="0030350A" w:rsidR="00C97A0D">
              <w:rPr>
                <w:rFonts w:cs="Arial"/>
                <w:sz w:val="20"/>
                <w:szCs w:val="20"/>
              </w:rPr>
              <w:t> </w:t>
            </w:r>
            <w:r w:rsidRPr="001C3BF6">
              <w:rPr>
                <w:rFonts w:cs="Arial"/>
                <w:sz w:val="20"/>
                <w:szCs w:val="20"/>
              </w:rPr>
              <w:t>19,042,240</w:t>
            </w:r>
            <w:r>
              <w:rPr>
                <w:rFonts w:cs="Arial"/>
                <w:sz w:val="20"/>
                <w:szCs w:val="20"/>
              </w:rPr>
              <w:t xml:space="preserve"> </w:t>
            </w:r>
            <w:r w:rsidRPr="0030350A">
              <w:rPr>
                <w:rFonts w:cs="Arial"/>
                <w:sz w:val="20"/>
                <w:szCs w:val="20"/>
              </w:rPr>
              <w:t>m</w:t>
            </w:r>
            <w:r w:rsidRPr="0030350A">
              <w:rPr>
                <w:rFonts w:cs="Arial"/>
                <w:sz w:val="20"/>
                <w:szCs w:val="20"/>
                <w:vertAlign w:val="superscript"/>
              </w:rPr>
              <w:t>2</w:t>
            </w:r>
            <w:r>
              <w:rPr>
                <w:rFonts w:cs="Arial"/>
                <w:sz w:val="20"/>
                <w:szCs w:val="20"/>
                <w:vertAlign w:val="superscript"/>
              </w:rPr>
              <w:t>,</w:t>
            </w:r>
            <w:r w:rsidRPr="0030350A" w:rsidR="00C97A0D">
              <w:rPr>
                <w:rFonts w:cs="Arial"/>
                <w:sz w:val="20"/>
                <w:szCs w:val="20"/>
              </w:rPr>
              <w:br/>
            </w:r>
            <w:r w:rsidRPr="0030350A" w:rsidR="00C97A0D">
              <w:rPr>
                <w:rFonts w:cs="Arial"/>
                <w:sz w:val="20"/>
                <w:szCs w:val="20"/>
              </w:rPr>
              <w:t>  </w:t>
            </w:r>
            <w:r w:rsidRPr="0030350A" w:rsidR="00C97A0D">
              <w:rPr>
                <w:rFonts w:cs="Arial"/>
                <w:sz w:val="20"/>
                <w:szCs w:val="20"/>
              </w:rPr>
              <w:br/>
            </w:r>
          </w:p>
        </w:tc>
        <w:tc>
          <w:tcPr>
            <w:tcW w:w="5387" w:type="dxa"/>
            <w:hideMark/>
          </w:tcPr>
          <w:p w:rsidRPr="0030350A" w:rsidR="00C97A0D" w:rsidP="001C3BF6" w:rsidRDefault="001C3BF6" w14:paraId="25B1CE27" w14:textId="3495D953">
            <w:pPr>
              <w:spacing w:after="0" w:line="240" w:lineRule="auto"/>
              <w:textAlignment w:val="baseline"/>
              <w:rPr>
                <w:rFonts w:cs="Arial"/>
                <w:sz w:val="20"/>
                <w:szCs w:val="20"/>
              </w:rPr>
            </w:pPr>
            <w:r w:rsidRPr="001C3BF6">
              <w:rPr>
                <w:rFonts w:cs="Arial"/>
                <w:sz w:val="20"/>
                <w:szCs w:val="20"/>
              </w:rPr>
              <w:t>4: Partial evidence that suggests transformational change is likely      </w:t>
            </w:r>
            <w:r w:rsidRPr="001C3BF6">
              <w:rPr>
                <w:rFonts w:cs="Arial"/>
                <w:sz w:val="20"/>
                <w:szCs w:val="20"/>
              </w:rPr>
              <w:br/>
            </w:r>
            <w:r w:rsidRPr="001C3BF6">
              <w:rPr>
                <w:rFonts w:cs="Arial"/>
                <w:sz w:val="20"/>
                <w:szCs w:val="20"/>
              </w:rPr>
              <w:t>  </w:t>
            </w:r>
            <w:r w:rsidRPr="001C3BF6">
              <w:rPr>
                <w:rFonts w:cs="Arial"/>
                <w:sz w:val="20"/>
                <w:szCs w:val="20"/>
              </w:rPr>
              <w:br/>
            </w:r>
            <w:r w:rsidRPr="001C3BF6">
              <w:rPr>
                <w:rFonts w:cs="Arial"/>
                <w:sz w:val="20"/>
                <w:szCs w:val="20"/>
              </w:rPr>
              <w:t>Although this is a monitoring only indicator, progress has been made on this indicator, as the cumulative green building floor space has increased by two thirds compared to last year.  </w:t>
            </w:r>
          </w:p>
        </w:tc>
      </w:tr>
      <w:tr w:rsidRPr="00CE09F5" w:rsidR="00C97A0D" w14:paraId="493B8B1B" w14:textId="77777777">
        <w:trPr>
          <w:cnfStyle w:val="000000010000" w:firstRow="0" w:lastRow="0" w:firstColumn="0" w:lastColumn="0" w:oddVBand="0" w:evenVBand="0" w:oddHBand="0" w:evenHBand="1" w:firstRowFirstColumn="0" w:firstRowLastColumn="0" w:lastRowFirstColumn="0" w:lastRowLastColumn="0"/>
          <w:trHeight w:val="495"/>
        </w:trPr>
        <w:tc>
          <w:tcPr>
            <w:tcW w:w="2260" w:type="dxa"/>
            <w:hideMark/>
          </w:tcPr>
          <w:p w:rsidRPr="0030350A" w:rsidR="00C97A0D" w:rsidRDefault="00C97A0D" w14:paraId="4598B60C" w14:textId="1DF6A062">
            <w:pPr>
              <w:spacing w:after="0" w:line="240" w:lineRule="auto"/>
              <w:textAlignment w:val="baseline"/>
              <w:rPr>
                <w:rFonts w:cs="Arial"/>
                <w:sz w:val="20"/>
                <w:szCs w:val="20"/>
              </w:rPr>
            </w:pPr>
            <w:r w:rsidRPr="0030350A">
              <w:rPr>
                <w:rFonts w:cs="Arial"/>
                <w:sz w:val="20"/>
                <w:szCs w:val="20"/>
              </w:rPr>
              <w:t> </w:t>
            </w:r>
            <w:r w:rsidRPr="0030350A">
              <w:rPr>
                <w:rFonts w:cs="Arial"/>
                <w:b/>
                <w:bCs/>
                <w:sz w:val="20"/>
                <w:szCs w:val="20"/>
              </w:rPr>
              <w:t xml:space="preserve">Critical Mass </w:t>
            </w:r>
            <w:r w:rsidRPr="0030350A">
              <w:rPr>
                <w:rFonts w:cs="Arial"/>
                <w:b/>
                <w:bCs/>
                <w:sz w:val="20"/>
                <w:szCs w:val="20"/>
              </w:rPr>
              <w:t>Average Score</w:t>
            </w:r>
            <w:r w:rsidR="00BC5AC6">
              <w:rPr>
                <w:rFonts w:cs="Arial"/>
                <w:b/>
                <w:bCs/>
                <w:sz w:val="20"/>
                <w:szCs w:val="20"/>
              </w:rPr>
              <w:t xml:space="preserve"> (</w:t>
            </w:r>
            <w:r w:rsidRPr="0030350A">
              <w:rPr>
                <w:rFonts w:cs="Arial"/>
                <w:b/>
                <w:bCs/>
                <w:sz w:val="20"/>
                <w:szCs w:val="20"/>
              </w:rPr>
              <w:t>25%)</w:t>
            </w:r>
          </w:p>
        </w:tc>
        <w:tc>
          <w:tcPr>
            <w:tcW w:w="12900" w:type="dxa"/>
            <w:gridSpan w:val="3"/>
            <w:hideMark/>
          </w:tcPr>
          <w:p w:rsidRPr="0030350A" w:rsidR="00C97A0D" w:rsidRDefault="00C97A0D" w14:paraId="0E8CC3AD" w14:textId="19738B1A">
            <w:pPr>
              <w:spacing w:after="0" w:line="240" w:lineRule="auto"/>
              <w:jc w:val="right"/>
              <w:textAlignment w:val="baseline"/>
              <w:rPr>
                <w:rFonts w:cs="Arial"/>
                <w:sz w:val="20"/>
                <w:szCs w:val="20"/>
              </w:rPr>
            </w:pPr>
            <w:r w:rsidRPr="0030350A">
              <w:rPr>
                <w:rFonts w:cs="Arial"/>
                <w:b/>
                <w:bCs/>
                <w:sz w:val="20"/>
                <w:szCs w:val="20"/>
              </w:rPr>
              <w:t>3</w:t>
            </w:r>
            <w:r>
              <w:rPr>
                <w:rFonts w:cs="Arial"/>
                <w:b/>
                <w:bCs/>
                <w:sz w:val="20"/>
                <w:szCs w:val="20"/>
              </w:rPr>
              <w:t>.</w:t>
            </w:r>
            <w:r w:rsidR="001C3BF6">
              <w:rPr>
                <w:rFonts w:cs="Arial"/>
                <w:b/>
                <w:bCs/>
                <w:sz w:val="20"/>
                <w:szCs w:val="20"/>
              </w:rPr>
              <w:t>7</w:t>
            </w:r>
            <w:r w:rsidRPr="0030350A">
              <w:rPr>
                <w:rFonts w:cs="Arial"/>
                <w:sz w:val="20"/>
                <w:szCs w:val="20"/>
              </w:rPr>
              <w:t>   </w:t>
            </w:r>
          </w:p>
        </w:tc>
      </w:tr>
    </w:tbl>
    <w:tbl>
      <w:tblPr>
        <w:tblStyle w:val="Table-DarkblueBackground"/>
        <w:tblW w:w="10632" w:type="dxa"/>
        <w:tblLook w:val="04A0" w:firstRow="1" w:lastRow="0" w:firstColumn="1" w:lastColumn="0" w:noHBand="0" w:noVBand="1"/>
      </w:tblPr>
      <w:tblGrid>
        <w:gridCol w:w="4395"/>
        <w:gridCol w:w="1842"/>
        <w:gridCol w:w="1560"/>
        <w:gridCol w:w="2835"/>
      </w:tblGrid>
      <w:tr w:rsidRPr="00AE6AE0" w:rsidR="00AE6AE0" w:rsidTr="00AE6AE0" w14:paraId="6A88138F" w14:textId="77777777">
        <w:trPr>
          <w:cnfStyle w:val="100000000000" w:firstRow="1" w:lastRow="0" w:firstColumn="0" w:lastColumn="0" w:oddVBand="0" w:evenVBand="0" w:oddHBand="0" w:evenHBand="0" w:firstRowFirstColumn="0" w:firstRowLastColumn="0" w:lastRowFirstColumn="0" w:lastRowLastColumn="0"/>
          <w:trHeight w:val="300"/>
        </w:trPr>
        <w:tc>
          <w:tcPr>
            <w:tcW w:w="4395" w:type="dxa"/>
            <w:hideMark/>
          </w:tcPr>
          <w:p w:rsidRPr="009A3A6F" w:rsidR="00167D10" w:rsidRDefault="00167D10" w14:paraId="2F9D2CF7" w14:textId="77777777">
            <w:pPr>
              <w:spacing w:after="0" w:line="240" w:lineRule="auto"/>
              <w:textAlignment w:val="baseline"/>
              <w:rPr>
                <w:rFonts w:cs="Arial"/>
                <w:sz w:val="20"/>
                <w:szCs w:val="20"/>
              </w:rPr>
            </w:pPr>
            <w:r w:rsidRPr="009A3A6F">
              <w:rPr>
                <w:rFonts w:cs="Arial"/>
                <w:bCs/>
                <w:sz w:val="20"/>
                <w:szCs w:val="20"/>
              </w:rPr>
              <w:t>Criteria</w:t>
            </w:r>
            <w:r w:rsidRPr="009A3A6F">
              <w:rPr>
                <w:rFonts w:cs="Arial"/>
                <w:sz w:val="20"/>
                <w:szCs w:val="20"/>
              </w:rPr>
              <w:t>   </w:t>
            </w:r>
          </w:p>
        </w:tc>
        <w:tc>
          <w:tcPr>
            <w:tcW w:w="1842" w:type="dxa"/>
            <w:hideMark/>
          </w:tcPr>
          <w:p w:rsidRPr="009A3A6F" w:rsidR="00167D10" w:rsidRDefault="00167D10" w14:paraId="3BD2DC91" w14:textId="77777777">
            <w:pPr>
              <w:spacing w:after="0" w:line="240" w:lineRule="auto"/>
              <w:textAlignment w:val="baseline"/>
              <w:rPr>
                <w:rFonts w:cs="Arial"/>
                <w:sz w:val="20"/>
                <w:szCs w:val="20"/>
              </w:rPr>
            </w:pPr>
            <w:r w:rsidRPr="009A3A6F">
              <w:rPr>
                <w:rFonts w:cs="Arial"/>
                <w:bCs/>
                <w:sz w:val="20"/>
                <w:szCs w:val="20"/>
              </w:rPr>
              <w:t>Weighting</w:t>
            </w:r>
            <w:r w:rsidRPr="009A3A6F">
              <w:rPr>
                <w:rFonts w:cs="Arial"/>
                <w:sz w:val="20"/>
                <w:szCs w:val="20"/>
              </w:rPr>
              <w:t>   </w:t>
            </w:r>
          </w:p>
        </w:tc>
        <w:tc>
          <w:tcPr>
            <w:tcW w:w="1560" w:type="dxa"/>
            <w:hideMark/>
          </w:tcPr>
          <w:p w:rsidRPr="009A3A6F" w:rsidR="00167D10" w:rsidRDefault="00167D10" w14:paraId="2364828A" w14:textId="77777777">
            <w:pPr>
              <w:spacing w:after="0" w:line="240" w:lineRule="auto"/>
              <w:textAlignment w:val="baseline"/>
              <w:rPr>
                <w:rFonts w:cs="Arial"/>
                <w:sz w:val="20"/>
                <w:szCs w:val="20"/>
              </w:rPr>
            </w:pPr>
            <w:r w:rsidRPr="009A3A6F">
              <w:rPr>
                <w:rFonts w:cs="Arial"/>
                <w:bCs/>
                <w:sz w:val="20"/>
                <w:szCs w:val="20"/>
              </w:rPr>
              <w:t>Score</w:t>
            </w:r>
            <w:r w:rsidRPr="009A3A6F">
              <w:rPr>
                <w:rFonts w:cs="Arial"/>
                <w:sz w:val="20"/>
                <w:szCs w:val="20"/>
              </w:rPr>
              <w:t>   </w:t>
            </w:r>
          </w:p>
        </w:tc>
        <w:tc>
          <w:tcPr>
            <w:tcW w:w="2835" w:type="dxa"/>
            <w:hideMark/>
          </w:tcPr>
          <w:p w:rsidRPr="009A3A6F" w:rsidR="00167D10" w:rsidRDefault="00167D10" w14:paraId="61F0B622" w14:textId="77777777">
            <w:pPr>
              <w:spacing w:after="0" w:line="240" w:lineRule="auto"/>
              <w:textAlignment w:val="baseline"/>
              <w:rPr>
                <w:rFonts w:cs="Arial"/>
                <w:sz w:val="20"/>
                <w:szCs w:val="20"/>
              </w:rPr>
            </w:pPr>
            <w:r w:rsidRPr="009A3A6F">
              <w:rPr>
                <w:rFonts w:cs="Arial"/>
                <w:bCs/>
                <w:sz w:val="20"/>
                <w:szCs w:val="20"/>
              </w:rPr>
              <w:t>Weighted Score</w:t>
            </w:r>
            <w:r w:rsidRPr="009A3A6F">
              <w:rPr>
                <w:rFonts w:cs="Arial"/>
                <w:sz w:val="20"/>
                <w:szCs w:val="20"/>
              </w:rPr>
              <w:t>   </w:t>
            </w:r>
          </w:p>
        </w:tc>
      </w:tr>
      <w:tr w:rsidRPr="00AE6AE0" w:rsidR="00AE6AE0" w:rsidTr="00AE6AE0" w14:paraId="17367D73" w14:textId="77777777">
        <w:trPr>
          <w:trHeight w:val="300"/>
        </w:trPr>
        <w:tc>
          <w:tcPr>
            <w:tcW w:w="4395" w:type="dxa"/>
            <w:hideMark/>
          </w:tcPr>
          <w:p w:rsidRPr="009A3A6F" w:rsidR="00167D10" w:rsidRDefault="00167D10" w14:paraId="016353A8" w14:textId="1086FCA0">
            <w:pPr>
              <w:spacing w:after="0" w:line="240" w:lineRule="auto"/>
              <w:textAlignment w:val="baseline"/>
              <w:rPr>
                <w:rFonts w:cs="Arial"/>
                <w:sz w:val="20"/>
                <w:szCs w:val="20"/>
              </w:rPr>
            </w:pPr>
            <w:r w:rsidRPr="009A3A6F">
              <w:rPr>
                <w:rFonts w:cs="Arial"/>
                <w:sz w:val="20"/>
                <w:szCs w:val="20"/>
              </w:rPr>
              <w:t xml:space="preserve">Capacity and Capability </w:t>
            </w:r>
          </w:p>
        </w:tc>
        <w:tc>
          <w:tcPr>
            <w:tcW w:w="1842" w:type="dxa"/>
            <w:hideMark/>
          </w:tcPr>
          <w:p w:rsidRPr="009A3A6F" w:rsidR="00167D10" w:rsidRDefault="00167D10" w14:paraId="5A8D0D6D" w14:textId="33F85FA3">
            <w:pPr>
              <w:spacing w:after="0" w:line="240" w:lineRule="auto"/>
              <w:jc w:val="center"/>
              <w:textAlignment w:val="baseline"/>
              <w:rPr>
                <w:rFonts w:cs="Arial"/>
                <w:sz w:val="20"/>
                <w:szCs w:val="20"/>
              </w:rPr>
            </w:pPr>
            <w:r w:rsidRPr="009A3A6F">
              <w:rPr>
                <w:rFonts w:cs="Arial"/>
                <w:sz w:val="20"/>
                <w:szCs w:val="20"/>
              </w:rPr>
              <w:t>25%   </w:t>
            </w:r>
          </w:p>
        </w:tc>
        <w:tc>
          <w:tcPr>
            <w:tcW w:w="1560" w:type="dxa"/>
            <w:hideMark/>
          </w:tcPr>
          <w:p w:rsidRPr="009A3A6F" w:rsidR="00167D10" w:rsidRDefault="00167D10" w14:paraId="7048EDAE" w14:textId="5CC4FCDC">
            <w:pPr>
              <w:spacing w:after="0" w:line="240" w:lineRule="auto"/>
              <w:jc w:val="center"/>
              <w:textAlignment w:val="baseline"/>
              <w:rPr>
                <w:rFonts w:cs="Arial"/>
                <w:sz w:val="20"/>
                <w:szCs w:val="20"/>
              </w:rPr>
            </w:pPr>
            <w:r w:rsidRPr="009A3A6F">
              <w:rPr>
                <w:rFonts w:cs="Arial"/>
                <w:sz w:val="20"/>
                <w:szCs w:val="20"/>
              </w:rPr>
              <w:t>4.2  </w:t>
            </w:r>
          </w:p>
        </w:tc>
        <w:tc>
          <w:tcPr>
            <w:tcW w:w="2835" w:type="dxa"/>
            <w:hideMark/>
          </w:tcPr>
          <w:p w:rsidRPr="009A3A6F" w:rsidR="00167D10" w:rsidRDefault="00167D10" w14:paraId="38D324C5" w14:textId="7B84F1F6">
            <w:pPr>
              <w:spacing w:after="0" w:line="240" w:lineRule="auto"/>
              <w:jc w:val="center"/>
              <w:textAlignment w:val="baseline"/>
              <w:rPr>
                <w:rFonts w:cs="Arial"/>
                <w:sz w:val="20"/>
                <w:szCs w:val="20"/>
              </w:rPr>
            </w:pPr>
            <w:r w:rsidRPr="009A3A6F">
              <w:rPr>
                <w:rFonts w:cs="Arial"/>
                <w:sz w:val="20"/>
                <w:szCs w:val="20"/>
              </w:rPr>
              <w:t xml:space="preserve"> 1 .05 </w:t>
            </w:r>
          </w:p>
        </w:tc>
      </w:tr>
      <w:tr w:rsidRPr="00AE6AE0" w:rsidR="00AE6AE0" w:rsidTr="00AE6AE0" w14:paraId="15BC31C0" w14:textId="77777777">
        <w:trPr>
          <w:trHeight w:val="300"/>
        </w:trPr>
        <w:tc>
          <w:tcPr>
            <w:tcW w:w="4395" w:type="dxa"/>
            <w:hideMark/>
          </w:tcPr>
          <w:p w:rsidRPr="009A3A6F" w:rsidR="00167D10" w:rsidRDefault="00167D10" w14:paraId="20775D20" w14:textId="0283445C">
            <w:pPr>
              <w:spacing w:after="0" w:line="240" w:lineRule="auto"/>
              <w:textAlignment w:val="baseline"/>
              <w:rPr>
                <w:rFonts w:cs="Arial"/>
                <w:sz w:val="20"/>
                <w:szCs w:val="20"/>
              </w:rPr>
            </w:pPr>
            <w:r w:rsidRPr="009A3A6F">
              <w:rPr>
                <w:rFonts w:cs="Arial"/>
                <w:sz w:val="20"/>
                <w:szCs w:val="20"/>
              </w:rPr>
              <w:t>Innovation   </w:t>
            </w:r>
          </w:p>
        </w:tc>
        <w:tc>
          <w:tcPr>
            <w:tcW w:w="1842" w:type="dxa"/>
            <w:hideMark/>
          </w:tcPr>
          <w:p w:rsidRPr="009A3A6F" w:rsidR="00167D10" w:rsidRDefault="00167D10" w14:paraId="1E3C5EE2" w14:textId="40E9D5BE">
            <w:pPr>
              <w:spacing w:after="0" w:line="240" w:lineRule="auto"/>
              <w:jc w:val="center"/>
              <w:textAlignment w:val="baseline"/>
              <w:rPr>
                <w:rFonts w:cs="Arial"/>
                <w:sz w:val="20"/>
                <w:szCs w:val="20"/>
              </w:rPr>
            </w:pPr>
            <w:r w:rsidRPr="009A3A6F">
              <w:rPr>
                <w:rFonts w:cs="Arial"/>
                <w:sz w:val="20"/>
                <w:szCs w:val="20"/>
              </w:rPr>
              <w:t>10%   </w:t>
            </w:r>
          </w:p>
        </w:tc>
        <w:tc>
          <w:tcPr>
            <w:tcW w:w="1560" w:type="dxa"/>
            <w:hideMark/>
          </w:tcPr>
          <w:p w:rsidRPr="009A3A6F" w:rsidR="00167D10" w:rsidRDefault="00792C4D" w14:paraId="0D10B7CE" w14:textId="64016CE2">
            <w:pPr>
              <w:spacing w:after="0" w:line="240" w:lineRule="auto"/>
              <w:jc w:val="center"/>
              <w:textAlignment w:val="baseline"/>
              <w:rPr>
                <w:rFonts w:cs="Arial"/>
                <w:sz w:val="20"/>
                <w:szCs w:val="20"/>
              </w:rPr>
            </w:pPr>
            <w:r>
              <w:rPr>
                <w:rFonts w:cs="Arial"/>
                <w:sz w:val="20"/>
                <w:szCs w:val="20"/>
              </w:rPr>
              <w:t>4</w:t>
            </w:r>
            <w:r w:rsidRPr="009A3A6F" w:rsidR="00167D10">
              <w:rPr>
                <w:rFonts w:cs="Arial"/>
                <w:sz w:val="20"/>
                <w:szCs w:val="20"/>
              </w:rPr>
              <w:t> </w:t>
            </w:r>
          </w:p>
        </w:tc>
        <w:tc>
          <w:tcPr>
            <w:tcW w:w="2835" w:type="dxa"/>
            <w:hideMark/>
          </w:tcPr>
          <w:p w:rsidRPr="009A3A6F" w:rsidR="00167D10" w:rsidRDefault="00167D10" w14:paraId="55681A0C" w14:textId="25BAFC1C">
            <w:pPr>
              <w:spacing w:after="0" w:line="240" w:lineRule="auto"/>
              <w:jc w:val="center"/>
              <w:textAlignment w:val="baseline"/>
              <w:rPr>
                <w:rFonts w:cs="Arial"/>
                <w:sz w:val="20"/>
                <w:szCs w:val="20"/>
              </w:rPr>
            </w:pPr>
            <w:r w:rsidRPr="009A3A6F">
              <w:rPr>
                <w:rFonts w:cs="Arial"/>
                <w:sz w:val="20"/>
                <w:szCs w:val="20"/>
              </w:rPr>
              <w:t xml:space="preserve"> 0.</w:t>
            </w:r>
            <w:r w:rsidR="00792C4D">
              <w:rPr>
                <w:rFonts w:cs="Arial"/>
                <w:sz w:val="20"/>
                <w:szCs w:val="20"/>
              </w:rPr>
              <w:t>4</w:t>
            </w:r>
            <w:r w:rsidRPr="009A3A6F" w:rsidR="00792C4D">
              <w:rPr>
                <w:rFonts w:cs="Arial"/>
                <w:sz w:val="20"/>
                <w:szCs w:val="20"/>
              </w:rPr>
              <w:t> </w:t>
            </w:r>
          </w:p>
        </w:tc>
      </w:tr>
      <w:tr w:rsidRPr="00AE6AE0" w:rsidR="00AE6AE0" w:rsidTr="00AE6AE0" w14:paraId="50B1C33F" w14:textId="77777777">
        <w:trPr>
          <w:trHeight w:val="300"/>
        </w:trPr>
        <w:tc>
          <w:tcPr>
            <w:tcW w:w="4395" w:type="dxa"/>
            <w:hideMark/>
          </w:tcPr>
          <w:p w:rsidRPr="009A3A6F" w:rsidR="00167D10" w:rsidRDefault="00167D10" w14:paraId="6FCD6219" w14:textId="150FFE4A">
            <w:pPr>
              <w:spacing w:after="0" w:line="240" w:lineRule="auto"/>
              <w:textAlignment w:val="baseline"/>
              <w:rPr>
                <w:rFonts w:cs="Arial"/>
                <w:sz w:val="20"/>
                <w:szCs w:val="20"/>
              </w:rPr>
            </w:pPr>
            <w:r w:rsidRPr="009A3A6F">
              <w:rPr>
                <w:rFonts w:cs="Arial"/>
                <w:sz w:val="20"/>
                <w:szCs w:val="20"/>
              </w:rPr>
              <w:t>Leverage / create incentives for others to act   </w:t>
            </w:r>
          </w:p>
        </w:tc>
        <w:tc>
          <w:tcPr>
            <w:tcW w:w="1842" w:type="dxa"/>
            <w:hideMark/>
          </w:tcPr>
          <w:p w:rsidRPr="009A3A6F" w:rsidR="00167D10" w:rsidRDefault="00167D10" w14:paraId="353940A2" w14:textId="3A569712">
            <w:pPr>
              <w:spacing w:after="0" w:line="240" w:lineRule="auto"/>
              <w:jc w:val="center"/>
              <w:textAlignment w:val="baseline"/>
              <w:rPr>
                <w:rFonts w:cs="Arial"/>
                <w:sz w:val="20"/>
                <w:szCs w:val="20"/>
              </w:rPr>
            </w:pPr>
            <w:r w:rsidRPr="009A3A6F">
              <w:rPr>
                <w:rFonts w:cs="Arial"/>
                <w:sz w:val="20"/>
                <w:szCs w:val="20"/>
              </w:rPr>
              <w:t>40%   </w:t>
            </w:r>
          </w:p>
        </w:tc>
        <w:tc>
          <w:tcPr>
            <w:tcW w:w="1560" w:type="dxa"/>
            <w:hideMark/>
          </w:tcPr>
          <w:p w:rsidRPr="009A3A6F" w:rsidR="00167D10" w:rsidRDefault="00167D10" w14:paraId="707161E3" w14:textId="6418F62C">
            <w:pPr>
              <w:spacing w:after="0" w:line="240" w:lineRule="auto"/>
              <w:jc w:val="center"/>
              <w:textAlignment w:val="baseline"/>
              <w:rPr>
                <w:rFonts w:cs="Arial"/>
                <w:sz w:val="20"/>
                <w:szCs w:val="20"/>
              </w:rPr>
            </w:pPr>
            <w:r w:rsidRPr="009A3A6F">
              <w:rPr>
                <w:rFonts w:cs="Arial"/>
                <w:sz w:val="20"/>
                <w:szCs w:val="20"/>
              </w:rPr>
              <w:t xml:space="preserve">  3.</w:t>
            </w:r>
            <w:r w:rsidR="001C3BF6">
              <w:rPr>
                <w:rFonts w:cs="Arial"/>
                <w:sz w:val="20"/>
                <w:szCs w:val="20"/>
              </w:rPr>
              <w:t>4</w:t>
            </w:r>
            <w:r w:rsidRPr="009A3A6F" w:rsidR="001C3BF6">
              <w:rPr>
                <w:rFonts w:cs="Arial"/>
                <w:sz w:val="20"/>
                <w:szCs w:val="20"/>
              </w:rPr>
              <w:t>   </w:t>
            </w:r>
          </w:p>
        </w:tc>
        <w:tc>
          <w:tcPr>
            <w:tcW w:w="2835" w:type="dxa"/>
            <w:hideMark/>
          </w:tcPr>
          <w:p w:rsidRPr="009A3A6F" w:rsidR="00167D10" w:rsidRDefault="00167D10" w14:paraId="48C535E7" w14:textId="2CA8ED1F">
            <w:pPr>
              <w:spacing w:after="0" w:line="240" w:lineRule="auto"/>
              <w:jc w:val="center"/>
              <w:textAlignment w:val="baseline"/>
              <w:rPr>
                <w:rFonts w:cs="Arial"/>
                <w:sz w:val="20"/>
                <w:szCs w:val="20"/>
              </w:rPr>
            </w:pPr>
            <w:r w:rsidRPr="009A3A6F">
              <w:rPr>
                <w:rFonts w:cs="Arial"/>
                <w:sz w:val="20"/>
                <w:szCs w:val="20"/>
              </w:rPr>
              <w:t>1.</w:t>
            </w:r>
            <w:r w:rsidR="001C3BF6">
              <w:rPr>
                <w:rFonts w:cs="Arial"/>
                <w:sz w:val="20"/>
                <w:szCs w:val="20"/>
              </w:rPr>
              <w:t>36</w:t>
            </w:r>
          </w:p>
        </w:tc>
      </w:tr>
      <w:tr w:rsidRPr="00AE6AE0" w:rsidR="00AE6AE0" w:rsidTr="00AE6AE0" w14:paraId="035B0F96" w14:textId="77777777">
        <w:trPr>
          <w:trHeight w:val="300"/>
        </w:trPr>
        <w:tc>
          <w:tcPr>
            <w:tcW w:w="4395" w:type="dxa"/>
            <w:hideMark/>
          </w:tcPr>
          <w:p w:rsidRPr="009A3A6F" w:rsidR="00167D10" w:rsidRDefault="00167D10" w14:paraId="4E9C2A0B" w14:textId="660FC371">
            <w:pPr>
              <w:spacing w:after="0" w:line="240" w:lineRule="auto"/>
              <w:textAlignment w:val="baseline"/>
              <w:rPr>
                <w:rFonts w:cs="Arial"/>
                <w:sz w:val="20"/>
                <w:szCs w:val="20"/>
              </w:rPr>
            </w:pPr>
            <w:r w:rsidRPr="009A3A6F">
              <w:rPr>
                <w:rFonts w:cs="Arial"/>
                <w:sz w:val="20"/>
                <w:szCs w:val="20"/>
              </w:rPr>
              <w:t>Critical Mass   </w:t>
            </w:r>
          </w:p>
        </w:tc>
        <w:tc>
          <w:tcPr>
            <w:tcW w:w="1842" w:type="dxa"/>
            <w:hideMark/>
          </w:tcPr>
          <w:p w:rsidRPr="009A3A6F" w:rsidR="00167D10" w:rsidRDefault="00167D10" w14:paraId="5805BFE3" w14:textId="762D2FA2">
            <w:pPr>
              <w:spacing w:after="0" w:line="240" w:lineRule="auto"/>
              <w:jc w:val="center"/>
              <w:textAlignment w:val="baseline"/>
              <w:rPr>
                <w:rFonts w:cs="Arial"/>
                <w:sz w:val="20"/>
                <w:szCs w:val="20"/>
              </w:rPr>
            </w:pPr>
            <w:r w:rsidRPr="009A3A6F">
              <w:rPr>
                <w:rFonts w:cs="Arial"/>
                <w:sz w:val="20"/>
                <w:szCs w:val="20"/>
              </w:rPr>
              <w:t>25%   </w:t>
            </w:r>
          </w:p>
        </w:tc>
        <w:tc>
          <w:tcPr>
            <w:tcW w:w="1560" w:type="dxa"/>
            <w:hideMark/>
          </w:tcPr>
          <w:p w:rsidRPr="009A3A6F" w:rsidR="00167D10" w:rsidRDefault="00167D10" w14:paraId="6F9F43C6" w14:textId="679D9C38">
            <w:pPr>
              <w:spacing w:after="0" w:line="240" w:lineRule="auto"/>
              <w:jc w:val="center"/>
              <w:textAlignment w:val="baseline"/>
              <w:rPr>
                <w:rFonts w:cs="Arial"/>
                <w:sz w:val="20"/>
                <w:szCs w:val="20"/>
              </w:rPr>
            </w:pPr>
            <w:r w:rsidRPr="009A3A6F">
              <w:rPr>
                <w:rFonts w:cs="Arial"/>
                <w:sz w:val="20"/>
                <w:szCs w:val="20"/>
              </w:rPr>
              <w:t>3.</w:t>
            </w:r>
            <w:r w:rsidR="001C3BF6">
              <w:rPr>
                <w:rFonts w:cs="Arial"/>
                <w:sz w:val="20"/>
                <w:szCs w:val="20"/>
              </w:rPr>
              <w:t>7</w:t>
            </w:r>
            <w:r w:rsidRPr="009A3A6F" w:rsidR="001C3BF6">
              <w:rPr>
                <w:rFonts w:cs="Arial"/>
                <w:sz w:val="20"/>
                <w:szCs w:val="20"/>
              </w:rPr>
              <w:t> </w:t>
            </w:r>
          </w:p>
        </w:tc>
        <w:tc>
          <w:tcPr>
            <w:tcW w:w="2835" w:type="dxa"/>
            <w:hideMark/>
          </w:tcPr>
          <w:p w:rsidRPr="009A3A6F" w:rsidR="00167D10" w:rsidRDefault="00167D10" w14:paraId="4BF7FABD" w14:textId="247F0802">
            <w:pPr>
              <w:spacing w:after="0" w:line="240" w:lineRule="auto"/>
              <w:jc w:val="center"/>
              <w:textAlignment w:val="baseline"/>
              <w:rPr>
                <w:rFonts w:cs="Arial"/>
                <w:sz w:val="20"/>
                <w:szCs w:val="20"/>
              </w:rPr>
            </w:pPr>
            <w:r w:rsidRPr="009A3A6F">
              <w:rPr>
                <w:rFonts w:cs="Arial"/>
                <w:sz w:val="20"/>
                <w:szCs w:val="20"/>
              </w:rPr>
              <w:t xml:space="preserve"> 0.</w:t>
            </w:r>
            <w:r w:rsidR="001C3BF6">
              <w:rPr>
                <w:rFonts w:cs="Arial"/>
                <w:sz w:val="20"/>
                <w:szCs w:val="20"/>
              </w:rPr>
              <w:t>9</w:t>
            </w:r>
            <w:r w:rsidRPr="009A3A6F">
              <w:rPr>
                <w:rFonts w:cs="Arial"/>
                <w:sz w:val="20"/>
                <w:szCs w:val="20"/>
              </w:rPr>
              <w:t>3  </w:t>
            </w:r>
          </w:p>
        </w:tc>
      </w:tr>
      <w:tr w:rsidRPr="00AE6AE0" w:rsidR="00AE6AE0" w:rsidTr="00AE6AE0" w14:paraId="4193282C" w14:textId="77777777">
        <w:trPr>
          <w:trHeight w:val="300"/>
        </w:trPr>
        <w:tc>
          <w:tcPr>
            <w:tcW w:w="4395" w:type="dxa"/>
            <w:hideMark/>
          </w:tcPr>
          <w:p w:rsidRPr="009A3A6F" w:rsidR="00167D10" w:rsidRDefault="00167D10" w14:paraId="5771A8AF" w14:textId="3EFCE7CA">
            <w:pPr>
              <w:spacing w:after="0" w:line="240" w:lineRule="auto"/>
              <w:textAlignment w:val="baseline"/>
              <w:rPr>
                <w:rFonts w:cs="Arial"/>
                <w:sz w:val="20"/>
                <w:szCs w:val="20"/>
              </w:rPr>
            </w:pPr>
            <w:r w:rsidRPr="009A3A6F">
              <w:rPr>
                <w:rFonts w:cs="Arial"/>
                <w:sz w:val="20"/>
                <w:szCs w:val="20"/>
              </w:rPr>
              <w:t>Total weighted score   </w:t>
            </w:r>
          </w:p>
        </w:tc>
        <w:tc>
          <w:tcPr>
            <w:tcW w:w="1842" w:type="dxa"/>
            <w:hideMark/>
          </w:tcPr>
          <w:p w:rsidRPr="009A3A6F" w:rsidR="00167D10" w:rsidRDefault="00167D10" w14:paraId="3E612E72" w14:textId="6821C5A4">
            <w:pPr>
              <w:spacing w:after="0" w:line="240" w:lineRule="auto"/>
              <w:jc w:val="center"/>
              <w:textAlignment w:val="baseline"/>
              <w:rPr>
                <w:rFonts w:cs="Arial"/>
                <w:sz w:val="20"/>
                <w:szCs w:val="20"/>
              </w:rPr>
            </w:pPr>
            <w:r w:rsidRPr="009A3A6F">
              <w:rPr>
                <w:rFonts w:cs="Arial"/>
                <w:sz w:val="20"/>
                <w:szCs w:val="20"/>
              </w:rPr>
              <w:t>100%   </w:t>
            </w:r>
          </w:p>
        </w:tc>
        <w:tc>
          <w:tcPr>
            <w:tcW w:w="1560" w:type="dxa"/>
            <w:hideMark/>
          </w:tcPr>
          <w:p w:rsidRPr="009A3A6F" w:rsidR="00167D10" w:rsidRDefault="00167D10" w14:paraId="313FA255" w14:textId="77777777">
            <w:pPr>
              <w:spacing w:after="0" w:line="240" w:lineRule="auto"/>
              <w:jc w:val="center"/>
              <w:textAlignment w:val="baseline"/>
              <w:rPr>
                <w:rFonts w:cs="Arial"/>
                <w:sz w:val="20"/>
                <w:szCs w:val="20"/>
              </w:rPr>
            </w:pPr>
            <w:r w:rsidRPr="009A3A6F">
              <w:rPr>
                <w:rFonts w:cs="Arial"/>
                <w:sz w:val="20"/>
                <w:szCs w:val="20"/>
              </w:rPr>
              <w:t>   </w:t>
            </w:r>
          </w:p>
        </w:tc>
        <w:tc>
          <w:tcPr>
            <w:tcW w:w="2835" w:type="dxa"/>
            <w:hideMark/>
          </w:tcPr>
          <w:p w:rsidRPr="009A3A6F" w:rsidR="00167D10" w:rsidRDefault="00167D10" w14:paraId="71436553" w14:textId="45E8BF43">
            <w:pPr>
              <w:spacing w:after="0" w:line="240" w:lineRule="auto"/>
              <w:jc w:val="center"/>
              <w:textAlignment w:val="baseline"/>
              <w:rPr>
                <w:rFonts w:cs="Arial"/>
                <w:sz w:val="20"/>
                <w:szCs w:val="20"/>
              </w:rPr>
            </w:pPr>
            <w:r w:rsidRPr="009A3A6F">
              <w:rPr>
                <w:rFonts w:cs="Arial"/>
                <w:sz w:val="20"/>
                <w:szCs w:val="20"/>
              </w:rPr>
              <w:t>3.</w:t>
            </w:r>
            <w:r w:rsidR="001C3BF6">
              <w:rPr>
                <w:rFonts w:cs="Arial"/>
                <w:sz w:val="20"/>
                <w:szCs w:val="20"/>
              </w:rPr>
              <w:t>7</w:t>
            </w:r>
          </w:p>
        </w:tc>
      </w:tr>
      <w:tr w:rsidRPr="00AE6AE0" w:rsidR="00167D10" w:rsidTr="009A3A6F" w14:paraId="5ACA509C" w14:textId="77777777">
        <w:trPr>
          <w:trHeight w:val="300"/>
        </w:trPr>
        <w:tc>
          <w:tcPr>
            <w:tcW w:w="4395" w:type="dxa"/>
            <w:hideMark/>
          </w:tcPr>
          <w:p w:rsidRPr="009A3A6F" w:rsidR="00167D10" w:rsidP="009A3A6F" w:rsidRDefault="00167D10" w14:paraId="4579061D" w14:textId="481F32D1">
            <w:pPr>
              <w:spacing w:after="0" w:line="240" w:lineRule="auto"/>
              <w:textAlignment w:val="baseline"/>
              <w:rPr>
                <w:rFonts w:cs="Arial"/>
                <w:sz w:val="20"/>
                <w:szCs w:val="20"/>
              </w:rPr>
            </w:pPr>
            <w:r w:rsidRPr="009A3A6F">
              <w:rPr>
                <w:rFonts w:cs="Arial"/>
                <w:sz w:val="20"/>
                <w:szCs w:val="20"/>
              </w:rPr>
              <w:t>KPI 15 score   </w:t>
            </w:r>
          </w:p>
        </w:tc>
        <w:tc>
          <w:tcPr>
            <w:tcW w:w="6237" w:type="dxa"/>
            <w:gridSpan w:val="3"/>
            <w:hideMark/>
          </w:tcPr>
          <w:p w:rsidRPr="009A3A6F" w:rsidR="00167D10" w:rsidRDefault="00033597" w14:paraId="4EEC501D" w14:textId="43B98BA9">
            <w:pPr>
              <w:spacing w:after="0" w:line="240" w:lineRule="auto"/>
              <w:jc w:val="center"/>
              <w:textAlignment w:val="baseline"/>
              <w:rPr>
                <w:rFonts w:cs="Arial"/>
                <w:sz w:val="20"/>
                <w:szCs w:val="20"/>
              </w:rPr>
            </w:pPr>
            <w:r w:rsidRPr="00C97A0D">
              <w:rPr>
                <w:rFonts w:cs="Arial"/>
                <w:bCs/>
                <w:sz w:val="20"/>
                <w:szCs w:val="20"/>
              </w:rPr>
              <w:t>4</w:t>
            </w:r>
            <w:r w:rsidRPr="00C97A0D" w:rsidR="00167D10">
              <w:rPr>
                <w:rFonts w:cs="Arial"/>
                <w:bCs/>
                <w:sz w:val="20"/>
                <w:szCs w:val="20"/>
              </w:rPr>
              <w:t xml:space="preserve">: </w:t>
            </w:r>
            <w:r w:rsidRPr="00C97A0D">
              <w:rPr>
                <w:rFonts w:cs="Arial"/>
                <w:bCs/>
                <w:sz w:val="20"/>
                <w:szCs w:val="20"/>
              </w:rPr>
              <w:t xml:space="preserve">Partial evidence that suggests transformational change </w:t>
            </w:r>
            <w:r w:rsidRPr="009A3A6F">
              <w:rPr>
                <w:rFonts w:cs="Arial"/>
                <w:b/>
                <w:bCs/>
                <w:sz w:val="20"/>
                <w:szCs w:val="20"/>
              </w:rPr>
              <w:t>is likely</w:t>
            </w:r>
            <w:r w:rsidRPr="009A3A6F" w:rsidR="00167D10">
              <w:rPr>
                <w:rFonts w:cs="Arial"/>
                <w:b/>
                <w:bCs/>
                <w:sz w:val="20"/>
                <w:szCs w:val="20"/>
              </w:rPr>
              <w:t> </w:t>
            </w:r>
            <w:r w:rsidRPr="009A3A6F" w:rsidR="00167D10">
              <w:rPr>
                <w:rFonts w:cs="Arial"/>
                <w:sz w:val="20"/>
                <w:szCs w:val="20"/>
              </w:rPr>
              <w:t>  </w:t>
            </w:r>
          </w:p>
        </w:tc>
      </w:tr>
    </w:tbl>
    <w:p w:rsidRPr="00167D10" w:rsidR="00167D10" w:rsidP="009A3A6F" w:rsidRDefault="00167D10" w14:paraId="1BE48F04" w14:textId="77777777">
      <w:pPr>
        <w:sectPr w:rsidRPr="00167D10" w:rsidR="00167D10" w:rsidSect="009A3A6F">
          <w:pgSz w:w="16838" w:h="11906" w:orient="landscape"/>
          <w:pgMar w:top="907" w:right="1418" w:bottom="907" w:left="907" w:header="709" w:footer="266" w:gutter="0"/>
          <w:cols w:space="708"/>
          <w:docGrid w:linePitch="360"/>
        </w:sectPr>
      </w:pPr>
    </w:p>
    <w:p w:rsidR="00CE09F5" w:rsidP="009A3A6F" w:rsidRDefault="00033597" w14:paraId="3C639BEA" w14:textId="6129A4CC">
      <w:pPr>
        <w:pStyle w:val="Heading3"/>
      </w:pPr>
      <w:bookmarkStart w:name="_Toc188870874" w:id="114"/>
      <w:bookmarkStart w:name="_Toc207790213" w:id="115"/>
      <w:r>
        <w:t>Suggestions for reviewing the KPI15 methodology</w:t>
      </w:r>
      <w:bookmarkEnd w:id="114"/>
      <w:bookmarkEnd w:id="115"/>
    </w:p>
    <w:p w:rsidRPr="00D847FD" w:rsidR="00780987" w:rsidP="00780987" w:rsidRDefault="00780987" w14:paraId="24D6CC22" w14:textId="6B4E01B1">
      <w:r w:rsidRPr="00D847FD">
        <w:t xml:space="preserve">Overall, the current criteria for transformational change are relevant for MAGC and they seem to reflect the areas of transformational change that are most appropriate for the programme. However, the findings from this interim evaluation suggest </w:t>
      </w:r>
      <w:r w:rsidR="00977FD6">
        <w:t xml:space="preserve">that some changes might be needed to reflect more appropriately the transformational potential of MAGC. Changes outlined below refer to </w:t>
      </w:r>
      <w:r w:rsidR="00DB13A6">
        <w:t xml:space="preserve">adjustments to weighting, edits to indicators, and a suggestion to </w:t>
      </w:r>
      <w:r w:rsidR="00CA79FE">
        <w:t>replace</w:t>
      </w:r>
      <w:r w:rsidR="00DB13A6">
        <w:t xml:space="preserve"> a </w:t>
      </w:r>
      <w:r w:rsidR="00CA79FE">
        <w:t>transformational change criterion. A</w:t>
      </w:r>
      <w:r w:rsidRPr="00D847FD">
        <w:t xml:space="preserve"> key missing criterion is Political will, as the evidence from this evaluation phase (both process and outcome evaluation) highlighted the crucial role of government action in driving transformation in the green building sector (see sections 5.1 and 5.2 in the outcome evaluation report). </w:t>
      </w:r>
    </w:p>
    <w:p w:rsidRPr="00D847FD" w:rsidR="00D847FD" w:rsidP="00780987" w:rsidRDefault="00780987" w14:paraId="34D7F0BA" w14:textId="5F620712">
      <w:r w:rsidRPr="00D847FD">
        <w:t>The following sections break down considerations and suggestions per each criterion</w:t>
      </w:r>
      <w:r>
        <w:t>, and the table at the end of the section presents a suggested revision of the indicators and weightings</w:t>
      </w:r>
      <w:r w:rsidRPr="00D847FD" w:rsidR="00D847FD">
        <w:t>.</w:t>
      </w:r>
    </w:p>
    <w:p w:rsidRPr="009A3A6F" w:rsidR="00AE6AE0" w:rsidP="00AE6AE0" w:rsidRDefault="00AE6AE0" w14:paraId="72EB2098" w14:textId="7242C350">
      <w:pPr>
        <w:rPr>
          <w:rStyle w:val="Boldtext"/>
          <w:i/>
          <w:iCs/>
        </w:rPr>
      </w:pPr>
      <w:r w:rsidRPr="009A3A6F">
        <w:rPr>
          <w:rStyle w:val="Boldtext"/>
          <w:i/>
          <w:iCs/>
        </w:rPr>
        <w:t xml:space="preserve">Capacity and capability </w:t>
      </w:r>
    </w:p>
    <w:p w:rsidR="00780987" w:rsidP="00780987" w:rsidRDefault="00AE6AE0" w14:paraId="12230AB2" w14:textId="56790529">
      <w:r>
        <w:rPr>
          <w:rStyle w:val="Boldtext"/>
        </w:rPr>
        <w:t>Suggestion: maintain the same weighting (25%), new indicators suggested</w:t>
      </w:r>
      <w:r>
        <w:br/>
      </w:r>
      <w:r w:rsidR="00780987">
        <w:t xml:space="preserve">From this evaluation of MAGC, which has assessed MAGC relevance and performance, it appears that capacity and capability remain important and relevant dependencies for MAGC to influence transformational change (the Theory of Change, that MAGC can and should support capacity building in order to achieve transformational change appears sound). </w:t>
      </w:r>
    </w:p>
    <w:p w:rsidRPr="00D847FD" w:rsidR="00D847FD" w:rsidP="00780987" w:rsidRDefault="00780987" w14:paraId="7F1BE72C" w14:textId="655E1C4A">
      <w:pPr>
        <w:spacing w:after="0"/>
      </w:pPr>
      <w:r w:rsidRPr="00D847FD">
        <w:t>The e</w:t>
      </w:r>
      <w:r>
        <w:t>valuation e</w:t>
      </w:r>
      <w:r w:rsidRPr="00D847FD">
        <w:t xml:space="preserve">vidence </w:t>
      </w:r>
      <w:r>
        <w:t>also indicate</w:t>
      </w:r>
      <w:r w:rsidRPr="00D847FD">
        <w:t>s</w:t>
      </w:r>
      <w:r>
        <w:t xml:space="preserve"> that</w:t>
      </w:r>
      <w:r w:rsidRPr="00D847FD">
        <w:t xml:space="preserve"> MAGC is </w:t>
      </w:r>
      <w:r>
        <w:t xml:space="preserve">meeting or exceeding its targets for capacity building, and that it is </w:t>
      </w:r>
      <w:r w:rsidRPr="00D847FD">
        <w:t xml:space="preserve">successfully increasing awareness, understanding, and technical skills related to green buildings. </w:t>
      </w:r>
      <w:r>
        <w:t>However, the Logframe is potentially insufficiently covering the progress that MAGC is making in this area: the only indicators that currently measure this are Output 2.6 and Output 4.8 (</w:t>
      </w:r>
      <w:r w:rsidRPr="002C4840">
        <w:t>Percent of survey respondents (attending MAGC TA/Research events) reporting increased knowledge of certified green buildings</w:t>
      </w:r>
      <w:r>
        <w:t>). This transformational change criterion would benefit from additional monitoring criteria / metrics at the outcome level to be able to assess results of capacity building (for example, FIs receiving advisory services reporting increased capacity to assess green building risk, or participants to MAGC Technical Assistance (TA) trainings reporting increased capabilities related to building green). For FIs, this could be measured at the end of the advisory services, and for other stakeholders after MAGC workshops. However, as these metrics are not currently in the Logframe and the feasibility of reviewing the Logframe at this stage of the programme is low, this suggestion should be assessed during future Logframe revisions</w:t>
      </w:r>
      <w:r w:rsidR="00923E85">
        <w:t>.</w:t>
      </w:r>
    </w:p>
    <w:p w:rsidRPr="00D847FD" w:rsidR="00D847FD" w:rsidP="00AE6AE0" w:rsidRDefault="00D847FD" w14:paraId="7854DDB0" w14:textId="3806138C"/>
    <w:p w:rsidR="00923E85" w:rsidP="00D847FD" w:rsidRDefault="00D847FD" w14:paraId="5263FE1F" w14:textId="77777777">
      <w:pPr>
        <w:rPr>
          <w:rStyle w:val="Boldtext"/>
        </w:rPr>
      </w:pPr>
      <w:r w:rsidRPr="009A3A6F">
        <w:rPr>
          <w:rStyle w:val="Boldtext"/>
          <w:i/>
          <w:iCs/>
        </w:rPr>
        <w:t>Innovation</w:t>
      </w:r>
      <w:r w:rsidR="001A3F86">
        <w:rPr>
          <w:rStyle w:val="Boldtext"/>
        </w:rPr>
        <w:t xml:space="preserve"> </w:t>
      </w:r>
    </w:p>
    <w:p w:rsidRPr="00D847FD" w:rsidR="00D847FD" w:rsidP="00D847FD" w:rsidRDefault="00923E85" w14:paraId="0D7F30D8" w14:textId="663E4CEB">
      <w:r>
        <w:rPr>
          <w:rStyle w:val="Boldtext"/>
        </w:rPr>
        <w:t>Suggestion: replace this criterion with Political Will</w:t>
      </w:r>
      <w:r w:rsidRPr="00D847FD" w:rsidR="00D847FD">
        <w:br/>
      </w:r>
      <w:r w:rsidR="00780987">
        <w:t xml:space="preserve">The evidence from the outcome evaluation indicates that the innovative aspects of EDGE mainly lie in its ease of use and cost-effectiveness compared to other certifications, and this can drive transformation by encouraging wider adoption of green construction. </w:t>
      </w:r>
      <w:r w:rsidRPr="003459B7" w:rsidR="00780987">
        <w:t xml:space="preserve">While EDGE itself is </w:t>
      </w:r>
      <w:r w:rsidR="00780987">
        <w:t xml:space="preserve">a </w:t>
      </w:r>
      <w:r w:rsidRPr="003459B7" w:rsidR="00780987">
        <w:t>well-established</w:t>
      </w:r>
      <w:r w:rsidR="00780987">
        <w:t xml:space="preserve"> tool</w:t>
      </w:r>
      <w:r w:rsidRPr="003459B7" w:rsidR="00780987">
        <w:t>, MAGC's role in its continuous improvement and adaptation to local contexts is valuable.</w:t>
      </w:r>
      <w:r w:rsidR="00780987">
        <w:t xml:space="preserve"> </w:t>
      </w:r>
      <w:r w:rsidRPr="00987671" w:rsidR="00780987">
        <w:t>However, these improvements, while innovative, do</w:t>
      </w:r>
      <w:r w:rsidR="00780987">
        <w:t xml:space="preserve"> </w:t>
      </w:r>
      <w:r w:rsidRPr="00987671" w:rsidR="00780987">
        <w:t>n</w:t>
      </w:r>
      <w:r w:rsidR="00780987">
        <w:t>o</w:t>
      </w:r>
      <w:r w:rsidRPr="00987671" w:rsidR="00780987">
        <w:t xml:space="preserve">t necessarily </w:t>
      </w:r>
      <w:r w:rsidRPr="00987671" w:rsidR="00780987">
        <w:t>equate to transformational change within the broader system.</w:t>
      </w:r>
      <w:r w:rsidR="00780987">
        <w:t xml:space="preserve"> </w:t>
      </w:r>
      <w:r w:rsidRPr="00D847FD" w:rsidR="00780987">
        <w:t>Among the current indicators, only output 2.5</w:t>
      </w:r>
      <w:r w:rsidR="00780987">
        <w:t xml:space="preserve"> (</w:t>
      </w:r>
      <w:r w:rsidRPr="00D847FD" w:rsidR="00780987">
        <w:t>Cumulative number of entities that implement recommended changes from EDGE</w:t>
      </w:r>
      <w:r w:rsidR="00780987">
        <w:t>)</w:t>
      </w:r>
      <w:r w:rsidRPr="00D847FD" w:rsidR="00780987">
        <w:t xml:space="preserve"> tracks the impact of these innovations, while Outputs 3.1 and 3.2 </w:t>
      </w:r>
      <w:r w:rsidR="00780987">
        <w:t>(</w:t>
      </w:r>
      <w:r w:rsidRPr="00D847FD" w:rsidR="00780987">
        <w:t xml:space="preserve">Development and </w:t>
      </w:r>
      <w:r w:rsidRPr="00D847FD" w:rsidR="00545655">
        <w:t xml:space="preserve">launch of EDGE </w:t>
      </w:r>
      <w:r w:rsidR="00545655">
        <w:t xml:space="preserve">and CAFI </w:t>
      </w:r>
      <w:r w:rsidRPr="00D847FD" w:rsidR="00545655">
        <w:t>tool improvements</w:t>
      </w:r>
      <w:r w:rsidR="00545655">
        <w:t xml:space="preserve">) </w:t>
      </w:r>
      <w:r w:rsidRPr="00D847FD" w:rsidR="00D847FD">
        <w:t>only track the development and launch of the improvements.</w:t>
      </w:r>
      <w:r w:rsidRPr="00987671" w:rsidR="00987671">
        <w:t xml:space="preserve"> Therefore, focusing on EDGE's innovation is less relevant for assessing MAGC's transformational impact than other factors, such as political will, which are currently absent from the methodology.</w:t>
      </w:r>
      <w:r w:rsidR="006E00A7">
        <w:t xml:space="preserve"> A suggestion for the programme would be to replace the innovation criterion with political will.</w:t>
      </w:r>
    </w:p>
    <w:p w:rsidRPr="009A3A6F" w:rsidR="00923E85" w:rsidP="006B5991" w:rsidRDefault="00D847FD" w14:paraId="02A39648" w14:textId="77777777">
      <w:pPr>
        <w:rPr>
          <w:rStyle w:val="Boldtext"/>
          <w:i/>
          <w:iCs/>
        </w:rPr>
      </w:pPr>
      <w:r w:rsidRPr="009A3A6F">
        <w:rPr>
          <w:rStyle w:val="Boldtext"/>
          <w:i/>
          <w:iCs/>
        </w:rPr>
        <w:t>Leverage/incentives for others to act</w:t>
      </w:r>
      <w:r w:rsidRPr="009A3A6F" w:rsidR="00116F85">
        <w:rPr>
          <w:rStyle w:val="Boldtext"/>
          <w:i/>
          <w:iCs/>
        </w:rPr>
        <w:t xml:space="preserve"> </w:t>
      </w:r>
    </w:p>
    <w:p w:rsidRPr="00D847FD" w:rsidR="00D847FD" w:rsidP="006B5991" w:rsidRDefault="00923E85" w14:paraId="46E9A6E8" w14:textId="3B2BF919">
      <w:r>
        <w:rPr>
          <w:rStyle w:val="Boldtext"/>
        </w:rPr>
        <w:t xml:space="preserve">Suggestion: </w:t>
      </w:r>
      <w:r w:rsidR="00653848">
        <w:rPr>
          <w:rStyle w:val="Boldtext"/>
        </w:rPr>
        <w:t>slightly reduce weighting</w:t>
      </w:r>
      <w:r>
        <w:rPr>
          <w:rStyle w:val="Boldtext"/>
        </w:rPr>
        <w:t xml:space="preserve"> (</w:t>
      </w:r>
      <w:r w:rsidR="00653848">
        <w:rPr>
          <w:rStyle w:val="Boldtext"/>
        </w:rPr>
        <w:t xml:space="preserve">from </w:t>
      </w:r>
      <w:r>
        <w:rPr>
          <w:rStyle w:val="Boldtext"/>
        </w:rPr>
        <w:t>40</w:t>
      </w:r>
      <w:r w:rsidR="00653848">
        <w:rPr>
          <w:rStyle w:val="Boldtext"/>
        </w:rPr>
        <w:t xml:space="preserve"> to 35</w:t>
      </w:r>
      <w:r>
        <w:rPr>
          <w:rStyle w:val="Boldtext"/>
        </w:rPr>
        <w:t>%), new indicator suggested</w:t>
      </w:r>
      <w:r w:rsidRPr="00D847FD" w:rsidR="00D847FD">
        <w:rPr>
          <w:rStyle w:val="Boldtext"/>
        </w:rPr>
        <w:br/>
      </w:r>
      <w:r w:rsidRPr="00D847FD" w:rsidR="00780987">
        <w:t xml:space="preserve">This criterion remains highly relevant to MAGC, as the programme provides incentives for actors to encourage the take up of green construction. However, there </w:t>
      </w:r>
      <w:r w:rsidR="00423F49">
        <w:t>is one</w:t>
      </w:r>
      <w:r w:rsidRPr="00D847FD" w:rsidR="00780987">
        <w:t xml:space="preserve"> indicator in the IFC Results Framework (not currently in the Logframe) that could capture</w:t>
      </w:r>
      <w:r w:rsidR="00780987">
        <w:t>, in addition to the current ones,</w:t>
      </w:r>
      <w:r w:rsidRPr="00D847FD" w:rsidR="00780987">
        <w:t xml:space="preserve"> the transformational impact under this criterion, specifically around the number of new financial products launched</w:t>
      </w:r>
      <w:r w:rsidR="00780987">
        <w:t xml:space="preserve"> (</w:t>
      </w:r>
      <w:r w:rsidR="00CA79FE">
        <w:t xml:space="preserve">IFC </w:t>
      </w:r>
      <w:r w:rsidR="00780987">
        <w:t>Results Framework indicator 18)</w:t>
      </w:r>
      <w:r w:rsidRPr="00D847FD" w:rsidR="00780987">
        <w:t xml:space="preserve">. </w:t>
      </w:r>
      <w:r w:rsidR="00780987">
        <w:t>The indicator is defined as follows: “</w:t>
      </w:r>
      <w:r w:rsidRPr="00D847FD" w:rsidR="00780987">
        <w:t xml:space="preserve">Indicator 18 (from Results Framework). Number of new financial products launched. Definition: </w:t>
      </w:r>
      <w:r w:rsidRPr="001546D8" w:rsidR="00780987">
        <w:rPr>
          <w:i/>
          <w:iCs/>
        </w:rPr>
        <w:t>Number of new financial products deployed (e.g. number of financing windows launched by financial intermediaries with the assistance of IFC) to channel investment into green buildings- such as green mortgages or green construction finance</w:t>
      </w:r>
      <w:r w:rsidRPr="00D847FD" w:rsidR="00780987">
        <w:t>.</w:t>
      </w:r>
      <w:r w:rsidR="00780987">
        <w:t>” This</w:t>
      </w:r>
      <w:r w:rsidRPr="00D847FD" w:rsidR="00780987">
        <w:t xml:space="preserve"> can </w:t>
      </w:r>
      <w:r w:rsidR="00780987">
        <w:t>show whether</w:t>
      </w:r>
      <w:r w:rsidRPr="00D847FD" w:rsidR="00780987">
        <w:t xml:space="preserve"> MAGC is influencing market mechanisms beyond its direct investments.</w:t>
      </w:r>
      <w:r w:rsidR="00780987">
        <w:t xml:space="preserve"> </w:t>
      </w:r>
      <w:r w:rsidR="00A264FA">
        <w:t xml:space="preserve">It is important to note, however, that from 2025 onwards the results framework will not be provided by IFC anymore, and therefore the data for this indicator will not be available. This would therefore need either an alternative collection of this information, or a revision of the methodology to identify a suitable indicator in the new Logframe. </w:t>
      </w:r>
      <w:r w:rsidRPr="00653848" w:rsidR="00780987">
        <w:t>To emphasi</w:t>
      </w:r>
      <w:r w:rsidR="00780987">
        <w:t>s</w:t>
      </w:r>
      <w:r w:rsidRPr="00653848" w:rsidR="00780987">
        <w:t xml:space="preserve">e the importance of both "leverage" </w:t>
      </w:r>
      <w:r w:rsidR="00780987">
        <w:t xml:space="preserve">and </w:t>
      </w:r>
      <w:r w:rsidRPr="00653848" w:rsidR="00780987">
        <w:t>"critical mass" criteria</w:t>
      </w:r>
      <w:r w:rsidR="00780987">
        <w:t xml:space="preserve"> for MAGC</w:t>
      </w:r>
      <w:r w:rsidRPr="00653848" w:rsidR="00780987">
        <w:t xml:space="preserve">, and to balance them effectively, </w:t>
      </w:r>
      <w:r w:rsidR="00780987">
        <w:t>the evaluation team</w:t>
      </w:r>
      <w:r w:rsidRPr="00653848" w:rsidR="00780987">
        <w:t xml:space="preserve"> propose</w:t>
      </w:r>
      <w:r w:rsidR="00780987">
        <w:t>s</w:t>
      </w:r>
      <w:r w:rsidRPr="00653848" w:rsidR="00780987">
        <w:t xml:space="preserve"> a slight reduction in the weighting of the </w:t>
      </w:r>
      <w:r w:rsidR="00780987">
        <w:t>former</w:t>
      </w:r>
      <w:r w:rsidRPr="00653848" w:rsidR="00780987">
        <w:t>. This adjustment will ensure that critical mass is appropriately considered alongside leverage</w:t>
      </w:r>
      <w:r w:rsidRPr="00653848" w:rsidR="00653848">
        <w:t>.</w:t>
      </w:r>
    </w:p>
    <w:p w:rsidRPr="009A3A6F" w:rsidR="00AE6AE0" w:rsidP="00AE6AE0" w:rsidRDefault="00AE6AE0" w14:paraId="7328DE4E" w14:textId="77777777">
      <w:pPr>
        <w:pStyle w:val="DESNZbulletedlist"/>
        <w:numPr>
          <w:ilvl w:val="0"/>
          <w:numId w:val="0"/>
        </w:numPr>
        <w:rPr>
          <w:rStyle w:val="Boldtext"/>
          <w:i/>
          <w:iCs/>
        </w:rPr>
      </w:pPr>
      <w:r w:rsidRPr="009A3A6F">
        <w:rPr>
          <w:rStyle w:val="Boldtext"/>
          <w:i/>
          <w:iCs/>
        </w:rPr>
        <w:t xml:space="preserve">Critical mass </w:t>
      </w:r>
    </w:p>
    <w:p w:rsidRPr="00D847FD" w:rsidR="00AE6AE0" w:rsidP="00AE6AE0" w:rsidRDefault="00AE6AE0" w14:paraId="01E54768" w14:textId="77777777">
      <w:pPr>
        <w:pStyle w:val="DESNZbulletedlist"/>
        <w:numPr>
          <w:ilvl w:val="0"/>
          <w:numId w:val="0"/>
        </w:numPr>
        <w:rPr>
          <w:rStyle w:val="Boldtext"/>
        </w:rPr>
      </w:pPr>
      <w:r>
        <w:rPr>
          <w:rStyle w:val="Boldtext"/>
        </w:rPr>
        <w:t>Suggestion: maintain the same indicators, but increase weighting from 25% to 30%</w:t>
      </w:r>
    </w:p>
    <w:p w:rsidR="00AE6AE0" w:rsidP="00AE6AE0" w:rsidRDefault="00780987" w14:paraId="102FEBBF" w14:textId="330714DF">
      <w:pPr>
        <w:rPr>
          <w:rStyle w:val="Boldtext"/>
        </w:rPr>
      </w:pPr>
      <w:r w:rsidRPr="00D847FD">
        <w:t xml:space="preserve">From the interim evaluation, this criterion emerged as very important to track transformational change in the green building sector. The role that MAGC can play through all its four components in the evolution of the green building market to achieve a critical mass emerged from this phase of the evaluation. The indicators for this criterion are relevant, but </w:t>
      </w:r>
      <w:r>
        <w:t>current weighting is 25%, so – given its importance – it would be good to increase this weighting to 30%</w:t>
      </w:r>
      <w:r w:rsidRPr="00D847FD">
        <w:t xml:space="preserve">. </w:t>
      </w:r>
      <w:r>
        <w:t>A suggested revision of the weighting for all criteria is included in the table at the end of this section</w:t>
      </w:r>
      <w:r w:rsidR="00AE6AE0">
        <w:t>.</w:t>
      </w:r>
    </w:p>
    <w:p w:rsidR="005D1C1E" w:rsidP="006B5991" w:rsidRDefault="00D847FD" w14:paraId="07AAB000" w14:textId="3170ADD9">
      <w:pPr>
        <w:rPr>
          <w:rStyle w:val="Boldtext"/>
        </w:rPr>
      </w:pPr>
      <w:r w:rsidRPr="009A3A6F">
        <w:rPr>
          <w:rStyle w:val="Boldtext"/>
          <w:i/>
          <w:iCs/>
        </w:rPr>
        <w:t>Political will and local ownership</w:t>
      </w:r>
      <w:r w:rsidR="008817FE">
        <w:rPr>
          <w:rStyle w:val="FootnoteReference"/>
          <w:b/>
        </w:rPr>
        <w:footnoteReference w:id="21"/>
      </w:r>
      <w:r w:rsidR="0049462B">
        <w:rPr>
          <w:rStyle w:val="Boldtext"/>
        </w:rPr>
        <w:t xml:space="preserve"> </w:t>
      </w:r>
    </w:p>
    <w:p w:rsidR="00A264FA" w:rsidP="00780987" w:rsidRDefault="00653848" w14:paraId="3E0754C0" w14:textId="5BA8C761">
      <w:r>
        <w:rPr>
          <w:rStyle w:val="Boldtext"/>
        </w:rPr>
        <w:t>Suggestion:</w:t>
      </w:r>
      <w:r w:rsidR="0049462B">
        <w:rPr>
          <w:rStyle w:val="Boldtext"/>
        </w:rPr>
        <w:t xml:space="preserve"> </w:t>
      </w:r>
      <w:r w:rsidR="00B32EAB">
        <w:rPr>
          <w:rStyle w:val="Boldtext"/>
        </w:rPr>
        <w:t>including</w:t>
      </w:r>
      <w:r w:rsidR="0049462B">
        <w:rPr>
          <w:rStyle w:val="Boldtext"/>
        </w:rPr>
        <w:t xml:space="preserve"> this criteri</w:t>
      </w:r>
      <w:r>
        <w:rPr>
          <w:rStyle w:val="Boldtext"/>
        </w:rPr>
        <w:t>on</w:t>
      </w:r>
      <w:r w:rsidR="00B038D5">
        <w:rPr>
          <w:rStyle w:val="Boldtext"/>
        </w:rPr>
        <w:t xml:space="preserve"> at 1</w:t>
      </w:r>
      <w:r>
        <w:rPr>
          <w:rStyle w:val="Boldtext"/>
        </w:rPr>
        <w:t>0</w:t>
      </w:r>
      <w:r w:rsidR="00B038D5">
        <w:rPr>
          <w:rStyle w:val="Boldtext"/>
        </w:rPr>
        <w:t>%</w:t>
      </w:r>
      <w:r w:rsidR="0049462B">
        <w:rPr>
          <w:rStyle w:val="Boldtext"/>
        </w:rPr>
        <w:t xml:space="preserve"> instead of Innovation</w:t>
      </w:r>
      <w:r w:rsidRPr="00D847FD" w:rsidR="00D847FD">
        <w:br/>
      </w:r>
      <w:r w:rsidRPr="00D847FD" w:rsidR="00780987">
        <w:t xml:space="preserve">This is currently not a criterion in the MAGC methodology, but evidence from the evaluation so far has shown that long-term transformational change in the green building sector needs high-level political buy in and local support across society. </w:t>
      </w:r>
      <w:r w:rsidR="00780987">
        <w:t>The evaluation team</w:t>
      </w:r>
      <w:r w:rsidRPr="003C48E6" w:rsidR="00780987">
        <w:t xml:space="preserve"> would suggest including this criterion in the KPI15 methodology for MAGC, potentially replacing the “innovation” criterion as explained above. </w:t>
      </w:r>
      <w:r w:rsidR="00A264FA">
        <w:t>An indicator</w:t>
      </w:r>
      <w:r w:rsidRPr="00D847FD" w:rsidR="00A264FA">
        <w:t xml:space="preserve"> </w:t>
      </w:r>
      <w:r w:rsidRPr="00D847FD" w:rsidR="00780987">
        <w:t>in the current Logframe that could be used for this criterion</w:t>
      </w:r>
      <w:r w:rsidR="00A264FA">
        <w:t xml:space="preserve"> is </w:t>
      </w:r>
      <w:r w:rsidR="00780987">
        <w:t>Output indicator 2.5: “Cumulative Number of entities that implement recommended changes.” While the previous indicator can capture action from the programme side, this indicator reports the number of entities receiving advisory services that implemented recommended changes (e.g. green building incentives/policies). Entities means cities and local governments, as well as other public bodies or policy makers. MAGC considers a change being implemented when (policies/incentives/ ordinances or decrees/ updates of previous policies/ordinances/decrees) are published.</w:t>
      </w:r>
      <w:r w:rsidR="00A264FA">
        <w:t xml:space="preserve"> </w:t>
      </w:r>
      <w:r w:rsidRPr="00D847FD" w:rsidR="00780987">
        <w:t>Th</w:t>
      </w:r>
      <w:r w:rsidR="00A264FA">
        <w:t>i</w:t>
      </w:r>
      <w:r w:rsidRPr="00D847FD" w:rsidR="00780987">
        <w:t xml:space="preserve">s indicator, under Output 2, can demonstrate a proactive approach to engaging local stakeholders and fostering ownership. </w:t>
      </w:r>
    </w:p>
    <w:p w:rsidR="00A22181" w:rsidP="00780987" w:rsidRDefault="00780987" w14:paraId="01877843" w14:textId="24431EF5">
      <w:pPr>
        <w:rPr>
          <w:b/>
          <w:bCs/>
        </w:rPr>
      </w:pPr>
      <w:r w:rsidRPr="00D847FD">
        <w:t>Another indicator (currently not in Logframe</w:t>
      </w:r>
      <w:r>
        <w:t>, so only relevant for future revisions</w:t>
      </w:r>
      <w:r w:rsidRPr="00D847FD">
        <w:t xml:space="preserve">) that could be considered for this criterion relates to the level of engagement with policymakers at national and local level and local green building councils (or similar organisations) in MAGC activities. </w:t>
      </w:r>
      <w:r>
        <w:t xml:space="preserve">This could include the number of </w:t>
      </w:r>
      <w:r>
        <w:rPr>
          <w:rFonts w:eastAsia="Times New Roman" w:cs="Arial"/>
          <w:szCs w:val="24"/>
          <w:lang w:eastAsia="en-GB"/>
        </w:rPr>
        <w:t>public sector organisations (</w:t>
      </w:r>
      <w:r w:rsidRPr="00D847FD">
        <w:t>policymakers at national and local level</w:t>
      </w:r>
      <w:r>
        <w:t>,</w:t>
      </w:r>
      <w:r w:rsidRPr="00D847FD">
        <w:t xml:space="preserve"> local green building councils or similar organisations) </w:t>
      </w:r>
      <w:r>
        <w:t xml:space="preserve">reported by the delivery partner as </w:t>
      </w:r>
      <w:r>
        <w:rPr>
          <w:rFonts w:eastAsia="Times New Roman" w:cs="Arial"/>
          <w:szCs w:val="24"/>
          <w:lang w:eastAsia="en-GB"/>
        </w:rPr>
        <w:t>receiving MAGC technical assistance (e.g. supported to develop green building incentives/green building codes), to capture the reach of the programme aimed at influencing political will and local ownership</w:t>
      </w:r>
      <w:r w:rsidR="008817FE">
        <w:rPr>
          <w:rFonts w:eastAsia="Times New Roman" w:cs="Arial"/>
          <w:szCs w:val="24"/>
          <w:lang w:eastAsia="en-GB"/>
        </w:rPr>
        <w:t>.</w:t>
      </w:r>
    </w:p>
    <w:p w:rsidR="00511D37" w:rsidP="00D847FD" w:rsidRDefault="005F364E" w14:paraId="16FAAC96" w14:textId="4CD6FAD8">
      <w:pPr>
        <w:rPr>
          <w:b/>
          <w:bCs/>
        </w:rPr>
      </w:pPr>
      <w:r>
        <w:rPr>
          <w:b/>
          <w:bCs/>
        </w:rPr>
        <w:t xml:space="preserve">Table 9. </w:t>
      </w:r>
      <w:r w:rsidR="00511D37">
        <w:rPr>
          <w:b/>
          <w:bCs/>
        </w:rPr>
        <w:t xml:space="preserve">Potential revised </w:t>
      </w:r>
      <w:r>
        <w:rPr>
          <w:b/>
          <w:bCs/>
        </w:rPr>
        <w:t xml:space="preserve">KPI15 </w:t>
      </w:r>
      <w:r w:rsidR="00511D37">
        <w:rPr>
          <w:b/>
          <w:bCs/>
        </w:rPr>
        <w:t>criteria and metrics</w:t>
      </w:r>
    </w:p>
    <w:tbl>
      <w:tblPr>
        <w:tblW w:w="100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35"/>
        <w:gridCol w:w="6379"/>
        <w:gridCol w:w="1862"/>
      </w:tblGrid>
      <w:tr w:rsidRPr="00D25162" w:rsidR="00AE6AE0" w:rsidTr="009A3A6F" w14:paraId="7FD260B5" w14:textId="44F58554">
        <w:trPr>
          <w:trHeight w:val="300"/>
        </w:trPr>
        <w:tc>
          <w:tcPr>
            <w:tcW w:w="1835" w:type="dxa"/>
            <w:tcBorders>
              <w:top w:val="single" w:color="auto" w:sz="6" w:space="0"/>
              <w:left w:val="single" w:color="auto" w:sz="6" w:space="0"/>
              <w:bottom w:val="single" w:color="auto" w:sz="6" w:space="0"/>
              <w:right w:val="single" w:color="auto" w:sz="6" w:space="0"/>
            </w:tcBorders>
            <w:shd w:val="clear" w:color="auto" w:fill="D9E2F3"/>
            <w:hideMark/>
          </w:tcPr>
          <w:p w:rsidRPr="00D25162" w:rsidR="00AE6AE0" w:rsidRDefault="00AE6AE0" w14:paraId="34FEC7F4" w14:textId="77777777">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b/>
                <w:bCs/>
                <w:lang w:eastAsia="en-GB"/>
              </w:rPr>
              <w:t>Criteria</w:t>
            </w:r>
            <w:r w:rsidRPr="00D25162">
              <w:rPr>
                <w:rFonts w:eastAsia="Times New Roman" w:cs="Arial"/>
                <w:lang w:eastAsia="en-GB"/>
              </w:rPr>
              <w:t>   </w:t>
            </w:r>
          </w:p>
        </w:tc>
        <w:tc>
          <w:tcPr>
            <w:tcW w:w="6379" w:type="dxa"/>
            <w:tcBorders>
              <w:top w:val="single" w:color="auto" w:sz="6" w:space="0"/>
              <w:left w:val="single" w:color="auto" w:sz="6" w:space="0"/>
              <w:bottom w:val="single" w:color="auto" w:sz="6" w:space="0"/>
              <w:right w:val="single" w:color="auto" w:sz="6" w:space="0"/>
            </w:tcBorders>
            <w:shd w:val="clear" w:color="auto" w:fill="D9E2F3"/>
            <w:hideMark/>
          </w:tcPr>
          <w:p w:rsidRPr="00D25162" w:rsidR="00AE6AE0" w:rsidRDefault="00361C77" w14:paraId="2D49B5DB" w14:textId="05BEED73">
            <w:pPr>
              <w:spacing w:after="0" w:line="240" w:lineRule="auto"/>
              <w:textAlignment w:val="baseline"/>
              <w:rPr>
                <w:rFonts w:ascii="Times New Roman" w:hAnsi="Times New Roman" w:eastAsia="Times New Roman" w:cs="Times New Roman"/>
                <w:szCs w:val="24"/>
                <w:lang w:eastAsia="en-GB"/>
              </w:rPr>
            </w:pPr>
            <w:r>
              <w:rPr>
                <w:rFonts w:eastAsia="Times New Roman" w:cs="Arial"/>
                <w:b/>
                <w:bCs/>
                <w:lang w:eastAsia="en-GB"/>
              </w:rPr>
              <w:t>Indicators</w:t>
            </w:r>
            <w:r w:rsidRPr="00D25162" w:rsidR="00AE6AE0">
              <w:rPr>
                <w:rFonts w:eastAsia="Times New Roman" w:cs="Arial"/>
                <w:lang w:eastAsia="en-GB"/>
              </w:rPr>
              <w:t> </w:t>
            </w:r>
          </w:p>
        </w:tc>
        <w:tc>
          <w:tcPr>
            <w:tcW w:w="1862" w:type="dxa"/>
            <w:tcBorders>
              <w:top w:val="single" w:color="auto" w:sz="6" w:space="0"/>
              <w:left w:val="single" w:color="auto" w:sz="6" w:space="0"/>
              <w:bottom w:val="single" w:color="auto" w:sz="6" w:space="0"/>
              <w:right w:val="single" w:color="auto" w:sz="6" w:space="0"/>
            </w:tcBorders>
            <w:shd w:val="clear" w:color="auto" w:fill="D9E2F3"/>
          </w:tcPr>
          <w:p w:rsidRPr="00D25162" w:rsidR="00AE6AE0" w:rsidDel="00AE6AE0" w:rsidRDefault="00AE6AE0" w14:paraId="1A08AF00" w14:textId="752DDC19">
            <w:pPr>
              <w:spacing w:after="0" w:line="240" w:lineRule="auto"/>
              <w:textAlignment w:val="baseline"/>
              <w:rPr>
                <w:rFonts w:eastAsia="Times New Roman" w:cs="Arial"/>
                <w:b/>
                <w:bCs/>
                <w:lang w:eastAsia="en-GB"/>
              </w:rPr>
            </w:pPr>
            <w:r>
              <w:rPr>
                <w:rFonts w:eastAsia="Times New Roman" w:cs="Arial"/>
                <w:b/>
                <w:bCs/>
                <w:lang w:eastAsia="en-GB"/>
              </w:rPr>
              <w:t>Comments</w:t>
            </w:r>
          </w:p>
        </w:tc>
      </w:tr>
      <w:tr w:rsidRPr="00D25162" w:rsidR="00AE6AE0" w:rsidTr="009A3A6F" w14:paraId="21E5B195" w14:textId="1AD58095">
        <w:trPr>
          <w:trHeight w:val="300"/>
        </w:trPr>
        <w:tc>
          <w:tcPr>
            <w:tcW w:w="1835" w:type="dxa"/>
            <w:vMerge w:val="restart"/>
            <w:tcBorders>
              <w:top w:val="single" w:color="auto" w:sz="6" w:space="0"/>
              <w:left w:val="single" w:color="auto" w:sz="6" w:space="0"/>
              <w:right w:val="single" w:color="auto" w:sz="6" w:space="0"/>
            </w:tcBorders>
            <w:hideMark/>
          </w:tcPr>
          <w:p w:rsidRPr="00C97A0D" w:rsidR="00AE6AE0" w:rsidP="002D6371" w:rsidRDefault="00AE6AE0" w14:paraId="204396D5" w14:textId="74F5B81D">
            <w:pPr>
              <w:spacing w:after="0" w:line="240" w:lineRule="auto"/>
              <w:textAlignment w:val="baseline"/>
              <w:rPr>
                <w:rFonts w:eastAsia="Times New Roman" w:cs="Arial"/>
                <w:bCs/>
                <w:lang w:eastAsia="en-GB"/>
              </w:rPr>
            </w:pPr>
            <w:r w:rsidRPr="00C97A0D">
              <w:rPr>
                <w:rStyle w:val="Boldtext"/>
              </w:rPr>
              <w:t xml:space="preserve">Capacity and </w:t>
            </w:r>
            <w:r w:rsidRPr="00E13638">
              <w:rPr>
                <w:rStyle w:val="Boldtext"/>
              </w:rPr>
              <w:t>c</w:t>
            </w:r>
            <w:r w:rsidRPr="00C97A0D">
              <w:rPr>
                <w:rStyle w:val="Boldtext"/>
              </w:rPr>
              <w:t xml:space="preserve">apability </w:t>
            </w:r>
          </w:p>
          <w:p w:rsidRPr="00D25162" w:rsidR="00AE6AE0" w:rsidP="002D6371" w:rsidRDefault="00AE6AE0" w14:paraId="47056E30" w14:textId="194923A9">
            <w:pPr>
              <w:spacing w:after="0" w:line="240" w:lineRule="auto"/>
              <w:textAlignment w:val="baseline"/>
              <w:rPr>
                <w:rFonts w:ascii="Times New Roman" w:hAnsi="Times New Roman" w:eastAsia="Times New Roman" w:cs="Times New Roman"/>
                <w:szCs w:val="24"/>
                <w:lang w:eastAsia="en-GB"/>
              </w:rPr>
            </w:pPr>
            <w:r>
              <w:rPr>
                <w:rFonts w:eastAsia="Times New Roman" w:cs="Times New Roman"/>
                <w:lang w:eastAsia="en-GB"/>
              </w:rPr>
              <w:t>(25%)</w:t>
            </w: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36611270"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1a.2</w:t>
            </w:r>
            <w:r w:rsidRPr="00A22181">
              <w:rPr>
                <w:rFonts w:eastAsia="Times New Roman" w:cs="Arial"/>
                <w:szCs w:val="24"/>
                <w:lang w:eastAsia="en-GB"/>
              </w:rPr>
              <w:t xml:space="preserve"> Cumulative number of financial intermediaries only receiving advisory services.   </w:t>
            </w:r>
          </w:p>
          <w:p w:rsidRPr="008E7737" w:rsidR="00AE6AE0" w:rsidP="002D6371" w:rsidRDefault="00AE6AE0" w14:paraId="450D14D9" w14:textId="77777777">
            <w:pPr>
              <w:spacing w:after="0" w:line="240" w:lineRule="auto"/>
              <w:textAlignment w:val="baseline"/>
              <w:rPr>
                <w:rFonts w:eastAsia="Times New Roman" w:cs="Arial"/>
                <w:szCs w:val="24"/>
                <w:lang w:eastAsia="en-GB"/>
              </w:rPr>
            </w:pPr>
            <w:r w:rsidRPr="00A22181">
              <w:rPr>
                <w:rFonts w:eastAsia="Times New Roman" w:cs="Arial"/>
                <w:szCs w:val="24"/>
                <w:lang w:eastAsia="en-GB"/>
              </w:rPr>
              <w:t>   </w:t>
            </w:r>
          </w:p>
        </w:tc>
        <w:tc>
          <w:tcPr>
            <w:tcW w:w="1862" w:type="dxa"/>
            <w:tcBorders>
              <w:top w:val="single" w:color="auto" w:sz="6" w:space="0"/>
              <w:left w:val="single" w:color="auto" w:sz="6" w:space="0"/>
              <w:bottom w:val="single" w:color="auto" w:sz="6" w:space="0"/>
              <w:right w:val="single" w:color="auto" w:sz="6" w:space="0"/>
            </w:tcBorders>
          </w:tcPr>
          <w:p w:rsidRPr="009A3A6F" w:rsidR="00AE6AE0" w:rsidP="002D6371" w:rsidRDefault="00923E85" w14:paraId="0BB2A415" w14:textId="4BAC5ACD">
            <w:pPr>
              <w:spacing w:after="0" w:line="240" w:lineRule="auto"/>
              <w:textAlignment w:val="baseline"/>
              <w:rPr>
                <w:rFonts w:eastAsia="Times New Roman" w:cs="Arial"/>
                <w:szCs w:val="24"/>
                <w:lang w:eastAsia="en-GB"/>
              </w:rPr>
            </w:pPr>
            <w:r>
              <w:rPr>
                <w:rFonts w:eastAsia="Times New Roman" w:cs="Arial"/>
                <w:szCs w:val="24"/>
                <w:lang w:eastAsia="en-GB"/>
              </w:rPr>
              <w:t>Suggest keeping</w:t>
            </w:r>
          </w:p>
        </w:tc>
      </w:tr>
      <w:tr w:rsidRPr="00D25162" w:rsidR="00AE6AE0" w:rsidTr="009A3A6F" w14:paraId="1AD62150" w14:textId="5F4D7156">
        <w:trPr>
          <w:trHeight w:val="300"/>
        </w:trPr>
        <w:tc>
          <w:tcPr>
            <w:tcW w:w="1835" w:type="dxa"/>
            <w:vMerge/>
            <w:tcBorders>
              <w:left w:val="single" w:color="auto" w:sz="6" w:space="0"/>
              <w:right w:val="single" w:color="auto" w:sz="6" w:space="0"/>
            </w:tcBorders>
            <w:vAlign w:val="center"/>
            <w:hideMark/>
          </w:tcPr>
          <w:p w:rsidRPr="00D25162" w:rsidR="00AE6AE0" w:rsidP="002D6371" w:rsidRDefault="00AE6AE0" w14:paraId="03DA786D"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6F4A9229"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1a.5</w:t>
            </w:r>
            <w:r w:rsidRPr="00A22181">
              <w:rPr>
                <w:rFonts w:eastAsia="Times New Roman" w:cs="Arial"/>
                <w:szCs w:val="24"/>
                <w:lang w:eastAsia="en-GB"/>
              </w:rPr>
              <w:t xml:space="preserve"> Cumulative number of key stakeholders in workshops, trainings, seminars, conferences from financial intermediary level activities.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923E85" w14:paraId="3901DF2D" w14:textId="10A1C3BC">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3E2F73AC" w14:textId="17DB84F0">
        <w:trPr>
          <w:trHeight w:val="300"/>
        </w:trPr>
        <w:tc>
          <w:tcPr>
            <w:tcW w:w="1835" w:type="dxa"/>
            <w:vMerge/>
            <w:tcBorders>
              <w:left w:val="single" w:color="auto" w:sz="6" w:space="0"/>
              <w:right w:val="single" w:color="auto" w:sz="6" w:space="0"/>
            </w:tcBorders>
            <w:vAlign w:val="center"/>
            <w:hideMark/>
          </w:tcPr>
          <w:p w:rsidRPr="00D25162" w:rsidR="00AE6AE0" w:rsidP="002D6371" w:rsidRDefault="00AE6AE0" w14:paraId="23C8BBA0"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66D2C07D" w14:textId="375ECD56">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2.3</w:t>
            </w:r>
            <w:r w:rsidRPr="00A22181">
              <w:rPr>
                <w:rFonts w:eastAsia="Times New Roman" w:cs="Arial"/>
                <w:szCs w:val="24"/>
                <w:lang w:eastAsia="en-GB"/>
              </w:rPr>
              <w:t xml:space="preserve"> Cumulative number of EDGE Auditors and Experts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923E85" w14:paraId="5B879885" w14:textId="4AF833D5">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067B182D" w14:textId="7BF2FC08">
        <w:trPr>
          <w:trHeight w:val="300"/>
        </w:trPr>
        <w:tc>
          <w:tcPr>
            <w:tcW w:w="1835" w:type="dxa"/>
            <w:vMerge/>
            <w:tcBorders>
              <w:left w:val="single" w:color="auto" w:sz="6" w:space="0"/>
              <w:right w:val="single" w:color="auto" w:sz="6" w:space="0"/>
            </w:tcBorders>
            <w:vAlign w:val="center"/>
            <w:hideMark/>
          </w:tcPr>
          <w:p w:rsidRPr="00D25162" w:rsidR="00AE6AE0" w:rsidP="002D6371" w:rsidRDefault="00AE6AE0" w14:paraId="3D75556B"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595AABBB"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2.4</w:t>
            </w:r>
            <w:r w:rsidRPr="00A22181">
              <w:rPr>
                <w:rFonts w:eastAsia="Times New Roman" w:cs="Arial"/>
                <w:szCs w:val="24"/>
                <w:lang w:eastAsia="en-GB"/>
              </w:rPr>
              <w:t xml:space="preserve"> Global number of active EDGE Users.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923E85" w14:paraId="33BBB751" w14:textId="2EE9592F">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30DF1A35" w14:textId="4374745E">
        <w:trPr>
          <w:trHeight w:val="300"/>
        </w:trPr>
        <w:tc>
          <w:tcPr>
            <w:tcW w:w="1835" w:type="dxa"/>
            <w:vMerge/>
            <w:tcBorders>
              <w:left w:val="single" w:color="auto" w:sz="6" w:space="0"/>
              <w:right w:val="single" w:color="auto" w:sz="6" w:space="0"/>
            </w:tcBorders>
            <w:vAlign w:val="center"/>
            <w:hideMark/>
          </w:tcPr>
          <w:p w:rsidRPr="00D25162" w:rsidR="00AE6AE0" w:rsidP="002D6371" w:rsidRDefault="00AE6AE0" w14:paraId="3B5B37C3"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3576FD45" w14:textId="51807FD1">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2.6 and Output 4.8</w:t>
            </w:r>
            <w:r w:rsidRPr="00A22181">
              <w:rPr>
                <w:rFonts w:eastAsia="Times New Roman" w:cs="Arial"/>
                <w:szCs w:val="24"/>
                <w:lang w:eastAsia="en-GB"/>
              </w:rPr>
              <w:t xml:space="preserve"> Percent of survey respondents (attending MAGC TA/Research events) reporting increased knowledge of certified green buildings.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923E85" w14:paraId="65A12119" w14:textId="490F1BA4">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1AEF5979" w14:textId="717FABF3">
        <w:trPr>
          <w:trHeight w:val="300"/>
        </w:trPr>
        <w:tc>
          <w:tcPr>
            <w:tcW w:w="1835" w:type="dxa"/>
            <w:vMerge/>
            <w:tcBorders>
              <w:left w:val="single" w:color="auto" w:sz="6" w:space="0"/>
              <w:right w:val="single" w:color="auto" w:sz="6" w:space="0"/>
            </w:tcBorders>
            <w:vAlign w:val="center"/>
          </w:tcPr>
          <w:p w:rsidRPr="00D25162" w:rsidR="00AE6AE0" w:rsidP="002D6371" w:rsidRDefault="00AE6AE0" w14:paraId="3318EFC5"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tcPr>
          <w:p w:rsidRPr="00A22181" w:rsidR="00AE6AE0" w:rsidP="002D6371" w:rsidRDefault="00AE6AE0" w14:paraId="5EB32DC2" w14:textId="25FDA86E">
            <w:pPr>
              <w:spacing w:after="0" w:line="240" w:lineRule="auto"/>
              <w:textAlignment w:val="baseline"/>
              <w:rPr>
                <w:rFonts w:eastAsia="Times New Roman" w:cs="Arial"/>
                <w:b/>
                <w:bCs/>
                <w:szCs w:val="24"/>
                <w:lang w:eastAsia="en-GB"/>
              </w:rPr>
            </w:pPr>
            <w:r w:rsidRPr="00C97A0D">
              <w:rPr>
                <w:rFonts w:cs="Arial"/>
                <w:bCs/>
                <w:szCs w:val="24"/>
              </w:rPr>
              <w:t>[NEW]</w:t>
            </w:r>
            <w:r>
              <w:rPr>
                <w:rFonts w:cs="Arial"/>
                <w:szCs w:val="24"/>
              </w:rPr>
              <w:t xml:space="preserve"> </w:t>
            </w:r>
            <w:r w:rsidRPr="00A22181">
              <w:rPr>
                <w:rFonts w:cs="Arial"/>
                <w:szCs w:val="24"/>
              </w:rPr>
              <w:t xml:space="preserve">FIs receiving advisory services reporting increased capacity to assess green building risk. </w:t>
            </w:r>
          </w:p>
        </w:tc>
        <w:tc>
          <w:tcPr>
            <w:tcW w:w="1862" w:type="dxa"/>
            <w:tcBorders>
              <w:top w:val="single" w:color="auto" w:sz="6" w:space="0"/>
              <w:left w:val="single" w:color="auto" w:sz="6" w:space="0"/>
              <w:bottom w:val="single" w:color="auto" w:sz="6" w:space="0"/>
              <w:right w:val="single" w:color="auto" w:sz="6" w:space="0"/>
            </w:tcBorders>
          </w:tcPr>
          <w:p w:rsidRPr="008E7737" w:rsidR="00AE6AE0" w:rsidP="002D6371" w:rsidRDefault="00923E85" w14:paraId="49F46A62" w14:textId="63A44BED">
            <w:pPr>
              <w:spacing w:after="0" w:line="240" w:lineRule="auto"/>
              <w:textAlignment w:val="baseline"/>
              <w:rPr>
                <w:rFonts w:cs="Arial"/>
                <w:b/>
                <w:bCs/>
                <w:szCs w:val="24"/>
              </w:rPr>
            </w:pPr>
            <w:r>
              <w:rPr>
                <w:rFonts w:eastAsia="Times New Roman" w:cs="Arial"/>
                <w:szCs w:val="24"/>
                <w:lang w:eastAsia="en-GB"/>
              </w:rPr>
              <w:t>Suggest adding in future Logframe revisions</w:t>
            </w:r>
          </w:p>
        </w:tc>
      </w:tr>
      <w:tr w:rsidRPr="00D25162" w:rsidR="00AE6AE0" w:rsidTr="009A3A6F" w14:paraId="3050BF00" w14:textId="40A21B07">
        <w:trPr>
          <w:trHeight w:val="300"/>
        </w:trPr>
        <w:tc>
          <w:tcPr>
            <w:tcW w:w="1835" w:type="dxa"/>
            <w:vMerge/>
            <w:tcBorders>
              <w:left w:val="single" w:color="auto" w:sz="6" w:space="0"/>
              <w:bottom w:val="single" w:color="auto" w:sz="6" w:space="0"/>
              <w:right w:val="single" w:color="auto" w:sz="6" w:space="0"/>
            </w:tcBorders>
            <w:vAlign w:val="center"/>
          </w:tcPr>
          <w:p w:rsidRPr="00D25162" w:rsidR="00AE6AE0" w:rsidP="002D6371" w:rsidRDefault="00AE6AE0" w14:paraId="44C63A37" w14:textId="77777777">
            <w:pPr>
              <w:spacing w:after="0" w:line="240" w:lineRule="auto"/>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tcPr>
          <w:p w:rsidRPr="00A22181" w:rsidR="00AE6AE0" w:rsidP="002D6371" w:rsidRDefault="00AE6AE0" w14:paraId="03B42088" w14:textId="6A7F68BB">
            <w:pPr>
              <w:spacing w:after="0" w:line="240" w:lineRule="auto"/>
              <w:textAlignment w:val="baseline"/>
              <w:rPr>
                <w:rFonts w:eastAsia="Times New Roman" w:cs="Arial"/>
                <w:b/>
                <w:bCs/>
                <w:szCs w:val="24"/>
                <w:lang w:eastAsia="en-GB"/>
              </w:rPr>
            </w:pPr>
            <w:r w:rsidRPr="00C97A0D">
              <w:rPr>
                <w:rFonts w:cs="Arial"/>
                <w:bCs/>
                <w:szCs w:val="24"/>
              </w:rPr>
              <w:t>[NEW]</w:t>
            </w:r>
            <w:r>
              <w:rPr>
                <w:rFonts w:cs="Arial"/>
                <w:szCs w:val="24"/>
              </w:rPr>
              <w:t xml:space="preserve"> </w:t>
            </w:r>
            <w:r w:rsidRPr="00A22181">
              <w:rPr>
                <w:rFonts w:cs="Arial"/>
                <w:szCs w:val="24"/>
              </w:rPr>
              <w:t>Participants to MAGC Technical Assistance (TA) trainings reporting increased capabilities related to building green.</w:t>
            </w:r>
          </w:p>
        </w:tc>
        <w:tc>
          <w:tcPr>
            <w:tcW w:w="1862" w:type="dxa"/>
            <w:tcBorders>
              <w:top w:val="single" w:color="auto" w:sz="6" w:space="0"/>
              <w:left w:val="single" w:color="auto" w:sz="6" w:space="0"/>
              <w:bottom w:val="single" w:color="auto" w:sz="6" w:space="0"/>
              <w:right w:val="single" w:color="auto" w:sz="6" w:space="0"/>
            </w:tcBorders>
          </w:tcPr>
          <w:p w:rsidRPr="008E7737" w:rsidR="00AE6AE0" w:rsidP="002D6371" w:rsidRDefault="00923E85" w14:paraId="25F3A4D3" w14:textId="3101ABC6">
            <w:pPr>
              <w:spacing w:after="0" w:line="240" w:lineRule="auto"/>
              <w:textAlignment w:val="baseline"/>
              <w:rPr>
                <w:rFonts w:cs="Arial"/>
                <w:b/>
                <w:bCs/>
                <w:szCs w:val="24"/>
              </w:rPr>
            </w:pPr>
            <w:r>
              <w:rPr>
                <w:rFonts w:eastAsia="Times New Roman" w:cs="Arial"/>
                <w:szCs w:val="24"/>
                <w:lang w:eastAsia="en-GB"/>
              </w:rPr>
              <w:t>Suggest adding in future Logframe revisions</w:t>
            </w:r>
          </w:p>
        </w:tc>
      </w:tr>
      <w:tr w:rsidRPr="00D25162" w:rsidR="00AE6AE0" w:rsidTr="009A3A6F" w14:paraId="7319C2A5" w14:textId="0F06FEDC">
        <w:trPr>
          <w:trHeight w:val="648"/>
        </w:trPr>
        <w:tc>
          <w:tcPr>
            <w:tcW w:w="1835" w:type="dxa"/>
            <w:vMerge w:val="restart"/>
            <w:tcBorders>
              <w:top w:val="single" w:color="auto" w:sz="6" w:space="0"/>
              <w:left w:val="single" w:color="auto" w:sz="6" w:space="0"/>
              <w:right w:val="single" w:color="auto" w:sz="6" w:space="0"/>
            </w:tcBorders>
            <w:hideMark/>
          </w:tcPr>
          <w:p w:rsidRPr="00D25162" w:rsidR="00AE6AE0" w:rsidP="002D6371" w:rsidRDefault="00AE6AE0" w14:paraId="0B36B451" w14:textId="77777777">
            <w:pPr>
              <w:spacing w:after="0" w:line="240" w:lineRule="auto"/>
              <w:textAlignment w:val="baseline"/>
              <w:rPr>
                <w:rFonts w:ascii="Times New Roman" w:hAnsi="Times New Roman" w:eastAsia="Times New Roman" w:cs="Times New Roman"/>
                <w:szCs w:val="24"/>
                <w:lang w:eastAsia="en-GB"/>
              </w:rPr>
            </w:pPr>
            <w:r w:rsidRPr="00C97A0D">
              <w:rPr>
                <w:rStyle w:val="Boldtext"/>
              </w:rPr>
              <w:t>Leverage / create incentives for others to act.</w:t>
            </w:r>
            <w:r w:rsidRPr="00D25162">
              <w:rPr>
                <w:rFonts w:eastAsia="Times New Roman" w:cs="Arial"/>
                <w:lang w:eastAsia="en-GB"/>
              </w:rPr>
              <w:t>   </w:t>
            </w:r>
          </w:p>
          <w:p w:rsidRPr="00D25162" w:rsidR="00AE6AE0" w:rsidP="002D6371" w:rsidRDefault="00AE6AE0" w14:paraId="4CB043F8" w14:textId="292873C3">
            <w:pPr>
              <w:spacing w:after="0" w:line="240" w:lineRule="auto"/>
              <w:textAlignment w:val="baseline"/>
              <w:rPr>
                <w:rFonts w:ascii="Times New Roman" w:hAnsi="Times New Roman" w:eastAsia="Times New Roman" w:cs="Times New Roman"/>
                <w:szCs w:val="24"/>
                <w:lang w:eastAsia="en-GB"/>
              </w:rPr>
            </w:pPr>
            <w:r>
              <w:rPr>
                <w:rFonts w:eastAsia="Times New Roman" w:cs="Arial"/>
                <w:lang w:eastAsia="en-GB"/>
              </w:rPr>
              <w:t>(</w:t>
            </w:r>
            <w:r w:rsidR="008817FE">
              <w:rPr>
                <w:rFonts w:eastAsia="Times New Roman" w:cs="Arial"/>
                <w:lang w:eastAsia="en-GB"/>
              </w:rPr>
              <w:t>35</w:t>
            </w:r>
            <w:r>
              <w:rPr>
                <w:rFonts w:eastAsia="Times New Roman" w:cs="Arial"/>
                <w:lang w:eastAsia="en-GB"/>
              </w:rPr>
              <w:t>%</w:t>
            </w:r>
            <w:r w:rsidR="0039271C">
              <w:rPr>
                <w:rFonts w:eastAsia="Times New Roman" w:cs="Arial"/>
                <w:lang w:eastAsia="en-GB"/>
              </w:rPr>
              <w:t>, down from 40%</w:t>
            </w:r>
            <w:r>
              <w:rPr>
                <w:rFonts w:eastAsia="Times New Roman" w:cs="Arial"/>
                <w:lang w:eastAsia="en-GB"/>
              </w:rPr>
              <w:t>)</w:t>
            </w:r>
          </w:p>
          <w:p w:rsidRPr="00D25162" w:rsidR="00AE6AE0" w:rsidP="002D6371" w:rsidRDefault="00AE6AE0" w14:paraId="33D821BC" w14:textId="77777777">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lang w:eastAsia="en-GB"/>
              </w:rPr>
              <w:t>   </w:t>
            </w:r>
          </w:p>
          <w:p w:rsidRPr="00D25162" w:rsidR="00AE6AE0" w:rsidP="002D6371" w:rsidRDefault="00AE6AE0" w14:paraId="0592FAF9" w14:textId="77777777">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lang w:eastAsia="en-GB"/>
              </w:rPr>
              <w:t>   </w:t>
            </w:r>
          </w:p>
          <w:p w:rsidRPr="00D25162" w:rsidR="00AE6AE0" w:rsidP="002D6371" w:rsidRDefault="00AE6AE0" w14:paraId="72B2D57B" w14:textId="77777777">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lang w:eastAsia="en-GB"/>
              </w:rPr>
              <w:t>   </w:t>
            </w:r>
          </w:p>
          <w:p w:rsidRPr="00D25162" w:rsidR="00AE6AE0" w:rsidP="002D6371" w:rsidRDefault="00AE6AE0" w14:paraId="51B4C445" w14:textId="77777777">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lang w:eastAsia="en-GB"/>
              </w:rPr>
              <w:t>   </w:t>
            </w:r>
          </w:p>
          <w:p w:rsidRPr="00D25162" w:rsidR="00AE6AE0" w:rsidP="002D6371" w:rsidRDefault="00AE6AE0" w14:paraId="212C51F2" w14:textId="1EDA7D2F">
            <w:pPr>
              <w:spacing w:after="0" w:line="240" w:lineRule="auto"/>
              <w:textAlignment w:val="baseline"/>
              <w:rPr>
                <w:rFonts w:ascii="Times New Roman" w:hAnsi="Times New Roman" w:eastAsia="Times New Roman" w:cs="Times New Roman"/>
                <w:szCs w:val="24"/>
                <w:lang w:eastAsia="en-GB"/>
              </w:rPr>
            </w:pPr>
            <w:r w:rsidRPr="00D25162">
              <w:rPr>
                <w:rFonts w:eastAsia="Times New Roman" w:cs="Arial"/>
                <w:lang w:eastAsia="en-GB"/>
              </w:rPr>
              <w:t>   </w:t>
            </w: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3C506404"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Outcome 1.</w:t>
            </w:r>
            <w:r w:rsidRPr="00A22181">
              <w:rPr>
                <w:rFonts w:eastAsia="Times New Roman" w:cs="Arial"/>
                <w:b/>
                <w:bCs/>
                <w:szCs w:val="24"/>
                <w:lang w:eastAsia="en-GB"/>
              </w:rPr>
              <w:t xml:space="preserve"> </w:t>
            </w:r>
            <w:r w:rsidRPr="00A22181">
              <w:rPr>
                <w:rFonts w:eastAsia="Times New Roman" w:cs="Arial"/>
                <w:szCs w:val="24"/>
                <w:lang w:eastAsia="en-GB"/>
              </w:rPr>
              <w:t>Cumulative cost expected to be avoided from design certified green buildings financed with MAGC blended finance.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8817FE" w14:paraId="1A6BE6FC" w14:textId="0C3DAC32">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33B64B7F" w14:textId="388919B4">
        <w:trPr>
          <w:trHeight w:val="300"/>
        </w:trPr>
        <w:tc>
          <w:tcPr>
            <w:tcW w:w="1835" w:type="dxa"/>
            <w:vMerge/>
            <w:tcBorders>
              <w:left w:val="single" w:color="auto" w:sz="6" w:space="0"/>
              <w:right w:val="single" w:color="auto" w:sz="6" w:space="0"/>
            </w:tcBorders>
            <w:hideMark/>
          </w:tcPr>
          <w:p w:rsidRPr="00D25162" w:rsidR="00AE6AE0" w:rsidP="002D6371" w:rsidRDefault="00AE6AE0" w14:paraId="3E4D21F0" w14:textId="26E17F29">
            <w:pPr>
              <w:spacing w:after="0" w:line="240" w:lineRule="auto"/>
              <w:textAlignment w:val="baseline"/>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301BC08A"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1b.1</w:t>
            </w:r>
            <w:r w:rsidRPr="00A22181">
              <w:rPr>
                <w:rFonts w:eastAsia="Times New Roman" w:cs="Arial"/>
                <w:b/>
                <w:bCs/>
                <w:szCs w:val="24"/>
                <w:lang w:eastAsia="en-GB"/>
              </w:rPr>
              <w:t xml:space="preserve"> </w:t>
            </w:r>
            <w:r w:rsidRPr="00A22181">
              <w:rPr>
                <w:rFonts w:eastAsia="Times New Roman" w:cs="Arial"/>
                <w:szCs w:val="24"/>
                <w:lang w:eastAsia="en-GB"/>
              </w:rPr>
              <w:t>Cumulative total project cost of green buildings financed related to sub-loans financed with MAGC blended finance.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8817FE" w14:paraId="7EABE527" w14:textId="709E2345">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5A34E4FE" w14:textId="23831669">
        <w:trPr>
          <w:trHeight w:val="300"/>
        </w:trPr>
        <w:tc>
          <w:tcPr>
            <w:tcW w:w="1835" w:type="dxa"/>
            <w:vMerge/>
            <w:tcBorders>
              <w:left w:val="single" w:color="auto" w:sz="6" w:space="0"/>
              <w:right w:val="single" w:color="auto" w:sz="6" w:space="0"/>
            </w:tcBorders>
            <w:hideMark/>
          </w:tcPr>
          <w:p w:rsidRPr="00D25162" w:rsidR="00AE6AE0" w:rsidP="002D6371" w:rsidRDefault="00AE6AE0" w14:paraId="737B070C" w14:textId="75D5F489">
            <w:pPr>
              <w:spacing w:after="0" w:line="240" w:lineRule="auto"/>
              <w:textAlignment w:val="baseline"/>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51CA553D"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1b.3</w:t>
            </w:r>
            <w:r w:rsidRPr="00A22181">
              <w:rPr>
                <w:rFonts w:eastAsia="Times New Roman" w:cs="Arial"/>
                <w:b/>
                <w:bCs/>
                <w:szCs w:val="24"/>
                <w:lang w:eastAsia="en-GB"/>
              </w:rPr>
              <w:t xml:space="preserve"> </w:t>
            </w:r>
            <w:r w:rsidRPr="00A22181">
              <w:rPr>
                <w:rFonts w:eastAsia="Times New Roman" w:cs="Arial"/>
                <w:szCs w:val="24"/>
                <w:lang w:eastAsia="en-GB"/>
              </w:rPr>
              <w:t>Cumulative total green building project cost financed achieved by replicated finance.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8817FE" w14:paraId="76FF7CC1" w14:textId="583595A4">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3C46A6D2" w14:textId="4261E44F">
        <w:trPr>
          <w:trHeight w:val="300"/>
        </w:trPr>
        <w:tc>
          <w:tcPr>
            <w:tcW w:w="1835" w:type="dxa"/>
            <w:vMerge/>
            <w:tcBorders>
              <w:left w:val="single" w:color="auto" w:sz="6" w:space="0"/>
              <w:right w:val="single" w:color="auto" w:sz="6" w:space="0"/>
            </w:tcBorders>
            <w:hideMark/>
          </w:tcPr>
          <w:p w:rsidRPr="00D25162" w:rsidR="00AE6AE0" w:rsidP="002D6371" w:rsidRDefault="00AE6AE0" w14:paraId="3A41CA54" w14:textId="178FC61E">
            <w:pPr>
              <w:spacing w:after="0" w:line="240" w:lineRule="auto"/>
              <w:textAlignment w:val="baseline"/>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08FBBB21"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Output 1b.4</w:t>
            </w:r>
            <w:r w:rsidRPr="00A22181">
              <w:rPr>
                <w:rFonts w:eastAsia="Times New Roman" w:cs="Arial"/>
                <w:szCs w:val="24"/>
                <w:lang w:eastAsia="en-GB"/>
              </w:rPr>
              <w:t xml:space="preserve"> Cumulative number of financial intermediaries with MAGC blended finance commitments.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8817FE" w14:paraId="40808FA1" w14:textId="0DBD2BC2">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41A8DBC1" w14:textId="1F12E0AB">
        <w:trPr>
          <w:trHeight w:val="300"/>
        </w:trPr>
        <w:tc>
          <w:tcPr>
            <w:tcW w:w="1835" w:type="dxa"/>
            <w:vMerge/>
            <w:tcBorders>
              <w:left w:val="single" w:color="auto" w:sz="6" w:space="0"/>
              <w:right w:val="single" w:color="auto" w:sz="6" w:space="0"/>
            </w:tcBorders>
            <w:hideMark/>
          </w:tcPr>
          <w:p w:rsidRPr="00D25162" w:rsidR="00AE6AE0" w:rsidP="002D6371" w:rsidRDefault="00AE6AE0" w14:paraId="7D7AAB37" w14:textId="5C34041C">
            <w:pPr>
              <w:spacing w:after="0" w:line="240" w:lineRule="auto"/>
              <w:textAlignment w:val="baseline"/>
              <w:rPr>
                <w:rFonts w:ascii="Times New Roman" w:hAnsi="Times New Roman" w:eastAsia="Times New Roman" w:cs="Times New Roman"/>
                <w:szCs w:val="24"/>
                <w:lang w:eastAsia="en-GB"/>
              </w:rPr>
            </w:pPr>
          </w:p>
        </w:tc>
        <w:tc>
          <w:tcPr>
            <w:tcW w:w="6379" w:type="dxa"/>
            <w:tcBorders>
              <w:top w:val="single" w:color="auto" w:sz="6" w:space="0"/>
              <w:left w:val="single" w:color="auto" w:sz="6" w:space="0"/>
              <w:bottom w:val="single" w:color="auto" w:sz="6" w:space="0"/>
              <w:right w:val="single" w:color="auto" w:sz="6" w:space="0"/>
            </w:tcBorders>
            <w:hideMark/>
          </w:tcPr>
          <w:p w:rsidRPr="008E7737" w:rsidR="00AE6AE0" w:rsidP="002D6371" w:rsidRDefault="00AE6AE0" w14:paraId="66075085" w14:textId="77777777">
            <w:pPr>
              <w:spacing w:after="0" w:line="240" w:lineRule="auto"/>
              <w:textAlignment w:val="baseline"/>
              <w:rPr>
                <w:rFonts w:eastAsia="Times New Roman" w:cs="Arial"/>
                <w:szCs w:val="24"/>
                <w:lang w:eastAsia="en-GB"/>
              </w:rPr>
            </w:pPr>
            <w:r w:rsidRPr="00C97A0D">
              <w:rPr>
                <w:rFonts w:eastAsia="Times New Roman" w:cs="Arial"/>
                <w:bCs/>
                <w:szCs w:val="24"/>
                <w:lang w:eastAsia="en-GB"/>
              </w:rPr>
              <w:t>Outcome 2</w:t>
            </w:r>
            <w:r w:rsidRPr="00A22181">
              <w:rPr>
                <w:rFonts w:eastAsia="Times New Roman" w:cs="Arial"/>
                <w:szCs w:val="24"/>
                <w:lang w:eastAsia="en-GB"/>
              </w:rPr>
              <w:t xml:space="preserve"> The proportion of financial intermediaries supported with MAGC blended finance which report that non-performing loans (NPLs) for green building finance are no worse than for traditional building finance.   </w:t>
            </w:r>
          </w:p>
        </w:tc>
        <w:tc>
          <w:tcPr>
            <w:tcW w:w="1862" w:type="dxa"/>
            <w:tcBorders>
              <w:top w:val="single" w:color="auto" w:sz="6" w:space="0"/>
              <w:left w:val="single" w:color="auto" w:sz="6" w:space="0"/>
              <w:bottom w:val="single" w:color="auto" w:sz="6" w:space="0"/>
              <w:right w:val="single" w:color="auto" w:sz="6" w:space="0"/>
            </w:tcBorders>
          </w:tcPr>
          <w:p w:rsidRPr="00A22181" w:rsidR="00AE6AE0" w:rsidP="002D6371" w:rsidRDefault="008817FE" w14:paraId="3241B70B" w14:textId="4649475A">
            <w:pPr>
              <w:spacing w:after="0" w:line="240" w:lineRule="auto"/>
              <w:textAlignment w:val="baseline"/>
              <w:rPr>
                <w:rFonts w:eastAsia="Times New Roman" w:cs="Arial"/>
                <w:b/>
                <w:bCs/>
                <w:szCs w:val="24"/>
                <w:lang w:eastAsia="en-GB"/>
              </w:rPr>
            </w:pPr>
            <w:r>
              <w:rPr>
                <w:rFonts w:eastAsia="Times New Roman" w:cs="Arial"/>
                <w:szCs w:val="24"/>
                <w:lang w:eastAsia="en-GB"/>
              </w:rPr>
              <w:t>Suggest keeping</w:t>
            </w:r>
          </w:p>
        </w:tc>
      </w:tr>
      <w:tr w:rsidRPr="00D25162" w:rsidR="00AE6AE0" w:rsidTr="009A3A6F" w14:paraId="521F7253" w14:textId="1E18004F">
        <w:trPr>
          <w:trHeight w:val="300"/>
        </w:trPr>
        <w:tc>
          <w:tcPr>
            <w:tcW w:w="1835" w:type="dxa"/>
            <w:vMerge/>
            <w:tcBorders>
              <w:left w:val="single" w:color="auto" w:sz="6" w:space="0"/>
              <w:bottom w:val="single" w:color="auto" w:sz="6" w:space="0"/>
              <w:right w:val="single" w:color="auto" w:sz="6" w:space="0"/>
            </w:tcBorders>
          </w:tcPr>
          <w:p w:rsidRPr="00D25162" w:rsidR="00AE6AE0" w:rsidP="002D6371" w:rsidRDefault="00AE6AE0" w14:paraId="34EF9F11" w14:textId="77777777">
            <w:pPr>
              <w:spacing w:after="0" w:line="240" w:lineRule="auto"/>
              <w:textAlignment w:val="baseline"/>
              <w:rPr>
                <w:rFonts w:eastAsia="Times New Roman" w:cs="Arial"/>
                <w:lang w:eastAsia="en-GB"/>
              </w:rPr>
            </w:pPr>
          </w:p>
        </w:tc>
        <w:tc>
          <w:tcPr>
            <w:tcW w:w="6379" w:type="dxa"/>
            <w:tcBorders>
              <w:top w:val="single" w:color="auto" w:sz="6" w:space="0"/>
              <w:left w:val="single" w:color="auto" w:sz="6" w:space="0"/>
              <w:bottom w:val="single" w:color="auto" w:sz="6" w:space="0"/>
              <w:right w:val="single" w:color="auto" w:sz="6" w:space="0"/>
            </w:tcBorders>
          </w:tcPr>
          <w:p w:rsidRPr="00A22181" w:rsidR="00AE6AE0" w:rsidP="002D6371" w:rsidRDefault="00AE6AE0" w14:paraId="67B627BD" w14:textId="620AFF6E">
            <w:pPr>
              <w:spacing w:after="0" w:line="240" w:lineRule="auto"/>
              <w:textAlignment w:val="baseline"/>
              <w:rPr>
                <w:rFonts w:eastAsia="Times New Roman" w:cs="Arial"/>
                <w:b/>
                <w:bCs/>
                <w:szCs w:val="24"/>
                <w:lang w:eastAsia="en-GB"/>
              </w:rPr>
            </w:pPr>
            <w:r w:rsidRPr="00C97A0D">
              <w:rPr>
                <w:bCs/>
              </w:rPr>
              <w:t>[NEW] Indicator 18</w:t>
            </w:r>
            <w:r w:rsidRPr="00C97A0D">
              <w:t xml:space="preserve"> </w:t>
            </w:r>
            <w:r w:rsidRPr="00D847FD">
              <w:t>(from Results Framework). Number of new financial products launched. Definition: Number of new financial products deployed (e.g. number of financing windows launched by financial intermediaries with the assistance of IFC) to channel investment into green buildings- such as green mortgages or green construction finance.</w:t>
            </w:r>
          </w:p>
        </w:tc>
        <w:tc>
          <w:tcPr>
            <w:tcW w:w="1862" w:type="dxa"/>
            <w:tcBorders>
              <w:top w:val="single" w:color="auto" w:sz="6" w:space="0"/>
              <w:left w:val="single" w:color="auto" w:sz="6" w:space="0"/>
              <w:bottom w:val="single" w:color="auto" w:sz="6" w:space="0"/>
              <w:right w:val="single" w:color="auto" w:sz="6" w:space="0"/>
            </w:tcBorders>
          </w:tcPr>
          <w:p w:rsidRPr="009A3A6F" w:rsidR="00AE6AE0" w:rsidP="002D6371" w:rsidRDefault="008817FE" w14:paraId="19D08BFA" w14:textId="4E963104">
            <w:pPr>
              <w:spacing w:after="0" w:line="240" w:lineRule="auto"/>
              <w:textAlignment w:val="baseline"/>
            </w:pPr>
            <w:r w:rsidRPr="009A3A6F">
              <w:t>Suggest adding to KPI15 methodology</w:t>
            </w:r>
            <w:r w:rsidR="00A264FA">
              <w:t>, but source will need to be replaced, as the Results Framework won’t be provided after 2025.</w:t>
            </w:r>
          </w:p>
        </w:tc>
      </w:tr>
      <w:tr w:rsidRPr="00D25162" w:rsidR="00361C77" w:rsidTr="009A3A6F" w14:paraId="5EE9FC93" w14:textId="77777777">
        <w:trPr>
          <w:trHeight w:val="300"/>
        </w:trPr>
        <w:tc>
          <w:tcPr>
            <w:tcW w:w="1835" w:type="dxa"/>
            <w:vMerge w:val="restart"/>
            <w:tcBorders>
              <w:left w:val="single" w:color="auto" w:sz="6" w:space="0"/>
              <w:right w:val="single" w:color="auto" w:sz="6" w:space="0"/>
            </w:tcBorders>
          </w:tcPr>
          <w:p w:rsidRPr="00B81868" w:rsidR="00361C77" w:rsidP="00361C77" w:rsidRDefault="00361C77" w14:paraId="5F895500" w14:textId="62858DD0">
            <w:pPr>
              <w:spacing w:after="0" w:line="240" w:lineRule="auto"/>
              <w:textAlignment w:val="baseline"/>
              <w:rPr>
                <w:rFonts w:ascii="Times New Roman" w:hAnsi="Times New Roman" w:eastAsia="Times New Roman" w:cs="Times New Roman"/>
                <w:b/>
                <w:bCs/>
                <w:szCs w:val="24"/>
                <w:lang w:eastAsia="en-GB"/>
              </w:rPr>
            </w:pPr>
            <w:r w:rsidRPr="00C97A0D">
              <w:rPr>
                <w:rStyle w:val="Boldtext"/>
                <w:b w:val="0"/>
                <w:bCs/>
              </w:rPr>
              <w:t>Critical</w:t>
            </w:r>
            <w:r w:rsidRPr="00C97A0D">
              <w:rPr>
                <w:rFonts w:eastAsia="Times New Roman" w:cs="Arial"/>
                <w:bCs/>
                <w:lang w:eastAsia="en-GB"/>
              </w:rPr>
              <w:t xml:space="preserve"> Mass</w:t>
            </w:r>
            <w:r w:rsidRPr="00C97A0D">
              <w:rPr>
                <w:rStyle w:val="Boldtext"/>
              </w:rPr>
              <w:t>  </w:t>
            </w:r>
            <w:r w:rsidRPr="00B81868">
              <w:rPr>
                <w:rFonts w:eastAsia="Times New Roman" w:cs="Arial"/>
                <w:b/>
                <w:bCs/>
                <w:lang w:eastAsia="en-GB"/>
              </w:rPr>
              <w:t> </w:t>
            </w:r>
            <w:r>
              <w:rPr>
                <w:rFonts w:eastAsia="Times New Roman" w:cs="Arial"/>
                <w:b/>
                <w:bCs/>
                <w:lang w:eastAsia="en-GB"/>
              </w:rPr>
              <w:br/>
            </w:r>
            <w:r w:rsidRPr="008E7737">
              <w:rPr>
                <w:rFonts w:eastAsia="Times New Roman" w:cs="Arial"/>
                <w:szCs w:val="24"/>
                <w:lang w:eastAsia="en-GB"/>
              </w:rPr>
              <w:t>(30%</w:t>
            </w:r>
            <w:r w:rsidR="002B56D4">
              <w:rPr>
                <w:rFonts w:eastAsia="Times New Roman" w:cs="Arial"/>
                <w:szCs w:val="24"/>
                <w:lang w:eastAsia="en-GB"/>
              </w:rPr>
              <w:t>, up from 25%</w:t>
            </w:r>
            <w:r w:rsidRPr="008E7737">
              <w:rPr>
                <w:rFonts w:eastAsia="Times New Roman" w:cs="Arial"/>
                <w:szCs w:val="24"/>
                <w:lang w:eastAsia="en-GB"/>
              </w:rPr>
              <w:t>)</w:t>
            </w:r>
          </w:p>
          <w:p w:rsidRPr="00D25162" w:rsidR="00361C77" w:rsidP="00361C77" w:rsidRDefault="00361C77" w14:paraId="594A2C95" w14:textId="328EB838">
            <w:pPr>
              <w:spacing w:after="0" w:line="240" w:lineRule="auto"/>
              <w:textAlignment w:val="baseline"/>
              <w:rPr>
                <w:rFonts w:eastAsia="Times New Roman" w:cs="Arial"/>
                <w:lang w:eastAsia="en-GB"/>
              </w:rPr>
            </w:pPr>
            <w:r w:rsidRPr="00D25162">
              <w:rPr>
                <w:rFonts w:eastAsia="Times New Roman" w:cs="Arial"/>
                <w:lang w:eastAsia="en-GB"/>
              </w:rPr>
              <w:t>   </w:t>
            </w:r>
          </w:p>
        </w:tc>
        <w:tc>
          <w:tcPr>
            <w:tcW w:w="6379" w:type="dxa"/>
            <w:tcBorders>
              <w:top w:val="single" w:color="auto" w:sz="6" w:space="0"/>
              <w:left w:val="single" w:color="auto" w:sz="6" w:space="0"/>
              <w:bottom w:val="single" w:color="auto" w:sz="6" w:space="0"/>
              <w:right w:val="single" w:color="auto" w:sz="6" w:space="0"/>
            </w:tcBorders>
          </w:tcPr>
          <w:p w:rsidR="00361C77" w:rsidP="00361C77" w:rsidRDefault="00361C77" w14:paraId="0D9D4565" w14:textId="283E004E">
            <w:pPr>
              <w:spacing w:after="0" w:line="240" w:lineRule="auto"/>
              <w:textAlignment w:val="baseline"/>
              <w:rPr>
                <w:b/>
                <w:bCs/>
              </w:rPr>
            </w:pPr>
            <w:r w:rsidRPr="00C97A0D">
              <w:rPr>
                <w:rFonts w:eastAsia="Times New Roman" w:cs="Arial"/>
                <w:bCs/>
                <w:szCs w:val="24"/>
                <w:lang w:eastAsia="en-GB"/>
              </w:rPr>
              <w:t>Impact 1.</w:t>
            </w:r>
            <w:r w:rsidRPr="00A22181">
              <w:rPr>
                <w:rFonts w:eastAsia="Times New Roman" w:cs="Arial"/>
                <w:szCs w:val="24"/>
                <w:lang w:eastAsia="en-GB"/>
              </w:rPr>
              <w:t xml:space="preserve"> Proportion of countries where there is an evolution of the Green Buildings market (e.g. growth in market share of green certified floor space).   </w:t>
            </w:r>
          </w:p>
        </w:tc>
        <w:tc>
          <w:tcPr>
            <w:tcW w:w="1862" w:type="dxa"/>
            <w:tcBorders>
              <w:top w:val="single" w:color="auto" w:sz="6" w:space="0"/>
              <w:left w:val="single" w:color="auto" w:sz="6" w:space="0"/>
              <w:bottom w:val="single" w:color="auto" w:sz="6" w:space="0"/>
              <w:right w:val="single" w:color="auto" w:sz="6" w:space="0"/>
            </w:tcBorders>
          </w:tcPr>
          <w:p w:rsidR="00361C77" w:rsidP="00361C77" w:rsidRDefault="008817FE" w14:paraId="657BF16E" w14:textId="1BDDD3CD">
            <w:pPr>
              <w:spacing w:after="0" w:line="240" w:lineRule="auto"/>
              <w:textAlignment w:val="baseline"/>
              <w:rPr>
                <w:b/>
                <w:bCs/>
              </w:rPr>
            </w:pPr>
            <w:r>
              <w:rPr>
                <w:rFonts w:eastAsia="Times New Roman" w:cs="Arial"/>
                <w:szCs w:val="24"/>
                <w:lang w:eastAsia="en-GB"/>
              </w:rPr>
              <w:t>Suggest keeping</w:t>
            </w:r>
          </w:p>
        </w:tc>
      </w:tr>
      <w:tr w:rsidRPr="00D25162" w:rsidR="00361C77" w:rsidTr="009A3A6F" w14:paraId="243B3EB0" w14:textId="77777777">
        <w:trPr>
          <w:trHeight w:val="300"/>
        </w:trPr>
        <w:tc>
          <w:tcPr>
            <w:tcW w:w="1835" w:type="dxa"/>
            <w:vMerge/>
            <w:tcBorders>
              <w:left w:val="single" w:color="auto" w:sz="6" w:space="0"/>
              <w:right w:val="single" w:color="auto" w:sz="6" w:space="0"/>
            </w:tcBorders>
            <w:vAlign w:val="center"/>
          </w:tcPr>
          <w:p w:rsidRPr="00D25162" w:rsidR="00361C77" w:rsidP="00361C77" w:rsidRDefault="00361C77" w14:paraId="591CC74D" w14:textId="77777777">
            <w:pPr>
              <w:spacing w:after="0" w:line="240" w:lineRule="auto"/>
              <w:textAlignment w:val="baseline"/>
              <w:rPr>
                <w:rFonts w:eastAsia="Times New Roman" w:cs="Arial"/>
                <w:lang w:eastAsia="en-GB"/>
              </w:rPr>
            </w:pPr>
          </w:p>
        </w:tc>
        <w:tc>
          <w:tcPr>
            <w:tcW w:w="6379" w:type="dxa"/>
            <w:tcBorders>
              <w:top w:val="single" w:color="auto" w:sz="6" w:space="0"/>
              <w:left w:val="single" w:color="auto" w:sz="6" w:space="0"/>
              <w:bottom w:val="single" w:color="auto" w:sz="6" w:space="0"/>
              <w:right w:val="single" w:color="auto" w:sz="6" w:space="0"/>
            </w:tcBorders>
          </w:tcPr>
          <w:p w:rsidR="00361C77" w:rsidP="00361C77" w:rsidRDefault="00361C77" w14:paraId="4016C883" w14:textId="00EFCD41">
            <w:pPr>
              <w:spacing w:after="0" w:line="240" w:lineRule="auto"/>
              <w:textAlignment w:val="baseline"/>
              <w:rPr>
                <w:b/>
                <w:bCs/>
              </w:rPr>
            </w:pPr>
            <w:r w:rsidRPr="00C97A0D">
              <w:rPr>
                <w:rFonts w:eastAsia="Times New Roman" w:cs="Arial"/>
                <w:bCs/>
                <w:szCs w:val="24"/>
                <w:lang w:eastAsia="en-GB"/>
              </w:rPr>
              <w:t>Outcome 3.</w:t>
            </w:r>
            <w:r w:rsidRPr="00A22181">
              <w:rPr>
                <w:rFonts w:eastAsia="Times New Roman" w:cs="Arial"/>
                <w:b/>
                <w:bCs/>
                <w:szCs w:val="24"/>
                <w:lang w:eastAsia="en-GB"/>
              </w:rPr>
              <w:t xml:space="preserve"> </w:t>
            </w:r>
            <w:r w:rsidRPr="00A22181">
              <w:rPr>
                <w:rFonts w:eastAsia="Times New Roman" w:cs="Arial"/>
                <w:szCs w:val="24"/>
                <w:lang w:eastAsia="en-GB"/>
              </w:rPr>
              <w:t>The number of additional financial intermediaries entering green building markets (cumulative)</w:t>
            </w:r>
          </w:p>
        </w:tc>
        <w:tc>
          <w:tcPr>
            <w:tcW w:w="1862" w:type="dxa"/>
            <w:tcBorders>
              <w:top w:val="single" w:color="auto" w:sz="6" w:space="0"/>
              <w:left w:val="single" w:color="auto" w:sz="6" w:space="0"/>
              <w:bottom w:val="single" w:color="auto" w:sz="6" w:space="0"/>
              <w:right w:val="single" w:color="auto" w:sz="6" w:space="0"/>
            </w:tcBorders>
          </w:tcPr>
          <w:p w:rsidR="00361C77" w:rsidP="00361C77" w:rsidRDefault="008817FE" w14:paraId="451726E0" w14:textId="358F1E26">
            <w:pPr>
              <w:spacing w:after="0" w:line="240" w:lineRule="auto"/>
              <w:textAlignment w:val="baseline"/>
              <w:rPr>
                <w:b/>
                <w:bCs/>
              </w:rPr>
            </w:pPr>
            <w:r>
              <w:rPr>
                <w:rFonts w:eastAsia="Times New Roman" w:cs="Arial"/>
                <w:szCs w:val="24"/>
                <w:lang w:eastAsia="en-GB"/>
              </w:rPr>
              <w:t>Suggest keeping</w:t>
            </w:r>
          </w:p>
        </w:tc>
      </w:tr>
      <w:tr w:rsidRPr="00D25162" w:rsidR="00361C77" w:rsidTr="009A3A6F" w14:paraId="36E594DA" w14:textId="77777777">
        <w:trPr>
          <w:trHeight w:val="300"/>
        </w:trPr>
        <w:tc>
          <w:tcPr>
            <w:tcW w:w="1835" w:type="dxa"/>
            <w:vMerge/>
            <w:tcBorders>
              <w:left w:val="single" w:color="auto" w:sz="6" w:space="0"/>
              <w:bottom w:val="single" w:color="auto" w:sz="6" w:space="0"/>
              <w:right w:val="single" w:color="auto" w:sz="6" w:space="0"/>
            </w:tcBorders>
          </w:tcPr>
          <w:p w:rsidRPr="00D25162" w:rsidR="00361C77" w:rsidP="00361C77" w:rsidRDefault="00361C77" w14:paraId="25A41169" w14:textId="77777777">
            <w:pPr>
              <w:spacing w:after="0" w:line="240" w:lineRule="auto"/>
              <w:textAlignment w:val="baseline"/>
              <w:rPr>
                <w:rFonts w:eastAsia="Times New Roman" w:cs="Arial"/>
                <w:lang w:eastAsia="en-GB"/>
              </w:rPr>
            </w:pPr>
          </w:p>
        </w:tc>
        <w:tc>
          <w:tcPr>
            <w:tcW w:w="6379" w:type="dxa"/>
            <w:tcBorders>
              <w:top w:val="single" w:color="auto" w:sz="6" w:space="0"/>
              <w:left w:val="single" w:color="auto" w:sz="6" w:space="0"/>
              <w:bottom w:val="single" w:color="auto" w:sz="6" w:space="0"/>
              <w:right w:val="single" w:color="auto" w:sz="6" w:space="0"/>
            </w:tcBorders>
          </w:tcPr>
          <w:p w:rsidR="00361C77" w:rsidP="00361C77" w:rsidRDefault="00361C77" w14:paraId="223CB533" w14:textId="446E01D9">
            <w:pPr>
              <w:spacing w:after="0" w:line="240" w:lineRule="auto"/>
              <w:textAlignment w:val="baseline"/>
              <w:rPr>
                <w:b/>
                <w:bCs/>
              </w:rPr>
            </w:pPr>
            <w:r w:rsidRPr="00C97A0D">
              <w:rPr>
                <w:rFonts w:eastAsia="Times New Roman" w:cs="Arial"/>
                <w:bCs/>
                <w:szCs w:val="24"/>
                <w:lang w:eastAsia="en-GB"/>
              </w:rPr>
              <w:t>Outcome 7.</w:t>
            </w:r>
            <w:r w:rsidRPr="00A22181">
              <w:rPr>
                <w:rFonts w:eastAsia="Times New Roman" w:cs="Arial"/>
                <w:b/>
                <w:bCs/>
                <w:szCs w:val="24"/>
                <w:lang w:eastAsia="en-GB"/>
              </w:rPr>
              <w:t xml:space="preserve"> </w:t>
            </w:r>
            <w:r w:rsidRPr="00A22181">
              <w:rPr>
                <w:rFonts w:eastAsia="Times New Roman" w:cs="Arial"/>
                <w:szCs w:val="24"/>
                <w:lang w:eastAsia="en-GB"/>
              </w:rPr>
              <w:t>Cumulative green building floor space with EDGE post construction certification (m</w:t>
            </w:r>
            <w:r w:rsidRPr="008E7737">
              <w:rPr>
                <w:rFonts w:eastAsia="Times New Roman" w:cs="Arial"/>
                <w:szCs w:val="24"/>
                <w:vertAlign w:val="superscript"/>
                <w:lang w:eastAsia="en-GB"/>
              </w:rPr>
              <w:t>2</w:t>
            </w:r>
            <w:r w:rsidRPr="008E7737">
              <w:rPr>
                <w:rFonts w:eastAsia="Times New Roman" w:cs="Arial"/>
                <w:szCs w:val="24"/>
                <w:lang w:eastAsia="en-GB"/>
              </w:rPr>
              <w:t>)  </w:t>
            </w:r>
          </w:p>
        </w:tc>
        <w:tc>
          <w:tcPr>
            <w:tcW w:w="1862" w:type="dxa"/>
            <w:tcBorders>
              <w:top w:val="single" w:color="auto" w:sz="6" w:space="0"/>
              <w:left w:val="single" w:color="auto" w:sz="6" w:space="0"/>
              <w:bottom w:val="single" w:color="auto" w:sz="6" w:space="0"/>
              <w:right w:val="single" w:color="auto" w:sz="6" w:space="0"/>
            </w:tcBorders>
          </w:tcPr>
          <w:p w:rsidR="00361C77" w:rsidP="00361C77" w:rsidRDefault="008817FE" w14:paraId="0E002705" w14:textId="17061318">
            <w:pPr>
              <w:spacing w:after="0" w:line="240" w:lineRule="auto"/>
              <w:textAlignment w:val="baseline"/>
              <w:rPr>
                <w:b/>
                <w:bCs/>
              </w:rPr>
            </w:pPr>
            <w:r>
              <w:rPr>
                <w:rFonts w:eastAsia="Times New Roman" w:cs="Arial"/>
                <w:szCs w:val="24"/>
                <w:lang w:eastAsia="en-GB"/>
              </w:rPr>
              <w:t>Suggest keeping</w:t>
            </w:r>
          </w:p>
        </w:tc>
      </w:tr>
      <w:tr w:rsidRPr="00D25162" w:rsidR="00AE6AE0" w:rsidTr="009A3A6F" w14:paraId="01D5B4D1" w14:textId="7096AEEA">
        <w:trPr>
          <w:trHeight w:val="300"/>
        </w:trPr>
        <w:tc>
          <w:tcPr>
            <w:tcW w:w="1835" w:type="dxa"/>
            <w:vMerge w:val="restart"/>
            <w:tcBorders>
              <w:top w:val="single" w:color="auto" w:sz="6" w:space="0"/>
              <w:left w:val="single" w:color="auto" w:sz="6" w:space="0"/>
              <w:right w:val="single" w:color="auto" w:sz="6" w:space="0"/>
            </w:tcBorders>
          </w:tcPr>
          <w:p w:rsidRPr="008E7737" w:rsidR="00AE6AE0" w:rsidP="002D6371" w:rsidRDefault="00AE6AE0" w14:paraId="72762D41" w14:textId="2DCF7F42">
            <w:pPr>
              <w:spacing w:after="0" w:line="240" w:lineRule="auto"/>
              <w:textAlignment w:val="baseline"/>
              <w:rPr>
                <w:rFonts w:eastAsia="Times New Roman" w:cs="Arial"/>
                <w:b/>
                <w:bCs/>
                <w:lang w:eastAsia="en-GB"/>
              </w:rPr>
            </w:pPr>
            <w:r w:rsidRPr="00D847FD">
              <w:rPr>
                <w:rStyle w:val="Boldtext"/>
              </w:rPr>
              <w:t>Political will and local ownership</w:t>
            </w:r>
            <w:r>
              <w:rPr>
                <w:rStyle w:val="Boldtext"/>
              </w:rPr>
              <w:t xml:space="preserve"> [NEW</w:t>
            </w:r>
            <w:r w:rsidR="002B56D4">
              <w:rPr>
                <w:rStyle w:val="Boldtext"/>
              </w:rPr>
              <w:t xml:space="preserve">, </w:t>
            </w:r>
            <w:r w:rsidR="0039271C">
              <w:rPr>
                <w:rStyle w:val="Boldtext"/>
              </w:rPr>
              <w:t>as a suggested replacement of Innovation</w:t>
            </w:r>
            <w:r>
              <w:rPr>
                <w:rStyle w:val="Boldtext"/>
              </w:rPr>
              <w:t>]</w:t>
            </w:r>
            <w:r>
              <w:rPr>
                <w:rStyle w:val="Boldtext"/>
              </w:rPr>
              <w:br/>
            </w:r>
            <w:r w:rsidRPr="008E7737">
              <w:rPr>
                <w:rFonts w:eastAsia="Times New Roman" w:cs="Arial"/>
                <w:lang w:eastAsia="en-GB"/>
              </w:rPr>
              <w:t>(</w:t>
            </w:r>
            <w:r w:rsidR="008817FE">
              <w:rPr>
                <w:rFonts w:eastAsia="Times New Roman" w:cs="Arial"/>
                <w:bCs/>
                <w:lang w:eastAsia="en-GB"/>
              </w:rPr>
              <w:t>10</w:t>
            </w:r>
            <w:r>
              <w:rPr>
                <w:rFonts w:eastAsia="Times New Roman" w:cs="Arial"/>
                <w:bCs/>
                <w:lang w:eastAsia="en-GB"/>
              </w:rPr>
              <w:t>%)</w:t>
            </w:r>
          </w:p>
        </w:tc>
        <w:tc>
          <w:tcPr>
            <w:tcW w:w="6379" w:type="dxa"/>
            <w:tcBorders>
              <w:top w:val="single" w:color="auto" w:sz="6" w:space="0"/>
              <w:left w:val="single" w:color="auto" w:sz="6" w:space="0"/>
              <w:bottom w:val="single" w:color="auto" w:sz="6" w:space="0"/>
              <w:right w:val="single" w:color="auto" w:sz="6" w:space="0"/>
            </w:tcBorders>
          </w:tcPr>
          <w:p w:rsidRPr="00A22181" w:rsidR="00AE6AE0" w:rsidP="002D6371" w:rsidRDefault="00AE6AE0" w14:paraId="3AB30BBA" w14:textId="7E2DAD71">
            <w:pPr>
              <w:spacing w:after="0" w:line="240" w:lineRule="auto"/>
              <w:textAlignment w:val="baseline"/>
              <w:rPr>
                <w:rFonts w:eastAsia="Times New Roman" w:cs="Arial"/>
                <w:b/>
                <w:bCs/>
                <w:szCs w:val="24"/>
                <w:lang w:eastAsia="en-GB"/>
              </w:rPr>
            </w:pPr>
            <w:r w:rsidRPr="00C97A0D">
              <w:rPr>
                <w:bCs/>
              </w:rPr>
              <w:t>Output 2.1:</w:t>
            </w:r>
            <w:r w:rsidRPr="00D847FD">
              <w:t xml:space="preserve"> Cumulative number of market-level engagement plans in implementation.</w:t>
            </w:r>
          </w:p>
        </w:tc>
        <w:tc>
          <w:tcPr>
            <w:tcW w:w="1862" w:type="dxa"/>
            <w:tcBorders>
              <w:top w:val="single" w:color="auto" w:sz="6" w:space="0"/>
              <w:left w:val="single" w:color="auto" w:sz="6" w:space="0"/>
              <w:bottom w:val="single" w:color="auto" w:sz="6" w:space="0"/>
              <w:right w:val="single" w:color="auto" w:sz="6" w:space="0"/>
            </w:tcBorders>
          </w:tcPr>
          <w:p w:rsidRPr="008E7737" w:rsidR="00AE6AE0" w:rsidP="002D6371" w:rsidRDefault="008817FE" w14:paraId="5FC13095" w14:textId="497E8BEA">
            <w:pPr>
              <w:spacing w:after="0" w:line="240" w:lineRule="auto"/>
              <w:textAlignment w:val="baseline"/>
              <w:rPr>
                <w:b/>
                <w:bCs/>
              </w:rPr>
            </w:pPr>
            <w:r w:rsidRPr="006674A1">
              <w:t>Suggest adding to KPI15 methodology</w:t>
            </w:r>
          </w:p>
        </w:tc>
      </w:tr>
      <w:tr w:rsidRPr="00D25162" w:rsidR="00AE6AE0" w:rsidTr="009A3A6F" w14:paraId="06182719" w14:textId="11719B6C">
        <w:trPr>
          <w:trHeight w:val="300"/>
        </w:trPr>
        <w:tc>
          <w:tcPr>
            <w:tcW w:w="1835" w:type="dxa"/>
            <w:vMerge/>
            <w:tcBorders>
              <w:left w:val="single" w:color="auto" w:sz="6" w:space="0"/>
              <w:right w:val="single" w:color="auto" w:sz="6" w:space="0"/>
            </w:tcBorders>
          </w:tcPr>
          <w:p w:rsidRPr="00D25162" w:rsidR="00AE6AE0" w:rsidP="002D6371" w:rsidRDefault="00AE6AE0" w14:paraId="4FC0882A" w14:textId="77777777">
            <w:pPr>
              <w:spacing w:after="0" w:line="240" w:lineRule="auto"/>
              <w:textAlignment w:val="baseline"/>
              <w:rPr>
                <w:rFonts w:eastAsia="Times New Roman" w:cs="Arial"/>
                <w:lang w:eastAsia="en-GB"/>
              </w:rPr>
            </w:pPr>
          </w:p>
        </w:tc>
        <w:tc>
          <w:tcPr>
            <w:tcW w:w="6379" w:type="dxa"/>
            <w:tcBorders>
              <w:top w:val="single" w:color="auto" w:sz="6" w:space="0"/>
              <w:left w:val="single" w:color="auto" w:sz="6" w:space="0"/>
              <w:bottom w:val="single" w:color="auto" w:sz="6" w:space="0"/>
              <w:right w:val="single" w:color="auto" w:sz="6" w:space="0"/>
            </w:tcBorders>
          </w:tcPr>
          <w:p w:rsidRPr="00A22181" w:rsidR="00AE6AE0" w:rsidP="002D6371" w:rsidRDefault="00AE6AE0" w14:paraId="2834A12E" w14:textId="224DBCD9">
            <w:pPr>
              <w:spacing w:after="0" w:line="240" w:lineRule="auto"/>
              <w:textAlignment w:val="baseline"/>
              <w:rPr>
                <w:rFonts w:eastAsia="Times New Roman" w:cs="Arial"/>
                <w:b/>
                <w:bCs/>
                <w:szCs w:val="24"/>
                <w:lang w:eastAsia="en-GB"/>
              </w:rPr>
            </w:pPr>
            <w:r w:rsidRPr="00C97A0D">
              <w:rPr>
                <w:bCs/>
              </w:rPr>
              <w:t>Output 2.5</w:t>
            </w:r>
            <w:r w:rsidRPr="00C97A0D">
              <w:t>:</w:t>
            </w:r>
            <w:r w:rsidRPr="00D847FD">
              <w:t xml:space="preserve"> Cumulative Number of entities that implement recommended changes</w:t>
            </w:r>
          </w:p>
        </w:tc>
        <w:tc>
          <w:tcPr>
            <w:tcW w:w="1862" w:type="dxa"/>
            <w:tcBorders>
              <w:top w:val="single" w:color="auto" w:sz="6" w:space="0"/>
              <w:left w:val="single" w:color="auto" w:sz="6" w:space="0"/>
              <w:bottom w:val="single" w:color="auto" w:sz="6" w:space="0"/>
              <w:right w:val="single" w:color="auto" w:sz="6" w:space="0"/>
            </w:tcBorders>
          </w:tcPr>
          <w:p w:rsidRPr="008E7737" w:rsidR="00AE6AE0" w:rsidP="002D6371" w:rsidRDefault="008817FE" w14:paraId="4E64492A" w14:textId="3665D577">
            <w:pPr>
              <w:spacing w:after="0" w:line="240" w:lineRule="auto"/>
              <w:textAlignment w:val="baseline"/>
              <w:rPr>
                <w:b/>
                <w:bCs/>
              </w:rPr>
            </w:pPr>
            <w:r w:rsidRPr="006674A1">
              <w:t>Suggest adding to KPI15 methodology</w:t>
            </w:r>
          </w:p>
        </w:tc>
      </w:tr>
      <w:tr w:rsidRPr="00D25162" w:rsidR="00AE6AE0" w:rsidTr="009A3A6F" w14:paraId="299C5F9F" w14:textId="78579C4F">
        <w:trPr>
          <w:trHeight w:val="300"/>
        </w:trPr>
        <w:tc>
          <w:tcPr>
            <w:tcW w:w="1835" w:type="dxa"/>
            <w:vMerge/>
            <w:tcBorders>
              <w:left w:val="single" w:color="auto" w:sz="6" w:space="0"/>
              <w:right w:val="single" w:color="auto" w:sz="6" w:space="0"/>
            </w:tcBorders>
          </w:tcPr>
          <w:p w:rsidRPr="00D25162" w:rsidR="00AE6AE0" w:rsidP="002D6371" w:rsidRDefault="00AE6AE0" w14:paraId="37AE5D42" w14:textId="77777777">
            <w:pPr>
              <w:spacing w:after="0" w:line="240" w:lineRule="auto"/>
              <w:textAlignment w:val="baseline"/>
              <w:rPr>
                <w:rFonts w:eastAsia="Times New Roman" w:cs="Arial"/>
                <w:lang w:eastAsia="en-GB"/>
              </w:rPr>
            </w:pPr>
          </w:p>
        </w:tc>
        <w:tc>
          <w:tcPr>
            <w:tcW w:w="6379" w:type="dxa"/>
            <w:tcBorders>
              <w:top w:val="single" w:color="auto" w:sz="6" w:space="0"/>
              <w:left w:val="single" w:color="auto" w:sz="6" w:space="0"/>
              <w:bottom w:val="single" w:color="auto" w:sz="6" w:space="0"/>
              <w:right w:val="single" w:color="auto" w:sz="6" w:space="0"/>
            </w:tcBorders>
          </w:tcPr>
          <w:p w:rsidRPr="008E7737" w:rsidR="00AE6AE0" w:rsidP="002D6371" w:rsidRDefault="00AE6AE0" w14:paraId="373C913B" w14:textId="4B69D10D">
            <w:pPr>
              <w:spacing w:after="0" w:line="240" w:lineRule="auto"/>
              <w:textAlignment w:val="baseline"/>
              <w:rPr>
                <w:rFonts w:eastAsia="Times New Roman" w:cs="Arial"/>
                <w:szCs w:val="24"/>
                <w:lang w:eastAsia="en-GB"/>
              </w:rPr>
            </w:pPr>
            <w:r w:rsidRPr="00C97A0D">
              <w:rPr>
                <w:rFonts w:eastAsia="Times New Roman" w:cs="Arial"/>
                <w:bCs/>
                <w:szCs w:val="24"/>
                <w:lang w:eastAsia="en-GB"/>
              </w:rPr>
              <w:t>[NEW]:</w:t>
            </w:r>
            <w:r>
              <w:rPr>
                <w:rFonts w:eastAsia="Times New Roman" w:cs="Arial"/>
                <w:b/>
                <w:bCs/>
                <w:szCs w:val="24"/>
                <w:lang w:eastAsia="en-GB"/>
              </w:rPr>
              <w:t xml:space="preserve"> </w:t>
            </w:r>
            <w:r>
              <w:rPr>
                <w:rFonts w:eastAsia="Times New Roman" w:cs="Arial"/>
                <w:szCs w:val="24"/>
                <w:lang w:eastAsia="en-GB"/>
              </w:rPr>
              <w:t xml:space="preserve">Number of public sector organisations </w:t>
            </w:r>
            <w:r w:rsidR="008817FE">
              <w:rPr>
                <w:rFonts w:eastAsia="Times New Roman" w:cs="Arial"/>
                <w:szCs w:val="24"/>
                <w:lang w:eastAsia="en-GB"/>
              </w:rPr>
              <w:t>(</w:t>
            </w:r>
            <w:r w:rsidRPr="00D847FD" w:rsidR="008817FE">
              <w:t>policymakers at national and local level</w:t>
            </w:r>
            <w:r w:rsidR="008817FE">
              <w:t>,</w:t>
            </w:r>
            <w:r w:rsidRPr="00D847FD" w:rsidR="008817FE">
              <w:t xml:space="preserve"> local green building councils or similar organisations) </w:t>
            </w:r>
            <w:r w:rsidR="008817FE">
              <w:rPr>
                <w:rFonts w:eastAsia="Times New Roman" w:cs="Arial"/>
                <w:szCs w:val="24"/>
                <w:lang w:eastAsia="en-GB"/>
              </w:rPr>
              <w:t>receiving MAGC technical assistance</w:t>
            </w:r>
            <w:r>
              <w:rPr>
                <w:rFonts w:eastAsia="Times New Roman" w:cs="Arial"/>
                <w:szCs w:val="24"/>
                <w:lang w:eastAsia="en-GB"/>
              </w:rPr>
              <w:t xml:space="preserve"> </w:t>
            </w:r>
            <w:r w:rsidR="008817FE">
              <w:rPr>
                <w:rFonts w:eastAsia="Times New Roman" w:cs="Arial"/>
                <w:szCs w:val="24"/>
                <w:lang w:eastAsia="en-GB"/>
              </w:rPr>
              <w:t>(e.g. support with green building incentives/green building codes)</w:t>
            </w:r>
          </w:p>
        </w:tc>
        <w:tc>
          <w:tcPr>
            <w:tcW w:w="1862" w:type="dxa"/>
            <w:tcBorders>
              <w:top w:val="single" w:color="auto" w:sz="6" w:space="0"/>
              <w:left w:val="single" w:color="auto" w:sz="6" w:space="0"/>
              <w:bottom w:val="single" w:color="auto" w:sz="6" w:space="0"/>
              <w:right w:val="single" w:color="auto" w:sz="6" w:space="0"/>
            </w:tcBorders>
          </w:tcPr>
          <w:p w:rsidR="00AE6AE0" w:rsidP="002D6371" w:rsidRDefault="008817FE" w14:paraId="54146A8D" w14:textId="46C00F5F">
            <w:pPr>
              <w:spacing w:after="0" w:line="240" w:lineRule="auto"/>
              <w:textAlignment w:val="baseline"/>
              <w:rPr>
                <w:rFonts w:eastAsia="Times New Roman" w:cs="Arial"/>
                <w:b/>
                <w:bCs/>
                <w:szCs w:val="24"/>
                <w:lang w:eastAsia="en-GB"/>
              </w:rPr>
            </w:pPr>
            <w:r>
              <w:rPr>
                <w:rFonts w:eastAsia="Times New Roman" w:cs="Arial"/>
                <w:szCs w:val="24"/>
                <w:lang w:eastAsia="en-GB"/>
              </w:rPr>
              <w:t>Suggest adding in future Logframe revisions</w:t>
            </w:r>
          </w:p>
        </w:tc>
      </w:tr>
    </w:tbl>
    <w:p w:rsidR="004328CD" w:rsidP="008E7737" w:rsidRDefault="004328CD" w14:paraId="1C281AF7" w14:textId="77777777">
      <w:pPr>
        <w:sectPr w:rsidR="004328CD" w:rsidSect="006D58B6">
          <w:pgSz w:w="11906" w:h="16838" w:orient="portrait"/>
          <w:pgMar w:top="1418" w:right="907" w:bottom="907" w:left="907" w:header="709" w:footer="266" w:gutter="0"/>
          <w:cols w:space="708"/>
          <w:docGrid w:linePitch="360"/>
        </w:sectPr>
      </w:pPr>
    </w:p>
    <w:p w:rsidR="00D10057" w:rsidP="00D10057" w:rsidRDefault="00D10057" w14:paraId="2E8CA6E7" w14:textId="77777777">
      <w:pPr>
        <w:pStyle w:val="Heading1"/>
      </w:pPr>
      <w:bookmarkStart w:name="_Toc207790214" w:id="116"/>
      <w:r w:rsidRPr="00F626F6">
        <w:t xml:space="preserve">Annex </w:t>
      </w:r>
      <w:r>
        <w:t>6</w:t>
      </w:r>
      <w:r w:rsidRPr="00F626F6">
        <w:t>: Value for Money Framework</w:t>
      </w:r>
      <w:bookmarkEnd w:id="116"/>
    </w:p>
    <w:p w:rsidR="00D10057" w:rsidP="00D10057" w:rsidRDefault="00C97A0D" w14:paraId="64EBC1EF" w14:textId="741DFC1B">
      <w:r>
        <w:t>The t</w:t>
      </w:r>
      <w:r w:rsidR="00D10057">
        <w:t xml:space="preserve">able below outlines the detailed VfM framework for the MAGC programme evaluation. For each criterion assessed as part of VfM, it provides a set of sub-criteria (dimensions of the criterion) and defines which indicator will be used to assess these. Finally, it also lists the evidence and data sources expected to provide the relevant information. The VfM framework is followed by a VfM assessment rubric which defines the conditions under which each </w:t>
      </w:r>
      <w:r w:rsidR="0098307E">
        <w:t xml:space="preserve">criterion’s </w:t>
      </w:r>
      <w:r w:rsidR="00D10057">
        <w:t xml:space="preserve">performance will be rated. </w:t>
      </w:r>
    </w:p>
    <w:p w:rsidRPr="00E13638" w:rsidR="005F364E" w:rsidP="00D10057" w:rsidRDefault="005F364E" w14:paraId="18B0DA16" w14:textId="47EB94FE">
      <w:pPr>
        <w:rPr>
          <w:b/>
          <w:bCs/>
        </w:rPr>
      </w:pPr>
      <w:r>
        <w:rPr>
          <w:b/>
          <w:bCs/>
        </w:rPr>
        <w:t>Table 10: Value for Money framework</w:t>
      </w:r>
    </w:p>
    <w:tbl>
      <w:tblPr>
        <w:tblStyle w:val="Table-Darkblue"/>
        <w:tblW w:w="5000" w:type="pct"/>
        <w:tblLook w:val="04A0" w:firstRow="1" w:lastRow="0" w:firstColumn="1" w:lastColumn="0" w:noHBand="0" w:noVBand="1"/>
      </w:tblPr>
      <w:tblGrid>
        <w:gridCol w:w="1672"/>
        <w:gridCol w:w="2439"/>
        <w:gridCol w:w="2973"/>
        <w:gridCol w:w="3492"/>
        <w:gridCol w:w="1752"/>
        <w:gridCol w:w="2175"/>
      </w:tblGrid>
      <w:tr w:rsidRPr="00C97A0D" w:rsidR="00D10057" w:rsidTr="00C97A0D" w14:paraId="388A8468" w14:textId="77777777">
        <w:trPr>
          <w:cnfStyle w:val="100000000000" w:firstRow="1" w:lastRow="0" w:firstColumn="0" w:lastColumn="0" w:oddVBand="0" w:evenVBand="0" w:oddHBand="0" w:evenHBand="0" w:firstRowFirstColumn="0" w:firstRowLastColumn="0" w:lastRowFirstColumn="0" w:lastRowLastColumn="0"/>
        </w:trPr>
        <w:tc>
          <w:tcPr>
            <w:tcW w:w="576" w:type="pct"/>
          </w:tcPr>
          <w:p w:rsidRPr="00C97A0D" w:rsidR="00D10057" w:rsidP="00C97A0D" w:rsidRDefault="00D10057" w14:paraId="437BDBBE" w14:textId="77777777">
            <w:pPr>
              <w:spacing w:after="120"/>
              <w:rPr>
                <w:sz w:val="22"/>
                <w:szCs w:val="20"/>
              </w:rPr>
            </w:pPr>
            <w:bookmarkStart w:name="_Hlk181112981" w:id="117"/>
            <w:r w:rsidRPr="00C97A0D">
              <w:rPr>
                <w:sz w:val="22"/>
                <w:szCs w:val="20"/>
              </w:rPr>
              <w:t>Criteria</w:t>
            </w:r>
          </w:p>
        </w:tc>
        <w:tc>
          <w:tcPr>
            <w:tcW w:w="841" w:type="pct"/>
          </w:tcPr>
          <w:p w:rsidRPr="00C97A0D" w:rsidR="00D10057" w:rsidP="00C97A0D" w:rsidRDefault="00D10057" w14:paraId="01A9F3C6" w14:textId="77777777">
            <w:pPr>
              <w:spacing w:after="120"/>
              <w:rPr>
                <w:sz w:val="22"/>
                <w:szCs w:val="20"/>
              </w:rPr>
            </w:pPr>
            <w:r w:rsidRPr="00C97A0D">
              <w:rPr>
                <w:sz w:val="22"/>
                <w:szCs w:val="20"/>
              </w:rPr>
              <w:t>Definition</w:t>
            </w:r>
          </w:p>
        </w:tc>
        <w:tc>
          <w:tcPr>
            <w:tcW w:w="1025" w:type="pct"/>
          </w:tcPr>
          <w:p w:rsidRPr="00C97A0D" w:rsidR="00D10057" w:rsidP="00C97A0D" w:rsidRDefault="00D10057" w14:paraId="6FF9AE0C" w14:textId="77777777">
            <w:pPr>
              <w:spacing w:after="120"/>
              <w:rPr>
                <w:sz w:val="22"/>
                <w:szCs w:val="20"/>
              </w:rPr>
            </w:pPr>
            <w:r w:rsidRPr="00C97A0D">
              <w:rPr>
                <w:sz w:val="22"/>
                <w:szCs w:val="20"/>
              </w:rPr>
              <w:t>Sub-criteria</w:t>
            </w:r>
          </w:p>
        </w:tc>
        <w:tc>
          <w:tcPr>
            <w:tcW w:w="1204" w:type="pct"/>
          </w:tcPr>
          <w:p w:rsidRPr="00C97A0D" w:rsidR="00D10057" w:rsidP="00C97A0D" w:rsidRDefault="00D10057" w14:paraId="5896E843" w14:textId="77777777">
            <w:pPr>
              <w:spacing w:after="120"/>
              <w:rPr>
                <w:sz w:val="22"/>
                <w:szCs w:val="20"/>
              </w:rPr>
            </w:pPr>
            <w:r w:rsidRPr="00C97A0D">
              <w:rPr>
                <w:sz w:val="22"/>
                <w:szCs w:val="20"/>
              </w:rPr>
              <w:t>Indicator</w:t>
            </w:r>
          </w:p>
        </w:tc>
        <w:tc>
          <w:tcPr>
            <w:tcW w:w="604" w:type="pct"/>
          </w:tcPr>
          <w:p w:rsidRPr="00C97A0D" w:rsidR="00D10057" w:rsidP="00C97A0D" w:rsidRDefault="00D10057" w14:paraId="305938EB" w14:textId="77777777">
            <w:pPr>
              <w:spacing w:after="120"/>
              <w:rPr>
                <w:sz w:val="22"/>
                <w:szCs w:val="20"/>
              </w:rPr>
            </w:pPr>
            <w:r w:rsidRPr="00C97A0D">
              <w:rPr>
                <w:sz w:val="22"/>
                <w:szCs w:val="20"/>
              </w:rPr>
              <w:t>Indicator Type</w:t>
            </w:r>
          </w:p>
        </w:tc>
        <w:tc>
          <w:tcPr>
            <w:tcW w:w="750" w:type="pct"/>
          </w:tcPr>
          <w:p w:rsidRPr="00C97A0D" w:rsidR="00D10057" w:rsidP="00C97A0D" w:rsidRDefault="00D10057" w14:paraId="69E95C65" w14:textId="77777777">
            <w:pPr>
              <w:spacing w:after="120"/>
              <w:rPr>
                <w:sz w:val="22"/>
                <w:szCs w:val="20"/>
              </w:rPr>
            </w:pPr>
            <w:r w:rsidRPr="00C97A0D">
              <w:rPr>
                <w:sz w:val="22"/>
                <w:szCs w:val="20"/>
              </w:rPr>
              <w:t>Evidence sources &amp; methods</w:t>
            </w:r>
          </w:p>
        </w:tc>
      </w:tr>
      <w:bookmarkEnd w:id="117"/>
      <w:tr w:rsidRPr="00C97A0D" w:rsidR="00D10057" w:rsidTr="00C97A0D" w14:paraId="5253FFF5" w14:textId="77777777">
        <w:tc>
          <w:tcPr>
            <w:tcW w:w="576" w:type="pct"/>
            <w:vMerge w:val="restart"/>
          </w:tcPr>
          <w:p w:rsidRPr="00C97A0D" w:rsidR="00D10057" w:rsidP="00C97A0D" w:rsidRDefault="00D10057" w14:paraId="35064AF8" w14:textId="77777777">
            <w:pPr>
              <w:spacing w:after="120"/>
              <w:rPr>
                <w:sz w:val="22"/>
                <w:szCs w:val="20"/>
              </w:rPr>
            </w:pPr>
            <w:r w:rsidRPr="00C97A0D">
              <w:rPr>
                <w:sz w:val="22"/>
                <w:szCs w:val="20"/>
              </w:rPr>
              <w:t>Economy</w:t>
            </w:r>
          </w:p>
        </w:tc>
        <w:tc>
          <w:tcPr>
            <w:tcW w:w="841" w:type="pct"/>
            <w:vMerge w:val="restart"/>
          </w:tcPr>
          <w:p w:rsidRPr="00C97A0D" w:rsidR="00D10057" w:rsidP="00C97A0D" w:rsidRDefault="00D10057" w14:paraId="4D76E6FB" w14:textId="3966EDAA">
            <w:pPr>
              <w:spacing w:after="120"/>
              <w:rPr>
                <w:sz w:val="22"/>
                <w:szCs w:val="20"/>
              </w:rPr>
            </w:pPr>
            <w:r w:rsidRPr="00C97A0D">
              <w:rPr>
                <w:sz w:val="22"/>
                <w:szCs w:val="20"/>
              </w:rPr>
              <w:t>Whether DESNZ/IFC have adequate and effective procurement processes in place to ensure that ODA is spent economically and whether decision-making on costs supports this</w:t>
            </w:r>
          </w:p>
        </w:tc>
        <w:tc>
          <w:tcPr>
            <w:tcW w:w="1025" w:type="pct"/>
          </w:tcPr>
          <w:p w:rsidRPr="00C97A0D" w:rsidR="00D10057" w:rsidP="00C97A0D" w:rsidRDefault="00D10057" w14:paraId="658811AF" w14:textId="7284E91A">
            <w:pPr>
              <w:spacing w:after="120"/>
              <w:rPr>
                <w:sz w:val="22"/>
                <w:szCs w:val="20"/>
              </w:rPr>
            </w:pPr>
            <w:r w:rsidRPr="00C97A0D">
              <w:rPr>
                <w:sz w:val="22"/>
                <w:szCs w:val="20"/>
              </w:rPr>
              <w:t>Evidence of costs being kept as low as possible</w:t>
            </w:r>
          </w:p>
        </w:tc>
        <w:tc>
          <w:tcPr>
            <w:tcW w:w="1204" w:type="pct"/>
          </w:tcPr>
          <w:p w:rsidRPr="00C97A0D" w:rsidR="00D10057" w:rsidP="00C97A0D" w:rsidRDefault="00D10057" w14:paraId="301B52FF" w14:textId="7166D4F2">
            <w:pPr>
              <w:spacing w:after="120"/>
              <w:rPr>
                <w:sz w:val="22"/>
                <w:szCs w:val="20"/>
              </w:rPr>
            </w:pPr>
            <w:r w:rsidRPr="00C97A0D">
              <w:rPr>
                <w:sz w:val="22"/>
                <w:szCs w:val="20"/>
              </w:rPr>
              <w:t>Efforts have been made to keep costs to reasonable levels</w:t>
            </w:r>
          </w:p>
        </w:tc>
        <w:tc>
          <w:tcPr>
            <w:tcW w:w="604" w:type="pct"/>
          </w:tcPr>
          <w:p w:rsidRPr="00C97A0D" w:rsidR="00D10057" w:rsidP="00C97A0D" w:rsidRDefault="00D10057" w14:paraId="234BD41C" w14:textId="77777777">
            <w:pPr>
              <w:spacing w:after="120"/>
              <w:rPr>
                <w:sz w:val="22"/>
                <w:szCs w:val="20"/>
              </w:rPr>
            </w:pPr>
            <w:r w:rsidRPr="00C97A0D">
              <w:rPr>
                <w:sz w:val="22"/>
                <w:szCs w:val="20"/>
              </w:rPr>
              <w:t>Qualitative</w:t>
            </w:r>
          </w:p>
        </w:tc>
        <w:tc>
          <w:tcPr>
            <w:tcW w:w="750" w:type="pct"/>
          </w:tcPr>
          <w:p w:rsidRPr="00C97A0D" w:rsidR="00D10057" w:rsidP="00C97A0D" w:rsidRDefault="00D10057" w14:paraId="2F14F6FC" w14:textId="0CB9AB0D">
            <w:pPr>
              <w:spacing w:after="120"/>
              <w:rPr>
                <w:sz w:val="22"/>
                <w:szCs w:val="20"/>
              </w:rPr>
            </w:pPr>
            <w:r w:rsidRPr="00C97A0D">
              <w:rPr>
                <w:sz w:val="22"/>
                <w:szCs w:val="20"/>
              </w:rPr>
              <w:t xml:space="preserve">Stakeholder consultations with DESNZ and IFC </w:t>
            </w:r>
          </w:p>
        </w:tc>
      </w:tr>
      <w:tr w:rsidRPr="00C97A0D" w:rsidR="00D10057" w:rsidTr="00C97A0D" w14:paraId="01E53C94" w14:textId="77777777">
        <w:tc>
          <w:tcPr>
            <w:tcW w:w="576" w:type="pct"/>
            <w:vMerge/>
          </w:tcPr>
          <w:p w:rsidRPr="00C97A0D" w:rsidR="00D10057" w:rsidP="00C97A0D" w:rsidRDefault="00D10057" w14:paraId="7B8F2EBF" w14:textId="77777777">
            <w:pPr>
              <w:spacing w:after="120"/>
              <w:rPr>
                <w:sz w:val="22"/>
                <w:szCs w:val="20"/>
              </w:rPr>
            </w:pPr>
          </w:p>
        </w:tc>
        <w:tc>
          <w:tcPr>
            <w:tcW w:w="841" w:type="pct"/>
            <w:vMerge/>
          </w:tcPr>
          <w:p w:rsidRPr="00C97A0D" w:rsidR="00D10057" w:rsidP="00C97A0D" w:rsidRDefault="00D10057" w14:paraId="3F013FEF" w14:textId="77777777">
            <w:pPr>
              <w:spacing w:after="120"/>
              <w:rPr>
                <w:sz w:val="22"/>
                <w:szCs w:val="20"/>
              </w:rPr>
            </w:pPr>
          </w:p>
        </w:tc>
        <w:tc>
          <w:tcPr>
            <w:tcW w:w="1025" w:type="pct"/>
          </w:tcPr>
          <w:p w:rsidRPr="00C97A0D" w:rsidR="00D10057" w:rsidP="00C97A0D" w:rsidRDefault="00D10057" w14:paraId="2DFE990E" w14:textId="534E2E58">
            <w:pPr>
              <w:spacing w:after="120"/>
              <w:rPr>
                <w:sz w:val="22"/>
                <w:szCs w:val="20"/>
              </w:rPr>
            </w:pPr>
            <w:r w:rsidRPr="00C97A0D">
              <w:rPr>
                <w:sz w:val="22"/>
                <w:szCs w:val="20"/>
              </w:rPr>
              <w:t>Administrative costs (administration fees, concessional finance fees, costs for programme management, and costs for evaluation) are kept low</w:t>
            </w:r>
          </w:p>
        </w:tc>
        <w:tc>
          <w:tcPr>
            <w:tcW w:w="1204" w:type="pct"/>
          </w:tcPr>
          <w:p w:rsidRPr="00C97A0D" w:rsidR="00D10057" w:rsidP="00C97A0D" w:rsidRDefault="00D10057" w14:paraId="1B4270C6" w14:textId="1D9D314E">
            <w:pPr>
              <w:spacing w:after="120"/>
              <w:rPr>
                <w:sz w:val="22"/>
                <w:szCs w:val="20"/>
              </w:rPr>
            </w:pPr>
            <w:r w:rsidRPr="00C97A0D">
              <w:rPr>
                <w:sz w:val="22"/>
                <w:szCs w:val="20"/>
              </w:rPr>
              <w:t>Administrative costs as % of total programme costs</w:t>
            </w:r>
          </w:p>
        </w:tc>
        <w:tc>
          <w:tcPr>
            <w:tcW w:w="604" w:type="pct"/>
          </w:tcPr>
          <w:p w:rsidRPr="00C97A0D" w:rsidR="00D10057" w:rsidP="00C97A0D" w:rsidRDefault="00D10057" w14:paraId="5EED28BB" w14:textId="77777777">
            <w:pPr>
              <w:spacing w:after="120"/>
              <w:rPr>
                <w:sz w:val="22"/>
                <w:szCs w:val="20"/>
              </w:rPr>
            </w:pPr>
            <w:r w:rsidRPr="00C97A0D">
              <w:rPr>
                <w:sz w:val="22"/>
                <w:szCs w:val="20"/>
              </w:rPr>
              <w:t>Monetary</w:t>
            </w:r>
          </w:p>
        </w:tc>
        <w:tc>
          <w:tcPr>
            <w:tcW w:w="750" w:type="pct"/>
          </w:tcPr>
          <w:p w:rsidRPr="00C97A0D" w:rsidR="00D10057" w:rsidP="00C97A0D" w:rsidRDefault="00D10057" w14:paraId="4B406EBE" w14:textId="5FA47505">
            <w:pPr>
              <w:spacing w:after="120"/>
              <w:rPr>
                <w:sz w:val="22"/>
                <w:szCs w:val="20"/>
              </w:rPr>
            </w:pPr>
            <w:r w:rsidRPr="00C97A0D">
              <w:rPr>
                <w:sz w:val="22"/>
                <w:szCs w:val="20"/>
              </w:rPr>
              <w:t>MAGC programme data</w:t>
            </w:r>
          </w:p>
        </w:tc>
      </w:tr>
      <w:tr w:rsidRPr="00C97A0D" w:rsidR="00D10057" w:rsidTr="00C97A0D" w14:paraId="7395B94C" w14:textId="77777777">
        <w:tc>
          <w:tcPr>
            <w:tcW w:w="576" w:type="pct"/>
            <w:vMerge/>
          </w:tcPr>
          <w:p w:rsidRPr="00C97A0D" w:rsidR="00D10057" w:rsidP="00C97A0D" w:rsidRDefault="00D10057" w14:paraId="5251AD2A" w14:textId="77777777">
            <w:pPr>
              <w:spacing w:after="120"/>
              <w:rPr>
                <w:sz w:val="22"/>
                <w:szCs w:val="20"/>
              </w:rPr>
            </w:pPr>
          </w:p>
        </w:tc>
        <w:tc>
          <w:tcPr>
            <w:tcW w:w="841" w:type="pct"/>
            <w:vMerge/>
          </w:tcPr>
          <w:p w:rsidRPr="00C97A0D" w:rsidR="00D10057" w:rsidP="00C97A0D" w:rsidRDefault="00D10057" w14:paraId="226D1554" w14:textId="77777777">
            <w:pPr>
              <w:spacing w:after="120"/>
              <w:rPr>
                <w:sz w:val="22"/>
                <w:szCs w:val="20"/>
              </w:rPr>
            </w:pPr>
          </w:p>
        </w:tc>
        <w:tc>
          <w:tcPr>
            <w:tcW w:w="1025" w:type="pct"/>
          </w:tcPr>
          <w:p w:rsidRPr="00C97A0D" w:rsidR="00D10057" w:rsidP="00C97A0D" w:rsidRDefault="00D10057" w14:paraId="4DD805AA" w14:textId="13DFF555">
            <w:pPr>
              <w:spacing w:after="120"/>
              <w:rPr>
                <w:sz w:val="22"/>
                <w:szCs w:val="20"/>
              </w:rPr>
            </w:pPr>
            <w:r w:rsidRPr="00C97A0D">
              <w:rPr>
                <w:sz w:val="22"/>
                <w:szCs w:val="20"/>
              </w:rPr>
              <w:t>Administrative costs are comparable and ‘standard’ for a programme such as MAGC</w:t>
            </w:r>
          </w:p>
        </w:tc>
        <w:tc>
          <w:tcPr>
            <w:tcW w:w="1204" w:type="pct"/>
          </w:tcPr>
          <w:p w:rsidRPr="00C97A0D" w:rsidR="00D10057" w:rsidP="00C97A0D" w:rsidRDefault="00D10057" w14:paraId="735E35E7" w14:textId="77777777">
            <w:pPr>
              <w:spacing w:after="120"/>
              <w:rPr>
                <w:sz w:val="22"/>
                <w:szCs w:val="20"/>
              </w:rPr>
            </w:pPr>
            <w:r w:rsidRPr="00C97A0D">
              <w:rPr>
                <w:sz w:val="22"/>
                <w:szCs w:val="20"/>
              </w:rPr>
              <w:t xml:space="preserve">Comparison of share of administrative costs of total programme costs with other ICF programmes. </w:t>
            </w:r>
          </w:p>
        </w:tc>
        <w:tc>
          <w:tcPr>
            <w:tcW w:w="604" w:type="pct"/>
          </w:tcPr>
          <w:p w:rsidRPr="00C97A0D" w:rsidR="00D10057" w:rsidP="00C97A0D" w:rsidRDefault="00D10057" w14:paraId="0046D562"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3874CAD2" w14:textId="1CE024F2">
            <w:pPr>
              <w:spacing w:after="120"/>
              <w:rPr>
                <w:sz w:val="22"/>
                <w:szCs w:val="20"/>
              </w:rPr>
            </w:pPr>
            <w:r w:rsidRPr="00C97A0D">
              <w:rPr>
                <w:sz w:val="22"/>
                <w:szCs w:val="20"/>
              </w:rPr>
              <w:t>DESNZ and IFC programme data</w:t>
            </w:r>
          </w:p>
        </w:tc>
      </w:tr>
      <w:tr w:rsidRPr="00C97A0D" w:rsidR="00D10057" w:rsidTr="00C97A0D" w14:paraId="658646C4" w14:textId="77777777">
        <w:tc>
          <w:tcPr>
            <w:tcW w:w="576" w:type="pct"/>
            <w:vMerge w:val="restart"/>
          </w:tcPr>
          <w:p w:rsidRPr="00C97A0D" w:rsidR="00D10057" w:rsidP="00C97A0D" w:rsidRDefault="00D10057" w14:paraId="51F28D1F" w14:textId="77777777">
            <w:pPr>
              <w:spacing w:after="120"/>
              <w:rPr>
                <w:sz w:val="22"/>
                <w:szCs w:val="20"/>
              </w:rPr>
            </w:pPr>
            <w:r w:rsidRPr="00C97A0D">
              <w:rPr>
                <w:sz w:val="22"/>
                <w:szCs w:val="20"/>
              </w:rPr>
              <w:t>Efficiency</w:t>
            </w:r>
          </w:p>
        </w:tc>
        <w:tc>
          <w:tcPr>
            <w:tcW w:w="841" w:type="pct"/>
            <w:vMerge w:val="restart"/>
          </w:tcPr>
          <w:p w:rsidRPr="00C97A0D" w:rsidR="00D10057" w:rsidP="00C97A0D" w:rsidRDefault="00D10057" w14:paraId="611CC97B" w14:textId="3B244AA9">
            <w:pPr>
              <w:spacing w:after="120"/>
              <w:rPr>
                <w:sz w:val="22"/>
                <w:szCs w:val="20"/>
              </w:rPr>
            </w:pPr>
            <w:r w:rsidRPr="00C97A0D">
              <w:rPr>
                <w:sz w:val="22"/>
                <w:szCs w:val="20"/>
              </w:rPr>
              <w:t xml:space="preserve">The programme is delivering its activities </w:t>
            </w:r>
            <w:r w:rsidRPr="00C97A0D">
              <w:rPr>
                <w:sz w:val="22"/>
                <w:szCs w:val="20"/>
              </w:rPr>
              <w:t>to the expected quality, expected timeframe and expected costs</w:t>
            </w:r>
          </w:p>
        </w:tc>
        <w:tc>
          <w:tcPr>
            <w:tcW w:w="1025" w:type="pct"/>
          </w:tcPr>
          <w:p w:rsidRPr="00C97A0D" w:rsidR="00D10057" w:rsidP="00C97A0D" w:rsidRDefault="00D10057" w14:paraId="286A711E" w14:textId="17537E22">
            <w:pPr>
              <w:spacing w:after="120"/>
              <w:rPr>
                <w:sz w:val="22"/>
                <w:szCs w:val="20"/>
              </w:rPr>
            </w:pPr>
            <w:r w:rsidRPr="00C97A0D">
              <w:rPr>
                <w:sz w:val="22"/>
                <w:szCs w:val="20"/>
              </w:rPr>
              <w:t>Programme outputs are delivered on time</w:t>
            </w:r>
          </w:p>
        </w:tc>
        <w:tc>
          <w:tcPr>
            <w:tcW w:w="1204" w:type="pct"/>
          </w:tcPr>
          <w:p w:rsidRPr="00C97A0D" w:rsidR="00D10057" w:rsidP="00C97A0D" w:rsidRDefault="00D10057" w14:paraId="168241ED" w14:textId="589145FA">
            <w:pPr>
              <w:spacing w:after="120"/>
              <w:rPr>
                <w:sz w:val="22"/>
                <w:szCs w:val="20"/>
              </w:rPr>
            </w:pPr>
            <w:r w:rsidRPr="00C97A0D">
              <w:rPr>
                <w:sz w:val="22"/>
                <w:szCs w:val="20"/>
              </w:rPr>
              <w:t xml:space="preserve">Achievement of programme milestones </w:t>
            </w:r>
          </w:p>
        </w:tc>
        <w:tc>
          <w:tcPr>
            <w:tcW w:w="604" w:type="pct"/>
          </w:tcPr>
          <w:p w:rsidRPr="00C97A0D" w:rsidR="00D10057" w:rsidP="00C97A0D" w:rsidRDefault="00D10057" w14:paraId="1E27D327"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78DC3F87" w14:textId="7FBDA37A">
            <w:pPr>
              <w:spacing w:after="120"/>
              <w:rPr>
                <w:sz w:val="22"/>
                <w:szCs w:val="20"/>
              </w:rPr>
            </w:pPr>
            <w:r w:rsidRPr="00C97A0D">
              <w:rPr>
                <w:sz w:val="22"/>
                <w:szCs w:val="20"/>
              </w:rPr>
              <w:t>Programme documentation</w:t>
            </w:r>
          </w:p>
          <w:p w:rsidRPr="00C97A0D" w:rsidR="00D10057" w:rsidP="00C97A0D" w:rsidRDefault="00D10057" w14:paraId="347E1F5F" w14:textId="7D72856D">
            <w:pPr>
              <w:spacing w:after="120"/>
              <w:rPr>
                <w:sz w:val="22"/>
                <w:szCs w:val="20"/>
              </w:rPr>
            </w:pPr>
            <w:r w:rsidRPr="00C97A0D">
              <w:rPr>
                <w:sz w:val="22"/>
                <w:szCs w:val="20"/>
              </w:rPr>
              <w:t>Process evaluation</w:t>
            </w:r>
          </w:p>
        </w:tc>
      </w:tr>
      <w:tr w:rsidRPr="00C97A0D" w:rsidR="00D10057" w:rsidTr="00C97A0D" w14:paraId="35E4F4F6" w14:textId="77777777">
        <w:tc>
          <w:tcPr>
            <w:tcW w:w="576" w:type="pct"/>
            <w:vMerge/>
          </w:tcPr>
          <w:p w:rsidRPr="00C97A0D" w:rsidR="00D10057" w:rsidP="00C97A0D" w:rsidRDefault="00D10057" w14:paraId="6B55C370" w14:textId="77777777">
            <w:pPr>
              <w:spacing w:after="120"/>
              <w:rPr>
                <w:sz w:val="22"/>
                <w:szCs w:val="20"/>
              </w:rPr>
            </w:pPr>
          </w:p>
        </w:tc>
        <w:tc>
          <w:tcPr>
            <w:tcW w:w="841" w:type="pct"/>
            <w:vMerge/>
          </w:tcPr>
          <w:p w:rsidRPr="00C97A0D" w:rsidR="00D10057" w:rsidP="00C97A0D" w:rsidRDefault="00D10057" w14:paraId="543791A7" w14:textId="77777777">
            <w:pPr>
              <w:spacing w:after="120"/>
              <w:rPr>
                <w:sz w:val="22"/>
                <w:szCs w:val="20"/>
              </w:rPr>
            </w:pPr>
          </w:p>
        </w:tc>
        <w:tc>
          <w:tcPr>
            <w:tcW w:w="1025" w:type="pct"/>
          </w:tcPr>
          <w:p w:rsidRPr="00C97A0D" w:rsidR="00D10057" w:rsidP="00C97A0D" w:rsidRDefault="00D10057" w14:paraId="72DB9825" w14:textId="2A8D4271">
            <w:pPr>
              <w:spacing w:after="120"/>
              <w:rPr>
                <w:sz w:val="22"/>
                <w:szCs w:val="20"/>
              </w:rPr>
            </w:pPr>
            <w:r w:rsidRPr="00C97A0D">
              <w:rPr>
                <w:sz w:val="22"/>
                <w:szCs w:val="20"/>
              </w:rPr>
              <w:t>Activities are delivered within budget</w:t>
            </w:r>
          </w:p>
        </w:tc>
        <w:tc>
          <w:tcPr>
            <w:tcW w:w="1204" w:type="pct"/>
          </w:tcPr>
          <w:p w:rsidRPr="00C97A0D" w:rsidR="00D10057" w:rsidP="00C97A0D" w:rsidRDefault="00D10057" w14:paraId="6D68B388" w14:textId="4222C571">
            <w:pPr>
              <w:spacing w:after="120"/>
              <w:rPr>
                <w:sz w:val="22"/>
                <w:szCs w:val="20"/>
              </w:rPr>
            </w:pPr>
            <w:r w:rsidRPr="00C97A0D">
              <w:rPr>
                <w:sz w:val="22"/>
                <w:szCs w:val="20"/>
              </w:rPr>
              <w:t>Activity costs</w:t>
            </w:r>
            <w:r w:rsidRPr="00C97A0D">
              <w:rPr>
                <w:rStyle w:val="FootnoteReference"/>
                <w:sz w:val="22"/>
                <w:szCs w:val="20"/>
              </w:rPr>
              <w:footnoteReference w:id="22"/>
            </w:r>
          </w:p>
        </w:tc>
        <w:tc>
          <w:tcPr>
            <w:tcW w:w="604" w:type="pct"/>
          </w:tcPr>
          <w:p w:rsidRPr="00C97A0D" w:rsidR="00D10057" w:rsidP="00C97A0D" w:rsidRDefault="00D10057" w14:paraId="64BC5E6B" w14:textId="77777777">
            <w:pPr>
              <w:spacing w:after="120"/>
              <w:rPr>
                <w:sz w:val="22"/>
                <w:szCs w:val="20"/>
              </w:rPr>
            </w:pPr>
            <w:r w:rsidRPr="00C97A0D">
              <w:rPr>
                <w:sz w:val="22"/>
                <w:szCs w:val="20"/>
              </w:rPr>
              <w:t>Monetary</w:t>
            </w:r>
          </w:p>
        </w:tc>
        <w:tc>
          <w:tcPr>
            <w:tcW w:w="750" w:type="pct"/>
          </w:tcPr>
          <w:p w:rsidRPr="00C97A0D" w:rsidR="00D10057" w:rsidP="00C97A0D" w:rsidRDefault="00D10057" w14:paraId="297F0C02" w14:textId="194DCC41">
            <w:pPr>
              <w:spacing w:after="120"/>
              <w:rPr>
                <w:sz w:val="22"/>
                <w:szCs w:val="20"/>
              </w:rPr>
            </w:pPr>
            <w:r w:rsidRPr="00C97A0D">
              <w:rPr>
                <w:sz w:val="22"/>
                <w:szCs w:val="20"/>
              </w:rPr>
              <w:t>Review of programme documentation</w:t>
            </w:r>
          </w:p>
          <w:p w:rsidRPr="00C97A0D" w:rsidR="00D10057" w:rsidP="00C97A0D" w:rsidRDefault="00D10057" w14:paraId="09FC7A1A" w14:textId="7E2146B4">
            <w:pPr>
              <w:spacing w:after="120"/>
              <w:rPr>
                <w:sz w:val="22"/>
                <w:szCs w:val="20"/>
              </w:rPr>
            </w:pPr>
            <w:r w:rsidRPr="00C97A0D">
              <w:rPr>
                <w:sz w:val="22"/>
                <w:szCs w:val="20"/>
              </w:rPr>
              <w:t>Process evaluation</w:t>
            </w:r>
          </w:p>
        </w:tc>
      </w:tr>
      <w:tr w:rsidRPr="00C97A0D" w:rsidR="00D10057" w:rsidTr="00C97A0D" w14:paraId="0497F16F" w14:textId="77777777">
        <w:tc>
          <w:tcPr>
            <w:tcW w:w="576" w:type="pct"/>
            <w:vMerge/>
          </w:tcPr>
          <w:p w:rsidRPr="00C97A0D" w:rsidR="00D10057" w:rsidP="00C97A0D" w:rsidRDefault="00D10057" w14:paraId="2B966014" w14:textId="77777777">
            <w:pPr>
              <w:spacing w:after="120"/>
              <w:rPr>
                <w:sz w:val="22"/>
                <w:szCs w:val="20"/>
              </w:rPr>
            </w:pPr>
          </w:p>
        </w:tc>
        <w:tc>
          <w:tcPr>
            <w:tcW w:w="841" w:type="pct"/>
            <w:vMerge/>
          </w:tcPr>
          <w:p w:rsidRPr="00C97A0D" w:rsidR="00D10057" w:rsidP="00C97A0D" w:rsidRDefault="00D10057" w14:paraId="42F0A985" w14:textId="77777777">
            <w:pPr>
              <w:spacing w:after="120"/>
              <w:rPr>
                <w:sz w:val="22"/>
                <w:szCs w:val="20"/>
              </w:rPr>
            </w:pPr>
          </w:p>
        </w:tc>
        <w:tc>
          <w:tcPr>
            <w:tcW w:w="1025" w:type="pct"/>
          </w:tcPr>
          <w:p w:rsidRPr="00C97A0D" w:rsidR="00D10057" w:rsidP="00C97A0D" w:rsidRDefault="00D10057" w14:paraId="25A42D62" w14:textId="408F8CDB">
            <w:pPr>
              <w:spacing w:after="120"/>
              <w:rPr>
                <w:sz w:val="22"/>
                <w:szCs w:val="20"/>
              </w:rPr>
            </w:pPr>
            <w:r w:rsidRPr="00C97A0D">
              <w:rPr>
                <w:sz w:val="22"/>
                <w:szCs w:val="20"/>
              </w:rPr>
              <w:t>Evidence of processes and efforts to improve efficiency</w:t>
            </w:r>
          </w:p>
        </w:tc>
        <w:tc>
          <w:tcPr>
            <w:tcW w:w="1204" w:type="pct"/>
          </w:tcPr>
          <w:p w:rsidRPr="00C97A0D" w:rsidR="00D10057" w:rsidP="00C97A0D" w:rsidRDefault="00D10057" w14:paraId="266DC8D1" w14:textId="70E10759">
            <w:pPr>
              <w:spacing w:after="120"/>
              <w:rPr>
                <w:sz w:val="22"/>
                <w:szCs w:val="20"/>
              </w:rPr>
            </w:pPr>
            <w:r w:rsidRPr="00C97A0D">
              <w:rPr>
                <w:sz w:val="22"/>
                <w:szCs w:val="20"/>
              </w:rPr>
              <w:t>Processes are in place to regularly review costs, timelines and progress against milestones and efforts are made to react to this</w:t>
            </w:r>
          </w:p>
        </w:tc>
        <w:tc>
          <w:tcPr>
            <w:tcW w:w="604" w:type="pct"/>
          </w:tcPr>
          <w:p w:rsidRPr="00C97A0D" w:rsidR="00D10057" w:rsidP="00C97A0D" w:rsidRDefault="00D10057" w14:paraId="5CBDC6F3" w14:textId="77777777">
            <w:pPr>
              <w:spacing w:after="120"/>
              <w:rPr>
                <w:sz w:val="22"/>
                <w:szCs w:val="20"/>
              </w:rPr>
            </w:pPr>
            <w:r w:rsidRPr="00C97A0D">
              <w:rPr>
                <w:sz w:val="22"/>
                <w:szCs w:val="20"/>
              </w:rPr>
              <w:t>Qualitative</w:t>
            </w:r>
          </w:p>
        </w:tc>
        <w:tc>
          <w:tcPr>
            <w:tcW w:w="750" w:type="pct"/>
          </w:tcPr>
          <w:p w:rsidRPr="00C97A0D" w:rsidR="00D10057" w:rsidP="00C97A0D" w:rsidRDefault="00D10057" w14:paraId="77864DFD" w14:textId="6680BB8B">
            <w:pPr>
              <w:spacing w:after="120"/>
              <w:rPr>
                <w:sz w:val="22"/>
                <w:szCs w:val="20"/>
              </w:rPr>
            </w:pPr>
            <w:r w:rsidRPr="00C97A0D">
              <w:rPr>
                <w:sz w:val="22"/>
                <w:szCs w:val="20"/>
              </w:rPr>
              <w:t>Stakeholder consultations with DESNZ and IFC</w:t>
            </w:r>
          </w:p>
          <w:p w:rsidRPr="00C97A0D" w:rsidR="00D10057" w:rsidP="00C97A0D" w:rsidRDefault="00D10057" w14:paraId="766ACA75" w14:textId="3DB056A2">
            <w:pPr>
              <w:spacing w:after="120"/>
              <w:rPr>
                <w:sz w:val="22"/>
                <w:szCs w:val="20"/>
              </w:rPr>
            </w:pPr>
            <w:r w:rsidRPr="00C97A0D">
              <w:rPr>
                <w:sz w:val="22"/>
                <w:szCs w:val="20"/>
              </w:rPr>
              <w:t xml:space="preserve">Programme documentation </w:t>
            </w:r>
          </w:p>
          <w:p w:rsidRPr="00C97A0D" w:rsidR="00D10057" w:rsidP="00C97A0D" w:rsidRDefault="00D10057" w14:paraId="79E5EBE7" w14:textId="3A7AD1C6">
            <w:pPr>
              <w:spacing w:after="120"/>
              <w:rPr>
                <w:sz w:val="22"/>
                <w:szCs w:val="20"/>
              </w:rPr>
            </w:pPr>
            <w:r w:rsidRPr="00C97A0D">
              <w:rPr>
                <w:sz w:val="22"/>
                <w:szCs w:val="20"/>
              </w:rPr>
              <w:t>Process evaluation</w:t>
            </w:r>
          </w:p>
        </w:tc>
      </w:tr>
      <w:tr w:rsidRPr="00C97A0D" w:rsidR="00D10057" w:rsidTr="00C97A0D" w14:paraId="07A0A073" w14:textId="77777777">
        <w:tc>
          <w:tcPr>
            <w:tcW w:w="576" w:type="pct"/>
            <w:vMerge/>
          </w:tcPr>
          <w:p w:rsidRPr="00C97A0D" w:rsidR="00D10057" w:rsidP="00C97A0D" w:rsidRDefault="00D10057" w14:paraId="5415F42F" w14:textId="77777777">
            <w:pPr>
              <w:spacing w:after="120"/>
              <w:rPr>
                <w:sz w:val="22"/>
                <w:szCs w:val="20"/>
              </w:rPr>
            </w:pPr>
          </w:p>
        </w:tc>
        <w:tc>
          <w:tcPr>
            <w:tcW w:w="841" w:type="pct"/>
            <w:vMerge/>
          </w:tcPr>
          <w:p w:rsidRPr="00C97A0D" w:rsidR="00D10057" w:rsidP="00C97A0D" w:rsidRDefault="00D10057" w14:paraId="69458624" w14:textId="77777777">
            <w:pPr>
              <w:spacing w:after="120"/>
              <w:rPr>
                <w:sz w:val="22"/>
                <w:szCs w:val="20"/>
              </w:rPr>
            </w:pPr>
          </w:p>
        </w:tc>
        <w:tc>
          <w:tcPr>
            <w:tcW w:w="1025" w:type="pct"/>
            <w:vMerge w:val="restart"/>
          </w:tcPr>
          <w:p w:rsidRPr="00C97A0D" w:rsidR="00D10057" w:rsidP="00C97A0D" w:rsidRDefault="00D10057" w14:paraId="2B37EF77" w14:textId="714F509A">
            <w:pPr>
              <w:spacing w:after="120"/>
              <w:rPr>
                <w:sz w:val="22"/>
                <w:szCs w:val="20"/>
              </w:rPr>
            </w:pPr>
            <w:r w:rsidRPr="00C97A0D">
              <w:rPr>
                <w:sz w:val="22"/>
                <w:szCs w:val="20"/>
              </w:rPr>
              <w:t>Costs per output are comparable to other, similar programmes</w:t>
            </w:r>
          </w:p>
        </w:tc>
        <w:tc>
          <w:tcPr>
            <w:tcW w:w="1204" w:type="pct"/>
          </w:tcPr>
          <w:p w:rsidRPr="00C97A0D" w:rsidR="00D10057" w:rsidP="00C97A0D" w:rsidRDefault="00D10057" w14:paraId="1BEA80A6" w14:textId="17EF2DE8">
            <w:pPr>
              <w:spacing w:after="120"/>
              <w:rPr>
                <w:sz w:val="22"/>
                <w:szCs w:val="20"/>
              </w:rPr>
            </w:pPr>
            <w:r w:rsidRPr="00C97A0D">
              <w:rPr>
                <w:sz w:val="22"/>
                <w:szCs w:val="20"/>
              </w:rPr>
              <w:t>Cost per green building square meter financed by MAGC FIs with EDGE post-construction certification</w:t>
            </w:r>
          </w:p>
        </w:tc>
        <w:tc>
          <w:tcPr>
            <w:tcW w:w="604" w:type="pct"/>
            <w:vMerge w:val="restart"/>
          </w:tcPr>
          <w:p w:rsidRPr="00C97A0D" w:rsidR="00D10057" w:rsidP="00C97A0D" w:rsidRDefault="00D10057" w14:paraId="0E5620AC" w14:textId="77777777">
            <w:pPr>
              <w:spacing w:after="120"/>
              <w:rPr>
                <w:sz w:val="22"/>
                <w:szCs w:val="20"/>
              </w:rPr>
            </w:pPr>
            <w:r w:rsidRPr="00C97A0D">
              <w:rPr>
                <w:sz w:val="22"/>
                <w:szCs w:val="20"/>
              </w:rPr>
              <w:t>Benchmarking</w:t>
            </w:r>
          </w:p>
        </w:tc>
        <w:tc>
          <w:tcPr>
            <w:tcW w:w="750" w:type="pct"/>
            <w:vMerge w:val="restart"/>
          </w:tcPr>
          <w:p w:rsidRPr="00C97A0D" w:rsidR="00D10057" w:rsidP="00C97A0D" w:rsidRDefault="00D10057" w14:paraId="19301B16" w14:textId="77777777">
            <w:pPr>
              <w:spacing w:after="120"/>
              <w:rPr>
                <w:sz w:val="22"/>
                <w:szCs w:val="20"/>
              </w:rPr>
            </w:pPr>
            <w:r w:rsidRPr="00C97A0D">
              <w:rPr>
                <w:sz w:val="22"/>
                <w:szCs w:val="20"/>
              </w:rPr>
              <w:t>Impact evaluation</w:t>
            </w:r>
          </w:p>
          <w:p w:rsidRPr="00C97A0D" w:rsidR="00D10057" w:rsidP="00C97A0D" w:rsidRDefault="00D10057" w14:paraId="658BE219" w14:textId="77777777">
            <w:pPr>
              <w:spacing w:after="120"/>
              <w:rPr>
                <w:sz w:val="22"/>
                <w:szCs w:val="20"/>
              </w:rPr>
            </w:pPr>
            <w:r w:rsidRPr="00C97A0D">
              <w:rPr>
                <w:sz w:val="22"/>
                <w:szCs w:val="20"/>
              </w:rPr>
              <w:t>Programme documentation</w:t>
            </w:r>
          </w:p>
          <w:p w:rsidRPr="00C97A0D" w:rsidR="00D10057" w:rsidP="00C97A0D" w:rsidRDefault="00D10057" w14:paraId="426DC162" w14:textId="77777777">
            <w:pPr>
              <w:spacing w:after="120"/>
              <w:rPr>
                <w:sz w:val="22"/>
                <w:szCs w:val="20"/>
              </w:rPr>
            </w:pPr>
            <w:r w:rsidRPr="00C97A0D">
              <w:rPr>
                <w:sz w:val="22"/>
                <w:szCs w:val="20"/>
              </w:rPr>
              <w:t>Programme documentation of other, similar programmes</w:t>
            </w:r>
          </w:p>
        </w:tc>
      </w:tr>
      <w:tr w:rsidRPr="00C97A0D" w:rsidR="00D10057" w:rsidTr="00C97A0D" w14:paraId="585B13B7" w14:textId="77777777">
        <w:tc>
          <w:tcPr>
            <w:tcW w:w="576" w:type="pct"/>
            <w:vMerge/>
          </w:tcPr>
          <w:p w:rsidRPr="00C97A0D" w:rsidR="00D10057" w:rsidP="00C97A0D" w:rsidRDefault="00D10057" w14:paraId="38381912" w14:textId="77777777">
            <w:pPr>
              <w:spacing w:after="120"/>
              <w:rPr>
                <w:sz w:val="22"/>
                <w:szCs w:val="20"/>
              </w:rPr>
            </w:pPr>
          </w:p>
        </w:tc>
        <w:tc>
          <w:tcPr>
            <w:tcW w:w="841" w:type="pct"/>
            <w:vMerge/>
          </w:tcPr>
          <w:p w:rsidRPr="00C97A0D" w:rsidR="00D10057" w:rsidP="00C97A0D" w:rsidRDefault="00D10057" w14:paraId="5B269158" w14:textId="77777777">
            <w:pPr>
              <w:spacing w:after="120"/>
              <w:rPr>
                <w:sz w:val="22"/>
                <w:szCs w:val="20"/>
              </w:rPr>
            </w:pPr>
          </w:p>
        </w:tc>
        <w:tc>
          <w:tcPr>
            <w:tcW w:w="1025" w:type="pct"/>
            <w:vMerge/>
          </w:tcPr>
          <w:p w:rsidRPr="00C97A0D" w:rsidR="00D10057" w:rsidP="00C97A0D" w:rsidRDefault="00D10057" w14:paraId="71A2B395" w14:textId="77777777">
            <w:pPr>
              <w:spacing w:after="120"/>
              <w:rPr>
                <w:sz w:val="22"/>
                <w:szCs w:val="20"/>
              </w:rPr>
            </w:pPr>
          </w:p>
        </w:tc>
        <w:tc>
          <w:tcPr>
            <w:tcW w:w="1204" w:type="pct"/>
          </w:tcPr>
          <w:p w:rsidRPr="00C97A0D" w:rsidR="00D10057" w:rsidP="00C97A0D" w:rsidRDefault="00D10057" w14:paraId="09D05A70" w14:textId="7D08A4BA">
            <w:pPr>
              <w:spacing w:after="120"/>
              <w:rPr>
                <w:sz w:val="22"/>
                <w:szCs w:val="20"/>
              </w:rPr>
            </w:pPr>
            <w:r w:rsidRPr="00C97A0D">
              <w:rPr>
                <w:sz w:val="22"/>
                <w:szCs w:val="20"/>
              </w:rPr>
              <w:t xml:space="preserve">Cost per key stakeholders in workshops, trainings, seminars, conferences from financial intermediary level activities (Component 2) </w:t>
            </w:r>
          </w:p>
        </w:tc>
        <w:tc>
          <w:tcPr>
            <w:tcW w:w="604" w:type="pct"/>
            <w:vMerge/>
          </w:tcPr>
          <w:p w:rsidRPr="00C97A0D" w:rsidR="00D10057" w:rsidP="00C97A0D" w:rsidRDefault="00D10057" w14:paraId="192A1F2E" w14:textId="77777777">
            <w:pPr>
              <w:spacing w:after="120"/>
              <w:rPr>
                <w:sz w:val="22"/>
                <w:szCs w:val="20"/>
              </w:rPr>
            </w:pPr>
          </w:p>
        </w:tc>
        <w:tc>
          <w:tcPr>
            <w:tcW w:w="750" w:type="pct"/>
            <w:vMerge/>
          </w:tcPr>
          <w:p w:rsidRPr="00C97A0D" w:rsidR="00D10057" w:rsidP="00C97A0D" w:rsidRDefault="00D10057" w14:paraId="7FFAECCB" w14:textId="77777777">
            <w:pPr>
              <w:spacing w:after="120"/>
              <w:rPr>
                <w:sz w:val="22"/>
                <w:szCs w:val="20"/>
              </w:rPr>
            </w:pPr>
          </w:p>
        </w:tc>
      </w:tr>
      <w:tr w:rsidRPr="00C97A0D" w:rsidR="00D10057" w:rsidTr="00C97A0D" w14:paraId="6FCAD041" w14:textId="77777777">
        <w:tc>
          <w:tcPr>
            <w:tcW w:w="576" w:type="pct"/>
            <w:vMerge w:val="restart"/>
          </w:tcPr>
          <w:p w:rsidRPr="00C97A0D" w:rsidR="00D10057" w:rsidP="00C97A0D" w:rsidRDefault="00D10057" w14:paraId="391049F1" w14:textId="77777777">
            <w:pPr>
              <w:spacing w:after="120"/>
              <w:rPr>
                <w:sz w:val="22"/>
                <w:szCs w:val="20"/>
              </w:rPr>
            </w:pPr>
            <w:bookmarkStart w:name="_Hlk181112973" w:id="118"/>
            <w:r w:rsidRPr="00C97A0D">
              <w:rPr>
                <w:sz w:val="22"/>
                <w:szCs w:val="20"/>
              </w:rPr>
              <w:t>Effectiveness</w:t>
            </w:r>
          </w:p>
        </w:tc>
        <w:tc>
          <w:tcPr>
            <w:tcW w:w="841" w:type="pct"/>
            <w:vMerge w:val="restart"/>
          </w:tcPr>
          <w:p w:rsidRPr="00C97A0D" w:rsidR="00D10057" w:rsidP="00C97A0D" w:rsidRDefault="00D10057" w14:paraId="40F1830F" w14:textId="74B7A407">
            <w:pPr>
              <w:spacing w:after="120"/>
              <w:rPr>
                <w:sz w:val="22"/>
                <w:szCs w:val="20"/>
              </w:rPr>
            </w:pPr>
            <w:r w:rsidRPr="00C97A0D">
              <w:rPr>
                <w:sz w:val="22"/>
                <w:szCs w:val="20"/>
              </w:rPr>
              <w:t>The MAGC programme achieves its intended outcomes and impacts</w:t>
            </w:r>
          </w:p>
        </w:tc>
        <w:tc>
          <w:tcPr>
            <w:tcW w:w="1025" w:type="pct"/>
            <w:vMerge w:val="restart"/>
          </w:tcPr>
          <w:p w:rsidRPr="00C97A0D" w:rsidR="00D10057" w:rsidP="00C97A0D" w:rsidRDefault="00D10057" w14:paraId="0C3DAE7E" w14:textId="2BFCEF59">
            <w:pPr>
              <w:spacing w:after="120"/>
              <w:rPr>
                <w:sz w:val="22"/>
                <w:szCs w:val="20"/>
              </w:rPr>
            </w:pPr>
            <w:r w:rsidRPr="00C97A0D">
              <w:rPr>
                <w:sz w:val="22"/>
                <w:szCs w:val="20"/>
              </w:rPr>
              <w:t>Programme outcomes and impacts are achieved</w:t>
            </w:r>
          </w:p>
        </w:tc>
        <w:tc>
          <w:tcPr>
            <w:tcW w:w="1204" w:type="pct"/>
          </w:tcPr>
          <w:p w:rsidRPr="00C97A0D" w:rsidR="00D10057" w:rsidP="00C97A0D" w:rsidRDefault="00D10057" w14:paraId="355BDBA9" w14:textId="1AF80E95">
            <w:pPr>
              <w:spacing w:after="120"/>
              <w:rPr>
                <w:sz w:val="22"/>
                <w:szCs w:val="20"/>
              </w:rPr>
            </w:pPr>
            <w:r w:rsidRPr="00C97A0D">
              <w:rPr>
                <w:sz w:val="22"/>
                <w:szCs w:val="20"/>
              </w:rPr>
              <w:t>Evidence of outcomes and impact related to changes in market achieved</w:t>
            </w:r>
            <w:r w:rsidRPr="00C97A0D">
              <w:rPr>
                <w:rStyle w:val="FootnoteReference"/>
                <w:sz w:val="22"/>
                <w:szCs w:val="20"/>
              </w:rPr>
              <w:footnoteReference w:id="23"/>
            </w:r>
            <w:r w:rsidRPr="00C97A0D">
              <w:rPr>
                <w:sz w:val="22"/>
                <w:szCs w:val="20"/>
              </w:rPr>
              <w:t>,</w:t>
            </w:r>
            <w:r w:rsidRPr="00C97A0D">
              <w:rPr>
                <w:rStyle w:val="FootnoteReference"/>
                <w:sz w:val="22"/>
                <w:szCs w:val="20"/>
              </w:rPr>
              <w:footnoteReference w:id="24"/>
            </w:r>
          </w:p>
        </w:tc>
        <w:tc>
          <w:tcPr>
            <w:tcW w:w="604" w:type="pct"/>
          </w:tcPr>
          <w:p w:rsidRPr="00C97A0D" w:rsidR="00D10057" w:rsidP="00C97A0D" w:rsidRDefault="00D10057" w14:paraId="2006AB9A" w14:textId="615D05E2">
            <w:pPr>
              <w:spacing w:after="120"/>
              <w:rPr>
                <w:sz w:val="22"/>
                <w:szCs w:val="20"/>
              </w:rPr>
            </w:pPr>
            <w:r w:rsidRPr="00C97A0D">
              <w:rPr>
                <w:sz w:val="22"/>
                <w:szCs w:val="20"/>
              </w:rPr>
              <w:t>Qualitative and quantitative</w:t>
            </w:r>
          </w:p>
        </w:tc>
        <w:tc>
          <w:tcPr>
            <w:tcW w:w="750" w:type="pct"/>
          </w:tcPr>
          <w:p w:rsidRPr="00C97A0D" w:rsidR="00D10057" w:rsidP="00C97A0D" w:rsidRDefault="00D10057" w14:paraId="3AF1F82E" w14:textId="77777777">
            <w:pPr>
              <w:spacing w:after="120"/>
              <w:rPr>
                <w:sz w:val="22"/>
                <w:szCs w:val="20"/>
              </w:rPr>
            </w:pPr>
            <w:r w:rsidRPr="00C97A0D">
              <w:rPr>
                <w:sz w:val="22"/>
                <w:szCs w:val="20"/>
              </w:rPr>
              <w:t>Impact evaluation</w:t>
            </w:r>
          </w:p>
        </w:tc>
      </w:tr>
      <w:tr w:rsidRPr="00C97A0D" w:rsidR="00D10057" w:rsidTr="00C97A0D" w14:paraId="7DA97FA0" w14:textId="77777777">
        <w:tc>
          <w:tcPr>
            <w:tcW w:w="576" w:type="pct"/>
            <w:vMerge/>
          </w:tcPr>
          <w:p w:rsidRPr="00C97A0D" w:rsidR="00D10057" w:rsidP="00C97A0D" w:rsidRDefault="00D10057" w14:paraId="52A43BC2" w14:textId="77777777">
            <w:pPr>
              <w:spacing w:after="120"/>
              <w:rPr>
                <w:sz w:val="22"/>
                <w:szCs w:val="20"/>
              </w:rPr>
            </w:pPr>
          </w:p>
        </w:tc>
        <w:tc>
          <w:tcPr>
            <w:tcW w:w="841" w:type="pct"/>
            <w:vMerge/>
          </w:tcPr>
          <w:p w:rsidRPr="00C97A0D" w:rsidR="00D10057" w:rsidP="00C97A0D" w:rsidRDefault="00D10057" w14:paraId="01955BEB" w14:textId="77777777">
            <w:pPr>
              <w:spacing w:after="120"/>
              <w:rPr>
                <w:sz w:val="22"/>
                <w:szCs w:val="20"/>
              </w:rPr>
            </w:pPr>
          </w:p>
        </w:tc>
        <w:tc>
          <w:tcPr>
            <w:tcW w:w="1025" w:type="pct"/>
            <w:vMerge/>
          </w:tcPr>
          <w:p w:rsidRPr="00C97A0D" w:rsidR="00D10057" w:rsidP="00C97A0D" w:rsidRDefault="00D10057" w14:paraId="59F40310" w14:textId="77777777">
            <w:pPr>
              <w:spacing w:after="120"/>
              <w:rPr>
                <w:sz w:val="22"/>
                <w:szCs w:val="20"/>
              </w:rPr>
            </w:pPr>
          </w:p>
        </w:tc>
        <w:tc>
          <w:tcPr>
            <w:tcW w:w="1204" w:type="pct"/>
          </w:tcPr>
          <w:p w:rsidRPr="00C97A0D" w:rsidR="00D10057" w:rsidP="00C97A0D" w:rsidRDefault="00D10057" w14:paraId="01265B9A" w14:textId="460A42FD">
            <w:pPr>
              <w:spacing w:after="120"/>
              <w:rPr>
                <w:sz w:val="22"/>
                <w:szCs w:val="20"/>
              </w:rPr>
            </w:pPr>
            <w:r w:rsidRPr="00C97A0D">
              <w:rPr>
                <w:sz w:val="22"/>
                <w:szCs w:val="20"/>
              </w:rPr>
              <w:t>Energy use expected to be avoided from post design certified buildings (MWh per year)</w:t>
            </w:r>
          </w:p>
        </w:tc>
        <w:tc>
          <w:tcPr>
            <w:tcW w:w="604" w:type="pct"/>
          </w:tcPr>
          <w:p w:rsidRPr="00C97A0D" w:rsidR="00D10057" w:rsidP="00C97A0D" w:rsidRDefault="00D10057" w14:paraId="3794D945"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645FF9FE" w14:textId="77777777">
            <w:pPr>
              <w:spacing w:after="120"/>
              <w:rPr>
                <w:sz w:val="22"/>
                <w:szCs w:val="20"/>
              </w:rPr>
            </w:pPr>
            <w:r w:rsidRPr="00C97A0D">
              <w:rPr>
                <w:sz w:val="22"/>
                <w:szCs w:val="20"/>
              </w:rPr>
              <w:t>Programme log-frame data</w:t>
            </w:r>
          </w:p>
          <w:p w:rsidRPr="00C97A0D" w:rsidR="00D10057" w:rsidP="00C97A0D" w:rsidRDefault="00D10057" w14:paraId="510666FB" w14:textId="77777777">
            <w:pPr>
              <w:spacing w:after="120"/>
              <w:rPr>
                <w:sz w:val="22"/>
                <w:szCs w:val="20"/>
              </w:rPr>
            </w:pPr>
          </w:p>
        </w:tc>
      </w:tr>
      <w:tr w:rsidRPr="00C97A0D" w:rsidR="00D10057" w:rsidTr="00C97A0D" w14:paraId="4E5E1D85" w14:textId="77777777">
        <w:tc>
          <w:tcPr>
            <w:tcW w:w="576" w:type="pct"/>
            <w:vMerge/>
          </w:tcPr>
          <w:p w:rsidRPr="00C97A0D" w:rsidR="00D10057" w:rsidP="00C97A0D" w:rsidRDefault="00D10057" w14:paraId="6A921229" w14:textId="77777777">
            <w:pPr>
              <w:spacing w:after="120"/>
              <w:rPr>
                <w:sz w:val="22"/>
                <w:szCs w:val="20"/>
              </w:rPr>
            </w:pPr>
          </w:p>
        </w:tc>
        <w:tc>
          <w:tcPr>
            <w:tcW w:w="841" w:type="pct"/>
            <w:vMerge/>
          </w:tcPr>
          <w:p w:rsidRPr="00C97A0D" w:rsidR="00D10057" w:rsidP="00C97A0D" w:rsidRDefault="00D10057" w14:paraId="00CFA49C" w14:textId="77777777">
            <w:pPr>
              <w:spacing w:after="120"/>
              <w:rPr>
                <w:sz w:val="22"/>
                <w:szCs w:val="20"/>
              </w:rPr>
            </w:pPr>
          </w:p>
        </w:tc>
        <w:tc>
          <w:tcPr>
            <w:tcW w:w="1025" w:type="pct"/>
            <w:vMerge/>
          </w:tcPr>
          <w:p w:rsidRPr="00C97A0D" w:rsidR="00D10057" w:rsidP="00C97A0D" w:rsidRDefault="00D10057" w14:paraId="38EAB5DC" w14:textId="77777777">
            <w:pPr>
              <w:spacing w:after="120"/>
              <w:rPr>
                <w:sz w:val="22"/>
                <w:szCs w:val="20"/>
              </w:rPr>
            </w:pPr>
          </w:p>
        </w:tc>
        <w:tc>
          <w:tcPr>
            <w:tcW w:w="1204" w:type="pct"/>
          </w:tcPr>
          <w:p w:rsidRPr="00C97A0D" w:rsidR="00D10057" w:rsidP="00C97A0D" w:rsidRDefault="00D10057" w14:paraId="1F4F93D0" w14:textId="5D978E78">
            <w:pPr>
              <w:spacing w:after="120"/>
              <w:rPr>
                <w:sz w:val="22"/>
                <w:szCs w:val="20"/>
              </w:rPr>
            </w:pPr>
            <w:r w:rsidRPr="00C97A0D">
              <w:rPr>
                <w:sz w:val="22"/>
                <w:szCs w:val="20"/>
              </w:rPr>
              <w:t>GHG emissions expected to be avoided from post-design certified buildings financed with MAGC blended finance (tons CO2 per year)</w:t>
            </w:r>
          </w:p>
        </w:tc>
        <w:tc>
          <w:tcPr>
            <w:tcW w:w="604" w:type="pct"/>
          </w:tcPr>
          <w:p w:rsidRPr="00C97A0D" w:rsidR="00D10057" w:rsidP="00C97A0D" w:rsidRDefault="00D10057" w14:paraId="4AE65E2A"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02B755AA" w14:textId="77777777">
            <w:pPr>
              <w:spacing w:after="120"/>
              <w:rPr>
                <w:sz w:val="22"/>
                <w:szCs w:val="20"/>
              </w:rPr>
            </w:pPr>
            <w:r w:rsidRPr="00C97A0D">
              <w:rPr>
                <w:sz w:val="22"/>
                <w:szCs w:val="20"/>
              </w:rPr>
              <w:t>Programme log-frame data</w:t>
            </w:r>
          </w:p>
        </w:tc>
      </w:tr>
      <w:tr w:rsidRPr="00C97A0D" w:rsidR="00D10057" w:rsidTr="00C97A0D" w14:paraId="2E7DF4DD" w14:textId="77777777">
        <w:tc>
          <w:tcPr>
            <w:tcW w:w="576" w:type="pct"/>
            <w:vMerge/>
          </w:tcPr>
          <w:p w:rsidRPr="00C97A0D" w:rsidR="00D10057" w:rsidP="00C97A0D" w:rsidRDefault="00D10057" w14:paraId="0B9F4B18" w14:textId="77777777">
            <w:pPr>
              <w:spacing w:after="120"/>
              <w:rPr>
                <w:sz w:val="22"/>
                <w:szCs w:val="20"/>
              </w:rPr>
            </w:pPr>
          </w:p>
        </w:tc>
        <w:tc>
          <w:tcPr>
            <w:tcW w:w="841" w:type="pct"/>
            <w:vMerge/>
          </w:tcPr>
          <w:p w:rsidRPr="00C97A0D" w:rsidR="00D10057" w:rsidP="00C97A0D" w:rsidRDefault="00D10057" w14:paraId="79107EAE" w14:textId="77777777">
            <w:pPr>
              <w:spacing w:after="120"/>
              <w:rPr>
                <w:sz w:val="22"/>
                <w:szCs w:val="20"/>
              </w:rPr>
            </w:pPr>
          </w:p>
        </w:tc>
        <w:tc>
          <w:tcPr>
            <w:tcW w:w="1025" w:type="pct"/>
            <w:vMerge/>
          </w:tcPr>
          <w:p w:rsidRPr="00C97A0D" w:rsidR="00D10057" w:rsidP="00C97A0D" w:rsidRDefault="00D10057" w14:paraId="08D8C470" w14:textId="77777777">
            <w:pPr>
              <w:spacing w:after="120"/>
              <w:rPr>
                <w:sz w:val="22"/>
                <w:szCs w:val="20"/>
              </w:rPr>
            </w:pPr>
          </w:p>
        </w:tc>
        <w:tc>
          <w:tcPr>
            <w:tcW w:w="1204" w:type="pct"/>
          </w:tcPr>
          <w:p w:rsidRPr="00C97A0D" w:rsidR="00D10057" w:rsidP="00C97A0D" w:rsidRDefault="00D10057" w14:paraId="7EF4AD76" w14:textId="77777777">
            <w:pPr>
              <w:spacing w:after="120"/>
              <w:rPr>
                <w:sz w:val="22"/>
                <w:szCs w:val="20"/>
              </w:rPr>
            </w:pPr>
            <w:r w:rsidRPr="00C97A0D">
              <w:rPr>
                <w:sz w:val="22"/>
                <w:szCs w:val="20"/>
              </w:rPr>
              <w:t>Cumulative cost</w:t>
            </w:r>
            <w:r w:rsidRPr="00C97A0D">
              <w:rPr>
                <w:rStyle w:val="FootnoteReference"/>
                <w:sz w:val="22"/>
                <w:szCs w:val="20"/>
              </w:rPr>
              <w:footnoteReference w:id="25"/>
            </w:r>
            <w:r w:rsidRPr="00C97A0D">
              <w:rPr>
                <w:sz w:val="22"/>
                <w:szCs w:val="20"/>
              </w:rPr>
              <w:t xml:space="preserve"> expected to be avoided from design certified green buildings financed with MAGC blended finance.</w:t>
            </w:r>
          </w:p>
        </w:tc>
        <w:tc>
          <w:tcPr>
            <w:tcW w:w="604" w:type="pct"/>
          </w:tcPr>
          <w:p w:rsidRPr="00C97A0D" w:rsidR="00D10057" w:rsidP="00C97A0D" w:rsidRDefault="00D10057" w14:paraId="0BAF9197"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6970FBEF" w14:textId="1FF08EDE">
            <w:pPr>
              <w:spacing w:after="120"/>
              <w:rPr>
                <w:sz w:val="22"/>
                <w:szCs w:val="20"/>
              </w:rPr>
            </w:pPr>
            <w:r w:rsidRPr="00C97A0D">
              <w:rPr>
                <w:sz w:val="22"/>
                <w:szCs w:val="20"/>
              </w:rPr>
              <w:t>Programme log-frame data</w:t>
            </w:r>
          </w:p>
        </w:tc>
      </w:tr>
      <w:tr w:rsidRPr="00C97A0D" w:rsidR="00D10057" w:rsidTr="00C97A0D" w14:paraId="7EA8B16F" w14:textId="77777777">
        <w:tc>
          <w:tcPr>
            <w:tcW w:w="576" w:type="pct"/>
            <w:vMerge w:val="restart"/>
          </w:tcPr>
          <w:p w:rsidRPr="00C97A0D" w:rsidR="00D10057" w:rsidP="00C97A0D" w:rsidRDefault="00D10057" w14:paraId="3127917C" w14:textId="77777777">
            <w:pPr>
              <w:spacing w:after="120"/>
              <w:rPr>
                <w:sz w:val="22"/>
                <w:szCs w:val="20"/>
              </w:rPr>
            </w:pPr>
            <w:r w:rsidRPr="00C97A0D">
              <w:rPr>
                <w:sz w:val="22"/>
                <w:szCs w:val="20"/>
              </w:rPr>
              <w:t>Cost-effectiveness</w:t>
            </w:r>
          </w:p>
        </w:tc>
        <w:tc>
          <w:tcPr>
            <w:tcW w:w="841" w:type="pct"/>
            <w:vMerge w:val="restart"/>
          </w:tcPr>
          <w:p w:rsidRPr="00C97A0D" w:rsidR="00D10057" w:rsidP="00C97A0D" w:rsidRDefault="00D10057" w14:paraId="56051BA9" w14:textId="28778E42">
            <w:pPr>
              <w:spacing w:after="120"/>
              <w:rPr>
                <w:sz w:val="22"/>
                <w:szCs w:val="20"/>
              </w:rPr>
            </w:pPr>
            <w:r w:rsidRPr="00C97A0D">
              <w:rPr>
                <w:sz w:val="22"/>
                <w:szCs w:val="20"/>
              </w:rPr>
              <w:t xml:space="preserve">The MAGC programme creates </w:t>
            </w:r>
            <w:r w:rsidRPr="00C97A0D">
              <w:rPr>
                <w:sz w:val="22"/>
                <w:szCs w:val="20"/>
              </w:rPr>
              <w:t>more value than its costs</w:t>
            </w:r>
          </w:p>
        </w:tc>
        <w:tc>
          <w:tcPr>
            <w:tcW w:w="1025" w:type="pct"/>
          </w:tcPr>
          <w:p w:rsidRPr="00C97A0D" w:rsidR="00D10057" w:rsidP="00C97A0D" w:rsidRDefault="00D10057" w14:paraId="1D030587" w14:textId="77777777">
            <w:pPr>
              <w:spacing w:after="120"/>
              <w:rPr>
                <w:sz w:val="22"/>
                <w:szCs w:val="20"/>
              </w:rPr>
            </w:pPr>
            <w:r w:rsidRPr="00C97A0D">
              <w:rPr>
                <w:sz w:val="22"/>
                <w:szCs w:val="20"/>
              </w:rPr>
              <w:t>Resource consumption</w:t>
            </w:r>
          </w:p>
        </w:tc>
        <w:tc>
          <w:tcPr>
            <w:tcW w:w="1204" w:type="pct"/>
          </w:tcPr>
          <w:p w:rsidRPr="00C97A0D" w:rsidR="00D10057" w:rsidP="00C97A0D" w:rsidRDefault="00D10057" w14:paraId="17F7CB6F" w14:textId="77777777">
            <w:pPr>
              <w:spacing w:after="120"/>
              <w:rPr>
                <w:sz w:val="22"/>
                <w:szCs w:val="20"/>
              </w:rPr>
            </w:pPr>
            <w:r w:rsidRPr="00C97A0D">
              <w:rPr>
                <w:sz w:val="22"/>
                <w:szCs w:val="20"/>
              </w:rPr>
              <w:t>Programme costs (total)</w:t>
            </w:r>
          </w:p>
        </w:tc>
        <w:tc>
          <w:tcPr>
            <w:tcW w:w="604" w:type="pct"/>
          </w:tcPr>
          <w:p w:rsidRPr="00C97A0D" w:rsidR="00D10057" w:rsidP="00C97A0D" w:rsidRDefault="00D10057" w14:paraId="18442E6E" w14:textId="77777777">
            <w:pPr>
              <w:spacing w:after="120"/>
              <w:rPr>
                <w:sz w:val="22"/>
                <w:szCs w:val="20"/>
              </w:rPr>
            </w:pPr>
            <w:r w:rsidRPr="00C97A0D">
              <w:rPr>
                <w:sz w:val="22"/>
                <w:szCs w:val="20"/>
              </w:rPr>
              <w:t>Monetary</w:t>
            </w:r>
          </w:p>
        </w:tc>
        <w:tc>
          <w:tcPr>
            <w:tcW w:w="750" w:type="pct"/>
          </w:tcPr>
          <w:p w:rsidRPr="00C97A0D" w:rsidR="00D10057" w:rsidP="00C97A0D" w:rsidRDefault="00D10057" w14:paraId="0AB5E1EB" w14:textId="3EB1AC35">
            <w:pPr>
              <w:spacing w:after="120"/>
              <w:rPr>
                <w:sz w:val="22"/>
                <w:szCs w:val="20"/>
              </w:rPr>
            </w:pPr>
            <w:r w:rsidRPr="00C97A0D">
              <w:rPr>
                <w:sz w:val="22"/>
                <w:szCs w:val="20"/>
              </w:rPr>
              <w:t>Programme financial data</w:t>
            </w:r>
          </w:p>
        </w:tc>
      </w:tr>
      <w:tr w:rsidRPr="00C97A0D" w:rsidR="00D10057" w:rsidTr="00C97A0D" w14:paraId="0FB4E52E" w14:textId="77777777">
        <w:tc>
          <w:tcPr>
            <w:tcW w:w="576" w:type="pct"/>
            <w:vMerge/>
          </w:tcPr>
          <w:p w:rsidRPr="00C97A0D" w:rsidR="00D10057" w:rsidP="00C97A0D" w:rsidRDefault="00D10057" w14:paraId="28ABF0F4" w14:textId="77777777">
            <w:pPr>
              <w:spacing w:after="120"/>
              <w:rPr>
                <w:sz w:val="22"/>
                <w:szCs w:val="20"/>
              </w:rPr>
            </w:pPr>
          </w:p>
        </w:tc>
        <w:tc>
          <w:tcPr>
            <w:tcW w:w="841" w:type="pct"/>
            <w:vMerge/>
          </w:tcPr>
          <w:p w:rsidRPr="00C97A0D" w:rsidR="00D10057" w:rsidP="00C97A0D" w:rsidRDefault="00D10057" w14:paraId="67477D68" w14:textId="77777777">
            <w:pPr>
              <w:spacing w:after="120"/>
              <w:rPr>
                <w:sz w:val="22"/>
                <w:szCs w:val="20"/>
              </w:rPr>
            </w:pPr>
          </w:p>
        </w:tc>
        <w:tc>
          <w:tcPr>
            <w:tcW w:w="1025" w:type="pct"/>
          </w:tcPr>
          <w:p w:rsidRPr="00C97A0D" w:rsidR="00D10057" w:rsidP="00C97A0D" w:rsidRDefault="00D10057" w14:paraId="3CA2E489" w14:textId="77777777">
            <w:pPr>
              <w:spacing w:after="120"/>
              <w:rPr>
                <w:sz w:val="22"/>
                <w:szCs w:val="20"/>
              </w:rPr>
            </w:pPr>
            <w:r w:rsidRPr="00C97A0D">
              <w:rPr>
                <w:sz w:val="22"/>
                <w:szCs w:val="20"/>
              </w:rPr>
              <w:t>Value creation</w:t>
            </w:r>
          </w:p>
        </w:tc>
        <w:tc>
          <w:tcPr>
            <w:tcW w:w="1204" w:type="pct"/>
          </w:tcPr>
          <w:p w:rsidRPr="00C97A0D" w:rsidR="00D10057" w:rsidP="00C97A0D" w:rsidRDefault="00D10057" w14:paraId="502628DF" w14:textId="734F8E5C">
            <w:pPr>
              <w:spacing w:after="120"/>
              <w:rPr>
                <w:sz w:val="22"/>
                <w:szCs w:val="20"/>
              </w:rPr>
            </w:pPr>
            <w:r w:rsidRPr="00C97A0D">
              <w:rPr>
                <w:sz w:val="22"/>
                <w:szCs w:val="20"/>
              </w:rPr>
              <w:t>Qualitative assessment of value created compared to programme costs</w:t>
            </w:r>
            <w:r w:rsidRPr="00C97A0D">
              <w:rPr>
                <w:rStyle w:val="FootnoteReference"/>
                <w:sz w:val="22"/>
                <w:szCs w:val="20"/>
              </w:rPr>
              <w:footnoteReference w:id="26"/>
            </w:r>
          </w:p>
        </w:tc>
        <w:tc>
          <w:tcPr>
            <w:tcW w:w="604" w:type="pct"/>
          </w:tcPr>
          <w:p w:rsidRPr="00C97A0D" w:rsidR="00D10057" w:rsidP="00C97A0D" w:rsidRDefault="00D10057" w14:paraId="62FAC954" w14:textId="77777777">
            <w:pPr>
              <w:spacing w:after="120"/>
              <w:rPr>
                <w:sz w:val="22"/>
                <w:szCs w:val="20"/>
              </w:rPr>
            </w:pPr>
            <w:r w:rsidRPr="00C97A0D">
              <w:rPr>
                <w:sz w:val="22"/>
                <w:szCs w:val="20"/>
              </w:rPr>
              <w:t>Qualitative</w:t>
            </w:r>
          </w:p>
        </w:tc>
        <w:tc>
          <w:tcPr>
            <w:tcW w:w="750" w:type="pct"/>
          </w:tcPr>
          <w:p w:rsidRPr="00C97A0D" w:rsidR="00D10057" w:rsidP="00C97A0D" w:rsidRDefault="00D10057" w14:paraId="4A0A7EF2" w14:textId="0A381044">
            <w:pPr>
              <w:spacing w:after="120"/>
              <w:rPr>
                <w:sz w:val="22"/>
                <w:szCs w:val="20"/>
              </w:rPr>
            </w:pPr>
            <w:r w:rsidRPr="00C97A0D">
              <w:rPr>
                <w:sz w:val="22"/>
                <w:szCs w:val="20"/>
              </w:rPr>
              <w:t>Impact evaluation, synthesis of effectiveness criterion</w:t>
            </w:r>
          </w:p>
        </w:tc>
      </w:tr>
      <w:bookmarkEnd w:id="118"/>
      <w:tr w:rsidRPr="00C97A0D" w:rsidR="00D10057" w:rsidTr="00C97A0D" w14:paraId="2E4614B6" w14:textId="77777777">
        <w:trPr>
          <w:trHeight w:val="1562"/>
        </w:trPr>
        <w:tc>
          <w:tcPr>
            <w:tcW w:w="576" w:type="pct"/>
            <w:vMerge w:val="restart"/>
          </w:tcPr>
          <w:p w:rsidRPr="00C97A0D" w:rsidR="00D10057" w:rsidP="00C97A0D" w:rsidRDefault="00D10057" w14:paraId="29C8D254" w14:textId="77777777">
            <w:pPr>
              <w:spacing w:after="120"/>
              <w:rPr>
                <w:sz w:val="22"/>
                <w:szCs w:val="20"/>
              </w:rPr>
            </w:pPr>
            <w:r w:rsidRPr="00C97A0D">
              <w:rPr>
                <w:sz w:val="22"/>
                <w:szCs w:val="20"/>
              </w:rPr>
              <w:t>Equity</w:t>
            </w:r>
          </w:p>
        </w:tc>
        <w:tc>
          <w:tcPr>
            <w:tcW w:w="841" w:type="pct"/>
            <w:vMerge w:val="restart"/>
          </w:tcPr>
          <w:p w:rsidRPr="00C97A0D" w:rsidR="00D10057" w:rsidP="00C97A0D" w:rsidRDefault="00D10057" w14:paraId="1839B856" w14:textId="5AD084AE">
            <w:pPr>
              <w:spacing w:after="120"/>
              <w:rPr>
                <w:sz w:val="22"/>
                <w:szCs w:val="20"/>
              </w:rPr>
            </w:pPr>
            <w:r w:rsidRPr="00C97A0D">
              <w:rPr>
                <w:sz w:val="22"/>
                <w:szCs w:val="20"/>
              </w:rPr>
              <w:t>How well are programme benefits distributed to also benefit women and marginalised groups</w:t>
            </w:r>
          </w:p>
        </w:tc>
        <w:tc>
          <w:tcPr>
            <w:tcW w:w="1025" w:type="pct"/>
          </w:tcPr>
          <w:p w:rsidRPr="00C97A0D" w:rsidR="00D10057" w:rsidP="00C97A0D" w:rsidRDefault="00D10057" w14:paraId="79616A38" w14:textId="397DA388">
            <w:pPr>
              <w:spacing w:after="120"/>
              <w:rPr>
                <w:sz w:val="22"/>
                <w:szCs w:val="20"/>
              </w:rPr>
            </w:pPr>
            <w:r w:rsidRPr="00C97A0D">
              <w:rPr>
                <w:sz w:val="22"/>
                <w:szCs w:val="20"/>
              </w:rPr>
              <w:t>Extent to which the programme management and delivery employs women (internal)</w:t>
            </w:r>
          </w:p>
        </w:tc>
        <w:tc>
          <w:tcPr>
            <w:tcW w:w="1204" w:type="pct"/>
          </w:tcPr>
          <w:p w:rsidRPr="00C97A0D" w:rsidR="00D10057" w:rsidP="00C97A0D" w:rsidRDefault="00D10057" w14:paraId="2934E247" w14:textId="21F22527">
            <w:pPr>
              <w:spacing w:after="120"/>
              <w:rPr>
                <w:sz w:val="22"/>
                <w:szCs w:val="20"/>
              </w:rPr>
            </w:pPr>
            <w:r w:rsidRPr="00C97A0D">
              <w:rPr>
                <w:sz w:val="22"/>
                <w:szCs w:val="20"/>
              </w:rPr>
              <w:t>Number (and share) of female staff working within the MAGC programme (administrative and delivery)</w:t>
            </w:r>
            <w:r w:rsidRPr="00C97A0D">
              <w:rPr>
                <w:rStyle w:val="FootnoteReference"/>
                <w:sz w:val="22"/>
                <w:szCs w:val="20"/>
              </w:rPr>
              <w:footnoteReference w:id="27"/>
            </w:r>
          </w:p>
        </w:tc>
        <w:tc>
          <w:tcPr>
            <w:tcW w:w="604" w:type="pct"/>
          </w:tcPr>
          <w:p w:rsidRPr="00C97A0D" w:rsidR="00D10057" w:rsidP="00C97A0D" w:rsidRDefault="00D10057" w14:paraId="6CD9820D"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6F5F18C4" w14:textId="77777777">
            <w:pPr>
              <w:spacing w:after="120"/>
              <w:rPr>
                <w:sz w:val="22"/>
                <w:szCs w:val="20"/>
              </w:rPr>
            </w:pPr>
            <w:r w:rsidRPr="00C97A0D">
              <w:rPr>
                <w:sz w:val="22"/>
                <w:szCs w:val="20"/>
              </w:rPr>
              <w:t>Programme documentation</w:t>
            </w:r>
          </w:p>
        </w:tc>
      </w:tr>
      <w:tr w:rsidRPr="00C97A0D" w:rsidR="00D10057" w:rsidTr="00C97A0D" w14:paraId="0FC99FDD" w14:textId="77777777">
        <w:tc>
          <w:tcPr>
            <w:tcW w:w="576" w:type="pct"/>
            <w:vMerge/>
          </w:tcPr>
          <w:p w:rsidRPr="00C97A0D" w:rsidR="00D10057" w:rsidP="00C97A0D" w:rsidRDefault="00D10057" w14:paraId="5195472F" w14:textId="77777777">
            <w:pPr>
              <w:spacing w:after="120"/>
              <w:rPr>
                <w:sz w:val="22"/>
                <w:szCs w:val="20"/>
              </w:rPr>
            </w:pPr>
          </w:p>
        </w:tc>
        <w:tc>
          <w:tcPr>
            <w:tcW w:w="841" w:type="pct"/>
            <w:vMerge/>
          </w:tcPr>
          <w:p w:rsidRPr="00C97A0D" w:rsidR="00D10057" w:rsidP="00C97A0D" w:rsidRDefault="00D10057" w14:paraId="66D8B156" w14:textId="77777777">
            <w:pPr>
              <w:spacing w:after="120"/>
              <w:rPr>
                <w:sz w:val="22"/>
                <w:szCs w:val="20"/>
              </w:rPr>
            </w:pPr>
          </w:p>
        </w:tc>
        <w:tc>
          <w:tcPr>
            <w:tcW w:w="1025" w:type="pct"/>
            <w:vMerge w:val="restart"/>
          </w:tcPr>
          <w:p w:rsidRPr="00C97A0D" w:rsidR="00D10057" w:rsidP="00C97A0D" w:rsidRDefault="00D10057" w14:paraId="2218133A" w14:textId="2476E593">
            <w:pPr>
              <w:spacing w:after="120"/>
              <w:rPr>
                <w:sz w:val="22"/>
                <w:szCs w:val="20"/>
              </w:rPr>
            </w:pPr>
            <w:r w:rsidRPr="00C97A0D">
              <w:rPr>
                <w:sz w:val="22"/>
                <w:szCs w:val="20"/>
              </w:rPr>
              <w:t>Evidence of the programme activities resulting in benefits to women and marginalised groups (external)</w:t>
            </w:r>
          </w:p>
        </w:tc>
        <w:tc>
          <w:tcPr>
            <w:tcW w:w="1204" w:type="pct"/>
          </w:tcPr>
          <w:p w:rsidRPr="00C97A0D" w:rsidR="00D10057" w:rsidP="00C97A0D" w:rsidRDefault="00D10057" w14:paraId="10A64987" w14:textId="59F61ADF">
            <w:pPr>
              <w:spacing w:after="120"/>
              <w:rPr>
                <w:sz w:val="22"/>
                <w:szCs w:val="20"/>
              </w:rPr>
            </w:pPr>
            <w:r w:rsidRPr="00C97A0D">
              <w:rPr>
                <w:sz w:val="22"/>
                <w:szCs w:val="20"/>
              </w:rPr>
              <w:t xml:space="preserve">Number (and share) of female key stakeholders in workshops, trainings, seminars, conferences from financial intermediary level activities (Component 2) </w:t>
            </w:r>
            <w:r w:rsidRPr="00C97A0D">
              <w:rPr>
                <w:rStyle w:val="FootnoteReference"/>
                <w:sz w:val="22"/>
                <w:szCs w:val="20"/>
              </w:rPr>
              <w:footnoteReference w:id="28"/>
            </w:r>
          </w:p>
        </w:tc>
        <w:tc>
          <w:tcPr>
            <w:tcW w:w="604" w:type="pct"/>
          </w:tcPr>
          <w:p w:rsidRPr="00C97A0D" w:rsidR="00D10057" w:rsidP="00C97A0D" w:rsidRDefault="00D10057" w14:paraId="565F6F06"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26330EC0" w14:textId="77777777">
            <w:pPr>
              <w:spacing w:after="120"/>
              <w:rPr>
                <w:sz w:val="22"/>
                <w:szCs w:val="20"/>
              </w:rPr>
            </w:pPr>
            <w:r w:rsidRPr="00C97A0D">
              <w:rPr>
                <w:sz w:val="22"/>
                <w:szCs w:val="20"/>
              </w:rPr>
              <w:t>Programme documentation</w:t>
            </w:r>
          </w:p>
        </w:tc>
      </w:tr>
      <w:tr w:rsidRPr="00C97A0D" w:rsidR="00D10057" w:rsidTr="00C97A0D" w14:paraId="5743C817" w14:textId="77777777">
        <w:tc>
          <w:tcPr>
            <w:tcW w:w="576" w:type="pct"/>
            <w:vMerge/>
          </w:tcPr>
          <w:p w:rsidRPr="00C97A0D" w:rsidR="00D10057" w:rsidP="00C97A0D" w:rsidRDefault="00D10057" w14:paraId="45069908" w14:textId="77777777">
            <w:pPr>
              <w:spacing w:after="120"/>
              <w:rPr>
                <w:sz w:val="22"/>
                <w:szCs w:val="20"/>
              </w:rPr>
            </w:pPr>
          </w:p>
        </w:tc>
        <w:tc>
          <w:tcPr>
            <w:tcW w:w="841" w:type="pct"/>
            <w:vMerge/>
          </w:tcPr>
          <w:p w:rsidRPr="00C97A0D" w:rsidR="00D10057" w:rsidP="00C97A0D" w:rsidRDefault="00D10057" w14:paraId="2929A724" w14:textId="77777777">
            <w:pPr>
              <w:spacing w:after="120"/>
              <w:rPr>
                <w:sz w:val="22"/>
                <w:szCs w:val="20"/>
              </w:rPr>
            </w:pPr>
          </w:p>
        </w:tc>
        <w:tc>
          <w:tcPr>
            <w:tcW w:w="1025" w:type="pct"/>
            <w:vMerge/>
          </w:tcPr>
          <w:p w:rsidRPr="00C97A0D" w:rsidR="00D10057" w:rsidP="00C97A0D" w:rsidRDefault="00D10057" w14:paraId="3DFDE4BF" w14:textId="77777777">
            <w:pPr>
              <w:spacing w:after="120"/>
              <w:rPr>
                <w:sz w:val="22"/>
                <w:szCs w:val="20"/>
              </w:rPr>
            </w:pPr>
          </w:p>
        </w:tc>
        <w:tc>
          <w:tcPr>
            <w:tcW w:w="1204" w:type="pct"/>
          </w:tcPr>
          <w:p w:rsidRPr="00C97A0D" w:rsidR="00D10057" w:rsidP="00C97A0D" w:rsidRDefault="00D10057" w14:paraId="503D56F7" w14:textId="66A6E41E">
            <w:pPr>
              <w:spacing w:after="120"/>
              <w:rPr>
                <w:sz w:val="22"/>
                <w:szCs w:val="20"/>
              </w:rPr>
            </w:pPr>
            <w:r w:rsidRPr="00C97A0D">
              <w:rPr>
                <w:sz w:val="22"/>
                <w:szCs w:val="20"/>
              </w:rPr>
              <w:t>Share of investment funding social housing</w:t>
            </w:r>
          </w:p>
        </w:tc>
        <w:tc>
          <w:tcPr>
            <w:tcW w:w="604" w:type="pct"/>
          </w:tcPr>
          <w:p w:rsidRPr="00C97A0D" w:rsidR="00D10057" w:rsidP="00C97A0D" w:rsidRDefault="00D10057" w14:paraId="5C3E2AEE"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5801C733" w14:textId="77777777">
            <w:pPr>
              <w:spacing w:after="120"/>
              <w:rPr>
                <w:sz w:val="22"/>
                <w:szCs w:val="20"/>
              </w:rPr>
            </w:pPr>
            <w:r w:rsidRPr="00C97A0D">
              <w:rPr>
                <w:sz w:val="22"/>
                <w:szCs w:val="20"/>
              </w:rPr>
              <w:t>Programme documentation</w:t>
            </w:r>
          </w:p>
        </w:tc>
      </w:tr>
      <w:tr w:rsidRPr="00C97A0D" w:rsidR="00D10057" w:rsidTr="00C97A0D" w14:paraId="2E99386D" w14:textId="77777777">
        <w:tc>
          <w:tcPr>
            <w:tcW w:w="576" w:type="pct"/>
            <w:vMerge/>
          </w:tcPr>
          <w:p w:rsidRPr="00C97A0D" w:rsidR="00D10057" w:rsidP="00C97A0D" w:rsidRDefault="00D10057" w14:paraId="5E600F04" w14:textId="77777777">
            <w:pPr>
              <w:spacing w:after="120"/>
              <w:rPr>
                <w:sz w:val="22"/>
                <w:szCs w:val="20"/>
              </w:rPr>
            </w:pPr>
          </w:p>
        </w:tc>
        <w:tc>
          <w:tcPr>
            <w:tcW w:w="841" w:type="pct"/>
            <w:vMerge/>
          </w:tcPr>
          <w:p w:rsidRPr="00C97A0D" w:rsidR="00D10057" w:rsidP="00C97A0D" w:rsidRDefault="00D10057" w14:paraId="262D058A" w14:textId="77777777">
            <w:pPr>
              <w:spacing w:after="120"/>
              <w:rPr>
                <w:sz w:val="22"/>
                <w:szCs w:val="20"/>
              </w:rPr>
            </w:pPr>
          </w:p>
        </w:tc>
        <w:tc>
          <w:tcPr>
            <w:tcW w:w="1025" w:type="pct"/>
            <w:vMerge/>
          </w:tcPr>
          <w:p w:rsidRPr="00C97A0D" w:rsidR="00D10057" w:rsidP="00C97A0D" w:rsidRDefault="00D10057" w14:paraId="283A46FE" w14:textId="77777777">
            <w:pPr>
              <w:spacing w:after="120"/>
              <w:rPr>
                <w:sz w:val="22"/>
                <w:szCs w:val="20"/>
              </w:rPr>
            </w:pPr>
          </w:p>
        </w:tc>
        <w:tc>
          <w:tcPr>
            <w:tcW w:w="1204" w:type="pct"/>
          </w:tcPr>
          <w:p w:rsidRPr="00C97A0D" w:rsidR="00D10057" w:rsidP="00C97A0D" w:rsidRDefault="00D10057" w14:paraId="5EC2392A" w14:textId="5E4BF888">
            <w:pPr>
              <w:spacing w:after="120"/>
              <w:rPr>
                <w:sz w:val="22"/>
                <w:szCs w:val="20"/>
              </w:rPr>
            </w:pPr>
            <w:r w:rsidRPr="00C97A0D">
              <w:rPr>
                <w:sz w:val="22"/>
                <w:szCs w:val="20"/>
              </w:rPr>
              <w:t>Green building floor space financed by MAGC FIs with EDGE post-construction certification that is social housing</w:t>
            </w:r>
          </w:p>
        </w:tc>
        <w:tc>
          <w:tcPr>
            <w:tcW w:w="604" w:type="pct"/>
          </w:tcPr>
          <w:p w:rsidRPr="00C97A0D" w:rsidR="00D10057" w:rsidP="00C97A0D" w:rsidRDefault="00D10057" w14:paraId="5C17F79E" w14:textId="77777777">
            <w:pPr>
              <w:spacing w:after="120"/>
              <w:rPr>
                <w:sz w:val="22"/>
                <w:szCs w:val="20"/>
              </w:rPr>
            </w:pPr>
            <w:r w:rsidRPr="00C97A0D">
              <w:rPr>
                <w:sz w:val="22"/>
                <w:szCs w:val="20"/>
              </w:rPr>
              <w:t>Quantitative</w:t>
            </w:r>
          </w:p>
        </w:tc>
        <w:tc>
          <w:tcPr>
            <w:tcW w:w="750" w:type="pct"/>
          </w:tcPr>
          <w:p w:rsidRPr="00C97A0D" w:rsidR="00D10057" w:rsidP="00C97A0D" w:rsidRDefault="00D10057" w14:paraId="1E834FCD" w14:textId="77777777">
            <w:pPr>
              <w:spacing w:after="120"/>
              <w:rPr>
                <w:sz w:val="22"/>
                <w:szCs w:val="20"/>
              </w:rPr>
            </w:pPr>
            <w:r w:rsidRPr="00C97A0D">
              <w:rPr>
                <w:sz w:val="22"/>
                <w:szCs w:val="20"/>
              </w:rPr>
              <w:t>Programme documentation</w:t>
            </w:r>
          </w:p>
        </w:tc>
      </w:tr>
    </w:tbl>
    <w:p w:rsidR="00D10057" w:rsidP="00D10057" w:rsidRDefault="00D10057" w14:paraId="471675FA" w14:textId="77777777">
      <w:pPr>
        <w:pStyle w:val="Heading2"/>
      </w:pPr>
      <w:bookmarkStart w:name="_Toc181883592" w:id="119"/>
      <w:bookmarkStart w:name="_Toc188870876" w:id="120"/>
      <w:bookmarkStart w:name="_Toc207790215" w:id="121"/>
      <w:r w:rsidRPr="00F626F6">
        <w:t>Value for Money Rubric</w:t>
      </w:r>
      <w:bookmarkEnd w:id="119"/>
      <w:bookmarkEnd w:id="120"/>
      <w:bookmarkEnd w:id="121"/>
    </w:p>
    <w:p w:rsidRPr="00E13638" w:rsidR="005F364E" w:rsidP="00E13638" w:rsidRDefault="005F364E" w14:paraId="3A05AD01" w14:textId="17C3C464">
      <w:pPr>
        <w:rPr>
          <w:b/>
          <w:bCs/>
        </w:rPr>
      </w:pPr>
      <w:r>
        <w:rPr>
          <w:b/>
          <w:bCs/>
        </w:rPr>
        <w:t>Table 11. Value for Money rubric</w:t>
      </w:r>
    </w:p>
    <w:tbl>
      <w:tblPr>
        <w:tblStyle w:val="Table-Darkblue"/>
        <w:tblW w:w="0" w:type="auto"/>
        <w:tblLook w:val="04A0" w:firstRow="1" w:lastRow="0" w:firstColumn="1" w:lastColumn="0" w:noHBand="0" w:noVBand="1"/>
      </w:tblPr>
      <w:tblGrid>
        <w:gridCol w:w="1244"/>
        <w:gridCol w:w="2651"/>
        <w:gridCol w:w="2652"/>
        <w:gridCol w:w="2652"/>
        <w:gridCol w:w="2652"/>
        <w:gridCol w:w="2652"/>
      </w:tblGrid>
      <w:tr w:rsidRPr="00C97A0D" w:rsidR="00D10057" w14:paraId="79507682" w14:textId="77777777">
        <w:trPr>
          <w:cnfStyle w:val="100000000000" w:firstRow="1" w:lastRow="0" w:firstColumn="0" w:lastColumn="0" w:oddVBand="0" w:evenVBand="0" w:oddHBand="0" w:evenHBand="0" w:firstRowFirstColumn="0" w:firstRowLastColumn="0" w:lastRowFirstColumn="0" w:lastRowLastColumn="0"/>
        </w:trPr>
        <w:tc>
          <w:tcPr>
            <w:tcW w:w="0" w:type="auto"/>
          </w:tcPr>
          <w:p w:rsidRPr="00C97A0D" w:rsidR="00D10057" w:rsidP="00C97A0D" w:rsidRDefault="00D10057" w14:paraId="43B8E37E" w14:textId="77777777">
            <w:pPr>
              <w:spacing w:after="120"/>
              <w:rPr>
                <w:sz w:val="22"/>
                <w:szCs w:val="20"/>
              </w:rPr>
            </w:pPr>
            <w:bookmarkStart w:name="_Hlk181113013" w:id="122"/>
            <w:r w:rsidRPr="00C97A0D">
              <w:rPr>
                <w:sz w:val="22"/>
                <w:szCs w:val="20"/>
              </w:rPr>
              <w:t>Rating/ Criterion</w:t>
            </w:r>
          </w:p>
        </w:tc>
        <w:tc>
          <w:tcPr>
            <w:tcW w:w="2651" w:type="dxa"/>
          </w:tcPr>
          <w:p w:rsidRPr="00C97A0D" w:rsidR="00D10057" w:rsidP="00C97A0D" w:rsidRDefault="00D10057" w14:paraId="26FC334A" w14:textId="77777777">
            <w:pPr>
              <w:spacing w:after="120"/>
              <w:rPr>
                <w:sz w:val="22"/>
                <w:szCs w:val="20"/>
              </w:rPr>
            </w:pPr>
            <w:r w:rsidRPr="00C97A0D">
              <w:rPr>
                <w:sz w:val="22"/>
                <w:szCs w:val="20"/>
              </w:rPr>
              <w:t>Economy</w:t>
            </w:r>
          </w:p>
        </w:tc>
        <w:tc>
          <w:tcPr>
            <w:tcW w:w="2652" w:type="dxa"/>
          </w:tcPr>
          <w:p w:rsidRPr="00C97A0D" w:rsidR="00D10057" w:rsidP="00C97A0D" w:rsidRDefault="00D10057" w14:paraId="3448618B" w14:textId="77777777">
            <w:pPr>
              <w:spacing w:after="120"/>
              <w:rPr>
                <w:sz w:val="22"/>
                <w:szCs w:val="20"/>
              </w:rPr>
            </w:pPr>
            <w:r w:rsidRPr="00C97A0D">
              <w:rPr>
                <w:sz w:val="22"/>
                <w:szCs w:val="20"/>
              </w:rPr>
              <w:t>Efficiency</w:t>
            </w:r>
          </w:p>
        </w:tc>
        <w:tc>
          <w:tcPr>
            <w:tcW w:w="2652" w:type="dxa"/>
          </w:tcPr>
          <w:p w:rsidRPr="00C97A0D" w:rsidR="00D10057" w:rsidP="00C97A0D" w:rsidRDefault="00D10057" w14:paraId="57D2EC28" w14:textId="77777777">
            <w:pPr>
              <w:spacing w:after="120"/>
              <w:rPr>
                <w:sz w:val="22"/>
                <w:szCs w:val="20"/>
              </w:rPr>
            </w:pPr>
            <w:r w:rsidRPr="00C97A0D">
              <w:rPr>
                <w:sz w:val="22"/>
                <w:szCs w:val="20"/>
              </w:rPr>
              <w:t>Effectiveness</w:t>
            </w:r>
          </w:p>
        </w:tc>
        <w:tc>
          <w:tcPr>
            <w:tcW w:w="2652" w:type="dxa"/>
          </w:tcPr>
          <w:p w:rsidRPr="00C97A0D" w:rsidR="00D10057" w:rsidP="00C97A0D" w:rsidRDefault="00D10057" w14:paraId="51BAB27E" w14:textId="77777777">
            <w:pPr>
              <w:spacing w:after="120"/>
              <w:rPr>
                <w:sz w:val="22"/>
                <w:szCs w:val="20"/>
              </w:rPr>
            </w:pPr>
            <w:r w:rsidRPr="00C97A0D">
              <w:rPr>
                <w:sz w:val="22"/>
                <w:szCs w:val="20"/>
              </w:rPr>
              <w:t>Cost-effectiveness</w:t>
            </w:r>
          </w:p>
        </w:tc>
        <w:tc>
          <w:tcPr>
            <w:tcW w:w="2652" w:type="dxa"/>
          </w:tcPr>
          <w:p w:rsidRPr="00C97A0D" w:rsidR="00D10057" w:rsidP="00C97A0D" w:rsidRDefault="00D10057" w14:paraId="025E5E33" w14:textId="77777777">
            <w:pPr>
              <w:spacing w:after="120"/>
              <w:rPr>
                <w:sz w:val="22"/>
                <w:szCs w:val="20"/>
              </w:rPr>
            </w:pPr>
            <w:r w:rsidRPr="00C97A0D">
              <w:rPr>
                <w:sz w:val="22"/>
                <w:szCs w:val="20"/>
              </w:rPr>
              <w:t>Equity</w:t>
            </w:r>
          </w:p>
        </w:tc>
      </w:tr>
      <w:tr w:rsidRPr="00C97A0D" w:rsidR="00D10057" w14:paraId="700D648F" w14:textId="77777777">
        <w:tc>
          <w:tcPr>
            <w:tcW w:w="0" w:type="auto"/>
          </w:tcPr>
          <w:p w:rsidRPr="00C97A0D" w:rsidR="00D10057" w:rsidP="00C97A0D" w:rsidRDefault="00D10057" w14:paraId="1EDF4AF9" w14:textId="77777777">
            <w:pPr>
              <w:spacing w:after="120"/>
              <w:rPr>
                <w:sz w:val="22"/>
                <w:szCs w:val="20"/>
              </w:rPr>
            </w:pPr>
            <w:r w:rsidRPr="00C97A0D">
              <w:rPr>
                <w:sz w:val="22"/>
                <w:szCs w:val="20"/>
              </w:rPr>
              <w:t>Excellent</w:t>
            </w:r>
          </w:p>
        </w:tc>
        <w:tc>
          <w:tcPr>
            <w:tcW w:w="2651" w:type="dxa"/>
          </w:tcPr>
          <w:p w:rsidRPr="00C97A0D" w:rsidR="00D10057" w:rsidP="00C97A0D" w:rsidRDefault="00D10057" w14:paraId="774BF2AB" w14:textId="77777777">
            <w:pPr>
              <w:spacing w:after="120"/>
              <w:rPr>
                <w:sz w:val="22"/>
                <w:szCs w:val="20"/>
              </w:rPr>
            </w:pPr>
            <w:r w:rsidRPr="00C97A0D">
              <w:rPr>
                <w:sz w:val="22"/>
                <w:szCs w:val="20"/>
              </w:rPr>
              <w:t xml:space="preserve">Economies of Scale have been sought and effectively used to reduce administrative costs. </w:t>
            </w:r>
          </w:p>
        </w:tc>
        <w:tc>
          <w:tcPr>
            <w:tcW w:w="2652" w:type="dxa"/>
          </w:tcPr>
          <w:p w:rsidRPr="00C97A0D" w:rsidR="00D10057" w:rsidP="00C97A0D" w:rsidRDefault="00D10057" w14:paraId="37A97D83" w14:textId="77777777">
            <w:pPr>
              <w:spacing w:after="120"/>
              <w:rPr>
                <w:sz w:val="22"/>
                <w:szCs w:val="20"/>
              </w:rPr>
            </w:pPr>
            <w:r w:rsidRPr="00C97A0D">
              <w:rPr>
                <w:sz w:val="22"/>
                <w:szCs w:val="20"/>
              </w:rPr>
              <w:t xml:space="preserve">Outputs are delivered on, or ahead of, time, and cost targets are met. There is evidence that risks of delays have been proactively monitored and managed. </w:t>
            </w:r>
          </w:p>
          <w:p w:rsidRPr="00C97A0D" w:rsidR="00D10057" w:rsidP="00C97A0D" w:rsidRDefault="00D10057" w14:paraId="7C40D9F0" w14:textId="77777777">
            <w:pPr>
              <w:spacing w:after="120"/>
              <w:rPr>
                <w:sz w:val="22"/>
                <w:szCs w:val="20"/>
              </w:rPr>
            </w:pPr>
          </w:p>
          <w:p w:rsidRPr="00C97A0D" w:rsidR="00D10057" w:rsidP="00C97A0D" w:rsidRDefault="00D10057" w14:paraId="5EF5B3BD" w14:textId="77777777">
            <w:pPr>
              <w:spacing w:after="120"/>
              <w:rPr>
                <w:sz w:val="22"/>
                <w:szCs w:val="20"/>
              </w:rPr>
            </w:pPr>
            <w:r w:rsidRPr="00C97A0D">
              <w:rPr>
                <w:sz w:val="22"/>
                <w:szCs w:val="20"/>
              </w:rPr>
              <w:t xml:space="preserve">Costs per output are lower than other, comparable projects. </w:t>
            </w:r>
          </w:p>
        </w:tc>
        <w:tc>
          <w:tcPr>
            <w:tcW w:w="2652" w:type="dxa"/>
          </w:tcPr>
          <w:p w:rsidRPr="00C97A0D" w:rsidR="00D10057" w:rsidP="00C97A0D" w:rsidRDefault="00D10057" w14:paraId="12FD34B3" w14:textId="77777777">
            <w:pPr>
              <w:spacing w:after="120"/>
              <w:rPr>
                <w:sz w:val="22"/>
                <w:szCs w:val="20"/>
              </w:rPr>
            </w:pPr>
            <w:r w:rsidRPr="00C97A0D">
              <w:rPr>
                <w:sz w:val="22"/>
                <w:szCs w:val="20"/>
              </w:rPr>
              <w:t xml:space="preserve">Outcomes and impact have substantially exceeded expectations and there is evidence of substantial and sustainable benefits of the programme. </w:t>
            </w:r>
          </w:p>
        </w:tc>
        <w:tc>
          <w:tcPr>
            <w:tcW w:w="2652" w:type="dxa"/>
          </w:tcPr>
          <w:p w:rsidRPr="00C97A0D" w:rsidR="00D10057" w:rsidP="00C97A0D" w:rsidRDefault="00D10057" w14:paraId="16DB851B" w14:textId="77777777">
            <w:pPr>
              <w:spacing w:after="120"/>
              <w:rPr>
                <w:sz w:val="22"/>
                <w:szCs w:val="20"/>
              </w:rPr>
            </w:pPr>
            <w:r w:rsidRPr="00C97A0D">
              <w:rPr>
                <w:sz w:val="22"/>
                <w:szCs w:val="20"/>
              </w:rPr>
              <w:t xml:space="preserve">The value directly created by the programme greatly exceeds the resources consumed. </w:t>
            </w:r>
          </w:p>
          <w:p w:rsidRPr="00C97A0D" w:rsidR="00D10057" w:rsidP="00C97A0D" w:rsidRDefault="00D10057" w14:paraId="7E8E1A9F" w14:textId="77777777">
            <w:pPr>
              <w:spacing w:after="120"/>
              <w:rPr>
                <w:sz w:val="22"/>
                <w:szCs w:val="20"/>
              </w:rPr>
            </w:pPr>
          </w:p>
        </w:tc>
        <w:tc>
          <w:tcPr>
            <w:tcW w:w="2652" w:type="dxa"/>
          </w:tcPr>
          <w:p w:rsidRPr="00C97A0D" w:rsidR="00D10057" w:rsidP="00C97A0D" w:rsidRDefault="00D10057" w14:paraId="2CA04059" w14:textId="77777777">
            <w:pPr>
              <w:spacing w:after="120"/>
              <w:rPr>
                <w:sz w:val="22"/>
                <w:szCs w:val="20"/>
              </w:rPr>
            </w:pPr>
            <w:r w:rsidRPr="00C97A0D">
              <w:rPr>
                <w:sz w:val="22"/>
                <w:szCs w:val="20"/>
              </w:rPr>
              <w:t xml:space="preserve">The gender split in programme delivery teams and programme participation is comparable to country averages and there is evidence of efforts undertaken to ensure equal access. </w:t>
            </w:r>
          </w:p>
          <w:p w:rsidRPr="00C97A0D" w:rsidR="00D10057" w:rsidP="00C97A0D" w:rsidRDefault="00D10057" w14:paraId="1AD1501B" w14:textId="77777777">
            <w:pPr>
              <w:spacing w:after="120"/>
              <w:rPr>
                <w:sz w:val="22"/>
                <w:szCs w:val="20"/>
              </w:rPr>
            </w:pPr>
          </w:p>
          <w:p w:rsidRPr="00C97A0D" w:rsidR="00D10057" w:rsidP="00C97A0D" w:rsidRDefault="00D10057" w14:paraId="6AFAD101" w14:textId="77777777">
            <w:pPr>
              <w:spacing w:after="120"/>
              <w:rPr>
                <w:sz w:val="22"/>
                <w:szCs w:val="20"/>
              </w:rPr>
            </w:pPr>
            <w:r w:rsidRPr="00C97A0D">
              <w:rPr>
                <w:sz w:val="22"/>
                <w:szCs w:val="20"/>
              </w:rPr>
              <w:t xml:space="preserve">The share of investment allocated to social housing is more than the minimum stipulated and the number of social housing units in the invested projects are built. </w:t>
            </w:r>
          </w:p>
          <w:p w:rsidRPr="00C97A0D" w:rsidR="00D10057" w:rsidP="00C97A0D" w:rsidRDefault="00D10057" w14:paraId="33311238" w14:textId="77777777">
            <w:pPr>
              <w:spacing w:after="120"/>
              <w:rPr>
                <w:sz w:val="22"/>
                <w:szCs w:val="20"/>
              </w:rPr>
            </w:pPr>
          </w:p>
          <w:p w:rsidRPr="00C97A0D" w:rsidR="00D10057" w:rsidP="00C97A0D" w:rsidRDefault="00D10057" w14:paraId="7C94B5BF" w14:textId="40257397">
            <w:pPr>
              <w:spacing w:after="120"/>
              <w:rPr>
                <w:sz w:val="22"/>
                <w:szCs w:val="20"/>
              </w:rPr>
            </w:pPr>
            <w:r w:rsidRPr="00C97A0D">
              <w:rPr>
                <w:sz w:val="22"/>
                <w:szCs w:val="20"/>
              </w:rPr>
              <w:t xml:space="preserve">There is evidence that </w:t>
            </w:r>
            <w:r w:rsidRPr="00C97A0D" w:rsidR="00A5555A">
              <w:rPr>
                <w:sz w:val="22"/>
                <w:szCs w:val="20"/>
              </w:rPr>
              <w:t>GEDSI</w:t>
            </w:r>
            <w:r w:rsidRPr="00C97A0D">
              <w:rPr>
                <w:sz w:val="22"/>
                <w:szCs w:val="20"/>
              </w:rPr>
              <w:t xml:space="preserve"> learnings generated throughout the programme have </w:t>
            </w:r>
            <w:r w:rsidRPr="00C97A0D">
              <w:rPr>
                <w:sz w:val="22"/>
                <w:szCs w:val="20"/>
              </w:rPr>
              <w:t xml:space="preserve">been taken into consideration within the timeframe of the evaluation. </w:t>
            </w:r>
          </w:p>
        </w:tc>
      </w:tr>
      <w:tr w:rsidRPr="00C97A0D" w:rsidR="00D10057" w14:paraId="736674B9" w14:textId="77777777">
        <w:tc>
          <w:tcPr>
            <w:tcW w:w="0" w:type="auto"/>
          </w:tcPr>
          <w:p w:rsidRPr="00C97A0D" w:rsidR="00D10057" w:rsidP="00C97A0D" w:rsidRDefault="00D10057" w14:paraId="4CD7ABAC" w14:textId="77777777">
            <w:pPr>
              <w:spacing w:after="120"/>
              <w:rPr>
                <w:sz w:val="22"/>
                <w:szCs w:val="20"/>
              </w:rPr>
            </w:pPr>
            <w:r w:rsidRPr="00C97A0D">
              <w:rPr>
                <w:sz w:val="22"/>
                <w:szCs w:val="20"/>
              </w:rPr>
              <w:t>Good</w:t>
            </w:r>
          </w:p>
        </w:tc>
        <w:tc>
          <w:tcPr>
            <w:tcW w:w="2651" w:type="dxa"/>
          </w:tcPr>
          <w:p w:rsidRPr="00C97A0D" w:rsidR="00D10057" w:rsidP="00C97A0D" w:rsidRDefault="00D10057" w14:paraId="08E1CAB7" w14:textId="77777777">
            <w:pPr>
              <w:spacing w:after="120"/>
              <w:rPr>
                <w:sz w:val="22"/>
                <w:szCs w:val="20"/>
              </w:rPr>
            </w:pPr>
            <w:r w:rsidRPr="00C97A0D">
              <w:rPr>
                <w:sz w:val="22"/>
                <w:szCs w:val="20"/>
              </w:rPr>
              <w:t xml:space="preserve">Costs for administrative (non-investment) were as planned in the budget. </w:t>
            </w:r>
          </w:p>
          <w:p w:rsidRPr="00C97A0D" w:rsidR="00D10057" w:rsidP="00C97A0D" w:rsidRDefault="00D10057" w14:paraId="592A912A" w14:textId="77777777">
            <w:pPr>
              <w:spacing w:after="120"/>
              <w:rPr>
                <w:sz w:val="22"/>
                <w:szCs w:val="20"/>
              </w:rPr>
            </w:pPr>
          </w:p>
        </w:tc>
        <w:tc>
          <w:tcPr>
            <w:tcW w:w="2652" w:type="dxa"/>
          </w:tcPr>
          <w:p w:rsidRPr="00C97A0D" w:rsidR="00D10057" w:rsidP="00C97A0D" w:rsidRDefault="00D10057" w14:paraId="510FEB6C" w14:textId="77777777">
            <w:pPr>
              <w:spacing w:after="120"/>
              <w:rPr>
                <w:sz w:val="22"/>
                <w:szCs w:val="20"/>
              </w:rPr>
            </w:pPr>
            <w:r w:rsidRPr="00C97A0D">
              <w:rPr>
                <w:sz w:val="22"/>
                <w:szCs w:val="20"/>
              </w:rPr>
              <w:t xml:space="preserve">Outputs are delivered on time and within budget, as per the work programme. </w:t>
            </w:r>
          </w:p>
          <w:p w:rsidRPr="00C97A0D" w:rsidR="00D10057" w:rsidP="00C97A0D" w:rsidRDefault="00D10057" w14:paraId="6AC76F0A" w14:textId="77777777">
            <w:pPr>
              <w:spacing w:after="120"/>
              <w:rPr>
                <w:sz w:val="22"/>
                <w:szCs w:val="20"/>
              </w:rPr>
            </w:pPr>
            <w:r w:rsidRPr="00C97A0D">
              <w:rPr>
                <w:sz w:val="22"/>
                <w:szCs w:val="20"/>
              </w:rPr>
              <w:t>There is evidence that risks of delays have been effectively managed.</w:t>
            </w:r>
          </w:p>
          <w:p w:rsidRPr="00C97A0D" w:rsidR="00D10057" w:rsidP="00C97A0D" w:rsidRDefault="00D10057" w14:paraId="7FFBC68B" w14:textId="77777777">
            <w:pPr>
              <w:spacing w:after="120"/>
              <w:rPr>
                <w:sz w:val="22"/>
                <w:szCs w:val="20"/>
              </w:rPr>
            </w:pPr>
          </w:p>
          <w:p w:rsidRPr="00C97A0D" w:rsidR="00D10057" w:rsidP="00C97A0D" w:rsidRDefault="00D10057" w14:paraId="78FCC2B2" w14:textId="77777777">
            <w:pPr>
              <w:spacing w:after="120"/>
              <w:rPr>
                <w:sz w:val="22"/>
                <w:szCs w:val="20"/>
              </w:rPr>
            </w:pPr>
            <w:r w:rsidRPr="00C97A0D">
              <w:rPr>
                <w:sz w:val="22"/>
                <w:szCs w:val="20"/>
              </w:rPr>
              <w:t>Costs per output are in line with other, similar programmes.</w:t>
            </w:r>
          </w:p>
        </w:tc>
        <w:tc>
          <w:tcPr>
            <w:tcW w:w="2652" w:type="dxa"/>
          </w:tcPr>
          <w:p w:rsidRPr="00C97A0D" w:rsidR="00D10057" w:rsidP="00C97A0D" w:rsidRDefault="00D10057" w14:paraId="13C61EC7" w14:textId="77777777">
            <w:pPr>
              <w:spacing w:after="120"/>
              <w:rPr>
                <w:sz w:val="22"/>
                <w:szCs w:val="20"/>
              </w:rPr>
            </w:pPr>
            <w:r w:rsidRPr="00C97A0D">
              <w:rPr>
                <w:sz w:val="22"/>
                <w:szCs w:val="20"/>
              </w:rPr>
              <w:t>Outcomes and impact have met expectations.</w:t>
            </w:r>
          </w:p>
        </w:tc>
        <w:tc>
          <w:tcPr>
            <w:tcW w:w="2652" w:type="dxa"/>
          </w:tcPr>
          <w:p w:rsidRPr="00C97A0D" w:rsidR="00D10057" w:rsidP="00C97A0D" w:rsidRDefault="00D10057" w14:paraId="3297725D" w14:textId="77777777">
            <w:pPr>
              <w:spacing w:after="120"/>
              <w:rPr>
                <w:sz w:val="22"/>
                <w:szCs w:val="20"/>
              </w:rPr>
            </w:pPr>
            <w:r w:rsidRPr="00C97A0D">
              <w:rPr>
                <w:sz w:val="22"/>
                <w:szCs w:val="20"/>
              </w:rPr>
              <w:t xml:space="preserve">The value directly created by the programme greatly exceeds the resources consumed. </w:t>
            </w:r>
          </w:p>
          <w:p w:rsidRPr="00C97A0D" w:rsidR="00D10057" w:rsidP="00C97A0D" w:rsidRDefault="00D10057" w14:paraId="770B2ADB" w14:textId="77777777">
            <w:pPr>
              <w:spacing w:after="120"/>
              <w:rPr>
                <w:sz w:val="22"/>
                <w:szCs w:val="20"/>
              </w:rPr>
            </w:pPr>
          </w:p>
        </w:tc>
        <w:tc>
          <w:tcPr>
            <w:tcW w:w="2652" w:type="dxa"/>
          </w:tcPr>
          <w:p w:rsidRPr="00C97A0D" w:rsidR="00D10057" w:rsidP="00C97A0D" w:rsidRDefault="00D10057" w14:paraId="027801EF" w14:textId="77777777">
            <w:pPr>
              <w:spacing w:after="120"/>
              <w:rPr>
                <w:sz w:val="22"/>
                <w:szCs w:val="20"/>
              </w:rPr>
            </w:pPr>
            <w:r w:rsidRPr="00C97A0D">
              <w:rPr>
                <w:sz w:val="22"/>
                <w:szCs w:val="20"/>
              </w:rPr>
              <w:t>The gender split in programme delivery teams and programme participation is comparable to country averages.</w:t>
            </w:r>
          </w:p>
          <w:p w:rsidRPr="00C97A0D" w:rsidR="00D10057" w:rsidP="00C97A0D" w:rsidRDefault="00D10057" w14:paraId="50EED05E" w14:textId="77777777">
            <w:pPr>
              <w:spacing w:after="120"/>
              <w:rPr>
                <w:sz w:val="22"/>
                <w:szCs w:val="20"/>
              </w:rPr>
            </w:pPr>
          </w:p>
          <w:p w:rsidRPr="00C97A0D" w:rsidR="00D10057" w:rsidP="00C97A0D" w:rsidRDefault="00D10057" w14:paraId="74BC75DF" w14:textId="77777777">
            <w:pPr>
              <w:spacing w:after="120"/>
              <w:rPr>
                <w:sz w:val="22"/>
                <w:szCs w:val="20"/>
              </w:rPr>
            </w:pPr>
            <w:r w:rsidRPr="00C97A0D">
              <w:rPr>
                <w:sz w:val="22"/>
                <w:szCs w:val="20"/>
              </w:rPr>
              <w:t xml:space="preserve">The minimum share of investment allocated to social housing is spent and the number of social housing units in the invested projects are built. </w:t>
            </w:r>
          </w:p>
          <w:p w:rsidRPr="00C97A0D" w:rsidR="00D10057" w:rsidP="00C97A0D" w:rsidRDefault="00D10057" w14:paraId="7D02E70A" w14:textId="77777777">
            <w:pPr>
              <w:spacing w:after="120"/>
              <w:rPr>
                <w:sz w:val="22"/>
                <w:szCs w:val="20"/>
              </w:rPr>
            </w:pPr>
          </w:p>
        </w:tc>
      </w:tr>
      <w:tr w:rsidRPr="00C97A0D" w:rsidR="00D10057" w14:paraId="0F8F13EC" w14:textId="77777777">
        <w:tc>
          <w:tcPr>
            <w:tcW w:w="0" w:type="auto"/>
          </w:tcPr>
          <w:p w:rsidRPr="00C97A0D" w:rsidR="00D10057" w:rsidP="00C97A0D" w:rsidRDefault="00D10057" w14:paraId="3C98D46B" w14:textId="77777777">
            <w:pPr>
              <w:spacing w:after="120"/>
              <w:rPr>
                <w:sz w:val="22"/>
                <w:szCs w:val="20"/>
              </w:rPr>
            </w:pPr>
            <w:r w:rsidRPr="00C97A0D">
              <w:rPr>
                <w:sz w:val="22"/>
                <w:szCs w:val="20"/>
              </w:rPr>
              <w:t>Adequate</w:t>
            </w:r>
          </w:p>
        </w:tc>
        <w:tc>
          <w:tcPr>
            <w:tcW w:w="2651" w:type="dxa"/>
          </w:tcPr>
          <w:p w:rsidRPr="00C97A0D" w:rsidR="00D10057" w:rsidP="00C97A0D" w:rsidRDefault="00D10057" w14:paraId="4E19E669" w14:textId="77777777">
            <w:pPr>
              <w:spacing w:after="120"/>
              <w:rPr>
                <w:sz w:val="22"/>
                <w:szCs w:val="20"/>
              </w:rPr>
            </w:pPr>
            <w:r w:rsidRPr="00C97A0D">
              <w:rPr>
                <w:sz w:val="22"/>
                <w:szCs w:val="20"/>
              </w:rPr>
              <w:t xml:space="preserve">Costs for administrative (non-investment) did not significantly exceed the budget and any deviations are justified and small. </w:t>
            </w:r>
          </w:p>
          <w:p w:rsidRPr="00C97A0D" w:rsidR="00D10057" w:rsidP="00C97A0D" w:rsidRDefault="00D10057" w14:paraId="52A9264E" w14:textId="77777777">
            <w:pPr>
              <w:spacing w:after="120"/>
              <w:rPr>
                <w:sz w:val="22"/>
                <w:szCs w:val="20"/>
              </w:rPr>
            </w:pPr>
          </w:p>
          <w:p w:rsidRPr="00C97A0D" w:rsidR="00D10057" w:rsidP="00C97A0D" w:rsidRDefault="00D10057" w14:paraId="3E2F6836" w14:textId="77777777">
            <w:pPr>
              <w:spacing w:after="120"/>
              <w:rPr>
                <w:sz w:val="22"/>
                <w:szCs w:val="20"/>
              </w:rPr>
            </w:pPr>
            <w:r w:rsidRPr="00C97A0D">
              <w:rPr>
                <w:sz w:val="22"/>
                <w:szCs w:val="20"/>
              </w:rPr>
              <w:t xml:space="preserve">Cost drivers were actively and effectively managed. </w:t>
            </w:r>
          </w:p>
        </w:tc>
        <w:tc>
          <w:tcPr>
            <w:tcW w:w="2652" w:type="dxa"/>
          </w:tcPr>
          <w:p w:rsidRPr="00C97A0D" w:rsidR="00D10057" w:rsidP="00C97A0D" w:rsidRDefault="00D10057" w14:paraId="3BBDAC58" w14:textId="77777777">
            <w:pPr>
              <w:spacing w:after="120"/>
              <w:rPr>
                <w:sz w:val="22"/>
                <w:szCs w:val="20"/>
              </w:rPr>
            </w:pPr>
            <w:r w:rsidRPr="00C97A0D">
              <w:rPr>
                <w:sz w:val="22"/>
                <w:szCs w:val="20"/>
              </w:rPr>
              <w:t xml:space="preserve">The programme has achieved most outputs in a timely manner. Delays or non-delivery of outputs are justified bearing in mind challenges to delivery due to external factors </w:t>
            </w:r>
            <w:r w:rsidRPr="00C97A0D">
              <w:rPr>
                <w:sz w:val="22"/>
                <w:szCs w:val="20"/>
              </w:rPr>
              <w:t>and do not jeopardise achieving programme outcomes.</w:t>
            </w:r>
          </w:p>
          <w:p w:rsidRPr="00C97A0D" w:rsidR="00D10057" w:rsidP="00C97A0D" w:rsidRDefault="00D10057" w14:paraId="768985CE" w14:textId="77777777">
            <w:pPr>
              <w:spacing w:after="120"/>
              <w:rPr>
                <w:sz w:val="22"/>
                <w:szCs w:val="20"/>
              </w:rPr>
            </w:pPr>
          </w:p>
          <w:p w:rsidRPr="00C97A0D" w:rsidR="00D10057" w:rsidP="00C97A0D" w:rsidRDefault="00D10057" w14:paraId="14DF27E0" w14:textId="77777777">
            <w:pPr>
              <w:spacing w:after="120"/>
              <w:rPr>
                <w:sz w:val="22"/>
                <w:szCs w:val="20"/>
              </w:rPr>
            </w:pPr>
            <w:r w:rsidRPr="00C97A0D">
              <w:rPr>
                <w:sz w:val="22"/>
                <w:szCs w:val="20"/>
              </w:rPr>
              <w:t>Outputs and outcomes are delivered at ‘reasonable’ cost; in line with budget expectations and comparable to other, similar programmes.</w:t>
            </w:r>
          </w:p>
        </w:tc>
        <w:tc>
          <w:tcPr>
            <w:tcW w:w="2652" w:type="dxa"/>
          </w:tcPr>
          <w:p w:rsidRPr="00C97A0D" w:rsidR="00D10057" w:rsidP="00C97A0D" w:rsidRDefault="00D10057" w14:paraId="50096F8D" w14:textId="77777777">
            <w:pPr>
              <w:spacing w:after="120"/>
              <w:rPr>
                <w:sz w:val="22"/>
                <w:szCs w:val="20"/>
              </w:rPr>
            </w:pPr>
            <w:r w:rsidRPr="00C97A0D">
              <w:rPr>
                <w:sz w:val="22"/>
                <w:szCs w:val="20"/>
              </w:rPr>
              <w:t>Outcomes and impact have been mostly achieved, and any deviations and shortcomings are justified and small.</w:t>
            </w:r>
          </w:p>
        </w:tc>
        <w:tc>
          <w:tcPr>
            <w:tcW w:w="2652" w:type="dxa"/>
          </w:tcPr>
          <w:p w:rsidRPr="00C97A0D" w:rsidR="00D10057" w:rsidP="00C97A0D" w:rsidRDefault="00D10057" w14:paraId="15095063" w14:textId="77777777">
            <w:pPr>
              <w:spacing w:after="120"/>
              <w:rPr>
                <w:sz w:val="22"/>
                <w:szCs w:val="20"/>
              </w:rPr>
            </w:pPr>
            <w:r w:rsidRPr="00C97A0D">
              <w:rPr>
                <w:sz w:val="22"/>
                <w:szCs w:val="20"/>
              </w:rPr>
              <w:t xml:space="preserve">The value directly created by the programme exceeds the resources consumed. </w:t>
            </w:r>
          </w:p>
          <w:p w:rsidRPr="00C97A0D" w:rsidR="00D10057" w:rsidP="00C97A0D" w:rsidRDefault="00D10057" w14:paraId="215DA97A" w14:textId="77777777">
            <w:pPr>
              <w:spacing w:after="120"/>
              <w:rPr>
                <w:sz w:val="22"/>
                <w:szCs w:val="20"/>
              </w:rPr>
            </w:pPr>
          </w:p>
        </w:tc>
        <w:tc>
          <w:tcPr>
            <w:tcW w:w="2652" w:type="dxa"/>
          </w:tcPr>
          <w:p w:rsidRPr="00C97A0D" w:rsidR="00D10057" w:rsidP="00C97A0D" w:rsidRDefault="00D10057" w14:paraId="213B7A0D" w14:textId="77777777">
            <w:pPr>
              <w:spacing w:after="120"/>
              <w:rPr>
                <w:sz w:val="22"/>
                <w:szCs w:val="20"/>
              </w:rPr>
            </w:pPr>
            <w:r w:rsidRPr="00C97A0D">
              <w:rPr>
                <w:sz w:val="22"/>
                <w:szCs w:val="20"/>
              </w:rPr>
              <w:t xml:space="preserve">The gender split in programme delivery teams and programme participation is comparable to country averages. </w:t>
            </w:r>
          </w:p>
          <w:p w:rsidRPr="00C97A0D" w:rsidR="00D10057" w:rsidP="00C97A0D" w:rsidRDefault="00D10057" w14:paraId="01C5F834" w14:textId="77777777">
            <w:pPr>
              <w:spacing w:after="120"/>
              <w:rPr>
                <w:sz w:val="22"/>
                <w:szCs w:val="20"/>
              </w:rPr>
            </w:pPr>
          </w:p>
          <w:p w:rsidRPr="00C97A0D" w:rsidR="00D10057" w:rsidP="00C97A0D" w:rsidRDefault="00D10057" w14:paraId="22CF8E34" w14:textId="77777777">
            <w:pPr>
              <w:spacing w:after="120"/>
              <w:rPr>
                <w:sz w:val="22"/>
                <w:szCs w:val="20"/>
              </w:rPr>
            </w:pPr>
            <w:r w:rsidRPr="00C97A0D">
              <w:rPr>
                <w:sz w:val="22"/>
                <w:szCs w:val="20"/>
              </w:rPr>
              <w:t>The minimum share of investment allocated to social housing is spent and the number of social housing units in the invested projects are mostly built.</w:t>
            </w:r>
          </w:p>
        </w:tc>
      </w:tr>
      <w:tr w:rsidRPr="00C97A0D" w:rsidR="00D10057" w14:paraId="69BBEBBB" w14:textId="77777777">
        <w:tc>
          <w:tcPr>
            <w:tcW w:w="0" w:type="auto"/>
          </w:tcPr>
          <w:p w:rsidRPr="00C97A0D" w:rsidR="00D10057" w:rsidP="00C97A0D" w:rsidRDefault="00D10057" w14:paraId="7EFC0398" w14:textId="77777777">
            <w:pPr>
              <w:spacing w:after="120"/>
              <w:rPr>
                <w:sz w:val="22"/>
                <w:szCs w:val="20"/>
              </w:rPr>
            </w:pPr>
            <w:r w:rsidRPr="00C97A0D">
              <w:rPr>
                <w:sz w:val="22"/>
                <w:szCs w:val="20"/>
              </w:rPr>
              <w:t>Poor</w:t>
            </w:r>
          </w:p>
        </w:tc>
        <w:tc>
          <w:tcPr>
            <w:tcW w:w="2651" w:type="dxa"/>
          </w:tcPr>
          <w:p w:rsidRPr="00C97A0D" w:rsidR="00D10057" w:rsidP="00C97A0D" w:rsidRDefault="00D10057" w14:paraId="2522EDA2" w14:textId="40236470">
            <w:pPr>
              <w:spacing w:after="120"/>
              <w:rPr>
                <w:sz w:val="22"/>
                <w:szCs w:val="20"/>
              </w:rPr>
            </w:pPr>
            <w:r w:rsidRPr="00C97A0D">
              <w:rPr>
                <w:sz w:val="22"/>
                <w:szCs w:val="20"/>
              </w:rPr>
              <w:t>Any of the conditions for ‘adequate’ not being met</w:t>
            </w:r>
            <w:r w:rsidRPr="00C97A0D" w:rsidR="00FD0F2F">
              <w:rPr>
                <w:sz w:val="22"/>
                <w:szCs w:val="20"/>
              </w:rPr>
              <w:t>.</w:t>
            </w:r>
          </w:p>
        </w:tc>
        <w:tc>
          <w:tcPr>
            <w:tcW w:w="2652" w:type="dxa"/>
          </w:tcPr>
          <w:p w:rsidRPr="00C97A0D" w:rsidR="00D10057" w:rsidP="00C97A0D" w:rsidRDefault="00D10057" w14:paraId="48032CCE" w14:textId="093E80E7">
            <w:pPr>
              <w:spacing w:after="120"/>
              <w:rPr>
                <w:sz w:val="22"/>
                <w:szCs w:val="20"/>
              </w:rPr>
            </w:pPr>
            <w:r w:rsidRPr="00C97A0D">
              <w:rPr>
                <w:sz w:val="22"/>
                <w:szCs w:val="20"/>
              </w:rPr>
              <w:t>Any of the conditions for ‘adequate’ not being met</w:t>
            </w:r>
            <w:r w:rsidRPr="00C97A0D" w:rsidR="00FD0F2F">
              <w:rPr>
                <w:sz w:val="22"/>
                <w:szCs w:val="20"/>
              </w:rPr>
              <w:t>.</w:t>
            </w:r>
          </w:p>
        </w:tc>
        <w:tc>
          <w:tcPr>
            <w:tcW w:w="2652" w:type="dxa"/>
          </w:tcPr>
          <w:p w:rsidRPr="00C97A0D" w:rsidR="00D10057" w:rsidP="00C97A0D" w:rsidRDefault="00D10057" w14:paraId="3CDAA338" w14:textId="55B2EA1D">
            <w:pPr>
              <w:spacing w:after="120"/>
              <w:rPr>
                <w:sz w:val="22"/>
                <w:szCs w:val="20"/>
              </w:rPr>
            </w:pPr>
            <w:r w:rsidRPr="00C97A0D">
              <w:rPr>
                <w:sz w:val="22"/>
                <w:szCs w:val="20"/>
              </w:rPr>
              <w:t>Any of the conditions for ‘adequate’ not being met</w:t>
            </w:r>
            <w:r w:rsidRPr="00C97A0D" w:rsidR="00FD0F2F">
              <w:rPr>
                <w:sz w:val="22"/>
                <w:szCs w:val="20"/>
              </w:rPr>
              <w:t>.</w:t>
            </w:r>
          </w:p>
        </w:tc>
        <w:tc>
          <w:tcPr>
            <w:tcW w:w="2652" w:type="dxa"/>
          </w:tcPr>
          <w:p w:rsidRPr="00C97A0D" w:rsidR="00D10057" w:rsidP="00C97A0D" w:rsidRDefault="00D10057" w14:paraId="2AB460A7" w14:textId="324D3E29">
            <w:pPr>
              <w:spacing w:after="120"/>
              <w:rPr>
                <w:sz w:val="22"/>
                <w:szCs w:val="20"/>
              </w:rPr>
            </w:pPr>
            <w:r w:rsidRPr="00C97A0D">
              <w:rPr>
                <w:sz w:val="22"/>
                <w:szCs w:val="20"/>
              </w:rPr>
              <w:t>Any of the conditions for ‘adequate’ not being met</w:t>
            </w:r>
            <w:r w:rsidRPr="00C97A0D" w:rsidR="00FD0F2F">
              <w:rPr>
                <w:sz w:val="22"/>
                <w:szCs w:val="20"/>
              </w:rPr>
              <w:t>.</w:t>
            </w:r>
          </w:p>
        </w:tc>
        <w:tc>
          <w:tcPr>
            <w:tcW w:w="2652" w:type="dxa"/>
          </w:tcPr>
          <w:p w:rsidRPr="00C97A0D" w:rsidR="00D10057" w:rsidP="00C97A0D" w:rsidRDefault="00D10057" w14:paraId="64ECC12E" w14:textId="36EFDA01">
            <w:pPr>
              <w:spacing w:after="120"/>
              <w:rPr>
                <w:sz w:val="22"/>
                <w:szCs w:val="20"/>
              </w:rPr>
            </w:pPr>
            <w:r w:rsidRPr="00C97A0D">
              <w:rPr>
                <w:sz w:val="22"/>
                <w:szCs w:val="20"/>
              </w:rPr>
              <w:t>Any of the conditions for ‘adequate’ not being met</w:t>
            </w:r>
            <w:r w:rsidRPr="00C97A0D" w:rsidR="00FD0F2F">
              <w:rPr>
                <w:sz w:val="22"/>
                <w:szCs w:val="20"/>
              </w:rPr>
              <w:t>.</w:t>
            </w:r>
          </w:p>
        </w:tc>
      </w:tr>
      <w:bookmarkEnd w:id="122"/>
    </w:tbl>
    <w:p w:rsidR="00D10057" w:rsidP="00D10057" w:rsidRDefault="00D10057" w14:paraId="694F65F5" w14:textId="77777777">
      <w:pPr>
        <w:pStyle w:val="Heading2"/>
        <w:sectPr w:rsidR="00D10057" w:rsidSect="00D10057">
          <w:pgSz w:w="16838" w:h="11906" w:orient="landscape"/>
          <w:pgMar w:top="907" w:right="1418" w:bottom="907" w:left="907" w:header="709" w:footer="266" w:gutter="0"/>
          <w:cols w:space="708"/>
          <w:docGrid w:linePitch="360"/>
        </w:sectPr>
      </w:pPr>
    </w:p>
    <w:p w:rsidR="00D10057" w:rsidP="00D10057" w:rsidRDefault="00D10057" w14:paraId="26075FF7" w14:textId="77777777">
      <w:pPr>
        <w:pStyle w:val="Heading2"/>
      </w:pPr>
      <w:bookmarkStart w:name="_Toc181883593" w:id="123"/>
      <w:bookmarkStart w:name="_Toc188870877" w:id="124"/>
      <w:bookmarkStart w:name="_Toc207790216" w:id="125"/>
      <w:r w:rsidRPr="00F626F6">
        <w:t>Detailed analysis of Value for Money outcomes</w:t>
      </w:r>
      <w:bookmarkEnd w:id="123"/>
      <w:bookmarkEnd w:id="124"/>
      <w:bookmarkEnd w:id="125"/>
      <w:r w:rsidRPr="00F626F6">
        <w:t xml:space="preserve"> </w:t>
      </w:r>
    </w:p>
    <w:p w:rsidRPr="00E13638" w:rsidR="005F364E" w:rsidP="00E13638" w:rsidRDefault="005F364E" w14:paraId="05D89E0D" w14:textId="09EF54ED">
      <w:pPr>
        <w:rPr>
          <w:b/>
          <w:bCs/>
        </w:rPr>
      </w:pPr>
      <w:r>
        <w:rPr>
          <w:b/>
          <w:bCs/>
        </w:rPr>
        <w:t>Table 12. Information on other programmes</w:t>
      </w:r>
    </w:p>
    <w:tbl>
      <w:tblPr>
        <w:tblStyle w:val="Table-Darkblue"/>
        <w:tblW w:w="0" w:type="auto"/>
        <w:tblLook w:val="04A0" w:firstRow="1" w:lastRow="0" w:firstColumn="1" w:lastColumn="0" w:noHBand="0" w:noVBand="1"/>
      </w:tblPr>
      <w:tblGrid>
        <w:gridCol w:w="3597"/>
        <w:gridCol w:w="3911"/>
        <w:gridCol w:w="2574"/>
      </w:tblGrid>
      <w:tr w:rsidRPr="00C97A0D" w:rsidR="00D10057" w:rsidTr="31005C1E" w14:paraId="67512A60" w14:textId="77777777">
        <w:trPr>
          <w:cnfStyle w:val="100000000000" w:firstRow="1" w:lastRow="0" w:firstColumn="0" w:lastColumn="0" w:oddVBand="0" w:evenVBand="0" w:oddHBand="0" w:evenHBand="0" w:firstRowFirstColumn="0" w:firstRowLastColumn="0" w:lastRowFirstColumn="0" w:lastRowLastColumn="0"/>
        </w:trPr>
        <w:tc>
          <w:tcPr>
            <w:tcW w:w="3597" w:type="dxa"/>
          </w:tcPr>
          <w:p w:rsidRPr="00C97A0D" w:rsidR="00D10057" w:rsidP="00C97A0D" w:rsidRDefault="00D10057" w14:paraId="03F95928" w14:textId="77777777">
            <w:pPr>
              <w:spacing w:after="0"/>
              <w:rPr>
                <w:rStyle w:val="Boldtext"/>
                <w:sz w:val="22"/>
                <w:szCs w:val="20"/>
              </w:rPr>
            </w:pPr>
            <w:r w:rsidRPr="00C97A0D">
              <w:rPr>
                <w:rStyle w:val="Boldtext"/>
                <w:sz w:val="22"/>
                <w:szCs w:val="20"/>
              </w:rPr>
              <w:t>ICF programme</w:t>
            </w:r>
          </w:p>
        </w:tc>
        <w:tc>
          <w:tcPr>
            <w:tcW w:w="3911" w:type="dxa"/>
          </w:tcPr>
          <w:p w:rsidRPr="00C97A0D" w:rsidR="00D10057" w:rsidP="00C97A0D" w:rsidRDefault="00D10057" w14:paraId="0FDDFF84" w14:textId="77777777">
            <w:pPr>
              <w:spacing w:after="0"/>
              <w:rPr>
                <w:rStyle w:val="Boldtext"/>
                <w:sz w:val="22"/>
                <w:szCs w:val="20"/>
              </w:rPr>
            </w:pPr>
            <w:r w:rsidRPr="00C97A0D">
              <w:rPr>
                <w:rStyle w:val="Boldtext"/>
                <w:sz w:val="22"/>
                <w:szCs w:val="20"/>
              </w:rPr>
              <w:t>Admin fee</w:t>
            </w:r>
          </w:p>
        </w:tc>
        <w:tc>
          <w:tcPr>
            <w:tcW w:w="2574" w:type="dxa"/>
          </w:tcPr>
          <w:p w:rsidRPr="00C97A0D" w:rsidR="00D10057" w:rsidP="00C97A0D" w:rsidRDefault="00D10057" w14:paraId="52A03655" w14:textId="77777777">
            <w:pPr>
              <w:spacing w:after="0"/>
              <w:rPr>
                <w:rStyle w:val="Boldtext"/>
                <w:sz w:val="22"/>
                <w:szCs w:val="20"/>
              </w:rPr>
            </w:pPr>
            <w:r w:rsidRPr="00C97A0D">
              <w:rPr>
                <w:rStyle w:val="Boldtext"/>
                <w:sz w:val="22"/>
                <w:szCs w:val="20"/>
              </w:rPr>
              <w:t>Data source</w:t>
            </w:r>
          </w:p>
        </w:tc>
      </w:tr>
      <w:tr w:rsidRPr="00C97A0D" w:rsidR="00D10057" w:rsidTr="31005C1E" w14:paraId="462247FF" w14:textId="77777777">
        <w:tc>
          <w:tcPr>
            <w:tcW w:w="3597" w:type="dxa"/>
          </w:tcPr>
          <w:p w:rsidRPr="00C97A0D" w:rsidR="00D10057" w:rsidP="00C97A0D" w:rsidRDefault="00D10057" w14:paraId="2FD39A5D" w14:textId="77777777">
            <w:pPr>
              <w:spacing w:after="0"/>
              <w:rPr>
                <w:sz w:val="22"/>
                <w:szCs w:val="20"/>
              </w:rPr>
            </w:pPr>
            <w:r w:rsidRPr="00C97A0D">
              <w:rPr>
                <w:sz w:val="22"/>
                <w:szCs w:val="20"/>
              </w:rPr>
              <w:t>Clean Energy Innovation Facility (CEIF)</w:t>
            </w:r>
          </w:p>
        </w:tc>
        <w:tc>
          <w:tcPr>
            <w:tcW w:w="3911" w:type="dxa"/>
          </w:tcPr>
          <w:p w:rsidRPr="00C97A0D" w:rsidR="00D10057" w:rsidP="00C97A0D" w:rsidRDefault="00D10057" w14:paraId="63D5B46E" w14:textId="23316354">
            <w:pPr>
              <w:spacing w:after="0"/>
              <w:rPr>
                <w:sz w:val="22"/>
                <w:szCs w:val="20"/>
              </w:rPr>
            </w:pPr>
            <w:r w:rsidRPr="00C97A0D">
              <w:rPr>
                <w:sz w:val="22"/>
                <w:szCs w:val="20"/>
              </w:rPr>
              <w:t>World Bank (5%), I</w:t>
            </w:r>
            <w:r w:rsidRPr="00C97A0D" w:rsidR="00E64E0C">
              <w:rPr>
                <w:sz w:val="22"/>
                <w:szCs w:val="20"/>
              </w:rPr>
              <w:t xml:space="preserve">nternational </w:t>
            </w:r>
            <w:r w:rsidRPr="00C97A0D">
              <w:rPr>
                <w:sz w:val="22"/>
                <w:szCs w:val="20"/>
              </w:rPr>
              <w:t>F</w:t>
            </w:r>
            <w:r w:rsidRPr="00C97A0D" w:rsidR="00E64E0C">
              <w:rPr>
                <w:sz w:val="22"/>
                <w:szCs w:val="20"/>
              </w:rPr>
              <w:t xml:space="preserve">inance </w:t>
            </w:r>
            <w:r w:rsidRPr="00C97A0D">
              <w:rPr>
                <w:sz w:val="22"/>
                <w:szCs w:val="20"/>
              </w:rPr>
              <w:t>C</w:t>
            </w:r>
            <w:r w:rsidRPr="00C97A0D" w:rsidR="00E64E0C">
              <w:rPr>
                <w:sz w:val="22"/>
                <w:szCs w:val="20"/>
              </w:rPr>
              <w:t>orporation (IFC)</w:t>
            </w:r>
            <w:r w:rsidRPr="00C97A0D">
              <w:rPr>
                <w:sz w:val="22"/>
                <w:szCs w:val="20"/>
              </w:rPr>
              <w:t xml:space="preserve"> (5%), A</w:t>
            </w:r>
            <w:r w:rsidRPr="00C97A0D" w:rsidR="00E64E0C">
              <w:rPr>
                <w:sz w:val="22"/>
                <w:szCs w:val="20"/>
              </w:rPr>
              <w:t xml:space="preserve">sian </w:t>
            </w:r>
            <w:r w:rsidRPr="00C97A0D">
              <w:rPr>
                <w:sz w:val="22"/>
                <w:szCs w:val="20"/>
              </w:rPr>
              <w:t>D</w:t>
            </w:r>
            <w:r w:rsidRPr="00C97A0D" w:rsidR="00E64E0C">
              <w:rPr>
                <w:sz w:val="22"/>
                <w:szCs w:val="20"/>
              </w:rPr>
              <w:t xml:space="preserve">evelopment </w:t>
            </w:r>
            <w:r w:rsidRPr="00C97A0D">
              <w:rPr>
                <w:sz w:val="22"/>
                <w:szCs w:val="20"/>
              </w:rPr>
              <w:t>B</w:t>
            </w:r>
            <w:r w:rsidRPr="00C97A0D" w:rsidR="00E64E0C">
              <w:rPr>
                <w:sz w:val="22"/>
                <w:szCs w:val="20"/>
              </w:rPr>
              <w:t>ank (ADB)</w:t>
            </w:r>
            <w:r w:rsidRPr="00C97A0D">
              <w:rPr>
                <w:sz w:val="22"/>
                <w:szCs w:val="20"/>
              </w:rPr>
              <w:t xml:space="preserve"> (5%)).</w:t>
            </w:r>
          </w:p>
        </w:tc>
        <w:tc>
          <w:tcPr>
            <w:tcW w:w="2574" w:type="dxa"/>
          </w:tcPr>
          <w:p w:rsidRPr="00C97A0D" w:rsidR="00D10057" w:rsidP="00C97A0D" w:rsidRDefault="00D10057" w14:paraId="1877C737" w14:textId="077D15AE">
            <w:pPr>
              <w:spacing w:after="0"/>
              <w:rPr>
                <w:sz w:val="22"/>
                <w:szCs w:val="20"/>
              </w:rPr>
            </w:pPr>
            <w:hyperlink w:history="1" r:id="rId30">
              <w:r w:rsidRPr="00C97A0D">
                <w:rPr>
                  <w:rStyle w:val="Hyperlink"/>
                  <w:sz w:val="22"/>
                  <w:szCs w:val="20"/>
                </w:rPr>
                <w:t>Annual Review 2023</w:t>
              </w:r>
            </w:hyperlink>
            <w:r w:rsidRPr="00C97A0D" w:rsidR="00585E01">
              <w:rPr>
                <w:sz w:val="22"/>
                <w:szCs w:val="20"/>
              </w:rPr>
              <w:t>v</w:t>
            </w:r>
          </w:p>
        </w:tc>
      </w:tr>
      <w:tr w:rsidRPr="00C97A0D" w:rsidR="00D10057" w:rsidTr="31005C1E" w14:paraId="667C4C0A" w14:textId="77777777">
        <w:tc>
          <w:tcPr>
            <w:tcW w:w="3597" w:type="dxa"/>
          </w:tcPr>
          <w:p w:rsidRPr="00C97A0D" w:rsidR="00D10057" w:rsidP="00C97A0D" w:rsidRDefault="00D10057" w14:paraId="2C30D243" w14:textId="77777777">
            <w:pPr>
              <w:spacing w:after="0"/>
              <w:rPr>
                <w:sz w:val="22"/>
                <w:szCs w:val="20"/>
              </w:rPr>
            </w:pPr>
            <w:r w:rsidRPr="00C97A0D">
              <w:rPr>
                <w:sz w:val="22"/>
                <w:szCs w:val="20"/>
              </w:rPr>
              <w:t>Partnership for Market Readiness (PMR)</w:t>
            </w:r>
          </w:p>
        </w:tc>
        <w:tc>
          <w:tcPr>
            <w:tcW w:w="3911" w:type="dxa"/>
          </w:tcPr>
          <w:p w:rsidRPr="00C97A0D" w:rsidR="00D10057" w:rsidP="00C97A0D" w:rsidRDefault="00D10057" w14:paraId="67FF18E6" w14:textId="77777777">
            <w:pPr>
              <w:spacing w:after="0"/>
              <w:rPr>
                <w:sz w:val="22"/>
                <w:szCs w:val="20"/>
              </w:rPr>
            </w:pPr>
          </w:p>
        </w:tc>
        <w:tc>
          <w:tcPr>
            <w:tcW w:w="2574" w:type="dxa"/>
          </w:tcPr>
          <w:p w:rsidRPr="00C97A0D" w:rsidR="00D10057" w:rsidP="00C97A0D" w:rsidRDefault="00D10057" w14:paraId="406B111D" w14:textId="77777777">
            <w:pPr>
              <w:spacing w:after="0"/>
              <w:rPr>
                <w:sz w:val="22"/>
                <w:szCs w:val="20"/>
              </w:rPr>
            </w:pPr>
          </w:p>
        </w:tc>
      </w:tr>
      <w:tr w:rsidRPr="00C97A0D" w:rsidR="00D10057" w:rsidTr="31005C1E" w14:paraId="50BB5304" w14:textId="77777777">
        <w:tc>
          <w:tcPr>
            <w:tcW w:w="3597" w:type="dxa"/>
          </w:tcPr>
          <w:p w:rsidRPr="00C97A0D" w:rsidR="00D10057" w:rsidP="00C97A0D" w:rsidRDefault="00D10057" w14:paraId="497E18EA" w14:textId="77777777">
            <w:pPr>
              <w:spacing w:after="0"/>
              <w:rPr>
                <w:sz w:val="22"/>
                <w:szCs w:val="20"/>
              </w:rPr>
            </w:pPr>
            <w:r w:rsidRPr="00C97A0D">
              <w:rPr>
                <w:sz w:val="22"/>
                <w:szCs w:val="20"/>
              </w:rPr>
              <w:t>Climate Investment Funds (CIFs)</w:t>
            </w:r>
          </w:p>
        </w:tc>
        <w:tc>
          <w:tcPr>
            <w:tcW w:w="3911" w:type="dxa"/>
          </w:tcPr>
          <w:p w:rsidRPr="00C97A0D" w:rsidR="00D10057" w:rsidP="00C97A0D" w:rsidRDefault="00D10057" w14:paraId="058E9776" w14:textId="77777777">
            <w:pPr>
              <w:spacing w:after="0"/>
              <w:rPr>
                <w:sz w:val="22"/>
                <w:szCs w:val="20"/>
              </w:rPr>
            </w:pPr>
            <w:r w:rsidRPr="00C97A0D">
              <w:rPr>
                <w:sz w:val="22"/>
                <w:szCs w:val="20"/>
              </w:rPr>
              <w:t>Management fee: 0.7 – 3.9%</w:t>
            </w:r>
          </w:p>
          <w:p w:rsidRPr="00C97A0D" w:rsidR="00D10057" w:rsidP="00C97A0D" w:rsidRDefault="00D10057" w14:paraId="4A554429" w14:textId="77777777">
            <w:pPr>
              <w:spacing w:after="0"/>
              <w:rPr>
                <w:sz w:val="22"/>
                <w:szCs w:val="20"/>
              </w:rPr>
            </w:pPr>
            <w:r w:rsidRPr="00C97A0D">
              <w:rPr>
                <w:sz w:val="22"/>
                <w:szCs w:val="20"/>
              </w:rPr>
              <w:t>Admin fee: 2.6%</w:t>
            </w:r>
          </w:p>
        </w:tc>
        <w:tc>
          <w:tcPr>
            <w:tcW w:w="2574" w:type="dxa"/>
          </w:tcPr>
          <w:p w:rsidRPr="00C97A0D" w:rsidR="00D10057" w:rsidP="00C97A0D" w:rsidRDefault="00D10057" w14:paraId="4424BEDF" w14:textId="77777777">
            <w:pPr>
              <w:spacing w:after="0"/>
              <w:rPr>
                <w:sz w:val="22"/>
                <w:szCs w:val="20"/>
              </w:rPr>
            </w:pPr>
            <w:hyperlink w:history="1" r:id="rId31">
              <w:r w:rsidRPr="00C97A0D">
                <w:rPr>
                  <w:rStyle w:val="Hyperlink"/>
                  <w:sz w:val="22"/>
                  <w:szCs w:val="20"/>
                </w:rPr>
                <w:t>CIFs Annual Review 2023</w:t>
              </w:r>
            </w:hyperlink>
          </w:p>
        </w:tc>
      </w:tr>
      <w:tr w:rsidRPr="00C97A0D" w:rsidR="00D10057" w:rsidTr="31005C1E" w14:paraId="6F15D3E4" w14:textId="77777777">
        <w:tc>
          <w:tcPr>
            <w:tcW w:w="3597" w:type="dxa"/>
          </w:tcPr>
          <w:p w:rsidRPr="00C97A0D" w:rsidR="00D10057" w:rsidP="00C97A0D" w:rsidRDefault="00D10057" w14:paraId="3D6CB0C5" w14:textId="77777777">
            <w:pPr>
              <w:spacing w:after="0"/>
              <w:rPr>
                <w:sz w:val="22"/>
                <w:szCs w:val="20"/>
              </w:rPr>
            </w:pPr>
            <w:r w:rsidRPr="00C97A0D">
              <w:rPr>
                <w:sz w:val="22"/>
                <w:szCs w:val="20"/>
              </w:rPr>
              <w:t>Mitigation Action Facility (MAF) (previously called NAMA Facility)</w:t>
            </w:r>
          </w:p>
        </w:tc>
        <w:tc>
          <w:tcPr>
            <w:tcW w:w="3911" w:type="dxa"/>
          </w:tcPr>
          <w:p w:rsidRPr="00C97A0D" w:rsidR="00D10057" w:rsidP="00C97A0D" w:rsidRDefault="00D10057" w14:paraId="0DC65A20" w14:textId="223C678F">
            <w:pPr>
              <w:spacing w:after="0"/>
              <w:rPr>
                <w:sz w:val="22"/>
                <w:szCs w:val="20"/>
              </w:rPr>
            </w:pPr>
            <w:r w:rsidRPr="00C97A0D">
              <w:rPr>
                <w:sz w:val="22"/>
                <w:szCs w:val="20"/>
              </w:rPr>
              <w:t xml:space="preserve">0.6% of all funding, with the majority coming from </w:t>
            </w:r>
            <w:r w:rsidRPr="00C97A0D" w:rsidR="007255B7">
              <w:rPr>
                <w:sz w:val="22"/>
                <w:szCs w:val="20"/>
              </w:rPr>
              <w:t>the German Federal Ministry for Economic Affairs and Climate Action (</w:t>
            </w:r>
            <w:r w:rsidRPr="00C97A0D">
              <w:rPr>
                <w:sz w:val="22"/>
                <w:szCs w:val="20"/>
              </w:rPr>
              <w:t>BMWK</w:t>
            </w:r>
            <w:r w:rsidRPr="00C97A0D" w:rsidR="007255B7">
              <w:rPr>
                <w:sz w:val="22"/>
                <w:szCs w:val="20"/>
              </w:rPr>
              <w:t>)</w:t>
            </w:r>
            <w:r w:rsidRPr="00C97A0D">
              <w:rPr>
                <w:sz w:val="22"/>
                <w:szCs w:val="20"/>
              </w:rPr>
              <w:t xml:space="preserve"> however</w:t>
            </w:r>
            <w:r w:rsidRPr="00C97A0D" w:rsidR="00FD0F2F">
              <w:rPr>
                <w:sz w:val="22"/>
                <w:szCs w:val="20"/>
              </w:rPr>
              <w:t>.</w:t>
            </w:r>
          </w:p>
        </w:tc>
        <w:tc>
          <w:tcPr>
            <w:tcW w:w="2574" w:type="dxa"/>
          </w:tcPr>
          <w:p w:rsidRPr="00C97A0D" w:rsidR="00D10057" w:rsidP="00C97A0D" w:rsidRDefault="00D10057" w14:paraId="0D7C27F7" w14:textId="77777777">
            <w:pPr>
              <w:spacing w:after="0"/>
              <w:rPr>
                <w:sz w:val="22"/>
                <w:szCs w:val="20"/>
              </w:rPr>
            </w:pPr>
            <w:hyperlink w:history="1" r:id="rId32">
              <w:r w:rsidRPr="00C97A0D">
                <w:rPr>
                  <w:rStyle w:val="Hyperlink"/>
                  <w:sz w:val="22"/>
                  <w:szCs w:val="20"/>
                </w:rPr>
                <w:t>Final NAMA Annual Review 2022</w:t>
              </w:r>
            </w:hyperlink>
          </w:p>
        </w:tc>
      </w:tr>
      <w:tr w:rsidRPr="00C97A0D" w:rsidR="00D10057" w:rsidTr="31005C1E" w14:paraId="7AC3B124" w14:textId="77777777">
        <w:tc>
          <w:tcPr>
            <w:tcW w:w="3597" w:type="dxa"/>
          </w:tcPr>
          <w:p w:rsidRPr="00C97A0D" w:rsidR="00D10057" w:rsidP="00C97A0D" w:rsidRDefault="00D10057" w14:paraId="336ED5A1" w14:textId="77777777">
            <w:pPr>
              <w:spacing w:after="0"/>
              <w:rPr>
                <w:sz w:val="22"/>
                <w:szCs w:val="20"/>
              </w:rPr>
            </w:pPr>
            <w:r w:rsidRPr="00C97A0D">
              <w:rPr>
                <w:sz w:val="22"/>
                <w:szCs w:val="20"/>
              </w:rPr>
              <w:t>Global Climate Partnership Fund (GCPF)</w:t>
            </w:r>
          </w:p>
        </w:tc>
        <w:tc>
          <w:tcPr>
            <w:tcW w:w="3911" w:type="dxa"/>
          </w:tcPr>
          <w:p w:rsidRPr="00C97A0D" w:rsidR="00D10057" w:rsidP="00C97A0D" w:rsidRDefault="00D10057" w14:paraId="3E064872" w14:textId="64B56ECE">
            <w:pPr>
              <w:spacing w:after="0"/>
              <w:rPr>
                <w:sz w:val="22"/>
                <w:szCs w:val="20"/>
              </w:rPr>
            </w:pPr>
            <w:r w:rsidRPr="00C97A0D">
              <w:rPr>
                <w:sz w:val="22"/>
                <w:szCs w:val="20"/>
              </w:rPr>
              <w:t>D</w:t>
            </w:r>
            <w:r w:rsidRPr="00C97A0D" w:rsidR="00D32502">
              <w:rPr>
                <w:sz w:val="22"/>
                <w:szCs w:val="20"/>
              </w:rPr>
              <w:t xml:space="preserve">elivery </w:t>
            </w:r>
            <w:r w:rsidRPr="00C97A0D">
              <w:rPr>
                <w:sz w:val="22"/>
                <w:szCs w:val="20"/>
              </w:rPr>
              <w:t>P</w:t>
            </w:r>
            <w:r w:rsidRPr="00C97A0D" w:rsidR="00D32502">
              <w:rPr>
                <w:sz w:val="22"/>
                <w:szCs w:val="20"/>
              </w:rPr>
              <w:t>artner (DP)</w:t>
            </w:r>
            <w:r w:rsidRPr="00C97A0D">
              <w:rPr>
                <w:sz w:val="22"/>
                <w:szCs w:val="20"/>
              </w:rPr>
              <w:t>: KfW</w:t>
            </w:r>
            <w:r w:rsidRPr="00C97A0D" w:rsidR="007255B7">
              <w:rPr>
                <w:sz w:val="22"/>
                <w:szCs w:val="20"/>
              </w:rPr>
              <w:t xml:space="preserve"> Development Bank</w:t>
            </w:r>
            <w:r w:rsidRPr="00C97A0D">
              <w:rPr>
                <w:sz w:val="22"/>
                <w:szCs w:val="20"/>
              </w:rPr>
              <w:t xml:space="preserve">. </w:t>
            </w:r>
          </w:p>
          <w:p w:rsidRPr="00C97A0D" w:rsidR="00D10057" w:rsidP="00C97A0D" w:rsidRDefault="00D10057" w14:paraId="121617C8" w14:textId="491A53CE">
            <w:pPr>
              <w:spacing w:after="0"/>
              <w:rPr>
                <w:sz w:val="22"/>
                <w:szCs w:val="20"/>
              </w:rPr>
            </w:pPr>
            <w:r w:rsidRPr="00C97A0D">
              <w:rPr>
                <w:sz w:val="22"/>
                <w:szCs w:val="20"/>
              </w:rPr>
              <w:t>0.8% fund management fee</w:t>
            </w:r>
            <w:r w:rsidRPr="00C97A0D" w:rsidR="00FD0F2F">
              <w:rPr>
                <w:sz w:val="22"/>
                <w:szCs w:val="20"/>
              </w:rPr>
              <w:t>.</w:t>
            </w:r>
          </w:p>
        </w:tc>
        <w:tc>
          <w:tcPr>
            <w:tcW w:w="2574" w:type="dxa"/>
          </w:tcPr>
          <w:p w:rsidRPr="00C97A0D" w:rsidR="00D10057" w:rsidP="00C97A0D" w:rsidRDefault="00D10057" w14:paraId="749B0961" w14:textId="77777777">
            <w:pPr>
              <w:spacing w:after="0"/>
              <w:rPr>
                <w:sz w:val="22"/>
                <w:szCs w:val="20"/>
              </w:rPr>
            </w:pPr>
            <w:hyperlink w:history="1" r:id="rId33">
              <w:r w:rsidRPr="00C97A0D">
                <w:rPr>
                  <w:rStyle w:val="Hyperlink"/>
                  <w:sz w:val="22"/>
                  <w:szCs w:val="20"/>
                </w:rPr>
                <w:t>Business case</w:t>
              </w:r>
            </w:hyperlink>
          </w:p>
        </w:tc>
      </w:tr>
      <w:tr w:rsidRPr="00C97A0D" w:rsidR="00D10057" w:rsidTr="31005C1E" w14:paraId="0F7CC892" w14:textId="77777777">
        <w:tc>
          <w:tcPr>
            <w:tcW w:w="3597" w:type="dxa"/>
          </w:tcPr>
          <w:p w:rsidRPr="00C97A0D" w:rsidR="00D10057" w:rsidP="00C97A0D" w:rsidRDefault="00D10057" w14:paraId="406FA94A" w14:textId="77777777">
            <w:pPr>
              <w:spacing w:after="0"/>
              <w:rPr>
                <w:sz w:val="22"/>
                <w:szCs w:val="20"/>
              </w:rPr>
            </w:pPr>
            <w:r w:rsidRPr="00C97A0D">
              <w:rPr>
                <w:sz w:val="22"/>
                <w:szCs w:val="20"/>
              </w:rPr>
              <w:t>Clean Technology Fund (CTF)</w:t>
            </w:r>
          </w:p>
        </w:tc>
        <w:tc>
          <w:tcPr>
            <w:tcW w:w="3911" w:type="dxa"/>
          </w:tcPr>
          <w:p w:rsidRPr="00C97A0D" w:rsidR="00D10057" w:rsidP="00C97A0D" w:rsidRDefault="00D10057" w14:paraId="16BE556D" w14:textId="4FA7FB1B">
            <w:pPr>
              <w:spacing w:after="0"/>
              <w:rPr>
                <w:sz w:val="22"/>
                <w:szCs w:val="20"/>
              </w:rPr>
            </w:pPr>
            <w:r w:rsidRPr="00C97A0D">
              <w:rPr>
                <w:sz w:val="22"/>
                <w:szCs w:val="20"/>
              </w:rPr>
              <w:t xml:space="preserve">Part of </w:t>
            </w:r>
            <w:r w:rsidRPr="00C97A0D" w:rsidR="007255B7">
              <w:rPr>
                <w:sz w:val="22"/>
                <w:szCs w:val="20"/>
              </w:rPr>
              <w:t>Climate Investment Funds (CIF)</w:t>
            </w:r>
            <w:r w:rsidRPr="00C97A0D">
              <w:rPr>
                <w:sz w:val="22"/>
                <w:szCs w:val="20"/>
              </w:rPr>
              <w:t xml:space="preserve"> – see above</w:t>
            </w:r>
            <w:r w:rsidRPr="00C97A0D" w:rsidR="00FD0F2F">
              <w:rPr>
                <w:sz w:val="22"/>
                <w:szCs w:val="20"/>
              </w:rPr>
              <w:t>.</w:t>
            </w:r>
          </w:p>
        </w:tc>
        <w:tc>
          <w:tcPr>
            <w:tcW w:w="2574" w:type="dxa"/>
          </w:tcPr>
          <w:p w:rsidRPr="00C97A0D" w:rsidR="00D10057" w:rsidP="00C97A0D" w:rsidRDefault="00D10057" w14:paraId="1EDFEC66" w14:textId="4CE64FFC">
            <w:pPr>
              <w:spacing w:after="0"/>
              <w:rPr>
                <w:sz w:val="22"/>
                <w:szCs w:val="20"/>
              </w:rPr>
            </w:pPr>
            <w:r w:rsidRPr="00C97A0D">
              <w:rPr>
                <w:sz w:val="22"/>
                <w:szCs w:val="20"/>
              </w:rPr>
              <w:t>N/A</w:t>
            </w:r>
            <w:r w:rsidRPr="00C97A0D" w:rsidR="007255B7">
              <w:rPr>
                <w:sz w:val="22"/>
                <w:szCs w:val="20"/>
              </w:rPr>
              <w:t xml:space="preserve"> (see above)</w:t>
            </w:r>
          </w:p>
        </w:tc>
      </w:tr>
      <w:tr w:rsidRPr="00C97A0D" w:rsidR="00D10057" w:rsidTr="31005C1E" w14:paraId="12D9B6B2" w14:textId="77777777">
        <w:tc>
          <w:tcPr>
            <w:tcW w:w="3597" w:type="dxa"/>
          </w:tcPr>
          <w:p w:rsidRPr="00C97A0D" w:rsidR="00D10057" w:rsidP="00C97A0D" w:rsidRDefault="00D10057" w14:paraId="41272F67" w14:textId="77777777">
            <w:pPr>
              <w:spacing w:after="0"/>
              <w:rPr>
                <w:sz w:val="22"/>
                <w:szCs w:val="20"/>
              </w:rPr>
            </w:pPr>
            <w:r w:rsidRPr="00C97A0D">
              <w:rPr>
                <w:sz w:val="22"/>
                <w:szCs w:val="20"/>
              </w:rPr>
              <w:t>International CCS Capacity Building</w:t>
            </w:r>
          </w:p>
        </w:tc>
        <w:tc>
          <w:tcPr>
            <w:tcW w:w="3911" w:type="dxa"/>
          </w:tcPr>
          <w:p w:rsidRPr="00C97A0D" w:rsidR="00D10057" w:rsidP="00C97A0D" w:rsidRDefault="00D10057" w14:paraId="17525C43" w14:textId="788C51AC">
            <w:pPr>
              <w:spacing w:after="0"/>
              <w:rPr>
                <w:sz w:val="22"/>
                <w:szCs w:val="20"/>
              </w:rPr>
            </w:pPr>
            <w:r w:rsidRPr="00C97A0D">
              <w:rPr>
                <w:sz w:val="22"/>
                <w:szCs w:val="20"/>
              </w:rPr>
              <w:t>No data available</w:t>
            </w:r>
            <w:r w:rsidRPr="00C97A0D" w:rsidR="00FD0F2F">
              <w:rPr>
                <w:sz w:val="22"/>
                <w:szCs w:val="20"/>
              </w:rPr>
              <w:t>.</w:t>
            </w:r>
          </w:p>
        </w:tc>
        <w:tc>
          <w:tcPr>
            <w:tcW w:w="2574" w:type="dxa"/>
          </w:tcPr>
          <w:p w:rsidRPr="00C97A0D" w:rsidR="00D10057" w:rsidP="00C97A0D" w:rsidRDefault="00D10057" w14:paraId="4DAA21A6" w14:textId="77777777">
            <w:pPr>
              <w:spacing w:after="0"/>
              <w:rPr>
                <w:sz w:val="22"/>
                <w:szCs w:val="20"/>
              </w:rPr>
            </w:pPr>
          </w:p>
        </w:tc>
      </w:tr>
      <w:tr w:rsidRPr="00C97A0D" w:rsidR="00D10057" w:rsidTr="31005C1E" w14:paraId="27A079EF" w14:textId="77777777">
        <w:tc>
          <w:tcPr>
            <w:tcW w:w="3597" w:type="dxa"/>
          </w:tcPr>
          <w:p w:rsidRPr="00C97A0D" w:rsidR="00D10057" w:rsidP="00C97A0D" w:rsidRDefault="00D10057" w14:paraId="454298E4" w14:textId="77777777">
            <w:pPr>
              <w:spacing w:after="0"/>
              <w:rPr>
                <w:sz w:val="22"/>
                <w:szCs w:val="20"/>
              </w:rPr>
            </w:pPr>
            <w:r w:rsidRPr="00C97A0D">
              <w:rPr>
                <w:sz w:val="22"/>
                <w:szCs w:val="20"/>
              </w:rPr>
              <w:t>REDD Early Movers Programme</w:t>
            </w:r>
          </w:p>
        </w:tc>
        <w:tc>
          <w:tcPr>
            <w:tcW w:w="3911" w:type="dxa"/>
          </w:tcPr>
          <w:p w:rsidRPr="00C97A0D" w:rsidR="00D10057" w:rsidP="00C97A0D" w:rsidRDefault="00D10057" w14:paraId="26F02E95" w14:textId="1F6B6E39">
            <w:pPr>
              <w:spacing w:after="0"/>
              <w:rPr>
                <w:sz w:val="22"/>
                <w:szCs w:val="20"/>
              </w:rPr>
            </w:pPr>
            <w:r w:rsidRPr="00C97A0D">
              <w:rPr>
                <w:sz w:val="22"/>
                <w:szCs w:val="20"/>
              </w:rPr>
              <w:t>DP: KfW</w:t>
            </w:r>
            <w:r w:rsidRPr="00C97A0D" w:rsidR="007255B7">
              <w:rPr>
                <w:sz w:val="22"/>
                <w:szCs w:val="20"/>
              </w:rPr>
              <w:t xml:space="preserve"> Development Bank</w:t>
            </w:r>
            <w:r w:rsidRPr="00C97A0D">
              <w:rPr>
                <w:sz w:val="22"/>
                <w:szCs w:val="20"/>
              </w:rPr>
              <w:t xml:space="preserve">. </w:t>
            </w:r>
          </w:p>
          <w:p w:rsidRPr="00C97A0D" w:rsidR="00D10057" w:rsidP="00C97A0D" w:rsidRDefault="00D10057" w14:paraId="6737D61B" w14:textId="65942877">
            <w:pPr>
              <w:spacing w:after="0"/>
              <w:rPr>
                <w:sz w:val="22"/>
                <w:szCs w:val="20"/>
              </w:rPr>
            </w:pPr>
            <w:r w:rsidRPr="00C97A0D">
              <w:rPr>
                <w:sz w:val="22"/>
                <w:szCs w:val="20"/>
              </w:rPr>
              <w:t xml:space="preserve">2.5%, with an additional 1.5% set aside in TA in the future. Fees are lower due to </w:t>
            </w:r>
            <w:r w:rsidRPr="00C97A0D" w:rsidR="007255B7">
              <w:rPr>
                <w:sz w:val="22"/>
                <w:szCs w:val="20"/>
              </w:rPr>
              <w:t>the German Federal Ministry of Economic Cooperation and Development (</w:t>
            </w:r>
            <w:r w:rsidRPr="00C97A0D">
              <w:rPr>
                <w:sz w:val="22"/>
                <w:szCs w:val="20"/>
              </w:rPr>
              <w:t>BMZ</w:t>
            </w:r>
            <w:r w:rsidRPr="00C97A0D" w:rsidR="007255B7">
              <w:rPr>
                <w:sz w:val="22"/>
                <w:szCs w:val="20"/>
              </w:rPr>
              <w:t>)</w:t>
            </w:r>
            <w:r w:rsidRPr="00C97A0D">
              <w:rPr>
                <w:sz w:val="22"/>
                <w:szCs w:val="20"/>
              </w:rPr>
              <w:t xml:space="preserve"> covering a large share of management fees. </w:t>
            </w:r>
          </w:p>
          <w:p w:rsidRPr="00C97A0D" w:rsidR="00D10057" w:rsidP="00C97A0D" w:rsidRDefault="00D10057" w14:paraId="641DAAB0" w14:textId="77777777">
            <w:pPr>
              <w:spacing w:after="0"/>
              <w:rPr>
                <w:sz w:val="22"/>
                <w:szCs w:val="20"/>
              </w:rPr>
            </w:pPr>
            <w:r w:rsidRPr="00C97A0D">
              <w:rPr>
                <w:sz w:val="22"/>
                <w:szCs w:val="20"/>
              </w:rPr>
              <w:t xml:space="preserve">Fees for Financial intermediaries charged in MT and Colombia are 11% (expected to fall to 7% in phase 2) and 6.7% respectively. </w:t>
            </w:r>
          </w:p>
        </w:tc>
        <w:tc>
          <w:tcPr>
            <w:tcW w:w="2574" w:type="dxa"/>
          </w:tcPr>
          <w:p w:rsidRPr="00C97A0D" w:rsidR="00D10057" w:rsidP="00C97A0D" w:rsidRDefault="00D10057" w14:paraId="612A1CD1" w14:textId="77777777">
            <w:pPr>
              <w:spacing w:after="0"/>
              <w:rPr>
                <w:sz w:val="22"/>
                <w:szCs w:val="20"/>
              </w:rPr>
            </w:pPr>
            <w:hyperlink w:history="1" r:id="rId34">
              <w:r w:rsidRPr="00C97A0D">
                <w:rPr>
                  <w:rStyle w:val="Hyperlink"/>
                  <w:sz w:val="22"/>
                  <w:szCs w:val="20"/>
                </w:rPr>
                <w:t>Annual Review 2022/23</w:t>
              </w:r>
            </w:hyperlink>
          </w:p>
        </w:tc>
      </w:tr>
      <w:tr w:rsidRPr="00C97A0D" w:rsidR="00D10057" w:rsidTr="31005C1E" w14:paraId="068B71FB" w14:textId="77777777">
        <w:tc>
          <w:tcPr>
            <w:tcW w:w="3597" w:type="dxa"/>
          </w:tcPr>
          <w:p w:rsidRPr="00C97A0D" w:rsidR="00D10057" w:rsidP="00C97A0D" w:rsidRDefault="00D10057" w14:paraId="527290E7" w14:textId="77777777">
            <w:pPr>
              <w:spacing w:after="0"/>
              <w:rPr>
                <w:sz w:val="22"/>
                <w:szCs w:val="20"/>
              </w:rPr>
            </w:pPr>
            <w:r w:rsidRPr="00C97A0D">
              <w:rPr>
                <w:sz w:val="22"/>
                <w:szCs w:val="20"/>
              </w:rPr>
              <w:t>Pollution Management &amp; Environmental Health</w:t>
            </w:r>
          </w:p>
        </w:tc>
        <w:tc>
          <w:tcPr>
            <w:tcW w:w="3911" w:type="dxa"/>
          </w:tcPr>
          <w:p w:rsidRPr="00C97A0D" w:rsidR="00D10057" w:rsidP="00C97A0D" w:rsidRDefault="00D10057" w14:paraId="102DC7E9" w14:textId="77777777">
            <w:pPr>
              <w:spacing w:after="0"/>
              <w:rPr>
                <w:sz w:val="22"/>
                <w:szCs w:val="20"/>
              </w:rPr>
            </w:pPr>
            <w:r w:rsidRPr="00C97A0D">
              <w:rPr>
                <w:sz w:val="22"/>
                <w:szCs w:val="20"/>
              </w:rPr>
              <w:t>No data available</w:t>
            </w:r>
          </w:p>
        </w:tc>
        <w:tc>
          <w:tcPr>
            <w:tcW w:w="2574" w:type="dxa"/>
          </w:tcPr>
          <w:p w:rsidRPr="00C97A0D" w:rsidR="00D10057" w:rsidP="00C97A0D" w:rsidRDefault="00D10057" w14:paraId="475AEEE4" w14:textId="77777777">
            <w:pPr>
              <w:spacing w:after="0"/>
              <w:rPr>
                <w:sz w:val="22"/>
                <w:szCs w:val="20"/>
              </w:rPr>
            </w:pPr>
          </w:p>
        </w:tc>
      </w:tr>
      <w:tr w:rsidRPr="00C97A0D" w:rsidR="00D10057" w:rsidTr="31005C1E" w14:paraId="488CAA80" w14:textId="77777777">
        <w:tc>
          <w:tcPr>
            <w:tcW w:w="3597" w:type="dxa"/>
          </w:tcPr>
          <w:p w:rsidRPr="00C97A0D" w:rsidR="00D10057" w:rsidP="00C97A0D" w:rsidRDefault="00D10057" w14:paraId="2EA052CC" w14:textId="77777777">
            <w:pPr>
              <w:spacing w:after="0"/>
              <w:rPr>
                <w:sz w:val="22"/>
                <w:szCs w:val="20"/>
                <w:lang w:val="fr-FR"/>
              </w:rPr>
            </w:pPr>
            <w:r w:rsidRPr="00C97A0D">
              <w:rPr>
                <w:noProof/>
                <w:sz w:val="22"/>
                <w:szCs w:val="20"/>
                <w:lang w:val="fr-FR"/>
              </w:rPr>
              <w:t>Transformational</w:t>
            </w:r>
            <w:r w:rsidRPr="00C97A0D">
              <w:rPr>
                <w:sz w:val="22"/>
                <w:szCs w:val="20"/>
                <w:lang w:val="fr-FR"/>
              </w:rPr>
              <w:t xml:space="preserve"> Carbon Asset Facility (TCAF)</w:t>
            </w:r>
          </w:p>
        </w:tc>
        <w:tc>
          <w:tcPr>
            <w:tcW w:w="3911" w:type="dxa"/>
          </w:tcPr>
          <w:p w:rsidRPr="00C97A0D" w:rsidR="00D10057" w:rsidP="00C97A0D" w:rsidRDefault="00D10057" w14:paraId="579520D1" w14:textId="77777777">
            <w:pPr>
              <w:spacing w:after="0"/>
              <w:rPr>
                <w:sz w:val="22"/>
                <w:szCs w:val="20"/>
              </w:rPr>
            </w:pPr>
            <w:r w:rsidRPr="00C97A0D">
              <w:rPr>
                <w:sz w:val="22"/>
                <w:szCs w:val="20"/>
              </w:rPr>
              <w:t>No data available</w:t>
            </w:r>
          </w:p>
        </w:tc>
        <w:tc>
          <w:tcPr>
            <w:tcW w:w="2574" w:type="dxa"/>
          </w:tcPr>
          <w:p w:rsidRPr="00C97A0D" w:rsidR="00D10057" w:rsidP="00C97A0D" w:rsidRDefault="00D10057" w14:paraId="0F18E16C" w14:textId="77777777">
            <w:pPr>
              <w:spacing w:after="0"/>
              <w:rPr>
                <w:sz w:val="22"/>
                <w:szCs w:val="20"/>
              </w:rPr>
            </w:pPr>
          </w:p>
        </w:tc>
      </w:tr>
      <w:tr w:rsidRPr="00C97A0D" w:rsidR="00D10057" w:rsidTr="31005C1E" w14:paraId="0B9E116C" w14:textId="77777777">
        <w:tc>
          <w:tcPr>
            <w:tcW w:w="3597" w:type="dxa"/>
          </w:tcPr>
          <w:p w:rsidRPr="00C97A0D" w:rsidR="00D10057" w:rsidP="00C97A0D" w:rsidRDefault="00D10057" w14:paraId="5775C82A" w14:textId="77777777">
            <w:pPr>
              <w:spacing w:after="0"/>
              <w:rPr>
                <w:sz w:val="22"/>
                <w:szCs w:val="20"/>
              </w:rPr>
            </w:pPr>
            <w:r w:rsidRPr="00C97A0D">
              <w:rPr>
                <w:sz w:val="22"/>
                <w:szCs w:val="20"/>
              </w:rPr>
              <w:t>Carbon Initiative for Development (Ci-Dev)</w:t>
            </w:r>
          </w:p>
        </w:tc>
        <w:tc>
          <w:tcPr>
            <w:tcW w:w="3911" w:type="dxa"/>
          </w:tcPr>
          <w:p w:rsidRPr="00C97A0D" w:rsidR="00D10057" w:rsidP="00C97A0D" w:rsidRDefault="00D10057" w14:paraId="5C8CE107" w14:textId="3F1F70BB">
            <w:pPr>
              <w:spacing w:after="0"/>
              <w:rPr>
                <w:sz w:val="22"/>
                <w:szCs w:val="20"/>
              </w:rPr>
            </w:pPr>
            <w:r w:rsidRPr="00C97A0D">
              <w:rPr>
                <w:sz w:val="22"/>
                <w:szCs w:val="20"/>
              </w:rPr>
              <w:t>Administrative and management costs for this initiative are 5% of the total funding provided to the World Bank, which is a standard fee</w:t>
            </w:r>
            <w:r w:rsidRPr="00C97A0D" w:rsidR="00FD0F2F">
              <w:rPr>
                <w:sz w:val="22"/>
                <w:szCs w:val="20"/>
              </w:rPr>
              <w:t>.</w:t>
            </w:r>
          </w:p>
        </w:tc>
        <w:tc>
          <w:tcPr>
            <w:tcW w:w="2574" w:type="dxa"/>
          </w:tcPr>
          <w:p w:rsidRPr="00C97A0D" w:rsidR="00D10057" w:rsidP="00C97A0D" w:rsidRDefault="00D10057" w14:paraId="23A1A75B" w14:textId="77777777">
            <w:pPr>
              <w:spacing w:after="0"/>
              <w:rPr>
                <w:sz w:val="22"/>
                <w:szCs w:val="20"/>
              </w:rPr>
            </w:pPr>
            <w:hyperlink w:history="1" r:id="rId35">
              <w:r w:rsidRPr="00C97A0D">
                <w:rPr>
                  <w:rStyle w:val="Hyperlink"/>
                  <w:sz w:val="22"/>
                  <w:szCs w:val="20"/>
                </w:rPr>
                <w:t>Business case</w:t>
              </w:r>
            </w:hyperlink>
          </w:p>
        </w:tc>
      </w:tr>
      <w:tr w:rsidRPr="00C97A0D" w:rsidR="00D10057" w:rsidTr="31005C1E" w14:paraId="70916513" w14:textId="77777777">
        <w:tc>
          <w:tcPr>
            <w:tcW w:w="3597" w:type="dxa"/>
          </w:tcPr>
          <w:p w:rsidRPr="00C97A0D" w:rsidR="00D10057" w:rsidP="00C97A0D" w:rsidRDefault="00D10057" w14:paraId="4A0F1B06" w14:textId="77777777">
            <w:pPr>
              <w:spacing w:after="0"/>
              <w:rPr>
                <w:sz w:val="22"/>
                <w:szCs w:val="20"/>
              </w:rPr>
            </w:pPr>
            <w:r w:rsidRPr="00C97A0D">
              <w:rPr>
                <w:sz w:val="22"/>
                <w:szCs w:val="20"/>
              </w:rPr>
              <w:t>Climate Public Private Partnership Programme (CP3)</w:t>
            </w:r>
          </w:p>
        </w:tc>
        <w:tc>
          <w:tcPr>
            <w:tcW w:w="3911" w:type="dxa"/>
          </w:tcPr>
          <w:p w:rsidRPr="00C97A0D" w:rsidR="00D10057" w:rsidP="00C97A0D" w:rsidRDefault="00D10057" w14:paraId="408C9743" w14:textId="77777777">
            <w:pPr>
              <w:spacing w:after="0"/>
              <w:rPr>
                <w:sz w:val="22"/>
                <w:szCs w:val="20"/>
              </w:rPr>
            </w:pPr>
            <w:r w:rsidRPr="00C97A0D">
              <w:rPr>
                <w:sz w:val="22"/>
                <w:szCs w:val="20"/>
              </w:rPr>
              <w:t>Management fee of between 0.6% and 1% per year (unclear from business case). This is levied on the investment.</w:t>
            </w:r>
          </w:p>
          <w:p w:rsidRPr="00C97A0D" w:rsidR="00D10057" w:rsidP="00C97A0D" w:rsidRDefault="00D10057" w14:paraId="6C93B643" w14:textId="02D1FFF6">
            <w:pPr>
              <w:spacing w:after="0"/>
              <w:rPr>
                <w:sz w:val="22"/>
                <w:szCs w:val="20"/>
              </w:rPr>
            </w:pPr>
            <w:r w:rsidRPr="00C97A0D">
              <w:rPr>
                <w:sz w:val="22"/>
                <w:szCs w:val="20"/>
              </w:rPr>
              <w:t xml:space="preserve">An additional carry fee on the return of investment is also </w:t>
            </w:r>
            <w:proofErr w:type="gramStart"/>
            <w:r w:rsidRPr="00C97A0D">
              <w:rPr>
                <w:sz w:val="22"/>
                <w:szCs w:val="20"/>
              </w:rPr>
              <w:t>charged, but</w:t>
            </w:r>
            <w:proofErr w:type="gramEnd"/>
            <w:r w:rsidRPr="00C97A0D">
              <w:rPr>
                <w:sz w:val="22"/>
                <w:szCs w:val="20"/>
              </w:rPr>
              <w:t xml:space="preserve"> unclear how much in this project</w:t>
            </w:r>
            <w:r w:rsidRPr="00C97A0D" w:rsidR="00FD0F2F">
              <w:rPr>
                <w:sz w:val="22"/>
                <w:szCs w:val="20"/>
              </w:rPr>
              <w:t>.</w:t>
            </w:r>
          </w:p>
        </w:tc>
        <w:tc>
          <w:tcPr>
            <w:tcW w:w="2574" w:type="dxa"/>
          </w:tcPr>
          <w:p w:rsidRPr="00C97A0D" w:rsidR="00D10057" w:rsidP="00C97A0D" w:rsidRDefault="00D10057" w14:paraId="79C408C5" w14:textId="77777777">
            <w:pPr>
              <w:spacing w:after="0"/>
              <w:rPr>
                <w:sz w:val="22"/>
                <w:szCs w:val="20"/>
              </w:rPr>
            </w:pPr>
            <w:hyperlink w:history="1" r:id="rId36">
              <w:r w:rsidRPr="00C97A0D">
                <w:rPr>
                  <w:rStyle w:val="Hyperlink"/>
                  <w:sz w:val="22"/>
                  <w:szCs w:val="20"/>
                </w:rPr>
                <w:t>Business case</w:t>
              </w:r>
            </w:hyperlink>
          </w:p>
        </w:tc>
      </w:tr>
      <w:tr w:rsidRPr="00C97A0D" w:rsidR="00D10057" w:rsidTr="31005C1E" w14:paraId="0E0A52D3" w14:textId="77777777">
        <w:tc>
          <w:tcPr>
            <w:tcW w:w="3597" w:type="dxa"/>
          </w:tcPr>
          <w:p w:rsidRPr="00C97A0D" w:rsidR="00D10057" w:rsidP="00C97A0D" w:rsidRDefault="00D10057" w14:paraId="14DF7F51" w14:textId="77777777">
            <w:pPr>
              <w:spacing w:after="0"/>
              <w:rPr>
                <w:sz w:val="22"/>
                <w:szCs w:val="20"/>
              </w:rPr>
            </w:pPr>
            <w:r w:rsidRPr="00C97A0D">
              <w:rPr>
                <w:sz w:val="22"/>
                <w:szCs w:val="20"/>
              </w:rPr>
              <w:t>Renewable Energy Performance Platform (REPP)</w:t>
            </w:r>
          </w:p>
        </w:tc>
        <w:tc>
          <w:tcPr>
            <w:tcW w:w="3911" w:type="dxa"/>
          </w:tcPr>
          <w:p w:rsidRPr="00C97A0D" w:rsidR="00D10057" w:rsidP="00C97A0D" w:rsidRDefault="00D10057" w14:paraId="5D24122D" w14:textId="77777777">
            <w:pPr>
              <w:spacing w:after="0"/>
              <w:rPr>
                <w:sz w:val="22"/>
                <w:szCs w:val="20"/>
              </w:rPr>
            </w:pPr>
            <w:r w:rsidRPr="00C97A0D">
              <w:rPr>
                <w:sz w:val="22"/>
                <w:szCs w:val="20"/>
              </w:rPr>
              <w:t xml:space="preserve">In 2022 (latest annual report available) Fund management fees and administrative costs were 15.5% of total budget. </w:t>
            </w:r>
          </w:p>
        </w:tc>
        <w:tc>
          <w:tcPr>
            <w:tcW w:w="2574" w:type="dxa"/>
          </w:tcPr>
          <w:p w:rsidRPr="00C97A0D" w:rsidR="00D10057" w:rsidP="00C97A0D" w:rsidRDefault="00D10057" w14:paraId="4BDA3AB0" w14:textId="77777777">
            <w:pPr>
              <w:spacing w:after="0"/>
              <w:rPr>
                <w:sz w:val="22"/>
                <w:szCs w:val="20"/>
              </w:rPr>
            </w:pPr>
            <w:hyperlink w:history="1" r:id="rId37">
              <w:r w:rsidRPr="00C97A0D">
                <w:rPr>
                  <w:rStyle w:val="Hyperlink"/>
                  <w:sz w:val="22"/>
                  <w:szCs w:val="20"/>
                </w:rPr>
                <w:t>Annual Review 2022</w:t>
              </w:r>
            </w:hyperlink>
            <w:r w:rsidRPr="00C97A0D">
              <w:rPr>
                <w:sz w:val="22"/>
                <w:szCs w:val="20"/>
              </w:rPr>
              <w:t xml:space="preserve"> </w:t>
            </w:r>
          </w:p>
        </w:tc>
      </w:tr>
      <w:tr w:rsidRPr="00C97A0D" w:rsidR="00D10057" w:rsidTr="31005C1E" w14:paraId="0A58D172" w14:textId="77777777">
        <w:tc>
          <w:tcPr>
            <w:tcW w:w="3597" w:type="dxa"/>
          </w:tcPr>
          <w:p w:rsidRPr="00C97A0D" w:rsidR="00D10057" w:rsidP="00C97A0D" w:rsidRDefault="00D10057" w14:paraId="3D1816CF" w14:textId="77777777">
            <w:pPr>
              <w:spacing w:after="0"/>
              <w:rPr>
                <w:sz w:val="22"/>
                <w:szCs w:val="20"/>
              </w:rPr>
            </w:pPr>
            <w:r w:rsidRPr="00C97A0D">
              <w:rPr>
                <w:sz w:val="22"/>
                <w:szCs w:val="20"/>
              </w:rPr>
              <w:t>UK Partnering for Accelerated Climate Transitions (UK PACT)</w:t>
            </w:r>
          </w:p>
        </w:tc>
        <w:tc>
          <w:tcPr>
            <w:tcW w:w="3911" w:type="dxa"/>
          </w:tcPr>
          <w:p w:rsidRPr="00C97A0D" w:rsidR="00D10057" w:rsidP="00C97A0D" w:rsidRDefault="00D10057" w14:paraId="602FD8D7" w14:textId="77777777">
            <w:pPr>
              <w:spacing w:after="0"/>
              <w:rPr>
                <w:sz w:val="22"/>
                <w:szCs w:val="20"/>
              </w:rPr>
            </w:pPr>
            <w:r w:rsidRPr="00C97A0D">
              <w:rPr>
                <w:sz w:val="22"/>
                <w:szCs w:val="20"/>
              </w:rPr>
              <w:t xml:space="preserve">Share of total programme cost for administrative tasks (Strategy &amp; Admin) is between 13% and 14% in the business case scenarios. </w:t>
            </w:r>
          </w:p>
          <w:p w:rsidRPr="00C97A0D" w:rsidR="00D10057" w:rsidP="00C97A0D" w:rsidRDefault="00D10057" w14:paraId="269EA18C" w14:textId="77777777">
            <w:pPr>
              <w:spacing w:after="0"/>
              <w:rPr>
                <w:sz w:val="22"/>
                <w:szCs w:val="20"/>
              </w:rPr>
            </w:pPr>
            <w:r w:rsidRPr="00C97A0D">
              <w:rPr>
                <w:sz w:val="22"/>
                <w:szCs w:val="20"/>
              </w:rPr>
              <w:t xml:space="preserve">Solely administrative costs of programme and global fund is between 4% and 5% in the business case scenarios. </w:t>
            </w:r>
          </w:p>
        </w:tc>
        <w:tc>
          <w:tcPr>
            <w:tcW w:w="2574" w:type="dxa"/>
          </w:tcPr>
          <w:p w:rsidRPr="00C97A0D" w:rsidR="00D10057" w:rsidP="00C97A0D" w:rsidRDefault="00D10057" w14:paraId="2EA851DA" w14:textId="77777777">
            <w:pPr>
              <w:spacing w:after="0"/>
              <w:rPr>
                <w:sz w:val="22"/>
                <w:szCs w:val="20"/>
              </w:rPr>
            </w:pPr>
            <w:hyperlink w:history="1" r:id="rId38">
              <w:r w:rsidRPr="00C97A0D">
                <w:rPr>
                  <w:rStyle w:val="Hyperlink"/>
                  <w:sz w:val="22"/>
                  <w:szCs w:val="20"/>
                </w:rPr>
                <w:t>Business case</w:t>
              </w:r>
            </w:hyperlink>
          </w:p>
        </w:tc>
      </w:tr>
      <w:tr w:rsidRPr="00C97A0D" w:rsidR="00D10057" w:rsidTr="31005C1E" w14:paraId="36A59189" w14:textId="77777777">
        <w:tc>
          <w:tcPr>
            <w:tcW w:w="3597" w:type="dxa"/>
          </w:tcPr>
          <w:p w:rsidRPr="00C97A0D" w:rsidR="00D10057" w:rsidP="00C97A0D" w:rsidRDefault="00D10057" w14:paraId="0C67AD34" w14:textId="77777777">
            <w:pPr>
              <w:spacing w:after="0"/>
              <w:rPr>
                <w:sz w:val="22"/>
                <w:szCs w:val="20"/>
              </w:rPr>
            </w:pPr>
            <w:r w:rsidRPr="00C97A0D">
              <w:rPr>
                <w:sz w:val="22"/>
                <w:szCs w:val="20"/>
              </w:rPr>
              <w:t>Capacity Building for Transparency Initiative</w:t>
            </w:r>
          </w:p>
        </w:tc>
        <w:tc>
          <w:tcPr>
            <w:tcW w:w="3911" w:type="dxa"/>
          </w:tcPr>
          <w:p w:rsidRPr="00C97A0D" w:rsidR="00D10057" w:rsidP="00C97A0D" w:rsidRDefault="00D10057" w14:paraId="006C4C82" w14:textId="77777777">
            <w:pPr>
              <w:spacing w:after="0"/>
              <w:rPr>
                <w:sz w:val="22"/>
                <w:szCs w:val="20"/>
              </w:rPr>
            </w:pPr>
            <w:r w:rsidRPr="00C97A0D">
              <w:rPr>
                <w:sz w:val="22"/>
                <w:szCs w:val="20"/>
              </w:rPr>
              <w:t>Not found</w:t>
            </w:r>
          </w:p>
        </w:tc>
        <w:tc>
          <w:tcPr>
            <w:tcW w:w="2574" w:type="dxa"/>
          </w:tcPr>
          <w:p w:rsidRPr="00C97A0D" w:rsidR="00D10057" w:rsidP="00C97A0D" w:rsidRDefault="00D10057" w14:paraId="55BFB592" w14:textId="77777777">
            <w:pPr>
              <w:spacing w:after="0"/>
              <w:rPr>
                <w:sz w:val="22"/>
                <w:szCs w:val="20"/>
              </w:rPr>
            </w:pPr>
            <w:r w:rsidRPr="00C97A0D">
              <w:rPr>
                <w:sz w:val="22"/>
                <w:szCs w:val="20"/>
              </w:rPr>
              <w:t>Not found</w:t>
            </w:r>
          </w:p>
        </w:tc>
      </w:tr>
      <w:tr w:rsidRPr="00C97A0D" w:rsidR="00D10057" w:rsidTr="31005C1E" w14:paraId="4B15090D" w14:textId="77777777">
        <w:tc>
          <w:tcPr>
            <w:tcW w:w="3597" w:type="dxa"/>
          </w:tcPr>
          <w:p w:rsidRPr="00C97A0D" w:rsidR="00D10057" w:rsidP="00C97A0D" w:rsidRDefault="00D10057" w14:paraId="08CCFE81" w14:textId="77777777">
            <w:pPr>
              <w:spacing w:after="0"/>
              <w:rPr>
                <w:sz w:val="22"/>
                <w:szCs w:val="20"/>
              </w:rPr>
            </w:pPr>
            <w:r w:rsidRPr="00C97A0D">
              <w:rPr>
                <w:sz w:val="22"/>
                <w:szCs w:val="20"/>
              </w:rPr>
              <w:t>UKSIP</w:t>
            </w:r>
          </w:p>
        </w:tc>
        <w:tc>
          <w:tcPr>
            <w:tcW w:w="3911" w:type="dxa"/>
          </w:tcPr>
          <w:p w:rsidRPr="00C97A0D" w:rsidR="00D10057" w:rsidP="00C97A0D" w:rsidRDefault="00D10057" w14:paraId="3B4C4426" w14:textId="619FD6C9">
            <w:pPr>
              <w:spacing w:after="0"/>
              <w:rPr>
                <w:sz w:val="22"/>
                <w:szCs w:val="20"/>
              </w:rPr>
            </w:pPr>
            <w:r w:rsidRPr="00C97A0D">
              <w:rPr>
                <w:sz w:val="22"/>
                <w:szCs w:val="20"/>
              </w:rPr>
              <w:t>5% for TA and 2.5% for blended finance activities (IDB)</w:t>
            </w:r>
            <w:r w:rsidRPr="00C97A0D" w:rsidR="00FD0F2F">
              <w:rPr>
                <w:sz w:val="22"/>
                <w:szCs w:val="20"/>
              </w:rPr>
              <w:t>.</w:t>
            </w:r>
          </w:p>
        </w:tc>
        <w:tc>
          <w:tcPr>
            <w:tcW w:w="2574" w:type="dxa"/>
          </w:tcPr>
          <w:p w:rsidRPr="00C97A0D" w:rsidR="00D10057" w:rsidP="00C97A0D" w:rsidRDefault="00D10057" w14:paraId="77DF42DD" w14:textId="77777777">
            <w:pPr>
              <w:spacing w:after="0"/>
              <w:rPr>
                <w:sz w:val="22"/>
                <w:szCs w:val="20"/>
              </w:rPr>
            </w:pPr>
            <w:hyperlink w:history="1" r:id="rId39">
              <w:r w:rsidRPr="00C97A0D">
                <w:rPr>
                  <w:rStyle w:val="Hyperlink"/>
                  <w:sz w:val="22"/>
                  <w:szCs w:val="20"/>
                </w:rPr>
                <w:t>Annual Review 2023</w:t>
              </w:r>
            </w:hyperlink>
          </w:p>
        </w:tc>
      </w:tr>
      <w:tr w:rsidRPr="00C97A0D" w:rsidR="00D10057" w:rsidTr="31005C1E" w14:paraId="1D66A568" w14:textId="77777777">
        <w:tc>
          <w:tcPr>
            <w:tcW w:w="3597" w:type="dxa"/>
          </w:tcPr>
          <w:p w:rsidRPr="00C97A0D" w:rsidR="00D10057" w:rsidP="00C97A0D" w:rsidRDefault="00D10057" w14:paraId="01091FCD" w14:textId="77777777">
            <w:pPr>
              <w:spacing w:after="0"/>
              <w:rPr>
                <w:sz w:val="22"/>
                <w:szCs w:val="20"/>
              </w:rPr>
            </w:pPr>
            <w:r w:rsidRPr="00C97A0D">
              <w:rPr>
                <w:sz w:val="22"/>
                <w:szCs w:val="20"/>
              </w:rPr>
              <w:t>2050 Calculators</w:t>
            </w:r>
          </w:p>
        </w:tc>
        <w:tc>
          <w:tcPr>
            <w:tcW w:w="3911" w:type="dxa"/>
          </w:tcPr>
          <w:p w:rsidRPr="00C97A0D" w:rsidR="00D10057" w:rsidP="00C97A0D" w:rsidRDefault="00D10057" w14:paraId="5615BA69" w14:textId="77777777">
            <w:pPr>
              <w:spacing w:after="0"/>
              <w:rPr>
                <w:sz w:val="22"/>
                <w:szCs w:val="20"/>
              </w:rPr>
            </w:pPr>
            <w:r w:rsidRPr="00C97A0D">
              <w:rPr>
                <w:sz w:val="22"/>
                <w:szCs w:val="20"/>
              </w:rPr>
              <w:t xml:space="preserve">N/A – no DP </w:t>
            </w:r>
          </w:p>
        </w:tc>
        <w:tc>
          <w:tcPr>
            <w:tcW w:w="2574" w:type="dxa"/>
          </w:tcPr>
          <w:p w:rsidRPr="00C97A0D" w:rsidR="00D10057" w:rsidP="00C97A0D" w:rsidRDefault="00D10057" w14:paraId="1A9D3E2B" w14:textId="77777777">
            <w:pPr>
              <w:spacing w:after="0"/>
              <w:rPr>
                <w:sz w:val="22"/>
                <w:szCs w:val="20"/>
              </w:rPr>
            </w:pPr>
          </w:p>
        </w:tc>
      </w:tr>
      <w:tr w:rsidRPr="00C97A0D" w:rsidR="00D10057" w:rsidTr="31005C1E" w14:paraId="3FDD1D11" w14:textId="77777777">
        <w:tc>
          <w:tcPr>
            <w:tcW w:w="3597" w:type="dxa"/>
          </w:tcPr>
          <w:p w:rsidRPr="00C97A0D" w:rsidR="00D10057" w:rsidP="00C97A0D" w:rsidRDefault="00D10057" w14:paraId="05E43996" w14:textId="77777777">
            <w:pPr>
              <w:spacing w:after="0"/>
              <w:rPr>
                <w:sz w:val="22"/>
                <w:szCs w:val="20"/>
              </w:rPr>
            </w:pPr>
            <w:r w:rsidRPr="00C97A0D">
              <w:rPr>
                <w:sz w:val="22"/>
                <w:szCs w:val="20"/>
              </w:rPr>
              <w:t>Global Innovation Lab</w:t>
            </w:r>
          </w:p>
        </w:tc>
        <w:tc>
          <w:tcPr>
            <w:tcW w:w="3911" w:type="dxa"/>
          </w:tcPr>
          <w:p w:rsidRPr="00C97A0D" w:rsidR="00D10057" w:rsidP="00C97A0D" w:rsidRDefault="00D10057" w14:paraId="1F81E8D1" w14:textId="77777777">
            <w:pPr>
              <w:spacing w:after="0"/>
              <w:rPr>
                <w:sz w:val="22"/>
                <w:szCs w:val="20"/>
              </w:rPr>
            </w:pPr>
            <w:r w:rsidRPr="00C97A0D">
              <w:rPr>
                <w:sz w:val="22"/>
                <w:szCs w:val="20"/>
              </w:rPr>
              <w:t>No data available</w:t>
            </w:r>
          </w:p>
        </w:tc>
        <w:tc>
          <w:tcPr>
            <w:tcW w:w="2574" w:type="dxa"/>
          </w:tcPr>
          <w:p w:rsidRPr="00C97A0D" w:rsidR="00D10057" w:rsidP="00C97A0D" w:rsidRDefault="00D10057" w14:paraId="55CD4BAD" w14:textId="77777777">
            <w:pPr>
              <w:spacing w:after="0"/>
              <w:rPr>
                <w:sz w:val="22"/>
                <w:szCs w:val="20"/>
              </w:rPr>
            </w:pPr>
          </w:p>
        </w:tc>
      </w:tr>
      <w:tr w:rsidRPr="00C97A0D" w:rsidR="00D10057" w:rsidTr="31005C1E" w14:paraId="53163E83" w14:textId="77777777">
        <w:tc>
          <w:tcPr>
            <w:tcW w:w="3597" w:type="dxa"/>
          </w:tcPr>
          <w:p w:rsidRPr="00C97A0D" w:rsidR="00D10057" w:rsidP="00C97A0D" w:rsidRDefault="00D10057" w14:paraId="20B0DA43" w14:textId="77777777">
            <w:pPr>
              <w:spacing w:after="0"/>
              <w:rPr>
                <w:sz w:val="22"/>
                <w:szCs w:val="20"/>
              </w:rPr>
            </w:pPr>
            <w:proofErr w:type="spellStart"/>
            <w:r w:rsidRPr="00C97A0D">
              <w:rPr>
                <w:sz w:val="22"/>
                <w:szCs w:val="20"/>
              </w:rPr>
              <w:t>BioCarbon</w:t>
            </w:r>
            <w:proofErr w:type="spellEnd"/>
            <w:r w:rsidRPr="00C97A0D">
              <w:rPr>
                <w:sz w:val="22"/>
                <w:szCs w:val="20"/>
              </w:rPr>
              <w:t xml:space="preserve"> Fund</w:t>
            </w:r>
          </w:p>
        </w:tc>
        <w:tc>
          <w:tcPr>
            <w:tcW w:w="3911" w:type="dxa"/>
          </w:tcPr>
          <w:p w:rsidRPr="00C97A0D" w:rsidR="00D10057" w:rsidP="00C97A0D" w:rsidRDefault="00D10057" w14:paraId="3BB201F3" w14:textId="25240A35">
            <w:pPr>
              <w:spacing w:after="0"/>
              <w:rPr>
                <w:sz w:val="22"/>
                <w:szCs w:val="20"/>
              </w:rPr>
            </w:pPr>
            <w:r w:rsidRPr="00C97A0D">
              <w:rPr>
                <w:sz w:val="22"/>
                <w:szCs w:val="20"/>
              </w:rPr>
              <w:t>Original assumption of 6.75%, exceeded in reality with fees of 8.4% of BEIS contribution and 7.2% on Defra Contribution</w:t>
            </w:r>
            <w:r w:rsidRPr="00C97A0D" w:rsidR="00FD0F2F">
              <w:rPr>
                <w:sz w:val="22"/>
                <w:szCs w:val="20"/>
              </w:rPr>
              <w:t>.</w:t>
            </w:r>
          </w:p>
        </w:tc>
        <w:tc>
          <w:tcPr>
            <w:tcW w:w="2574" w:type="dxa"/>
          </w:tcPr>
          <w:p w:rsidRPr="00C97A0D" w:rsidR="00D10057" w:rsidP="00C97A0D" w:rsidRDefault="00D10057" w14:paraId="3701974D" w14:textId="77777777">
            <w:pPr>
              <w:spacing w:after="0"/>
              <w:rPr>
                <w:sz w:val="22"/>
                <w:szCs w:val="20"/>
              </w:rPr>
            </w:pPr>
            <w:hyperlink w:history="1" r:id="rId40">
              <w:r w:rsidRPr="00C97A0D">
                <w:rPr>
                  <w:rStyle w:val="Hyperlink"/>
                  <w:sz w:val="22"/>
                  <w:szCs w:val="20"/>
                </w:rPr>
                <w:t>Annual Review 2021-22</w:t>
              </w:r>
            </w:hyperlink>
          </w:p>
        </w:tc>
      </w:tr>
      <w:tr w:rsidRPr="00C97A0D" w:rsidR="00D10057" w:rsidTr="31005C1E" w14:paraId="103FE90A" w14:textId="77777777">
        <w:tc>
          <w:tcPr>
            <w:tcW w:w="3597" w:type="dxa"/>
          </w:tcPr>
          <w:p w:rsidRPr="00C97A0D" w:rsidR="00D10057" w:rsidP="00C97A0D" w:rsidRDefault="00D10057" w14:paraId="176903C1" w14:textId="77777777">
            <w:pPr>
              <w:spacing w:after="0"/>
              <w:rPr>
                <w:sz w:val="22"/>
                <w:szCs w:val="20"/>
              </w:rPr>
            </w:pPr>
            <w:r w:rsidRPr="00C97A0D">
              <w:rPr>
                <w:sz w:val="22"/>
                <w:szCs w:val="20"/>
              </w:rPr>
              <w:t>Capital Markets Initiative</w:t>
            </w:r>
          </w:p>
        </w:tc>
        <w:tc>
          <w:tcPr>
            <w:tcW w:w="3911" w:type="dxa"/>
          </w:tcPr>
          <w:p w:rsidRPr="00C97A0D" w:rsidR="00D10057" w:rsidP="00C97A0D" w:rsidRDefault="00D10057" w14:paraId="32C1C6A0" w14:textId="03E14894">
            <w:pPr>
              <w:spacing w:after="0"/>
              <w:rPr>
                <w:sz w:val="22"/>
                <w:szCs w:val="20"/>
              </w:rPr>
            </w:pPr>
            <w:r w:rsidRPr="00C97A0D">
              <w:rPr>
                <w:sz w:val="22"/>
                <w:szCs w:val="20"/>
              </w:rPr>
              <w:t xml:space="preserve">Over the life of the </w:t>
            </w:r>
            <w:r w:rsidRPr="00C97A0D" w:rsidR="007255B7">
              <w:rPr>
                <w:sz w:val="22"/>
                <w:szCs w:val="20"/>
              </w:rPr>
              <w:t>Carbon Market Finance Programme (</w:t>
            </w:r>
            <w:r w:rsidRPr="00C97A0D">
              <w:rPr>
                <w:sz w:val="22"/>
                <w:szCs w:val="20"/>
              </w:rPr>
              <w:t>CMFP</w:t>
            </w:r>
            <w:r w:rsidRPr="00C97A0D" w:rsidR="007255B7">
              <w:rPr>
                <w:sz w:val="22"/>
                <w:szCs w:val="20"/>
              </w:rPr>
              <w:t>)</w:t>
            </w:r>
            <w:r w:rsidRPr="00C97A0D">
              <w:rPr>
                <w:sz w:val="22"/>
                <w:szCs w:val="20"/>
              </w:rPr>
              <w:t xml:space="preserve">, administration costs were budgeted to make up approximately 5% of total costs (2% CU fees and 3% trustee expenses). However, to-date </w:t>
            </w:r>
            <w:r w:rsidRPr="00C97A0D">
              <w:rPr>
                <w:sz w:val="22"/>
                <w:szCs w:val="20"/>
              </w:rPr>
              <w:t>(2018) administration costs have been much higher (8.4% of Readiness Fund costs and 100% of Carbon Fund costs).</w:t>
            </w:r>
          </w:p>
        </w:tc>
        <w:tc>
          <w:tcPr>
            <w:tcW w:w="2574" w:type="dxa"/>
          </w:tcPr>
          <w:p w:rsidRPr="00C97A0D" w:rsidR="00D10057" w:rsidP="00C97A0D" w:rsidRDefault="00D10057" w14:paraId="4EEDB4DA" w14:textId="77777777">
            <w:pPr>
              <w:spacing w:after="0"/>
              <w:rPr>
                <w:sz w:val="22"/>
                <w:szCs w:val="20"/>
              </w:rPr>
            </w:pPr>
            <w:hyperlink w:history="1" r:id="rId41">
              <w:r w:rsidRPr="00C97A0D">
                <w:rPr>
                  <w:rStyle w:val="Hyperlink"/>
                  <w:sz w:val="22"/>
                  <w:szCs w:val="20"/>
                </w:rPr>
                <w:t>CMF Evaluation</w:t>
              </w:r>
            </w:hyperlink>
          </w:p>
        </w:tc>
      </w:tr>
      <w:tr w:rsidRPr="00C97A0D" w:rsidR="00D10057" w:rsidTr="31005C1E" w14:paraId="18E70DEB" w14:textId="77777777">
        <w:tc>
          <w:tcPr>
            <w:tcW w:w="3597" w:type="dxa"/>
          </w:tcPr>
          <w:p w:rsidRPr="00C97A0D" w:rsidR="00D10057" w:rsidP="00C97A0D" w:rsidRDefault="00D10057" w14:paraId="7EDBCFF0" w14:textId="77777777">
            <w:pPr>
              <w:spacing w:after="0"/>
              <w:rPr>
                <w:sz w:val="22"/>
                <w:szCs w:val="20"/>
              </w:rPr>
            </w:pPr>
            <w:r w:rsidRPr="00C97A0D">
              <w:rPr>
                <w:sz w:val="22"/>
                <w:szCs w:val="20"/>
              </w:rPr>
              <w:t>UK Climate Investments (UKCI)</w:t>
            </w:r>
          </w:p>
        </w:tc>
        <w:tc>
          <w:tcPr>
            <w:tcW w:w="3911" w:type="dxa"/>
          </w:tcPr>
          <w:p w:rsidRPr="00C97A0D" w:rsidR="00D10057" w:rsidP="00C97A0D" w:rsidRDefault="00D10057" w14:paraId="51C529F1" w14:textId="77777777">
            <w:pPr>
              <w:spacing w:after="0"/>
              <w:rPr>
                <w:sz w:val="22"/>
                <w:szCs w:val="20"/>
              </w:rPr>
            </w:pPr>
            <w:r w:rsidRPr="00C97A0D">
              <w:rPr>
                <w:sz w:val="22"/>
                <w:szCs w:val="20"/>
              </w:rPr>
              <w:t>Not found</w:t>
            </w:r>
          </w:p>
        </w:tc>
        <w:tc>
          <w:tcPr>
            <w:tcW w:w="2574" w:type="dxa"/>
          </w:tcPr>
          <w:p w:rsidRPr="00C97A0D" w:rsidR="00D10057" w:rsidP="00C97A0D" w:rsidRDefault="00D10057" w14:paraId="13E6D0DB" w14:textId="77777777">
            <w:pPr>
              <w:spacing w:after="0"/>
              <w:rPr>
                <w:sz w:val="22"/>
              </w:rPr>
            </w:pPr>
            <w:r w:rsidRPr="31005C1E">
              <w:rPr>
                <w:sz w:val="22"/>
              </w:rPr>
              <w:t>Not found</w:t>
            </w:r>
          </w:p>
        </w:tc>
      </w:tr>
    </w:tbl>
    <w:p w:rsidR="00D10057" w:rsidP="00D10057" w:rsidRDefault="00D10057" w14:paraId="730DB839" w14:textId="77777777"/>
    <w:p w:rsidRPr="00E13638" w:rsidR="005F364E" w:rsidP="00D10057" w:rsidRDefault="005F364E" w14:paraId="28E38E69" w14:textId="79976C8A">
      <w:pPr>
        <w:rPr>
          <w:b/>
          <w:bCs/>
        </w:rPr>
      </w:pPr>
      <w:r>
        <w:rPr>
          <w:b/>
          <w:bCs/>
        </w:rPr>
        <w:t xml:space="preserve">Table 13. </w:t>
      </w:r>
      <w:r w:rsidR="006F5E42">
        <w:rPr>
          <w:b/>
          <w:bCs/>
        </w:rPr>
        <w:t>Analysis by component and year</w:t>
      </w:r>
    </w:p>
    <w:tbl>
      <w:tblPr>
        <w:tblStyle w:val="Table-Darkblue"/>
        <w:tblW w:w="5000" w:type="pct"/>
        <w:tblLook w:val="04A0" w:firstRow="1" w:lastRow="0" w:firstColumn="1" w:lastColumn="0" w:noHBand="0" w:noVBand="1"/>
      </w:tblPr>
      <w:tblGrid>
        <w:gridCol w:w="2883"/>
        <w:gridCol w:w="1122"/>
        <w:gridCol w:w="1770"/>
        <w:gridCol w:w="1195"/>
        <w:gridCol w:w="1342"/>
        <w:gridCol w:w="1770"/>
      </w:tblGrid>
      <w:tr w:rsidRPr="00C97A0D" w:rsidR="00D10057" w14:paraId="61C08141" w14:textId="77777777">
        <w:trPr>
          <w:cnfStyle w:val="100000000000" w:firstRow="1" w:lastRow="0" w:firstColumn="0" w:lastColumn="0" w:oddVBand="0" w:evenVBand="0" w:oddHBand="0" w:evenHBand="0" w:firstRowFirstColumn="0" w:firstRowLastColumn="0" w:lastRowFirstColumn="0" w:lastRowLastColumn="0"/>
        </w:trPr>
        <w:tc>
          <w:tcPr>
            <w:tcW w:w="1685" w:type="pct"/>
          </w:tcPr>
          <w:p w:rsidRPr="00C97A0D" w:rsidR="00D10057" w:rsidP="00C97A0D" w:rsidRDefault="00D10057" w14:paraId="70616A53" w14:textId="77777777">
            <w:pPr>
              <w:spacing w:after="120"/>
              <w:rPr>
                <w:sz w:val="22"/>
                <w:szCs w:val="20"/>
              </w:rPr>
            </w:pPr>
          </w:p>
        </w:tc>
        <w:tc>
          <w:tcPr>
            <w:tcW w:w="633" w:type="pct"/>
          </w:tcPr>
          <w:p w:rsidRPr="00C97A0D" w:rsidR="00D10057" w:rsidP="00C97A0D" w:rsidRDefault="00D10057" w14:paraId="6438E9A9" w14:textId="77777777">
            <w:pPr>
              <w:spacing w:after="120"/>
              <w:rPr>
                <w:sz w:val="22"/>
                <w:szCs w:val="20"/>
              </w:rPr>
            </w:pPr>
            <w:r w:rsidRPr="00C97A0D">
              <w:rPr>
                <w:sz w:val="22"/>
                <w:szCs w:val="20"/>
              </w:rPr>
              <w:t>2018/19</w:t>
            </w:r>
          </w:p>
        </w:tc>
        <w:tc>
          <w:tcPr>
            <w:tcW w:w="633" w:type="pct"/>
          </w:tcPr>
          <w:p w:rsidRPr="00C97A0D" w:rsidR="00D10057" w:rsidP="00C97A0D" w:rsidRDefault="00D10057" w14:paraId="7668EDCE" w14:textId="77777777">
            <w:pPr>
              <w:spacing w:after="120"/>
              <w:rPr>
                <w:sz w:val="22"/>
                <w:szCs w:val="20"/>
              </w:rPr>
            </w:pPr>
            <w:r w:rsidRPr="00C97A0D">
              <w:rPr>
                <w:sz w:val="22"/>
                <w:szCs w:val="20"/>
              </w:rPr>
              <w:t>2019/20</w:t>
            </w:r>
          </w:p>
        </w:tc>
        <w:tc>
          <w:tcPr>
            <w:tcW w:w="632" w:type="pct"/>
          </w:tcPr>
          <w:p w:rsidRPr="00C97A0D" w:rsidR="00D10057" w:rsidP="00C97A0D" w:rsidRDefault="00D10057" w14:paraId="3277E9E1" w14:textId="77777777">
            <w:pPr>
              <w:spacing w:after="120"/>
              <w:rPr>
                <w:sz w:val="22"/>
                <w:szCs w:val="20"/>
              </w:rPr>
            </w:pPr>
            <w:r w:rsidRPr="00C97A0D">
              <w:rPr>
                <w:sz w:val="22"/>
                <w:szCs w:val="20"/>
              </w:rPr>
              <w:t>2020/21</w:t>
            </w:r>
          </w:p>
        </w:tc>
        <w:tc>
          <w:tcPr>
            <w:tcW w:w="703" w:type="pct"/>
          </w:tcPr>
          <w:p w:rsidRPr="00C97A0D" w:rsidR="00D10057" w:rsidP="00C97A0D" w:rsidRDefault="00D10057" w14:paraId="3D5421E6" w14:textId="77777777">
            <w:pPr>
              <w:spacing w:after="120"/>
              <w:rPr>
                <w:sz w:val="22"/>
                <w:szCs w:val="20"/>
              </w:rPr>
            </w:pPr>
            <w:r w:rsidRPr="00C97A0D">
              <w:rPr>
                <w:sz w:val="22"/>
                <w:szCs w:val="20"/>
              </w:rPr>
              <w:t>2021/22</w:t>
            </w:r>
          </w:p>
        </w:tc>
        <w:tc>
          <w:tcPr>
            <w:tcW w:w="714" w:type="pct"/>
          </w:tcPr>
          <w:p w:rsidRPr="00C97A0D" w:rsidR="00D10057" w:rsidP="00C97A0D" w:rsidRDefault="00D10057" w14:paraId="5FA54121" w14:textId="77777777">
            <w:pPr>
              <w:spacing w:after="120"/>
              <w:rPr>
                <w:sz w:val="22"/>
                <w:szCs w:val="20"/>
              </w:rPr>
            </w:pPr>
            <w:r w:rsidRPr="00C97A0D">
              <w:rPr>
                <w:sz w:val="22"/>
                <w:szCs w:val="20"/>
              </w:rPr>
              <w:t>2022/23</w:t>
            </w:r>
          </w:p>
        </w:tc>
      </w:tr>
      <w:tr w:rsidRPr="00C97A0D" w:rsidR="00D10057" w14:paraId="6B2237AE" w14:textId="77777777">
        <w:tc>
          <w:tcPr>
            <w:tcW w:w="5000" w:type="pct"/>
            <w:gridSpan w:val="6"/>
          </w:tcPr>
          <w:p w:rsidRPr="00C97A0D" w:rsidR="00D10057" w:rsidP="00C97A0D" w:rsidRDefault="00D10057" w14:paraId="312B7487" w14:textId="77777777">
            <w:pPr>
              <w:spacing w:after="120"/>
              <w:rPr>
                <w:rStyle w:val="Boldtext"/>
                <w:sz w:val="22"/>
                <w:szCs w:val="20"/>
              </w:rPr>
            </w:pPr>
            <w:r w:rsidRPr="00C97A0D">
              <w:rPr>
                <w:rStyle w:val="Boldtext"/>
                <w:sz w:val="22"/>
                <w:szCs w:val="20"/>
              </w:rPr>
              <w:t>Component 1</w:t>
            </w:r>
          </w:p>
        </w:tc>
      </w:tr>
      <w:tr w:rsidRPr="00C97A0D" w:rsidR="00D10057" w14:paraId="737B463E" w14:textId="77777777">
        <w:tc>
          <w:tcPr>
            <w:tcW w:w="1685" w:type="pct"/>
          </w:tcPr>
          <w:p w:rsidRPr="00C97A0D" w:rsidR="00D10057" w:rsidP="00C97A0D" w:rsidRDefault="00D10057" w14:paraId="1ABF09D8" w14:textId="77777777">
            <w:pPr>
              <w:spacing w:after="120"/>
              <w:rPr>
                <w:sz w:val="22"/>
                <w:szCs w:val="20"/>
              </w:rPr>
            </w:pPr>
            <w:r w:rsidRPr="00C97A0D">
              <w:rPr>
                <w:sz w:val="22"/>
                <w:szCs w:val="20"/>
              </w:rPr>
              <w:t>Output indicator 1a.1 Cumulative number of FIs with MAGC blended finance commitments</w:t>
            </w:r>
          </w:p>
        </w:tc>
        <w:tc>
          <w:tcPr>
            <w:tcW w:w="633" w:type="pct"/>
          </w:tcPr>
          <w:p w:rsidRPr="00C97A0D" w:rsidR="00D10057" w:rsidP="00C97A0D" w:rsidRDefault="00D10057" w14:paraId="2DE97238" w14:textId="77777777">
            <w:pPr>
              <w:spacing w:after="120"/>
              <w:rPr>
                <w:sz w:val="22"/>
                <w:szCs w:val="20"/>
              </w:rPr>
            </w:pPr>
            <w:r w:rsidRPr="00C97A0D">
              <w:rPr>
                <w:sz w:val="22"/>
                <w:szCs w:val="20"/>
              </w:rPr>
              <w:t>N/A</w:t>
            </w:r>
          </w:p>
        </w:tc>
        <w:tc>
          <w:tcPr>
            <w:tcW w:w="633" w:type="pct"/>
          </w:tcPr>
          <w:p w:rsidRPr="00C97A0D" w:rsidR="00D10057" w:rsidP="00C97A0D" w:rsidRDefault="00D10057" w14:paraId="6FCFA482" w14:textId="77777777">
            <w:pPr>
              <w:spacing w:after="120"/>
              <w:rPr>
                <w:sz w:val="22"/>
                <w:szCs w:val="20"/>
              </w:rPr>
            </w:pPr>
            <w:r w:rsidRPr="00C97A0D">
              <w:rPr>
                <w:sz w:val="22"/>
                <w:szCs w:val="20"/>
              </w:rPr>
              <w:t>Not achieved</w:t>
            </w:r>
          </w:p>
          <w:p w:rsidRPr="00C97A0D" w:rsidR="00D10057" w:rsidP="00C97A0D" w:rsidRDefault="00D10057" w14:paraId="0BE70B16" w14:textId="77777777">
            <w:pPr>
              <w:spacing w:after="120"/>
              <w:rPr>
                <w:sz w:val="22"/>
                <w:szCs w:val="20"/>
              </w:rPr>
            </w:pPr>
            <w:r w:rsidRPr="00C97A0D">
              <w:rPr>
                <w:sz w:val="22"/>
                <w:szCs w:val="20"/>
              </w:rPr>
              <w:t xml:space="preserve"> (0/2)</w:t>
            </w:r>
          </w:p>
        </w:tc>
        <w:tc>
          <w:tcPr>
            <w:tcW w:w="632" w:type="pct"/>
          </w:tcPr>
          <w:p w:rsidRPr="00C97A0D" w:rsidR="00D10057" w:rsidP="00C97A0D" w:rsidRDefault="00D10057" w14:paraId="39A10836" w14:textId="77777777">
            <w:pPr>
              <w:spacing w:after="120"/>
              <w:rPr>
                <w:sz w:val="22"/>
                <w:szCs w:val="20"/>
              </w:rPr>
            </w:pPr>
            <w:r w:rsidRPr="00C97A0D">
              <w:rPr>
                <w:sz w:val="22"/>
                <w:szCs w:val="20"/>
              </w:rPr>
              <w:t>Partially achieved</w:t>
            </w:r>
          </w:p>
          <w:p w:rsidRPr="00C97A0D" w:rsidR="00D10057" w:rsidP="00C97A0D" w:rsidRDefault="00D10057" w14:paraId="71C4C273" w14:textId="77777777">
            <w:pPr>
              <w:spacing w:after="120"/>
              <w:rPr>
                <w:sz w:val="22"/>
                <w:szCs w:val="20"/>
              </w:rPr>
            </w:pPr>
            <w:r w:rsidRPr="00C97A0D">
              <w:rPr>
                <w:sz w:val="22"/>
                <w:szCs w:val="20"/>
              </w:rPr>
              <w:t xml:space="preserve"> (1/3)</w:t>
            </w:r>
          </w:p>
        </w:tc>
        <w:tc>
          <w:tcPr>
            <w:tcW w:w="703" w:type="pct"/>
          </w:tcPr>
          <w:p w:rsidRPr="00C97A0D" w:rsidR="00D10057" w:rsidP="00C97A0D" w:rsidRDefault="00D10057" w14:paraId="2464B6E1" w14:textId="77777777">
            <w:pPr>
              <w:spacing w:after="120"/>
              <w:rPr>
                <w:sz w:val="22"/>
                <w:szCs w:val="20"/>
              </w:rPr>
            </w:pPr>
            <w:r w:rsidRPr="00C97A0D">
              <w:rPr>
                <w:sz w:val="22"/>
                <w:szCs w:val="20"/>
              </w:rPr>
              <w:t xml:space="preserve">Exceeded </w:t>
            </w:r>
          </w:p>
          <w:p w:rsidRPr="00C97A0D" w:rsidR="00D10057" w:rsidP="00C97A0D" w:rsidRDefault="00D10057" w14:paraId="46C8AE61" w14:textId="77777777">
            <w:pPr>
              <w:spacing w:after="120"/>
              <w:rPr>
                <w:sz w:val="22"/>
                <w:szCs w:val="20"/>
              </w:rPr>
            </w:pPr>
            <w:r w:rsidRPr="00C97A0D">
              <w:rPr>
                <w:sz w:val="22"/>
                <w:szCs w:val="20"/>
              </w:rPr>
              <w:t>(7/5)</w:t>
            </w:r>
          </w:p>
        </w:tc>
        <w:tc>
          <w:tcPr>
            <w:tcW w:w="714" w:type="pct"/>
          </w:tcPr>
          <w:p w:rsidRPr="00C97A0D" w:rsidR="00D10057" w:rsidP="00C97A0D" w:rsidRDefault="00D10057" w14:paraId="1BD69482" w14:textId="77777777">
            <w:pPr>
              <w:spacing w:after="120"/>
              <w:rPr>
                <w:sz w:val="22"/>
                <w:szCs w:val="20"/>
              </w:rPr>
            </w:pPr>
            <w:r w:rsidRPr="00C97A0D">
              <w:rPr>
                <w:sz w:val="22"/>
                <w:szCs w:val="20"/>
              </w:rPr>
              <w:t xml:space="preserve">Exceeded </w:t>
            </w:r>
          </w:p>
          <w:p w:rsidRPr="00C97A0D" w:rsidR="00D10057" w:rsidP="00C97A0D" w:rsidRDefault="00D10057" w14:paraId="120C0DD4" w14:textId="77777777">
            <w:pPr>
              <w:spacing w:after="120"/>
              <w:rPr>
                <w:sz w:val="22"/>
                <w:szCs w:val="20"/>
              </w:rPr>
            </w:pPr>
            <w:r w:rsidRPr="00C97A0D">
              <w:rPr>
                <w:sz w:val="22"/>
                <w:szCs w:val="20"/>
              </w:rPr>
              <w:t>(12/7)</w:t>
            </w:r>
          </w:p>
        </w:tc>
      </w:tr>
      <w:tr w:rsidRPr="00C97A0D" w:rsidR="00D10057" w14:paraId="21E16604" w14:textId="77777777">
        <w:tc>
          <w:tcPr>
            <w:tcW w:w="1685" w:type="pct"/>
          </w:tcPr>
          <w:p w:rsidRPr="00C97A0D" w:rsidR="00D10057" w:rsidP="00C97A0D" w:rsidRDefault="00D10057" w14:paraId="5B42BC9F" w14:textId="77777777">
            <w:pPr>
              <w:spacing w:after="120"/>
              <w:rPr>
                <w:sz w:val="22"/>
                <w:szCs w:val="20"/>
              </w:rPr>
            </w:pPr>
            <w:r w:rsidRPr="00C97A0D">
              <w:rPr>
                <w:sz w:val="22"/>
                <w:szCs w:val="20"/>
              </w:rPr>
              <w:t>Output indicator 1a.2 Cumulative number of financial intermediaries only receiving advisory services</w:t>
            </w:r>
          </w:p>
        </w:tc>
        <w:tc>
          <w:tcPr>
            <w:tcW w:w="633" w:type="pct"/>
          </w:tcPr>
          <w:p w:rsidRPr="00C97A0D" w:rsidR="00D10057" w:rsidP="00C97A0D" w:rsidRDefault="00D10057" w14:paraId="2A4B0298" w14:textId="77777777">
            <w:pPr>
              <w:spacing w:after="120"/>
              <w:rPr>
                <w:sz w:val="22"/>
                <w:szCs w:val="20"/>
              </w:rPr>
            </w:pPr>
            <w:r w:rsidRPr="00C97A0D">
              <w:rPr>
                <w:sz w:val="22"/>
                <w:szCs w:val="20"/>
              </w:rPr>
              <w:t>N/A</w:t>
            </w:r>
          </w:p>
        </w:tc>
        <w:tc>
          <w:tcPr>
            <w:tcW w:w="633" w:type="pct"/>
          </w:tcPr>
          <w:p w:rsidRPr="00C97A0D" w:rsidR="00D10057" w:rsidP="00C97A0D" w:rsidRDefault="00D10057" w14:paraId="1AAF4B1A" w14:textId="77777777">
            <w:pPr>
              <w:spacing w:after="120"/>
              <w:rPr>
                <w:sz w:val="22"/>
                <w:szCs w:val="20"/>
              </w:rPr>
            </w:pPr>
            <w:r w:rsidRPr="00C97A0D">
              <w:rPr>
                <w:sz w:val="22"/>
                <w:szCs w:val="20"/>
              </w:rPr>
              <w:t>N/A</w:t>
            </w:r>
          </w:p>
        </w:tc>
        <w:tc>
          <w:tcPr>
            <w:tcW w:w="632" w:type="pct"/>
          </w:tcPr>
          <w:p w:rsidRPr="00C97A0D" w:rsidR="00D10057" w:rsidP="00C97A0D" w:rsidRDefault="00D10057" w14:paraId="51E0DBAB" w14:textId="77777777">
            <w:pPr>
              <w:spacing w:after="120"/>
              <w:rPr>
                <w:sz w:val="22"/>
                <w:szCs w:val="20"/>
              </w:rPr>
            </w:pPr>
            <w:r w:rsidRPr="00C97A0D">
              <w:rPr>
                <w:sz w:val="22"/>
                <w:szCs w:val="20"/>
              </w:rPr>
              <w:t>Exceeded</w:t>
            </w:r>
          </w:p>
          <w:p w:rsidRPr="00C97A0D" w:rsidR="00D10057" w:rsidP="00C97A0D" w:rsidRDefault="00D10057" w14:paraId="3A5803F1" w14:textId="77777777">
            <w:pPr>
              <w:spacing w:after="120"/>
              <w:rPr>
                <w:sz w:val="22"/>
                <w:szCs w:val="20"/>
              </w:rPr>
            </w:pPr>
            <w:r w:rsidRPr="00C97A0D">
              <w:rPr>
                <w:sz w:val="22"/>
                <w:szCs w:val="20"/>
              </w:rPr>
              <w:t>(2/0)</w:t>
            </w:r>
          </w:p>
        </w:tc>
        <w:tc>
          <w:tcPr>
            <w:tcW w:w="703" w:type="pct"/>
          </w:tcPr>
          <w:p w:rsidRPr="00C97A0D" w:rsidR="00D10057" w:rsidP="00C97A0D" w:rsidRDefault="00D10057" w14:paraId="5D9BFFB4" w14:textId="77777777">
            <w:pPr>
              <w:spacing w:after="120"/>
              <w:rPr>
                <w:sz w:val="22"/>
                <w:szCs w:val="20"/>
              </w:rPr>
            </w:pPr>
            <w:r w:rsidRPr="00C97A0D">
              <w:rPr>
                <w:sz w:val="22"/>
                <w:szCs w:val="20"/>
              </w:rPr>
              <w:t>Exceeded</w:t>
            </w:r>
          </w:p>
          <w:p w:rsidRPr="00C97A0D" w:rsidR="00D10057" w:rsidP="00C97A0D" w:rsidRDefault="00D10057" w14:paraId="44AD7D59" w14:textId="77777777">
            <w:pPr>
              <w:spacing w:after="120"/>
              <w:rPr>
                <w:sz w:val="22"/>
                <w:szCs w:val="20"/>
              </w:rPr>
            </w:pPr>
            <w:r w:rsidRPr="00C97A0D">
              <w:rPr>
                <w:sz w:val="22"/>
                <w:szCs w:val="20"/>
              </w:rPr>
              <w:t>(2/1)</w:t>
            </w:r>
          </w:p>
        </w:tc>
        <w:tc>
          <w:tcPr>
            <w:tcW w:w="714" w:type="pct"/>
          </w:tcPr>
          <w:p w:rsidRPr="00C97A0D" w:rsidR="00D10057" w:rsidP="00C97A0D" w:rsidRDefault="00D10057" w14:paraId="4EAE9AD2" w14:textId="77777777">
            <w:pPr>
              <w:spacing w:after="120"/>
              <w:rPr>
                <w:sz w:val="22"/>
                <w:szCs w:val="20"/>
              </w:rPr>
            </w:pPr>
            <w:r w:rsidRPr="00C97A0D">
              <w:rPr>
                <w:sz w:val="22"/>
                <w:szCs w:val="20"/>
              </w:rPr>
              <w:t>Exceeded</w:t>
            </w:r>
          </w:p>
          <w:p w:rsidRPr="00C97A0D" w:rsidR="00D10057" w:rsidP="00C97A0D" w:rsidRDefault="00D10057" w14:paraId="1B763BD0" w14:textId="77777777">
            <w:pPr>
              <w:spacing w:after="120"/>
              <w:rPr>
                <w:sz w:val="22"/>
                <w:szCs w:val="20"/>
              </w:rPr>
            </w:pPr>
            <w:r w:rsidRPr="00C97A0D">
              <w:rPr>
                <w:sz w:val="22"/>
                <w:szCs w:val="20"/>
              </w:rPr>
              <w:t>(3/2)</w:t>
            </w:r>
          </w:p>
        </w:tc>
      </w:tr>
      <w:tr w:rsidRPr="00C97A0D" w:rsidR="00D10057" w14:paraId="332B25DD" w14:textId="77777777">
        <w:tc>
          <w:tcPr>
            <w:tcW w:w="1685" w:type="pct"/>
          </w:tcPr>
          <w:p w:rsidRPr="00C97A0D" w:rsidR="00D10057" w:rsidP="00C97A0D" w:rsidRDefault="00D10057" w14:paraId="5F137DEB" w14:textId="77777777">
            <w:pPr>
              <w:spacing w:after="120"/>
              <w:rPr>
                <w:sz w:val="22"/>
                <w:szCs w:val="20"/>
              </w:rPr>
            </w:pPr>
            <w:r w:rsidRPr="00C97A0D">
              <w:rPr>
                <w:sz w:val="22"/>
                <w:szCs w:val="20"/>
              </w:rPr>
              <w:t>Output indicator 1a.3 Cumulative total public sector financing</w:t>
            </w:r>
          </w:p>
        </w:tc>
        <w:tc>
          <w:tcPr>
            <w:tcW w:w="633" w:type="pct"/>
          </w:tcPr>
          <w:p w:rsidRPr="00C97A0D" w:rsidR="00D10057" w:rsidP="00C97A0D" w:rsidRDefault="00D10057" w14:paraId="09D291BE" w14:textId="77777777">
            <w:pPr>
              <w:spacing w:after="120"/>
              <w:rPr>
                <w:sz w:val="22"/>
                <w:szCs w:val="20"/>
              </w:rPr>
            </w:pPr>
            <w:r w:rsidRPr="00C97A0D">
              <w:rPr>
                <w:sz w:val="22"/>
                <w:szCs w:val="20"/>
              </w:rPr>
              <w:t>Not achieved</w:t>
            </w:r>
          </w:p>
          <w:p w:rsidRPr="00C97A0D" w:rsidR="00D10057" w:rsidP="00C97A0D" w:rsidRDefault="00D10057" w14:paraId="6E2DD2AE" w14:textId="77777777">
            <w:pPr>
              <w:spacing w:after="120"/>
              <w:rPr>
                <w:sz w:val="22"/>
                <w:szCs w:val="20"/>
              </w:rPr>
            </w:pPr>
            <w:r w:rsidRPr="00C97A0D">
              <w:rPr>
                <w:sz w:val="22"/>
                <w:szCs w:val="20"/>
              </w:rPr>
              <w:t>(0% of financing target)</w:t>
            </w:r>
          </w:p>
        </w:tc>
        <w:tc>
          <w:tcPr>
            <w:tcW w:w="633" w:type="pct"/>
          </w:tcPr>
          <w:p w:rsidRPr="00C97A0D" w:rsidR="00D10057" w:rsidP="00C97A0D" w:rsidRDefault="00D10057" w14:paraId="6EF840F0" w14:textId="77777777">
            <w:pPr>
              <w:spacing w:after="120"/>
              <w:rPr>
                <w:sz w:val="22"/>
                <w:szCs w:val="20"/>
              </w:rPr>
            </w:pPr>
            <w:r w:rsidRPr="00C97A0D">
              <w:rPr>
                <w:sz w:val="22"/>
                <w:szCs w:val="20"/>
              </w:rPr>
              <w:t>Not achieved</w:t>
            </w:r>
          </w:p>
          <w:p w:rsidRPr="00C97A0D" w:rsidR="00D10057" w:rsidP="00C97A0D" w:rsidRDefault="00D10057" w14:paraId="44E02E66" w14:textId="77777777">
            <w:pPr>
              <w:spacing w:after="120"/>
              <w:rPr>
                <w:sz w:val="22"/>
                <w:szCs w:val="20"/>
              </w:rPr>
            </w:pPr>
            <w:r w:rsidRPr="00C97A0D">
              <w:rPr>
                <w:sz w:val="22"/>
                <w:szCs w:val="20"/>
              </w:rPr>
              <w:t>(0% of financing target)</w:t>
            </w:r>
          </w:p>
        </w:tc>
        <w:tc>
          <w:tcPr>
            <w:tcW w:w="632" w:type="pct"/>
          </w:tcPr>
          <w:p w:rsidRPr="00C97A0D" w:rsidR="00D10057" w:rsidP="00C97A0D" w:rsidRDefault="00D10057" w14:paraId="6760D898" w14:textId="77777777">
            <w:pPr>
              <w:spacing w:after="120"/>
              <w:rPr>
                <w:sz w:val="22"/>
                <w:szCs w:val="20"/>
              </w:rPr>
            </w:pPr>
            <w:r w:rsidRPr="00C97A0D">
              <w:rPr>
                <w:sz w:val="22"/>
                <w:szCs w:val="20"/>
              </w:rPr>
              <w:t>Partially achieved</w:t>
            </w:r>
          </w:p>
          <w:p w:rsidRPr="00C97A0D" w:rsidR="00D10057" w:rsidP="00C97A0D" w:rsidRDefault="00D10057" w14:paraId="09621B62" w14:textId="77777777">
            <w:pPr>
              <w:spacing w:after="120"/>
              <w:rPr>
                <w:sz w:val="22"/>
                <w:szCs w:val="20"/>
              </w:rPr>
            </w:pPr>
            <w:r w:rsidRPr="00C97A0D">
              <w:rPr>
                <w:sz w:val="22"/>
                <w:szCs w:val="20"/>
              </w:rPr>
              <w:t>(59% of financing target)</w:t>
            </w:r>
          </w:p>
        </w:tc>
        <w:tc>
          <w:tcPr>
            <w:tcW w:w="703" w:type="pct"/>
          </w:tcPr>
          <w:p w:rsidRPr="00C97A0D" w:rsidR="00D10057" w:rsidP="00C97A0D" w:rsidRDefault="00D10057" w14:paraId="13C1421D" w14:textId="77777777">
            <w:pPr>
              <w:spacing w:after="120"/>
              <w:rPr>
                <w:sz w:val="22"/>
                <w:szCs w:val="20"/>
              </w:rPr>
            </w:pPr>
            <w:r w:rsidRPr="00C97A0D">
              <w:rPr>
                <w:sz w:val="22"/>
                <w:szCs w:val="20"/>
              </w:rPr>
              <w:t>Exceeded</w:t>
            </w:r>
          </w:p>
          <w:p w:rsidRPr="00C97A0D" w:rsidR="00D10057" w:rsidP="00C97A0D" w:rsidRDefault="00D10057" w14:paraId="78121F42" w14:textId="77777777">
            <w:pPr>
              <w:spacing w:after="120"/>
              <w:rPr>
                <w:sz w:val="22"/>
                <w:szCs w:val="20"/>
              </w:rPr>
            </w:pPr>
            <w:r w:rsidRPr="00C97A0D">
              <w:rPr>
                <w:sz w:val="22"/>
                <w:szCs w:val="20"/>
              </w:rPr>
              <w:t>(142% of financing target)</w:t>
            </w:r>
          </w:p>
        </w:tc>
        <w:tc>
          <w:tcPr>
            <w:tcW w:w="714" w:type="pct"/>
          </w:tcPr>
          <w:p w:rsidRPr="00C97A0D" w:rsidR="00D10057" w:rsidP="00C97A0D" w:rsidRDefault="00D10057" w14:paraId="6A46272D" w14:textId="77777777">
            <w:pPr>
              <w:spacing w:after="120"/>
              <w:rPr>
                <w:sz w:val="22"/>
                <w:szCs w:val="20"/>
              </w:rPr>
            </w:pPr>
            <w:r w:rsidRPr="00C97A0D">
              <w:rPr>
                <w:sz w:val="22"/>
                <w:szCs w:val="20"/>
              </w:rPr>
              <w:t>Exceeded</w:t>
            </w:r>
          </w:p>
          <w:p w:rsidRPr="00C97A0D" w:rsidR="00D10057" w:rsidP="00C97A0D" w:rsidRDefault="00D10057" w14:paraId="2059E176" w14:textId="77777777">
            <w:pPr>
              <w:spacing w:after="120"/>
              <w:rPr>
                <w:sz w:val="22"/>
                <w:szCs w:val="20"/>
              </w:rPr>
            </w:pPr>
            <w:r w:rsidRPr="00C97A0D">
              <w:rPr>
                <w:sz w:val="22"/>
                <w:szCs w:val="20"/>
              </w:rPr>
              <w:t>(222% of financing target)</w:t>
            </w:r>
          </w:p>
        </w:tc>
      </w:tr>
      <w:tr w:rsidRPr="00C97A0D" w:rsidR="00D10057" w14:paraId="1BA07299" w14:textId="77777777">
        <w:tc>
          <w:tcPr>
            <w:tcW w:w="1685" w:type="pct"/>
          </w:tcPr>
          <w:p w:rsidRPr="00C97A0D" w:rsidR="00D10057" w:rsidP="00C97A0D" w:rsidRDefault="00D10057" w14:paraId="19585964" w14:textId="77777777">
            <w:pPr>
              <w:spacing w:after="120"/>
              <w:rPr>
                <w:sz w:val="22"/>
                <w:szCs w:val="20"/>
              </w:rPr>
            </w:pPr>
            <w:r w:rsidRPr="00C97A0D">
              <w:rPr>
                <w:sz w:val="22"/>
                <w:szCs w:val="20"/>
              </w:rPr>
              <w:t>Output indicator 1b.1 Cumulative total project cost of green buildings finance related to MAGC blended finance</w:t>
            </w:r>
          </w:p>
        </w:tc>
        <w:tc>
          <w:tcPr>
            <w:tcW w:w="633" w:type="pct"/>
          </w:tcPr>
          <w:p w:rsidRPr="00C97A0D" w:rsidR="00D10057" w:rsidP="00C97A0D" w:rsidRDefault="00D10057" w14:paraId="6D6A1D74" w14:textId="77777777">
            <w:pPr>
              <w:spacing w:after="120"/>
              <w:rPr>
                <w:sz w:val="22"/>
                <w:szCs w:val="20"/>
              </w:rPr>
            </w:pPr>
            <w:r w:rsidRPr="00C97A0D">
              <w:rPr>
                <w:sz w:val="22"/>
                <w:szCs w:val="20"/>
              </w:rPr>
              <w:t>N/A</w:t>
            </w:r>
          </w:p>
        </w:tc>
        <w:tc>
          <w:tcPr>
            <w:tcW w:w="633" w:type="pct"/>
          </w:tcPr>
          <w:p w:rsidRPr="00C97A0D" w:rsidR="00D10057" w:rsidP="00C97A0D" w:rsidRDefault="00D10057" w14:paraId="1AF8D9F6" w14:textId="77777777">
            <w:pPr>
              <w:spacing w:after="120"/>
              <w:rPr>
                <w:sz w:val="22"/>
                <w:szCs w:val="20"/>
              </w:rPr>
            </w:pPr>
            <w:r w:rsidRPr="00C97A0D">
              <w:rPr>
                <w:sz w:val="22"/>
                <w:szCs w:val="20"/>
              </w:rPr>
              <w:t>Not achieved</w:t>
            </w:r>
          </w:p>
          <w:p w:rsidRPr="00C97A0D" w:rsidR="00D10057" w:rsidP="00C97A0D" w:rsidRDefault="00D10057" w14:paraId="57CE7EB8" w14:textId="77777777">
            <w:pPr>
              <w:spacing w:after="120"/>
              <w:rPr>
                <w:sz w:val="22"/>
                <w:szCs w:val="20"/>
              </w:rPr>
            </w:pPr>
            <w:r w:rsidRPr="00C97A0D">
              <w:rPr>
                <w:sz w:val="22"/>
                <w:szCs w:val="20"/>
              </w:rPr>
              <w:t xml:space="preserve"> (0% of target value financed)</w:t>
            </w:r>
          </w:p>
        </w:tc>
        <w:tc>
          <w:tcPr>
            <w:tcW w:w="632" w:type="pct"/>
          </w:tcPr>
          <w:p w:rsidRPr="00C97A0D" w:rsidR="00D10057" w:rsidP="00C97A0D" w:rsidRDefault="00D10057" w14:paraId="27E03635" w14:textId="77777777">
            <w:pPr>
              <w:spacing w:after="120"/>
              <w:rPr>
                <w:sz w:val="22"/>
                <w:szCs w:val="20"/>
              </w:rPr>
            </w:pPr>
            <w:r w:rsidRPr="00C97A0D">
              <w:rPr>
                <w:sz w:val="22"/>
                <w:szCs w:val="20"/>
              </w:rPr>
              <w:t>Not achieved</w:t>
            </w:r>
          </w:p>
          <w:p w:rsidRPr="00C97A0D" w:rsidR="00D10057" w:rsidP="00C97A0D" w:rsidRDefault="00D10057" w14:paraId="5F8C4F2B" w14:textId="77777777">
            <w:pPr>
              <w:spacing w:after="120"/>
              <w:rPr>
                <w:sz w:val="22"/>
                <w:szCs w:val="20"/>
              </w:rPr>
            </w:pPr>
            <w:r w:rsidRPr="00C97A0D">
              <w:rPr>
                <w:sz w:val="22"/>
                <w:szCs w:val="20"/>
              </w:rPr>
              <w:t xml:space="preserve"> (0% of target value financed)</w:t>
            </w:r>
          </w:p>
        </w:tc>
        <w:tc>
          <w:tcPr>
            <w:tcW w:w="703" w:type="pct"/>
          </w:tcPr>
          <w:p w:rsidRPr="00C97A0D" w:rsidR="00D10057" w:rsidP="00C97A0D" w:rsidRDefault="00D10057" w14:paraId="24C5FC24" w14:textId="77777777">
            <w:pPr>
              <w:spacing w:after="120"/>
              <w:rPr>
                <w:sz w:val="22"/>
                <w:szCs w:val="20"/>
              </w:rPr>
            </w:pPr>
            <w:r w:rsidRPr="00C97A0D">
              <w:rPr>
                <w:sz w:val="22"/>
                <w:szCs w:val="20"/>
              </w:rPr>
              <w:t>Partially achieved</w:t>
            </w:r>
          </w:p>
          <w:p w:rsidRPr="00C97A0D" w:rsidR="00D10057" w:rsidP="00C97A0D" w:rsidRDefault="00D10057" w14:paraId="5A66AA8C" w14:textId="77777777">
            <w:pPr>
              <w:spacing w:after="120"/>
              <w:rPr>
                <w:sz w:val="22"/>
                <w:szCs w:val="20"/>
              </w:rPr>
            </w:pPr>
            <w:r w:rsidRPr="00C97A0D">
              <w:rPr>
                <w:sz w:val="22"/>
                <w:szCs w:val="20"/>
              </w:rPr>
              <w:t>(8% of target value financed)</w:t>
            </w:r>
          </w:p>
        </w:tc>
        <w:tc>
          <w:tcPr>
            <w:tcW w:w="714" w:type="pct"/>
          </w:tcPr>
          <w:p w:rsidRPr="00C97A0D" w:rsidR="00D10057" w:rsidP="00C97A0D" w:rsidRDefault="00D10057" w14:paraId="2FA9A2EA" w14:textId="77777777">
            <w:pPr>
              <w:spacing w:after="120"/>
              <w:rPr>
                <w:sz w:val="22"/>
                <w:szCs w:val="20"/>
              </w:rPr>
            </w:pPr>
            <w:r w:rsidRPr="00C97A0D">
              <w:rPr>
                <w:sz w:val="22"/>
                <w:szCs w:val="20"/>
              </w:rPr>
              <w:t>Partially achieved</w:t>
            </w:r>
          </w:p>
          <w:p w:rsidRPr="00C97A0D" w:rsidR="00D10057" w:rsidP="00C97A0D" w:rsidRDefault="00D10057" w14:paraId="19DBAD9F" w14:textId="77777777">
            <w:pPr>
              <w:spacing w:after="120"/>
              <w:rPr>
                <w:sz w:val="22"/>
                <w:szCs w:val="20"/>
              </w:rPr>
            </w:pPr>
            <w:r w:rsidRPr="00C97A0D">
              <w:rPr>
                <w:sz w:val="22"/>
                <w:szCs w:val="20"/>
              </w:rPr>
              <w:t>(47% of target value financed)</w:t>
            </w:r>
          </w:p>
        </w:tc>
      </w:tr>
      <w:tr w:rsidRPr="00C97A0D" w:rsidR="00D10057" w14:paraId="0E117D9B" w14:textId="77777777">
        <w:tc>
          <w:tcPr>
            <w:tcW w:w="1685" w:type="pct"/>
          </w:tcPr>
          <w:p w:rsidRPr="00C97A0D" w:rsidR="00D10057" w:rsidP="00C97A0D" w:rsidRDefault="00D10057" w14:paraId="75591625" w14:textId="77777777">
            <w:pPr>
              <w:spacing w:after="120"/>
              <w:rPr>
                <w:sz w:val="22"/>
                <w:szCs w:val="20"/>
              </w:rPr>
            </w:pPr>
            <w:r w:rsidRPr="00C97A0D">
              <w:rPr>
                <w:sz w:val="22"/>
                <w:szCs w:val="20"/>
              </w:rPr>
              <w:t>Output indicator 1b.2 Cumulative total private sector financing provided to MAGC funded green building projects</w:t>
            </w:r>
          </w:p>
        </w:tc>
        <w:tc>
          <w:tcPr>
            <w:tcW w:w="633" w:type="pct"/>
          </w:tcPr>
          <w:p w:rsidRPr="00C97A0D" w:rsidR="00D10057" w:rsidP="00C97A0D" w:rsidRDefault="00D10057" w14:paraId="75B37CFA" w14:textId="77777777">
            <w:pPr>
              <w:spacing w:after="120"/>
              <w:rPr>
                <w:sz w:val="22"/>
                <w:szCs w:val="20"/>
              </w:rPr>
            </w:pPr>
            <w:r w:rsidRPr="00C97A0D">
              <w:rPr>
                <w:sz w:val="22"/>
                <w:szCs w:val="20"/>
              </w:rPr>
              <w:t>N/A</w:t>
            </w:r>
          </w:p>
        </w:tc>
        <w:tc>
          <w:tcPr>
            <w:tcW w:w="633" w:type="pct"/>
          </w:tcPr>
          <w:p w:rsidRPr="00C97A0D" w:rsidR="00D10057" w:rsidP="00C97A0D" w:rsidRDefault="00D10057" w14:paraId="01CE86A0" w14:textId="77777777">
            <w:pPr>
              <w:spacing w:after="120"/>
              <w:rPr>
                <w:sz w:val="22"/>
                <w:szCs w:val="20"/>
              </w:rPr>
            </w:pPr>
            <w:r w:rsidRPr="00C97A0D">
              <w:rPr>
                <w:sz w:val="22"/>
                <w:szCs w:val="20"/>
              </w:rPr>
              <w:t>Not achieved</w:t>
            </w:r>
          </w:p>
          <w:p w:rsidRPr="00C97A0D" w:rsidR="00D10057" w:rsidP="00C97A0D" w:rsidRDefault="00D10057" w14:paraId="6B0F48B7" w14:textId="77777777">
            <w:pPr>
              <w:spacing w:after="120"/>
              <w:rPr>
                <w:sz w:val="22"/>
                <w:szCs w:val="20"/>
              </w:rPr>
            </w:pPr>
            <w:r w:rsidRPr="00C97A0D">
              <w:rPr>
                <w:sz w:val="22"/>
                <w:szCs w:val="20"/>
              </w:rPr>
              <w:t>(0% of financing target)</w:t>
            </w:r>
          </w:p>
        </w:tc>
        <w:tc>
          <w:tcPr>
            <w:tcW w:w="632" w:type="pct"/>
          </w:tcPr>
          <w:p w:rsidRPr="00C97A0D" w:rsidR="00D10057" w:rsidP="00C97A0D" w:rsidRDefault="00D10057" w14:paraId="44659536" w14:textId="77777777">
            <w:pPr>
              <w:spacing w:after="120"/>
              <w:rPr>
                <w:sz w:val="22"/>
                <w:szCs w:val="20"/>
              </w:rPr>
            </w:pPr>
            <w:r w:rsidRPr="00C97A0D">
              <w:rPr>
                <w:sz w:val="22"/>
                <w:szCs w:val="20"/>
              </w:rPr>
              <w:t>Not achieved</w:t>
            </w:r>
          </w:p>
          <w:p w:rsidRPr="00C97A0D" w:rsidR="00D10057" w:rsidP="00C97A0D" w:rsidRDefault="00D10057" w14:paraId="081A056C" w14:textId="77777777">
            <w:pPr>
              <w:spacing w:after="120"/>
              <w:rPr>
                <w:sz w:val="22"/>
                <w:szCs w:val="20"/>
              </w:rPr>
            </w:pPr>
            <w:r w:rsidRPr="00C97A0D">
              <w:rPr>
                <w:sz w:val="22"/>
                <w:szCs w:val="20"/>
              </w:rPr>
              <w:t>(0% of financing target)</w:t>
            </w:r>
          </w:p>
        </w:tc>
        <w:tc>
          <w:tcPr>
            <w:tcW w:w="703" w:type="pct"/>
          </w:tcPr>
          <w:p w:rsidRPr="00C97A0D" w:rsidR="00D10057" w:rsidP="00C97A0D" w:rsidRDefault="00D10057" w14:paraId="694EBAAD" w14:textId="77777777">
            <w:pPr>
              <w:spacing w:after="120"/>
              <w:rPr>
                <w:sz w:val="22"/>
                <w:szCs w:val="20"/>
              </w:rPr>
            </w:pPr>
            <w:r w:rsidRPr="00C97A0D">
              <w:rPr>
                <w:sz w:val="22"/>
                <w:szCs w:val="20"/>
              </w:rPr>
              <w:t>Not achieved</w:t>
            </w:r>
          </w:p>
          <w:p w:rsidRPr="00C97A0D" w:rsidR="00D10057" w:rsidP="00C97A0D" w:rsidRDefault="00D10057" w14:paraId="0C5C72C4" w14:textId="77777777">
            <w:pPr>
              <w:spacing w:after="120"/>
              <w:rPr>
                <w:sz w:val="22"/>
                <w:szCs w:val="20"/>
              </w:rPr>
            </w:pPr>
            <w:r w:rsidRPr="00C97A0D">
              <w:rPr>
                <w:sz w:val="22"/>
                <w:szCs w:val="20"/>
              </w:rPr>
              <w:t>(0% of financing target)</w:t>
            </w:r>
          </w:p>
        </w:tc>
        <w:tc>
          <w:tcPr>
            <w:tcW w:w="714" w:type="pct"/>
          </w:tcPr>
          <w:p w:rsidRPr="00C97A0D" w:rsidR="00D10057" w:rsidP="00C97A0D" w:rsidRDefault="00D10057" w14:paraId="51AB7C9A" w14:textId="77777777">
            <w:pPr>
              <w:spacing w:after="120"/>
              <w:rPr>
                <w:sz w:val="22"/>
                <w:szCs w:val="20"/>
              </w:rPr>
            </w:pPr>
            <w:r w:rsidRPr="00C97A0D">
              <w:rPr>
                <w:sz w:val="22"/>
                <w:szCs w:val="20"/>
              </w:rPr>
              <w:t>Partially achieved</w:t>
            </w:r>
          </w:p>
          <w:p w:rsidRPr="00C97A0D" w:rsidR="00D10057" w:rsidP="00C97A0D" w:rsidRDefault="00D10057" w14:paraId="3AD81103" w14:textId="77777777">
            <w:pPr>
              <w:spacing w:after="120"/>
              <w:rPr>
                <w:sz w:val="22"/>
                <w:szCs w:val="20"/>
              </w:rPr>
            </w:pPr>
            <w:r w:rsidRPr="00C97A0D">
              <w:rPr>
                <w:sz w:val="22"/>
                <w:szCs w:val="20"/>
              </w:rPr>
              <w:t>(23% of financing target)</w:t>
            </w:r>
          </w:p>
        </w:tc>
      </w:tr>
      <w:tr w:rsidRPr="00C97A0D" w:rsidR="00D10057" w14:paraId="09AC9427" w14:textId="77777777">
        <w:tc>
          <w:tcPr>
            <w:tcW w:w="1685" w:type="pct"/>
          </w:tcPr>
          <w:p w:rsidRPr="00C97A0D" w:rsidR="00D10057" w:rsidP="00C97A0D" w:rsidRDefault="00D10057" w14:paraId="500C4ACC" w14:textId="77777777">
            <w:pPr>
              <w:spacing w:after="120"/>
              <w:rPr>
                <w:sz w:val="22"/>
                <w:szCs w:val="20"/>
              </w:rPr>
            </w:pPr>
            <w:r w:rsidRPr="00C97A0D">
              <w:rPr>
                <w:sz w:val="22"/>
                <w:szCs w:val="20"/>
              </w:rPr>
              <w:t xml:space="preserve">Output indicator 1b.4 Cumulative number of </w:t>
            </w:r>
            <w:r w:rsidRPr="00C97A0D">
              <w:rPr>
                <w:sz w:val="22"/>
                <w:szCs w:val="20"/>
              </w:rPr>
              <w:t>financial intermediaries receiving MAGC blended finance capturing and reporting its full disbursement through the CAFI tool</w:t>
            </w:r>
          </w:p>
        </w:tc>
        <w:tc>
          <w:tcPr>
            <w:tcW w:w="633" w:type="pct"/>
          </w:tcPr>
          <w:p w:rsidRPr="00C97A0D" w:rsidR="00D10057" w:rsidP="00C97A0D" w:rsidRDefault="00D10057" w14:paraId="029E4363" w14:textId="77777777">
            <w:pPr>
              <w:spacing w:after="120"/>
              <w:rPr>
                <w:sz w:val="22"/>
                <w:szCs w:val="20"/>
              </w:rPr>
            </w:pPr>
            <w:r w:rsidRPr="00C97A0D">
              <w:rPr>
                <w:sz w:val="22"/>
                <w:szCs w:val="20"/>
              </w:rPr>
              <w:t>N/A</w:t>
            </w:r>
          </w:p>
        </w:tc>
        <w:tc>
          <w:tcPr>
            <w:tcW w:w="633" w:type="pct"/>
          </w:tcPr>
          <w:p w:rsidRPr="00C97A0D" w:rsidR="00D10057" w:rsidP="00C97A0D" w:rsidRDefault="00D10057" w14:paraId="0C8BE730" w14:textId="77777777">
            <w:pPr>
              <w:spacing w:after="120"/>
              <w:rPr>
                <w:sz w:val="22"/>
                <w:szCs w:val="20"/>
              </w:rPr>
            </w:pPr>
            <w:r w:rsidRPr="00C97A0D">
              <w:rPr>
                <w:sz w:val="22"/>
                <w:szCs w:val="20"/>
              </w:rPr>
              <w:t>N/A</w:t>
            </w:r>
          </w:p>
        </w:tc>
        <w:tc>
          <w:tcPr>
            <w:tcW w:w="632" w:type="pct"/>
          </w:tcPr>
          <w:p w:rsidRPr="00C97A0D" w:rsidR="00D10057" w:rsidP="00C97A0D" w:rsidRDefault="00D10057" w14:paraId="6E30D515" w14:textId="77777777">
            <w:pPr>
              <w:spacing w:after="120"/>
              <w:rPr>
                <w:sz w:val="22"/>
                <w:szCs w:val="20"/>
              </w:rPr>
            </w:pPr>
            <w:r w:rsidRPr="00C97A0D">
              <w:rPr>
                <w:sz w:val="22"/>
                <w:szCs w:val="20"/>
              </w:rPr>
              <w:t>N/A</w:t>
            </w:r>
          </w:p>
        </w:tc>
        <w:tc>
          <w:tcPr>
            <w:tcW w:w="703" w:type="pct"/>
          </w:tcPr>
          <w:p w:rsidRPr="00C97A0D" w:rsidR="00D10057" w:rsidP="00C97A0D" w:rsidRDefault="00D10057" w14:paraId="626B83BF" w14:textId="77777777">
            <w:pPr>
              <w:spacing w:after="120"/>
              <w:rPr>
                <w:sz w:val="22"/>
                <w:szCs w:val="20"/>
              </w:rPr>
            </w:pPr>
            <w:r w:rsidRPr="00C97A0D">
              <w:rPr>
                <w:sz w:val="22"/>
                <w:szCs w:val="20"/>
              </w:rPr>
              <w:t>N/A</w:t>
            </w:r>
          </w:p>
        </w:tc>
        <w:tc>
          <w:tcPr>
            <w:tcW w:w="714" w:type="pct"/>
          </w:tcPr>
          <w:p w:rsidRPr="00C97A0D" w:rsidR="00D10057" w:rsidP="00C97A0D" w:rsidRDefault="00D10057" w14:paraId="51AA347E" w14:textId="77777777">
            <w:pPr>
              <w:spacing w:after="120"/>
              <w:rPr>
                <w:sz w:val="22"/>
                <w:szCs w:val="20"/>
              </w:rPr>
            </w:pPr>
            <w:r w:rsidRPr="00C97A0D">
              <w:rPr>
                <w:sz w:val="22"/>
                <w:szCs w:val="20"/>
              </w:rPr>
              <w:t>Exceeded (1/0)</w:t>
            </w:r>
          </w:p>
        </w:tc>
      </w:tr>
      <w:tr w:rsidRPr="00C97A0D" w:rsidR="00D10057" w14:paraId="1F427EE0" w14:textId="77777777">
        <w:tc>
          <w:tcPr>
            <w:tcW w:w="5000" w:type="pct"/>
            <w:gridSpan w:val="6"/>
          </w:tcPr>
          <w:p w:rsidRPr="00C97A0D" w:rsidR="00D10057" w:rsidP="00C97A0D" w:rsidRDefault="00D10057" w14:paraId="3CBC4F7F" w14:textId="77777777">
            <w:pPr>
              <w:spacing w:after="120"/>
              <w:rPr>
                <w:rStyle w:val="Boldtext"/>
                <w:sz w:val="22"/>
                <w:szCs w:val="20"/>
              </w:rPr>
            </w:pPr>
            <w:r w:rsidRPr="00C97A0D">
              <w:rPr>
                <w:rStyle w:val="Boldtext"/>
                <w:sz w:val="22"/>
                <w:szCs w:val="20"/>
              </w:rPr>
              <w:t>Component 2</w:t>
            </w:r>
          </w:p>
        </w:tc>
      </w:tr>
      <w:tr w:rsidRPr="00C97A0D" w:rsidR="00D10057" w14:paraId="0165D517" w14:textId="77777777">
        <w:tc>
          <w:tcPr>
            <w:tcW w:w="1685" w:type="pct"/>
          </w:tcPr>
          <w:p w:rsidRPr="00C97A0D" w:rsidR="00D10057" w:rsidP="00C97A0D" w:rsidRDefault="00D10057" w14:paraId="550A12A4" w14:textId="77777777">
            <w:pPr>
              <w:spacing w:after="120"/>
              <w:rPr>
                <w:sz w:val="22"/>
                <w:szCs w:val="20"/>
              </w:rPr>
            </w:pPr>
            <w:r w:rsidRPr="00C97A0D">
              <w:rPr>
                <w:sz w:val="22"/>
                <w:szCs w:val="20"/>
              </w:rPr>
              <w:t>Output indicator 2.1 Cumulative number of market-level engagement plans in implementation</w:t>
            </w:r>
          </w:p>
        </w:tc>
        <w:tc>
          <w:tcPr>
            <w:tcW w:w="633" w:type="pct"/>
          </w:tcPr>
          <w:p w:rsidRPr="00C97A0D" w:rsidR="00D10057" w:rsidP="00C97A0D" w:rsidRDefault="00D10057" w14:paraId="7E7A116A" w14:textId="77777777">
            <w:pPr>
              <w:spacing w:after="120"/>
              <w:rPr>
                <w:sz w:val="22"/>
                <w:szCs w:val="20"/>
              </w:rPr>
            </w:pPr>
            <w:r w:rsidRPr="00C97A0D">
              <w:rPr>
                <w:sz w:val="22"/>
                <w:szCs w:val="20"/>
              </w:rPr>
              <w:t>N/A</w:t>
            </w:r>
          </w:p>
        </w:tc>
        <w:tc>
          <w:tcPr>
            <w:tcW w:w="633" w:type="pct"/>
          </w:tcPr>
          <w:p w:rsidRPr="00C97A0D" w:rsidR="00D10057" w:rsidP="00C97A0D" w:rsidRDefault="00D10057" w14:paraId="2BFB08AB" w14:textId="77777777">
            <w:pPr>
              <w:spacing w:after="120"/>
              <w:rPr>
                <w:sz w:val="22"/>
                <w:szCs w:val="20"/>
              </w:rPr>
            </w:pPr>
            <w:r w:rsidRPr="00C97A0D">
              <w:rPr>
                <w:sz w:val="22"/>
                <w:szCs w:val="20"/>
              </w:rPr>
              <w:t xml:space="preserve">Exceeded </w:t>
            </w:r>
          </w:p>
          <w:p w:rsidRPr="00C97A0D" w:rsidR="00D10057" w:rsidP="00C97A0D" w:rsidRDefault="00D10057" w14:paraId="58885705" w14:textId="77777777">
            <w:pPr>
              <w:spacing w:after="120"/>
              <w:rPr>
                <w:sz w:val="22"/>
                <w:szCs w:val="20"/>
              </w:rPr>
            </w:pPr>
            <w:r w:rsidRPr="00C97A0D">
              <w:rPr>
                <w:sz w:val="22"/>
                <w:szCs w:val="20"/>
              </w:rPr>
              <w:t>(7/0)</w:t>
            </w:r>
          </w:p>
        </w:tc>
        <w:tc>
          <w:tcPr>
            <w:tcW w:w="632" w:type="pct"/>
          </w:tcPr>
          <w:p w:rsidRPr="00C97A0D" w:rsidR="00D10057" w:rsidP="00C97A0D" w:rsidRDefault="00D10057" w14:paraId="017F3EED" w14:textId="77777777">
            <w:pPr>
              <w:spacing w:after="120"/>
              <w:rPr>
                <w:sz w:val="22"/>
                <w:szCs w:val="20"/>
              </w:rPr>
            </w:pPr>
            <w:r w:rsidRPr="00C97A0D">
              <w:rPr>
                <w:sz w:val="22"/>
                <w:szCs w:val="20"/>
              </w:rPr>
              <w:t>Exceeded</w:t>
            </w:r>
          </w:p>
          <w:p w:rsidRPr="00C97A0D" w:rsidR="00D10057" w:rsidP="00C97A0D" w:rsidRDefault="00D10057" w14:paraId="099DB0FD" w14:textId="77777777">
            <w:pPr>
              <w:spacing w:after="120"/>
              <w:rPr>
                <w:sz w:val="22"/>
                <w:szCs w:val="20"/>
              </w:rPr>
            </w:pPr>
            <w:r w:rsidRPr="00C97A0D">
              <w:rPr>
                <w:sz w:val="22"/>
                <w:szCs w:val="20"/>
              </w:rPr>
              <w:t>(11/7)</w:t>
            </w:r>
          </w:p>
        </w:tc>
        <w:tc>
          <w:tcPr>
            <w:tcW w:w="703" w:type="pct"/>
          </w:tcPr>
          <w:p w:rsidRPr="00C97A0D" w:rsidR="00D10057" w:rsidP="00C97A0D" w:rsidRDefault="00D10057" w14:paraId="019B97CE" w14:textId="77777777">
            <w:pPr>
              <w:spacing w:after="120"/>
              <w:rPr>
                <w:sz w:val="22"/>
                <w:szCs w:val="20"/>
              </w:rPr>
            </w:pPr>
            <w:r w:rsidRPr="00C97A0D">
              <w:rPr>
                <w:sz w:val="22"/>
                <w:szCs w:val="20"/>
              </w:rPr>
              <w:t>Exceeded</w:t>
            </w:r>
          </w:p>
          <w:p w:rsidRPr="00C97A0D" w:rsidR="00D10057" w:rsidP="00C97A0D" w:rsidRDefault="00D10057" w14:paraId="491B7A29" w14:textId="77777777">
            <w:pPr>
              <w:spacing w:after="120"/>
              <w:rPr>
                <w:sz w:val="22"/>
                <w:szCs w:val="20"/>
              </w:rPr>
            </w:pPr>
            <w:r w:rsidRPr="00C97A0D">
              <w:rPr>
                <w:sz w:val="22"/>
                <w:szCs w:val="20"/>
              </w:rPr>
              <w:t>(13/12)</w:t>
            </w:r>
          </w:p>
        </w:tc>
        <w:tc>
          <w:tcPr>
            <w:tcW w:w="714" w:type="pct"/>
          </w:tcPr>
          <w:p w:rsidRPr="00C97A0D" w:rsidR="00D10057" w:rsidP="00C97A0D" w:rsidRDefault="00D10057" w14:paraId="3E2A618E" w14:textId="77777777">
            <w:pPr>
              <w:spacing w:after="120"/>
              <w:rPr>
                <w:sz w:val="22"/>
                <w:szCs w:val="20"/>
              </w:rPr>
            </w:pPr>
            <w:r w:rsidRPr="00C97A0D">
              <w:rPr>
                <w:sz w:val="22"/>
                <w:szCs w:val="20"/>
              </w:rPr>
              <w:t xml:space="preserve">Achieved </w:t>
            </w:r>
          </w:p>
          <w:p w:rsidRPr="00C97A0D" w:rsidR="00D10057" w:rsidP="00C97A0D" w:rsidRDefault="00D10057" w14:paraId="7AED6C6F" w14:textId="77777777">
            <w:pPr>
              <w:spacing w:after="120"/>
              <w:rPr>
                <w:sz w:val="22"/>
                <w:szCs w:val="20"/>
              </w:rPr>
            </w:pPr>
            <w:r w:rsidRPr="00C97A0D">
              <w:rPr>
                <w:sz w:val="22"/>
                <w:szCs w:val="20"/>
              </w:rPr>
              <w:t>(13/13)</w:t>
            </w:r>
          </w:p>
        </w:tc>
      </w:tr>
      <w:tr w:rsidRPr="00C97A0D" w:rsidR="00D10057" w14:paraId="2E6EB8F1" w14:textId="77777777">
        <w:tc>
          <w:tcPr>
            <w:tcW w:w="1685" w:type="pct"/>
          </w:tcPr>
          <w:p w:rsidRPr="00C97A0D" w:rsidR="00D10057" w:rsidP="00C97A0D" w:rsidRDefault="00D10057" w14:paraId="3AAC8316" w14:textId="77777777">
            <w:pPr>
              <w:spacing w:after="120"/>
              <w:rPr>
                <w:sz w:val="22"/>
                <w:szCs w:val="20"/>
              </w:rPr>
            </w:pPr>
            <w:r w:rsidRPr="00C97A0D">
              <w:rPr>
                <w:sz w:val="22"/>
                <w:szCs w:val="20"/>
              </w:rPr>
              <w:t>Output indicator 2.2 (new) Cumulative floor space that received post design EDGE preliminary certification (m2) in MAGC countries</w:t>
            </w:r>
          </w:p>
        </w:tc>
        <w:tc>
          <w:tcPr>
            <w:tcW w:w="633" w:type="pct"/>
          </w:tcPr>
          <w:p w:rsidRPr="00C97A0D" w:rsidR="00D10057" w:rsidP="00C97A0D" w:rsidRDefault="00D10057" w14:paraId="072DB186" w14:textId="77777777">
            <w:pPr>
              <w:spacing w:after="120"/>
              <w:rPr>
                <w:sz w:val="22"/>
                <w:szCs w:val="20"/>
              </w:rPr>
            </w:pPr>
            <w:r w:rsidRPr="00C97A0D">
              <w:rPr>
                <w:sz w:val="22"/>
                <w:szCs w:val="20"/>
              </w:rPr>
              <w:t>N/A</w:t>
            </w:r>
          </w:p>
        </w:tc>
        <w:tc>
          <w:tcPr>
            <w:tcW w:w="633" w:type="pct"/>
          </w:tcPr>
          <w:p w:rsidRPr="00C97A0D" w:rsidR="00D10057" w:rsidP="00C97A0D" w:rsidRDefault="00D10057" w14:paraId="7F00080A" w14:textId="77777777">
            <w:pPr>
              <w:spacing w:after="120"/>
              <w:rPr>
                <w:sz w:val="22"/>
                <w:szCs w:val="20"/>
              </w:rPr>
            </w:pPr>
            <w:r w:rsidRPr="00C97A0D">
              <w:rPr>
                <w:sz w:val="22"/>
                <w:szCs w:val="20"/>
              </w:rPr>
              <w:t>N/A</w:t>
            </w:r>
          </w:p>
        </w:tc>
        <w:tc>
          <w:tcPr>
            <w:tcW w:w="632" w:type="pct"/>
          </w:tcPr>
          <w:p w:rsidRPr="00C97A0D" w:rsidR="00D10057" w:rsidP="00C97A0D" w:rsidRDefault="00D10057" w14:paraId="3F4167D6" w14:textId="77777777">
            <w:pPr>
              <w:spacing w:after="120"/>
              <w:rPr>
                <w:sz w:val="22"/>
                <w:szCs w:val="20"/>
              </w:rPr>
            </w:pPr>
            <w:r w:rsidRPr="00C97A0D">
              <w:rPr>
                <w:sz w:val="22"/>
                <w:szCs w:val="20"/>
              </w:rPr>
              <w:t>Not achieved (0% of target)</w:t>
            </w:r>
          </w:p>
        </w:tc>
        <w:tc>
          <w:tcPr>
            <w:tcW w:w="703" w:type="pct"/>
          </w:tcPr>
          <w:p w:rsidRPr="00C97A0D" w:rsidR="00D10057" w:rsidP="00C97A0D" w:rsidRDefault="00D10057" w14:paraId="4B394E7D" w14:textId="77777777">
            <w:pPr>
              <w:spacing w:after="120"/>
              <w:rPr>
                <w:sz w:val="22"/>
                <w:szCs w:val="20"/>
              </w:rPr>
            </w:pPr>
            <w:r w:rsidRPr="00C97A0D">
              <w:rPr>
                <w:sz w:val="22"/>
                <w:szCs w:val="20"/>
              </w:rPr>
              <w:t>Exceeded</w:t>
            </w:r>
          </w:p>
          <w:p w:rsidRPr="00C97A0D" w:rsidR="00D10057" w:rsidP="00C97A0D" w:rsidRDefault="00D10057" w14:paraId="7084F1C4" w14:textId="77777777">
            <w:pPr>
              <w:spacing w:after="120"/>
              <w:rPr>
                <w:sz w:val="22"/>
                <w:szCs w:val="20"/>
              </w:rPr>
            </w:pPr>
            <w:r w:rsidRPr="00C97A0D">
              <w:rPr>
                <w:sz w:val="22"/>
                <w:szCs w:val="20"/>
              </w:rPr>
              <w:t xml:space="preserve">(150% of target) </w:t>
            </w:r>
          </w:p>
          <w:p w:rsidRPr="00C97A0D" w:rsidR="00D10057" w:rsidP="00C97A0D" w:rsidRDefault="00D10057" w14:paraId="373BDCAC" w14:textId="77777777">
            <w:pPr>
              <w:spacing w:after="120"/>
              <w:rPr>
                <w:sz w:val="22"/>
                <w:szCs w:val="20"/>
              </w:rPr>
            </w:pPr>
          </w:p>
        </w:tc>
        <w:tc>
          <w:tcPr>
            <w:tcW w:w="714" w:type="pct"/>
          </w:tcPr>
          <w:p w:rsidRPr="00C97A0D" w:rsidR="00D10057" w:rsidP="00C97A0D" w:rsidRDefault="00D10057" w14:paraId="0E8D7EB1" w14:textId="77777777">
            <w:pPr>
              <w:spacing w:after="120"/>
              <w:rPr>
                <w:sz w:val="22"/>
                <w:szCs w:val="20"/>
              </w:rPr>
            </w:pPr>
            <w:r w:rsidRPr="00C97A0D">
              <w:rPr>
                <w:sz w:val="22"/>
                <w:szCs w:val="20"/>
              </w:rPr>
              <w:t>Exceeded</w:t>
            </w:r>
          </w:p>
          <w:p w:rsidRPr="00C97A0D" w:rsidR="00D10057" w:rsidP="00C97A0D" w:rsidRDefault="00D10057" w14:paraId="6541F55C" w14:textId="77777777">
            <w:pPr>
              <w:spacing w:after="120"/>
              <w:rPr>
                <w:sz w:val="22"/>
                <w:szCs w:val="20"/>
              </w:rPr>
            </w:pPr>
            <w:r w:rsidRPr="00C97A0D">
              <w:rPr>
                <w:sz w:val="22"/>
                <w:szCs w:val="20"/>
              </w:rPr>
              <w:t>(219% of target)</w:t>
            </w:r>
          </w:p>
        </w:tc>
      </w:tr>
      <w:tr w:rsidRPr="00C97A0D" w:rsidR="00D10057" w14:paraId="60C5C49A" w14:textId="77777777">
        <w:tc>
          <w:tcPr>
            <w:tcW w:w="1685" w:type="pct"/>
          </w:tcPr>
          <w:p w:rsidRPr="00C97A0D" w:rsidR="00D10057" w:rsidP="00C97A0D" w:rsidRDefault="00D10057" w14:paraId="68B9CC51" w14:textId="77777777">
            <w:pPr>
              <w:spacing w:after="120"/>
              <w:rPr>
                <w:sz w:val="22"/>
                <w:szCs w:val="20"/>
              </w:rPr>
            </w:pPr>
            <w:r w:rsidRPr="00C97A0D">
              <w:rPr>
                <w:sz w:val="22"/>
                <w:szCs w:val="20"/>
              </w:rPr>
              <w:t>Output indicator 2.3 (new) Cumulative number of EDGE Auditors and Experts</w:t>
            </w:r>
          </w:p>
        </w:tc>
        <w:tc>
          <w:tcPr>
            <w:tcW w:w="633" w:type="pct"/>
          </w:tcPr>
          <w:p w:rsidRPr="00C97A0D" w:rsidR="00D10057" w:rsidP="00C97A0D" w:rsidRDefault="00D10057" w14:paraId="3AE0264E" w14:textId="77777777">
            <w:pPr>
              <w:spacing w:after="120"/>
              <w:rPr>
                <w:sz w:val="22"/>
                <w:szCs w:val="20"/>
              </w:rPr>
            </w:pPr>
            <w:r w:rsidRPr="00C97A0D">
              <w:rPr>
                <w:sz w:val="22"/>
                <w:szCs w:val="20"/>
              </w:rPr>
              <w:t>N/A</w:t>
            </w:r>
            <w:r w:rsidRPr="00C97A0D">
              <w:rPr>
                <w:rStyle w:val="FootnoteReference"/>
                <w:sz w:val="22"/>
                <w:szCs w:val="20"/>
              </w:rPr>
              <w:footnoteReference w:id="29"/>
            </w:r>
          </w:p>
        </w:tc>
        <w:tc>
          <w:tcPr>
            <w:tcW w:w="633" w:type="pct"/>
          </w:tcPr>
          <w:p w:rsidRPr="00C97A0D" w:rsidR="00D10057" w:rsidP="00C97A0D" w:rsidRDefault="00D10057" w14:paraId="442A40DF" w14:textId="77777777">
            <w:pPr>
              <w:spacing w:after="120"/>
              <w:rPr>
                <w:sz w:val="22"/>
                <w:szCs w:val="20"/>
              </w:rPr>
            </w:pPr>
            <w:r w:rsidRPr="00C97A0D">
              <w:rPr>
                <w:sz w:val="22"/>
                <w:szCs w:val="20"/>
              </w:rPr>
              <w:t>N/A</w:t>
            </w:r>
          </w:p>
        </w:tc>
        <w:tc>
          <w:tcPr>
            <w:tcW w:w="632" w:type="pct"/>
          </w:tcPr>
          <w:p w:rsidRPr="00C97A0D" w:rsidR="00D10057" w:rsidP="00C97A0D" w:rsidRDefault="00D10057" w14:paraId="2407903E" w14:textId="77777777">
            <w:pPr>
              <w:spacing w:after="120"/>
              <w:rPr>
                <w:sz w:val="22"/>
                <w:szCs w:val="20"/>
              </w:rPr>
            </w:pPr>
            <w:r w:rsidRPr="00C97A0D">
              <w:rPr>
                <w:sz w:val="22"/>
                <w:szCs w:val="20"/>
              </w:rPr>
              <w:t>N/A</w:t>
            </w:r>
          </w:p>
        </w:tc>
        <w:tc>
          <w:tcPr>
            <w:tcW w:w="703" w:type="pct"/>
          </w:tcPr>
          <w:p w:rsidRPr="00C97A0D" w:rsidR="00D10057" w:rsidP="00C97A0D" w:rsidRDefault="00D10057" w14:paraId="51355D35" w14:textId="77777777">
            <w:pPr>
              <w:spacing w:after="120"/>
              <w:rPr>
                <w:sz w:val="22"/>
                <w:szCs w:val="20"/>
              </w:rPr>
            </w:pPr>
            <w:r w:rsidRPr="00C97A0D">
              <w:rPr>
                <w:sz w:val="22"/>
                <w:szCs w:val="20"/>
              </w:rPr>
              <w:t>Exceeded</w:t>
            </w:r>
          </w:p>
          <w:p w:rsidRPr="00C97A0D" w:rsidR="00D10057" w:rsidP="00C97A0D" w:rsidRDefault="00D10057" w14:paraId="0745AD6C" w14:textId="77777777">
            <w:pPr>
              <w:spacing w:after="120"/>
              <w:rPr>
                <w:sz w:val="22"/>
                <w:szCs w:val="20"/>
              </w:rPr>
            </w:pPr>
            <w:r w:rsidRPr="00C97A0D">
              <w:rPr>
                <w:sz w:val="22"/>
                <w:szCs w:val="20"/>
              </w:rPr>
              <w:t>(1,162/896)</w:t>
            </w:r>
          </w:p>
        </w:tc>
        <w:tc>
          <w:tcPr>
            <w:tcW w:w="714" w:type="pct"/>
          </w:tcPr>
          <w:p w:rsidRPr="00C97A0D" w:rsidR="00D10057" w:rsidP="00C97A0D" w:rsidRDefault="00D10057" w14:paraId="171AC2AE" w14:textId="77777777">
            <w:pPr>
              <w:spacing w:after="120"/>
              <w:rPr>
                <w:sz w:val="22"/>
                <w:szCs w:val="20"/>
              </w:rPr>
            </w:pPr>
            <w:r w:rsidRPr="00C97A0D">
              <w:rPr>
                <w:sz w:val="22"/>
                <w:szCs w:val="20"/>
              </w:rPr>
              <w:t>Exceeded</w:t>
            </w:r>
          </w:p>
          <w:p w:rsidRPr="00C97A0D" w:rsidR="00D10057" w:rsidP="00C97A0D" w:rsidRDefault="00D10057" w14:paraId="78AB5AC2" w14:textId="77777777">
            <w:pPr>
              <w:spacing w:after="120"/>
              <w:rPr>
                <w:sz w:val="22"/>
                <w:szCs w:val="20"/>
              </w:rPr>
            </w:pPr>
            <w:r w:rsidRPr="00C97A0D">
              <w:rPr>
                <w:sz w:val="22"/>
                <w:szCs w:val="20"/>
              </w:rPr>
              <w:t>(1,456/996)</w:t>
            </w:r>
          </w:p>
        </w:tc>
      </w:tr>
      <w:tr w:rsidRPr="00C97A0D" w:rsidR="00D10057" w14:paraId="1C49AE1A" w14:textId="77777777">
        <w:tc>
          <w:tcPr>
            <w:tcW w:w="1685" w:type="pct"/>
          </w:tcPr>
          <w:p w:rsidRPr="00C97A0D" w:rsidR="00D10057" w:rsidP="00C97A0D" w:rsidRDefault="00D10057" w14:paraId="1E14392A" w14:textId="77777777">
            <w:pPr>
              <w:spacing w:after="120"/>
              <w:rPr>
                <w:sz w:val="22"/>
                <w:szCs w:val="20"/>
              </w:rPr>
            </w:pPr>
            <w:r w:rsidRPr="00C97A0D">
              <w:rPr>
                <w:sz w:val="22"/>
                <w:szCs w:val="20"/>
              </w:rPr>
              <w:t>Output indicator 2.4 Global number of active EDGE Users</w:t>
            </w:r>
          </w:p>
        </w:tc>
        <w:tc>
          <w:tcPr>
            <w:tcW w:w="633" w:type="pct"/>
          </w:tcPr>
          <w:p w:rsidRPr="00C97A0D" w:rsidR="00D10057" w:rsidP="00C97A0D" w:rsidRDefault="00D10057" w14:paraId="08E1C558" w14:textId="77777777">
            <w:pPr>
              <w:spacing w:after="120"/>
              <w:rPr>
                <w:sz w:val="22"/>
                <w:szCs w:val="20"/>
              </w:rPr>
            </w:pPr>
            <w:r w:rsidRPr="00C97A0D">
              <w:rPr>
                <w:sz w:val="22"/>
                <w:szCs w:val="20"/>
              </w:rPr>
              <w:t>N/A</w:t>
            </w:r>
          </w:p>
        </w:tc>
        <w:tc>
          <w:tcPr>
            <w:tcW w:w="633" w:type="pct"/>
          </w:tcPr>
          <w:p w:rsidRPr="00C97A0D" w:rsidR="00D10057" w:rsidP="00C97A0D" w:rsidRDefault="00D10057" w14:paraId="585C8693" w14:textId="77777777">
            <w:pPr>
              <w:spacing w:after="120"/>
              <w:rPr>
                <w:sz w:val="22"/>
                <w:szCs w:val="20"/>
              </w:rPr>
            </w:pPr>
            <w:r w:rsidRPr="00C97A0D">
              <w:rPr>
                <w:sz w:val="22"/>
                <w:szCs w:val="20"/>
              </w:rPr>
              <w:t>Partially achieved</w:t>
            </w:r>
          </w:p>
          <w:p w:rsidRPr="00C97A0D" w:rsidR="00D10057" w:rsidP="00C97A0D" w:rsidRDefault="00D10057" w14:paraId="70A3ABC9" w14:textId="77777777">
            <w:pPr>
              <w:spacing w:after="120"/>
              <w:rPr>
                <w:sz w:val="22"/>
                <w:szCs w:val="20"/>
              </w:rPr>
            </w:pPr>
            <w:r w:rsidRPr="00C97A0D">
              <w:rPr>
                <w:sz w:val="22"/>
                <w:szCs w:val="20"/>
              </w:rPr>
              <w:t>(12,064/12,812)</w:t>
            </w:r>
          </w:p>
        </w:tc>
        <w:tc>
          <w:tcPr>
            <w:tcW w:w="632" w:type="pct"/>
          </w:tcPr>
          <w:p w:rsidRPr="00C97A0D" w:rsidR="00D10057" w:rsidP="00C97A0D" w:rsidRDefault="00D10057" w14:paraId="52023DEC" w14:textId="77777777">
            <w:pPr>
              <w:spacing w:after="120"/>
              <w:rPr>
                <w:sz w:val="22"/>
                <w:szCs w:val="20"/>
              </w:rPr>
            </w:pPr>
            <w:r w:rsidRPr="00C97A0D">
              <w:rPr>
                <w:sz w:val="22"/>
                <w:szCs w:val="20"/>
              </w:rPr>
              <w:t>Partially achieved</w:t>
            </w:r>
          </w:p>
          <w:p w:rsidRPr="00C97A0D" w:rsidR="00D10057" w:rsidP="00C97A0D" w:rsidRDefault="00D10057" w14:paraId="3B0E62F9" w14:textId="77777777">
            <w:pPr>
              <w:spacing w:after="120"/>
              <w:rPr>
                <w:sz w:val="22"/>
                <w:szCs w:val="20"/>
              </w:rPr>
            </w:pPr>
            <w:r w:rsidRPr="00C97A0D">
              <w:rPr>
                <w:sz w:val="22"/>
                <w:szCs w:val="20"/>
              </w:rPr>
              <w:t>(13,164/ 14,093)</w:t>
            </w:r>
          </w:p>
        </w:tc>
        <w:tc>
          <w:tcPr>
            <w:tcW w:w="703" w:type="pct"/>
          </w:tcPr>
          <w:p w:rsidRPr="00C97A0D" w:rsidR="00D10057" w:rsidP="00C97A0D" w:rsidRDefault="00D10057" w14:paraId="31F7B4F0" w14:textId="77777777">
            <w:pPr>
              <w:spacing w:after="120"/>
              <w:rPr>
                <w:sz w:val="22"/>
                <w:szCs w:val="20"/>
              </w:rPr>
            </w:pPr>
            <w:r w:rsidRPr="00C97A0D">
              <w:rPr>
                <w:sz w:val="22"/>
                <w:szCs w:val="20"/>
              </w:rPr>
              <w:t>Partially achieved</w:t>
            </w:r>
          </w:p>
          <w:p w:rsidRPr="00C97A0D" w:rsidR="00D10057" w:rsidP="00C97A0D" w:rsidRDefault="00D10057" w14:paraId="06E523CC" w14:textId="77777777">
            <w:pPr>
              <w:spacing w:after="120"/>
              <w:rPr>
                <w:sz w:val="22"/>
                <w:szCs w:val="20"/>
              </w:rPr>
            </w:pPr>
            <w:r w:rsidRPr="00C97A0D">
              <w:rPr>
                <w:sz w:val="22"/>
                <w:szCs w:val="20"/>
              </w:rPr>
              <w:t>(13,641/ 15,503)</w:t>
            </w:r>
          </w:p>
        </w:tc>
        <w:tc>
          <w:tcPr>
            <w:tcW w:w="714" w:type="pct"/>
          </w:tcPr>
          <w:p w:rsidRPr="00C97A0D" w:rsidR="00D10057" w:rsidP="00C97A0D" w:rsidRDefault="00D10057" w14:paraId="1F9AFCF6" w14:textId="77777777">
            <w:pPr>
              <w:spacing w:after="120"/>
              <w:rPr>
                <w:sz w:val="22"/>
                <w:szCs w:val="20"/>
              </w:rPr>
            </w:pPr>
            <w:r w:rsidRPr="00C97A0D">
              <w:rPr>
                <w:sz w:val="22"/>
                <w:szCs w:val="20"/>
              </w:rPr>
              <w:t>Exceeded</w:t>
            </w:r>
          </w:p>
          <w:p w:rsidRPr="00C97A0D" w:rsidR="00D10057" w:rsidP="00C97A0D" w:rsidRDefault="00D10057" w14:paraId="17E73785" w14:textId="77777777">
            <w:pPr>
              <w:spacing w:after="120"/>
              <w:rPr>
                <w:sz w:val="22"/>
                <w:szCs w:val="20"/>
              </w:rPr>
            </w:pPr>
            <w:r w:rsidRPr="00C97A0D">
              <w:rPr>
                <w:sz w:val="22"/>
                <w:szCs w:val="20"/>
              </w:rPr>
              <w:t>(19,867/17,053)</w:t>
            </w:r>
          </w:p>
        </w:tc>
      </w:tr>
      <w:tr w:rsidRPr="00C97A0D" w:rsidR="00D10057" w14:paraId="0701B84D" w14:textId="77777777">
        <w:tc>
          <w:tcPr>
            <w:tcW w:w="1685" w:type="pct"/>
          </w:tcPr>
          <w:p w:rsidRPr="00C97A0D" w:rsidR="00D10057" w:rsidP="00C97A0D" w:rsidRDefault="00D10057" w14:paraId="51A8EB8B" w14:textId="77777777">
            <w:pPr>
              <w:spacing w:after="120"/>
              <w:rPr>
                <w:sz w:val="22"/>
                <w:szCs w:val="20"/>
              </w:rPr>
            </w:pPr>
            <w:r w:rsidRPr="00C97A0D">
              <w:rPr>
                <w:sz w:val="22"/>
                <w:szCs w:val="20"/>
              </w:rPr>
              <w:t>Output indicator 2.5 (new) Cumulative number of entities that implement recommend changes</w:t>
            </w:r>
          </w:p>
        </w:tc>
        <w:tc>
          <w:tcPr>
            <w:tcW w:w="633" w:type="pct"/>
          </w:tcPr>
          <w:p w:rsidRPr="00C97A0D" w:rsidR="00D10057" w:rsidP="00C97A0D" w:rsidRDefault="00D10057" w14:paraId="58611401" w14:textId="77777777">
            <w:pPr>
              <w:spacing w:after="120"/>
              <w:rPr>
                <w:sz w:val="22"/>
                <w:szCs w:val="20"/>
              </w:rPr>
            </w:pPr>
            <w:r w:rsidRPr="00C97A0D">
              <w:rPr>
                <w:sz w:val="22"/>
                <w:szCs w:val="20"/>
              </w:rPr>
              <w:t>N/A</w:t>
            </w:r>
          </w:p>
        </w:tc>
        <w:tc>
          <w:tcPr>
            <w:tcW w:w="633" w:type="pct"/>
          </w:tcPr>
          <w:p w:rsidRPr="00C97A0D" w:rsidR="00D10057" w:rsidP="00C97A0D" w:rsidRDefault="00D10057" w14:paraId="1F494268" w14:textId="77777777">
            <w:pPr>
              <w:spacing w:after="120"/>
              <w:rPr>
                <w:sz w:val="22"/>
                <w:szCs w:val="20"/>
              </w:rPr>
            </w:pPr>
            <w:r w:rsidRPr="00C97A0D">
              <w:rPr>
                <w:sz w:val="22"/>
                <w:szCs w:val="20"/>
              </w:rPr>
              <w:t>N/A</w:t>
            </w:r>
          </w:p>
        </w:tc>
        <w:tc>
          <w:tcPr>
            <w:tcW w:w="632" w:type="pct"/>
          </w:tcPr>
          <w:p w:rsidRPr="00C97A0D" w:rsidR="00D10057" w:rsidP="00C97A0D" w:rsidRDefault="00D10057" w14:paraId="588553AA" w14:textId="77777777">
            <w:pPr>
              <w:spacing w:after="120"/>
              <w:rPr>
                <w:sz w:val="22"/>
                <w:szCs w:val="20"/>
              </w:rPr>
            </w:pPr>
            <w:r w:rsidRPr="00C97A0D">
              <w:rPr>
                <w:sz w:val="22"/>
                <w:szCs w:val="20"/>
              </w:rPr>
              <w:t>Not achieved (0/4)</w:t>
            </w:r>
          </w:p>
        </w:tc>
        <w:tc>
          <w:tcPr>
            <w:tcW w:w="703" w:type="pct"/>
          </w:tcPr>
          <w:p w:rsidRPr="00C97A0D" w:rsidR="00D10057" w:rsidP="00C97A0D" w:rsidRDefault="007255B7" w14:paraId="0DE79054" w14:textId="0E4131AD">
            <w:pPr>
              <w:spacing w:after="120"/>
              <w:rPr>
                <w:sz w:val="22"/>
                <w:szCs w:val="20"/>
              </w:rPr>
            </w:pPr>
            <w:r w:rsidRPr="00C97A0D">
              <w:rPr>
                <w:sz w:val="22"/>
                <w:szCs w:val="20"/>
              </w:rPr>
              <w:t xml:space="preserve">Achieved </w:t>
            </w:r>
            <w:r w:rsidRPr="00C97A0D" w:rsidR="00D10057">
              <w:rPr>
                <w:sz w:val="22"/>
                <w:szCs w:val="20"/>
              </w:rPr>
              <w:t>(5/5)</w:t>
            </w:r>
          </w:p>
        </w:tc>
        <w:tc>
          <w:tcPr>
            <w:tcW w:w="714" w:type="pct"/>
          </w:tcPr>
          <w:p w:rsidRPr="00C97A0D" w:rsidR="00D10057" w:rsidP="00C97A0D" w:rsidRDefault="00D10057" w14:paraId="0798ABC1" w14:textId="77777777">
            <w:pPr>
              <w:spacing w:after="120"/>
              <w:rPr>
                <w:sz w:val="22"/>
                <w:szCs w:val="20"/>
              </w:rPr>
            </w:pPr>
            <w:r w:rsidRPr="00C97A0D">
              <w:rPr>
                <w:sz w:val="22"/>
                <w:szCs w:val="20"/>
              </w:rPr>
              <w:t>Exceeded (7/6)</w:t>
            </w:r>
          </w:p>
        </w:tc>
      </w:tr>
      <w:tr w:rsidRPr="00C97A0D" w:rsidR="00D10057" w14:paraId="2660CBD8" w14:textId="77777777">
        <w:tc>
          <w:tcPr>
            <w:tcW w:w="1685" w:type="pct"/>
          </w:tcPr>
          <w:p w:rsidRPr="00C97A0D" w:rsidR="00D10057" w:rsidP="00C97A0D" w:rsidRDefault="00D10057" w14:paraId="68080363" w14:textId="77777777">
            <w:pPr>
              <w:spacing w:after="120"/>
              <w:rPr>
                <w:sz w:val="22"/>
                <w:szCs w:val="20"/>
              </w:rPr>
            </w:pPr>
            <w:r w:rsidRPr="00C97A0D">
              <w:rPr>
                <w:sz w:val="22"/>
                <w:szCs w:val="20"/>
              </w:rPr>
              <w:t xml:space="preserve">Output indicator 2.6 (new) Percent of survey respondents (attending MAGC TA events) reporting increased </w:t>
            </w:r>
            <w:r w:rsidRPr="00C97A0D">
              <w:rPr>
                <w:sz w:val="22"/>
                <w:szCs w:val="20"/>
              </w:rPr>
              <w:t>knowledge of certified Green Buildings</w:t>
            </w:r>
          </w:p>
        </w:tc>
        <w:tc>
          <w:tcPr>
            <w:tcW w:w="633" w:type="pct"/>
          </w:tcPr>
          <w:p w:rsidRPr="00C97A0D" w:rsidR="00D10057" w:rsidP="00C97A0D" w:rsidRDefault="00D10057" w14:paraId="1676ED9F" w14:textId="77777777">
            <w:pPr>
              <w:spacing w:after="120"/>
              <w:rPr>
                <w:sz w:val="22"/>
                <w:szCs w:val="20"/>
              </w:rPr>
            </w:pPr>
            <w:r w:rsidRPr="00C97A0D">
              <w:rPr>
                <w:sz w:val="22"/>
                <w:szCs w:val="20"/>
              </w:rPr>
              <w:t>N/A</w:t>
            </w:r>
          </w:p>
        </w:tc>
        <w:tc>
          <w:tcPr>
            <w:tcW w:w="633" w:type="pct"/>
          </w:tcPr>
          <w:p w:rsidRPr="00C97A0D" w:rsidR="00D10057" w:rsidP="00C97A0D" w:rsidRDefault="00D10057" w14:paraId="6B869B84" w14:textId="77777777">
            <w:pPr>
              <w:spacing w:after="120"/>
              <w:rPr>
                <w:sz w:val="22"/>
                <w:szCs w:val="20"/>
              </w:rPr>
            </w:pPr>
            <w:r w:rsidRPr="00C97A0D">
              <w:rPr>
                <w:sz w:val="22"/>
                <w:szCs w:val="20"/>
              </w:rPr>
              <w:t>N/A</w:t>
            </w:r>
          </w:p>
        </w:tc>
        <w:tc>
          <w:tcPr>
            <w:tcW w:w="632" w:type="pct"/>
          </w:tcPr>
          <w:p w:rsidRPr="00C97A0D" w:rsidR="00D10057" w:rsidP="00C97A0D" w:rsidRDefault="00D10057" w14:paraId="2608FDFB" w14:textId="77777777">
            <w:pPr>
              <w:spacing w:after="120"/>
              <w:rPr>
                <w:sz w:val="22"/>
                <w:szCs w:val="20"/>
              </w:rPr>
            </w:pPr>
            <w:r w:rsidRPr="00C97A0D">
              <w:rPr>
                <w:sz w:val="22"/>
                <w:szCs w:val="20"/>
              </w:rPr>
              <w:t>N/A</w:t>
            </w:r>
          </w:p>
        </w:tc>
        <w:tc>
          <w:tcPr>
            <w:tcW w:w="703" w:type="pct"/>
          </w:tcPr>
          <w:p w:rsidRPr="00C97A0D" w:rsidR="00D10057" w:rsidP="00C97A0D" w:rsidRDefault="00D10057" w14:paraId="420456BB" w14:textId="77777777">
            <w:pPr>
              <w:spacing w:after="120"/>
              <w:rPr>
                <w:sz w:val="22"/>
                <w:szCs w:val="20"/>
              </w:rPr>
            </w:pPr>
            <w:r w:rsidRPr="00C97A0D">
              <w:rPr>
                <w:sz w:val="22"/>
                <w:szCs w:val="20"/>
              </w:rPr>
              <w:t>Exceeded</w:t>
            </w:r>
          </w:p>
          <w:p w:rsidRPr="00C97A0D" w:rsidR="00D10057" w:rsidP="00C97A0D" w:rsidRDefault="00D10057" w14:paraId="3B8027E3" w14:textId="77777777">
            <w:pPr>
              <w:spacing w:after="120"/>
              <w:rPr>
                <w:sz w:val="22"/>
                <w:szCs w:val="20"/>
              </w:rPr>
            </w:pPr>
            <w:r w:rsidRPr="00C97A0D">
              <w:rPr>
                <w:sz w:val="22"/>
                <w:szCs w:val="20"/>
              </w:rPr>
              <w:t>(98%/70%)</w:t>
            </w:r>
          </w:p>
        </w:tc>
        <w:tc>
          <w:tcPr>
            <w:tcW w:w="714" w:type="pct"/>
          </w:tcPr>
          <w:p w:rsidRPr="00C97A0D" w:rsidR="00D10057" w:rsidP="00C97A0D" w:rsidRDefault="00D10057" w14:paraId="3E871525" w14:textId="77777777">
            <w:pPr>
              <w:spacing w:after="120"/>
              <w:rPr>
                <w:sz w:val="22"/>
                <w:szCs w:val="20"/>
              </w:rPr>
            </w:pPr>
            <w:r w:rsidRPr="00C97A0D">
              <w:rPr>
                <w:sz w:val="22"/>
                <w:szCs w:val="20"/>
              </w:rPr>
              <w:t xml:space="preserve">Exceeded </w:t>
            </w:r>
          </w:p>
          <w:p w:rsidRPr="00C97A0D" w:rsidR="00D10057" w:rsidP="00C97A0D" w:rsidRDefault="00D10057" w14:paraId="5F42F293" w14:textId="77777777">
            <w:pPr>
              <w:spacing w:after="120"/>
              <w:rPr>
                <w:sz w:val="22"/>
                <w:szCs w:val="20"/>
              </w:rPr>
            </w:pPr>
            <w:r w:rsidRPr="00C97A0D">
              <w:rPr>
                <w:sz w:val="22"/>
                <w:szCs w:val="20"/>
              </w:rPr>
              <w:t>(96%/80%)</w:t>
            </w:r>
          </w:p>
        </w:tc>
      </w:tr>
      <w:tr w:rsidRPr="00C97A0D" w:rsidR="00D10057" w14:paraId="395635AE" w14:textId="77777777">
        <w:tc>
          <w:tcPr>
            <w:tcW w:w="5000" w:type="pct"/>
            <w:gridSpan w:val="6"/>
          </w:tcPr>
          <w:p w:rsidRPr="00C97A0D" w:rsidR="00D10057" w:rsidP="00C97A0D" w:rsidRDefault="00D10057" w14:paraId="6A78DA29" w14:textId="77777777">
            <w:pPr>
              <w:spacing w:after="120"/>
              <w:rPr>
                <w:rStyle w:val="Boldtext"/>
                <w:sz w:val="22"/>
                <w:szCs w:val="20"/>
              </w:rPr>
            </w:pPr>
            <w:r w:rsidRPr="00C97A0D">
              <w:rPr>
                <w:rStyle w:val="Boldtext"/>
                <w:sz w:val="22"/>
                <w:szCs w:val="20"/>
              </w:rPr>
              <w:t>Component 3</w:t>
            </w:r>
          </w:p>
        </w:tc>
      </w:tr>
      <w:tr w:rsidRPr="00C97A0D" w:rsidR="00D10057" w14:paraId="01AF662A" w14:textId="77777777">
        <w:tc>
          <w:tcPr>
            <w:tcW w:w="1685" w:type="pct"/>
          </w:tcPr>
          <w:p w:rsidRPr="00C97A0D" w:rsidR="00D10057" w:rsidP="00C97A0D" w:rsidRDefault="00D10057" w14:paraId="3B56256F" w14:textId="77777777">
            <w:pPr>
              <w:spacing w:after="120"/>
              <w:rPr>
                <w:sz w:val="22"/>
                <w:szCs w:val="20"/>
              </w:rPr>
            </w:pPr>
            <w:r w:rsidRPr="00C97A0D">
              <w:rPr>
                <w:sz w:val="22"/>
                <w:szCs w:val="20"/>
              </w:rPr>
              <w:t>Output indicator 3.1 Development and launch of EDGE tool improvements</w:t>
            </w:r>
          </w:p>
        </w:tc>
        <w:tc>
          <w:tcPr>
            <w:tcW w:w="633" w:type="pct"/>
          </w:tcPr>
          <w:p w:rsidRPr="00C97A0D" w:rsidR="00D10057" w:rsidP="00C97A0D" w:rsidRDefault="00D10057" w14:paraId="72E6E944" w14:textId="77777777">
            <w:pPr>
              <w:spacing w:after="120"/>
              <w:rPr>
                <w:sz w:val="22"/>
                <w:szCs w:val="20"/>
              </w:rPr>
            </w:pPr>
            <w:r w:rsidRPr="00C97A0D">
              <w:rPr>
                <w:sz w:val="22"/>
                <w:szCs w:val="20"/>
              </w:rPr>
              <w:t>N/A</w:t>
            </w:r>
          </w:p>
        </w:tc>
        <w:tc>
          <w:tcPr>
            <w:tcW w:w="633" w:type="pct"/>
          </w:tcPr>
          <w:p w:rsidRPr="00C97A0D" w:rsidR="00D10057" w:rsidP="00C97A0D" w:rsidRDefault="00D10057" w14:paraId="1F8FBCA8" w14:textId="77777777">
            <w:pPr>
              <w:spacing w:after="120"/>
              <w:rPr>
                <w:sz w:val="22"/>
                <w:szCs w:val="20"/>
              </w:rPr>
            </w:pPr>
            <w:r w:rsidRPr="00C97A0D">
              <w:rPr>
                <w:sz w:val="22"/>
                <w:szCs w:val="20"/>
              </w:rPr>
              <w:t>Achieved</w:t>
            </w:r>
          </w:p>
        </w:tc>
        <w:tc>
          <w:tcPr>
            <w:tcW w:w="632" w:type="pct"/>
          </w:tcPr>
          <w:p w:rsidRPr="00C97A0D" w:rsidR="00D10057" w:rsidP="00C97A0D" w:rsidRDefault="00D10057" w14:paraId="684542AF" w14:textId="77777777">
            <w:pPr>
              <w:spacing w:after="120"/>
              <w:rPr>
                <w:sz w:val="22"/>
                <w:szCs w:val="20"/>
              </w:rPr>
            </w:pPr>
            <w:r w:rsidRPr="00C97A0D">
              <w:rPr>
                <w:sz w:val="22"/>
                <w:szCs w:val="20"/>
              </w:rPr>
              <w:t>Achieved</w:t>
            </w:r>
          </w:p>
        </w:tc>
        <w:tc>
          <w:tcPr>
            <w:tcW w:w="703" w:type="pct"/>
          </w:tcPr>
          <w:p w:rsidRPr="00C97A0D" w:rsidR="00D10057" w:rsidP="00C97A0D" w:rsidRDefault="00D10057" w14:paraId="441C229E" w14:textId="77777777">
            <w:pPr>
              <w:spacing w:after="120"/>
              <w:rPr>
                <w:sz w:val="22"/>
                <w:szCs w:val="20"/>
              </w:rPr>
            </w:pPr>
            <w:r w:rsidRPr="00C97A0D">
              <w:rPr>
                <w:sz w:val="22"/>
                <w:szCs w:val="20"/>
              </w:rPr>
              <w:t>Achieved</w:t>
            </w:r>
          </w:p>
        </w:tc>
        <w:tc>
          <w:tcPr>
            <w:tcW w:w="714" w:type="pct"/>
          </w:tcPr>
          <w:p w:rsidRPr="00C97A0D" w:rsidR="00D10057" w:rsidP="00C97A0D" w:rsidRDefault="00D10057" w14:paraId="0668E896" w14:textId="77777777">
            <w:pPr>
              <w:spacing w:after="120"/>
              <w:rPr>
                <w:sz w:val="22"/>
                <w:szCs w:val="20"/>
              </w:rPr>
            </w:pPr>
            <w:r w:rsidRPr="00C97A0D">
              <w:rPr>
                <w:sz w:val="22"/>
                <w:szCs w:val="20"/>
              </w:rPr>
              <w:t>Achieved</w:t>
            </w:r>
          </w:p>
        </w:tc>
      </w:tr>
      <w:tr w:rsidRPr="00C97A0D" w:rsidR="00D10057" w14:paraId="6BB32241" w14:textId="77777777">
        <w:tc>
          <w:tcPr>
            <w:tcW w:w="1685" w:type="pct"/>
          </w:tcPr>
          <w:p w:rsidRPr="00C97A0D" w:rsidR="00D10057" w:rsidP="00C97A0D" w:rsidRDefault="00D10057" w14:paraId="40EEF80E" w14:textId="77777777">
            <w:pPr>
              <w:spacing w:after="120"/>
              <w:rPr>
                <w:sz w:val="22"/>
                <w:szCs w:val="20"/>
              </w:rPr>
            </w:pPr>
            <w:r w:rsidRPr="00C97A0D">
              <w:rPr>
                <w:sz w:val="22"/>
                <w:szCs w:val="20"/>
              </w:rPr>
              <w:t>Output indicator 3.2 Development and launch of CAFI tool improvements</w:t>
            </w:r>
          </w:p>
        </w:tc>
        <w:tc>
          <w:tcPr>
            <w:tcW w:w="633" w:type="pct"/>
          </w:tcPr>
          <w:p w:rsidRPr="00C97A0D" w:rsidR="00D10057" w:rsidP="00C97A0D" w:rsidRDefault="00D10057" w14:paraId="2AAEFDAB" w14:textId="77777777">
            <w:pPr>
              <w:spacing w:after="120"/>
              <w:rPr>
                <w:sz w:val="22"/>
                <w:szCs w:val="20"/>
              </w:rPr>
            </w:pPr>
            <w:r w:rsidRPr="00C97A0D">
              <w:rPr>
                <w:sz w:val="22"/>
                <w:szCs w:val="20"/>
              </w:rPr>
              <w:t>N/A</w:t>
            </w:r>
          </w:p>
        </w:tc>
        <w:tc>
          <w:tcPr>
            <w:tcW w:w="633" w:type="pct"/>
          </w:tcPr>
          <w:p w:rsidRPr="00C97A0D" w:rsidR="00D10057" w:rsidP="00C97A0D" w:rsidRDefault="00D10057" w14:paraId="164645AB" w14:textId="77777777">
            <w:pPr>
              <w:spacing w:after="120"/>
              <w:rPr>
                <w:sz w:val="22"/>
                <w:szCs w:val="20"/>
              </w:rPr>
            </w:pPr>
            <w:r w:rsidRPr="00C97A0D">
              <w:rPr>
                <w:sz w:val="22"/>
                <w:szCs w:val="20"/>
              </w:rPr>
              <w:t>Achieved</w:t>
            </w:r>
          </w:p>
        </w:tc>
        <w:tc>
          <w:tcPr>
            <w:tcW w:w="632" w:type="pct"/>
          </w:tcPr>
          <w:p w:rsidRPr="00C97A0D" w:rsidR="00D10057" w:rsidP="00C97A0D" w:rsidRDefault="00D10057" w14:paraId="20EB5B9C" w14:textId="77777777">
            <w:pPr>
              <w:spacing w:after="120"/>
              <w:rPr>
                <w:sz w:val="22"/>
                <w:szCs w:val="20"/>
              </w:rPr>
            </w:pPr>
            <w:r w:rsidRPr="00C97A0D">
              <w:rPr>
                <w:sz w:val="22"/>
                <w:szCs w:val="20"/>
              </w:rPr>
              <w:t>Not achieved</w:t>
            </w:r>
          </w:p>
        </w:tc>
        <w:tc>
          <w:tcPr>
            <w:tcW w:w="703" w:type="pct"/>
          </w:tcPr>
          <w:p w:rsidRPr="00C97A0D" w:rsidR="00D10057" w:rsidP="00C97A0D" w:rsidRDefault="00D10057" w14:paraId="002622C7" w14:textId="77777777">
            <w:pPr>
              <w:spacing w:after="120"/>
              <w:rPr>
                <w:sz w:val="22"/>
                <w:szCs w:val="20"/>
              </w:rPr>
            </w:pPr>
            <w:r w:rsidRPr="00C97A0D">
              <w:rPr>
                <w:sz w:val="22"/>
                <w:szCs w:val="20"/>
              </w:rPr>
              <w:t>Not achieved</w:t>
            </w:r>
          </w:p>
        </w:tc>
        <w:tc>
          <w:tcPr>
            <w:tcW w:w="714" w:type="pct"/>
          </w:tcPr>
          <w:p w:rsidRPr="00C97A0D" w:rsidR="00D10057" w:rsidP="00C97A0D" w:rsidRDefault="00D10057" w14:paraId="5210DB1F" w14:textId="77777777">
            <w:pPr>
              <w:spacing w:after="120"/>
              <w:rPr>
                <w:sz w:val="22"/>
                <w:szCs w:val="20"/>
              </w:rPr>
            </w:pPr>
            <w:r w:rsidRPr="00C97A0D">
              <w:rPr>
                <w:sz w:val="22"/>
                <w:szCs w:val="20"/>
              </w:rPr>
              <w:t>Achieved</w:t>
            </w:r>
          </w:p>
        </w:tc>
      </w:tr>
      <w:tr w:rsidRPr="00C97A0D" w:rsidR="00D10057" w14:paraId="5438DB6C" w14:textId="77777777">
        <w:tc>
          <w:tcPr>
            <w:tcW w:w="1685" w:type="pct"/>
          </w:tcPr>
          <w:p w:rsidRPr="00C97A0D" w:rsidR="00D10057" w:rsidP="00C97A0D" w:rsidRDefault="00D10057" w14:paraId="523618B7" w14:textId="77777777">
            <w:pPr>
              <w:spacing w:after="120"/>
              <w:rPr>
                <w:sz w:val="22"/>
                <w:szCs w:val="20"/>
              </w:rPr>
            </w:pPr>
            <w:r w:rsidRPr="00C97A0D">
              <w:rPr>
                <w:sz w:val="22"/>
                <w:szCs w:val="20"/>
              </w:rPr>
              <w:t>Output indicator 3.3 Robust process to incorporate additional green buildings standards into the programme’s eligibility finalised</w:t>
            </w:r>
          </w:p>
        </w:tc>
        <w:tc>
          <w:tcPr>
            <w:tcW w:w="633" w:type="pct"/>
          </w:tcPr>
          <w:p w:rsidRPr="00C97A0D" w:rsidR="00D10057" w:rsidP="00C97A0D" w:rsidRDefault="00D10057" w14:paraId="005EFD20" w14:textId="77777777">
            <w:pPr>
              <w:spacing w:after="120"/>
              <w:rPr>
                <w:sz w:val="22"/>
                <w:szCs w:val="20"/>
              </w:rPr>
            </w:pPr>
            <w:r w:rsidRPr="00C97A0D">
              <w:rPr>
                <w:sz w:val="22"/>
                <w:szCs w:val="20"/>
              </w:rPr>
              <w:t>Not achieved</w:t>
            </w:r>
          </w:p>
        </w:tc>
        <w:tc>
          <w:tcPr>
            <w:tcW w:w="633" w:type="pct"/>
          </w:tcPr>
          <w:p w:rsidRPr="00C97A0D" w:rsidR="00D10057" w:rsidP="00C97A0D" w:rsidRDefault="00D10057" w14:paraId="57216387" w14:textId="77777777">
            <w:pPr>
              <w:spacing w:after="120"/>
              <w:rPr>
                <w:sz w:val="22"/>
                <w:szCs w:val="20"/>
              </w:rPr>
            </w:pPr>
            <w:r w:rsidRPr="00C97A0D">
              <w:rPr>
                <w:sz w:val="22"/>
                <w:szCs w:val="20"/>
              </w:rPr>
              <w:t>Achieved target from 2018/19</w:t>
            </w:r>
          </w:p>
        </w:tc>
        <w:tc>
          <w:tcPr>
            <w:tcW w:w="632" w:type="pct"/>
          </w:tcPr>
          <w:p w:rsidRPr="00C97A0D" w:rsidR="00D10057" w:rsidP="00C97A0D" w:rsidRDefault="00D10057" w14:paraId="36F42702" w14:textId="77777777">
            <w:pPr>
              <w:spacing w:after="120"/>
              <w:rPr>
                <w:sz w:val="22"/>
                <w:szCs w:val="20"/>
              </w:rPr>
            </w:pPr>
            <w:r w:rsidRPr="00C97A0D">
              <w:rPr>
                <w:sz w:val="22"/>
                <w:szCs w:val="20"/>
              </w:rPr>
              <w:t>N/A</w:t>
            </w:r>
          </w:p>
        </w:tc>
        <w:tc>
          <w:tcPr>
            <w:tcW w:w="703" w:type="pct"/>
          </w:tcPr>
          <w:p w:rsidRPr="00C97A0D" w:rsidR="00D10057" w:rsidP="00C97A0D" w:rsidRDefault="00D10057" w14:paraId="4F894E58" w14:textId="77777777">
            <w:pPr>
              <w:spacing w:after="120"/>
              <w:rPr>
                <w:sz w:val="22"/>
                <w:szCs w:val="20"/>
              </w:rPr>
            </w:pPr>
            <w:r w:rsidRPr="00C97A0D">
              <w:rPr>
                <w:sz w:val="22"/>
                <w:szCs w:val="20"/>
              </w:rPr>
              <w:t>N/A</w:t>
            </w:r>
          </w:p>
        </w:tc>
        <w:tc>
          <w:tcPr>
            <w:tcW w:w="714" w:type="pct"/>
          </w:tcPr>
          <w:p w:rsidRPr="00C97A0D" w:rsidR="00D10057" w:rsidP="00C97A0D" w:rsidRDefault="00D10057" w14:paraId="618F5EE8" w14:textId="77777777">
            <w:pPr>
              <w:spacing w:after="120"/>
              <w:rPr>
                <w:sz w:val="22"/>
                <w:szCs w:val="20"/>
              </w:rPr>
            </w:pPr>
            <w:r w:rsidRPr="00C97A0D">
              <w:rPr>
                <w:sz w:val="22"/>
                <w:szCs w:val="20"/>
              </w:rPr>
              <w:t>N/A</w:t>
            </w:r>
          </w:p>
        </w:tc>
      </w:tr>
      <w:tr w:rsidRPr="00C97A0D" w:rsidR="00D10057" w14:paraId="44DD1036" w14:textId="77777777">
        <w:tc>
          <w:tcPr>
            <w:tcW w:w="5000" w:type="pct"/>
            <w:gridSpan w:val="6"/>
          </w:tcPr>
          <w:p w:rsidRPr="00C97A0D" w:rsidR="00D10057" w:rsidP="00C97A0D" w:rsidRDefault="00D10057" w14:paraId="2446A2B7" w14:textId="77777777">
            <w:pPr>
              <w:spacing w:after="120"/>
              <w:rPr>
                <w:rStyle w:val="Boldtext"/>
                <w:sz w:val="22"/>
                <w:szCs w:val="20"/>
              </w:rPr>
            </w:pPr>
            <w:r w:rsidRPr="00C97A0D">
              <w:rPr>
                <w:rStyle w:val="Boldtext"/>
                <w:sz w:val="22"/>
                <w:szCs w:val="20"/>
              </w:rPr>
              <w:t>Component 4</w:t>
            </w:r>
          </w:p>
        </w:tc>
      </w:tr>
      <w:tr w:rsidRPr="00C97A0D" w:rsidR="00D10057" w14:paraId="0B249668" w14:textId="77777777">
        <w:tc>
          <w:tcPr>
            <w:tcW w:w="1685" w:type="pct"/>
          </w:tcPr>
          <w:p w:rsidRPr="00C97A0D" w:rsidR="00D10057" w:rsidP="00C97A0D" w:rsidRDefault="00D10057" w14:paraId="6FC3B743" w14:textId="77777777">
            <w:pPr>
              <w:spacing w:after="120"/>
              <w:rPr>
                <w:sz w:val="22"/>
                <w:szCs w:val="20"/>
              </w:rPr>
            </w:pPr>
            <w:r w:rsidRPr="00C97A0D">
              <w:rPr>
                <w:sz w:val="22"/>
                <w:szCs w:val="20"/>
              </w:rPr>
              <w:t>Output Indicator 4.1 Component 4 has been launched after having been quality assured by DESNZ Research and Evidence Committee</w:t>
            </w:r>
          </w:p>
        </w:tc>
        <w:tc>
          <w:tcPr>
            <w:tcW w:w="633" w:type="pct"/>
          </w:tcPr>
          <w:p w:rsidRPr="00C97A0D" w:rsidR="00D10057" w:rsidP="00C97A0D" w:rsidRDefault="00D10057" w14:paraId="425A88C4" w14:textId="77777777">
            <w:pPr>
              <w:spacing w:after="120"/>
              <w:rPr>
                <w:sz w:val="22"/>
                <w:szCs w:val="20"/>
              </w:rPr>
            </w:pPr>
            <w:r w:rsidRPr="00C97A0D">
              <w:rPr>
                <w:sz w:val="22"/>
                <w:szCs w:val="20"/>
              </w:rPr>
              <w:t>N/A</w:t>
            </w:r>
          </w:p>
        </w:tc>
        <w:tc>
          <w:tcPr>
            <w:tcW w:w="633" w:type="pct"/>
          </w:tcPr>
          <w:p w:rsidRPr="00C97A0D" w:rsidR="00D10057" w:rsidP="00C97A0D" w:rsidRDefault="00D10057" w14:paraId="263D91C2" w14:textId="77777777">
            <w:pPr>
              <w:spacing w:after="120"/>
              <w:rPr>
                <w:sz w:val="22"/>
                <w:szCs w:val="20"/>
              </w:rPr>
            </w:pPr>
            <w:r w:rsidRPr="00C97A0D">
              <w:rPr>
                <w:sz w:val="22"/>
                <w:szCs w:val="20"/>
              </w:rPr>
              <w:t>Achieved</w:t>
            </w:r>
          </w:p>
        </w:tc>
        <w:tc>
          <w:tcPr>
            <w:tcW w:w="632" w:type="pct"/>
          </w:tcPr>
          <w:p w:rsidRPr="00C97A0D" w:rsidR="00D10057" w:rsidP="00C97A0D" w:rsidRDefault="00D10057" w14:paraId="230D8F0D" w14:textId="77777777">
            <w:pPr>
              <w:spacing w:after="120"/>
              <w:rPr>
                <w:sz w:val="22"/>
                <w:szCs w:val="20"/>
              </w:rPr>
            </w:pPr>
            <w:r w:rsidRPr="00C97A0D">
              <w:rPr>
                <w:sz w:val="22"/>
                <w:szCs w:val="20"/>
              </w:rPr>
              <w:t>N/A</w:t>
            </w:r>
          </w:p>
        </w:tc>
        <w:tc>
          <w:tcPr>
            <w:tcW w:w="703" w:type="pct"/>
          </w:tcPr>
          <w:p w:rsidRPr="00C97A0D" w:rsidR="00D10057" w:rsidP="00C97A0D" w:rsidRDefault="00D10057" w14:paraId="5A35BBD0" w14:textId="77777777">
            <w:pPr>
              <w:spacing w:after="120"/>
              <w:rPr>
                <w:sz w:val="22"/>
                <w:szCs w:val="20"/>
              </w:rPr>
            </w:pPr>
            <w:r w:rsidRPr="00C97A0D">
              <w:rPr>
                <w:sz w:val="22"/>
                <w:szCs w:val="20"/>
              </w:rPr>
              <w:t>N/A</w:t>
            </w:r>
          </w:p>
        </w:tc>
        <w:tc>
          <w:tcPr>
            <w:tcW w:w="714" w:type="pct"/>
          </w:tcPr>
          <w:p w:rsidRPr="00C97A0D" w:rsidR="00D10057" w:rsidP="00C97A0D" w:rsidRDefault="00D10057" w14:paraId="5A730F73" w14:textId="77777777">
            <w:pPr>
              <w:spacing w:after="120"/>
              <w:rPr>
                <w:sz w:val="22"/>
                <w:szCs w:val="20"/>
              </w:rPr>
            </w:pPr>
            <w:r w:rsidRPr="00C97A0D">
              <w:rPr>
                <w:sz w:val="22"/>
                <w:szCs w:val="20"/>
              </w:rPr>
              <w:t>N/A</w:t>
            </w:r>
          </w:p>
        </w:tc>
      </w:tr>
      <w:tr w:rsidRPr="00C97A0D" w:rsidR="00D10057" w14:paraId="08A2D81D" w14:textId="77777777">
        <w:tc>
          <w:tcPr>
            <w:tcW w:w="1685" w:type="pct"/>
          </w:tcPr>
          <w:p w:rsidRPr="00C97A0D" w:rsidR="00D10057" w:rsidP="00C97A0D" w:rsidRDefault="00D10057" w14:paraId="15AACF47" w14:textId="77777777">
            <w:pPr>
              <w:spacing w:after="120"/>
              <w:rPr>
                <w:sz w:val="22"/>
                <w:szCs w:val="20"/>
              </w:rPr>
            </w:pPr>
            <w:r w:rsidRPr="00C97A0D">
              <w:rPr>
                <w:sz w:val="22"/>
                <w:szCs w:val="20"/>
              </w:rPr>
              <w:t>Output Indicator 4.2 MAGC Research Panel formulated and operational.</w:t>
            </w:r>
          </w:p>
        </w:tc>
        <w:tc>
          <w:tcPr>
            <w:tcW w:w="633" w:type="pct"/>
          </w:tcPr>
          <w:p w:rsidRPr="00C97A0D" w:rsidR="00D10057" w:rsidP="00C97A0D" w:rsidRDefault="00D10057" w14:paraId="54DE92CF" w14:textId="77777777">
            <w:pPr>
              <w:spacing w:after="120"/>
              <w:rPr>
                <w:sz w:val="22"/>
                <w:szCs w:val="20"/>
              </w:rPr>
            </w:pPr>
            <w:r w:rsidRPr="00C97A0D">
              <w:rPr>
                <w:sz w:val="22"/>
                <w:szCs w:val="20"/>
              </w:rPr>
              <w:t>Achieved (2 weeks delay)</w:t>
            </w:r>
          </w:p>
        </w:tc>
        <w:tc>
          <w:tcPr>
            <w:tcW w:w="633" w:type="pct"/>
          </w:tcPr>
          <w:p w:rsidRPr="00C97A0D" w:rsidR="00D10057" w:rsidP="00C97A0D" w:rsidRDefault="00D10057" w14:paraId="79B2FBFE" w14:textId="77777777">
            <w:pPr>
              <w:spacing w:after="120"/>
              <w:rPr>
                <w:sz w:val="22"/>
                <w:szCs w:val="20"/>
              </w:rPr>
            </w:pPr>
            <w:r w:rsidRPr="00C97A0D">
              <w:rPr>
                <w:sz w:val="22"/>
                <w:szCs w:val="20"/>
              </w:rPr>
              <w:t>N/A</w:t>
            </w:r>
          </w:p>
        </w:tc>
        <w:tc>
          <w:tcPr>
            <w:tcW w:w="632" w:type="pct"/>
          </w:tcPr>
          <w:p w:rsidRPr="00C97A0D" w:rsidR="00D10057" w:rsidP="00C97A0D" w:rsidRDefault="00D10057" w14:paraId="627A3595" w14:textId="77777777">
            <w:pPr>
              <w:spacing w:after="120"/>
              <w:rPr>
                <w:sz w:val="22"/>
                <w:szCs w:val="20"/>
              </w:rPr>
            </w:pPr>
            <w:r w:rsidRPr="00C97A0D">
              <w:rPr>
                <w:sz w:val="22"/>
                <w:szCs w:val="20"/>
              </w:rPr>
              <w:t>N/A</w:t>
            </w:r>
          </w:p>
        </w:tc>
        <w:tc>
          <w:tcPr>
            <w:tcW w:w="703" w:type="pct"/>
          </w:tcPr>
          <w:p w:rsidRPr="00C97A0D" w:rsidR="00D10057" w:rsidP="00C97A0D" w:rsidRDefault="00D10057" w14:paraId="05668E24" w14:textId="77777777">
            <w:pPr>
              <w:spacing w:after="120"/>
              <w:rPr>
                <w:sz w:val="22"/>
                <w:szCs w:val="20"/>
              </w:rPr>
            </w:pPr>
            <w:r w:rsidRPr="00C97A0D">
              <w:rPr>
                <w:sz w:val="22"/>
                <w:szCs w:val="20"/>
              </w:rPr>
              <w:t>N/A</w:t>
            </w:r>
          </w:p>
        </w:tc>
        <w:tc>
          <w:tcPr>
            <w:tcW w:w="714" w:type="pct"/>
          </w:tcPr>
          <w:p w:rsidRPr="00C97A0D" w:rsidR="00D10057" w:rsidP="00C97A0D" w:rsidRDefault="00D10057" w14:paraId="4A67BBF7" w14:textId="77777777">
            <w:pPr>
              <w:spacing w:after="120"/>
              <w:rPr>
                <w:sz w:val="22"/>
                <w:szCs w:val="20"/>
              </w:rPr>
            </w:pPr>
            <w:r w:rsidRPr="00C97A0D">
              <w:rPr>
                <w:sz w:val="22"/>
                <w:szCs w:val="20"/>
              </w:rPr>
              <w:t>N/A</w:t>
            </w:r>
          </w:p>
        </w:tc>
      </w:tr>
      <w:tr w:rsidRPr="00C97A0D" w:rsidR="00D10057" w14:paraId="1EDA098B" w14:textId="77777777">
        <w:tc>
          <w:tcPr>
            <w:tcW w:w="1685" w:type="pct"/>
          </w:tcPr>
          <w:p w:rsidRPr="00C97A0D" w:rsidR="00D10057" w:rsidP="00C97A0D" w:rsidRDefault="00D10057" w14:paraId="6A497ACB" w14:textId="77777777">
            <w:pPr>
              <w:spacing w:after="120"/>
              <w:rPr>
                <w:sz w:val="22"/>
                <w:szCs w:val="20"/>
              </w:rPr>
            </w:pPr>
            <w:r w:rsidRPr="00C97A0D">
              <w:rPr>
                <w:sz w:val="22"/>
                <w:szCs w:val="20"/>
              </w:rPr>
              <w:t>Output Indicator 4.3 DESNZ has agreed a workplan submitted by IFC to deliver stakeholder assessment, market assessment and smart metering research workstreams.</w:t>
            </w:r>
          </w:p>
        </w:tc>
        <w:tc>
          <w:tcPr>
            <w:tcW w:w="633" w:type="pct"/>
          </w:tcPr>
          <w:p w:rsidRPr="00C97A0D" w:rsidR="00D10057" w:rsidP="00C97A0D" w:rsidRDefault="00D10057" w14:paraId="1FF8A8AC" w14:textId="77777777">
            <w:pPr>
              <w:spacing w:after="120"/>
              <w:rPr>
                <w:sz w:val="22"/>
                <w:szCs w:val="20"/>
              </w:rPr>
            </w:pPr>
            <w:r w:rsidRPr="00C97A0D">
              <w:rPr>
                <w:sz w:val="22"/>
                <w:szCs w:val="20"/>
              </w:rPr>
              <w:t>N/A</w:t>
            </w:r>
          </w:p>
        </w:tc>
        <w:tc>
          <w:tcPr>
            <w:tcW w:w="633" w:type="pct"/>
          </w:tcPr>
          <w:p w:rsidRPr="00C97A0D" w:rsidR="00D10057" w:rsidP="00C97A0D" w:rsidRDefault="00D10057" w14:paraId="216B89AE" w14:textId="77777777">
            <w:pPr>
              <w:spacing w:after="120"/>
              <w:rPr>
                <w:sz w:val="22"/>
                <w:szCs w:val="20"/>
              </w:rPr>
            </w:pPr>
            <w:r w:rsidRPr="00C97A0D">
              <w:rPr>
                <w:sz w:val="22"/>
                <w:szCs w:val="20"/>
              </w:rPr>
              <w:t>N/A</w:t>
            </w:r>
          </w:p>
        </w:tc>
        <w:tc>
          <w:tcPr>
            <w:tcW w:w="632" w:type="pct"/>
          </w:tcPr>
          <w:p w:rsidRPr="00C97A0D" w:rsidR="00D10057" w:rsidP="00C97A0D" w:rsidRDefault="00D10057" w14:paraId="358D9EB8" w14:textId="77777777">
            <w:pPr>
              <w:spacing w:after="120"/>
              <w:rPr>
                <w:sz w:val="22"/>
                <w:szCs w:val="20"/>
              </w:rPr>
            </w:pPr>
            <w:r w:rsidRPr="00C97A0D">
              <w:rPr>
                <w:sz w:val="22"/>
                <w:szCs w:val="20"/>
              </w:rPr>
              <w:t>Achieved</w:t>
            </w:r>
          </w:p>
        </w:tc>
        <w:tc>
          <w:tcPr>
            <w:tcW w:w="703" w:type="pct"/>
          </w:tcPr>
          <w:p w:rsidRPr="00C97A0D" w:rsidR="00D10057" w:rsidP="00C97A0D" w:rsidRDefault="00D10057" w14:paraId="150ECFC3" w14:textId="77777777">
            <w:pPr>
              <w:spacing w:after="120"/>
              <w:rPr>
                <w:sz w:val="22"/>
                <w:szCs w:val="20"/>
              </w:rPr>
            </w:pPr>
            <w:r w:rsidRPr="00C97A0D">
              <w:rPr>
                <w:sz w:val="22"/>
                <w:szCs w:val="20"/>
              </w:rPr>
              <w:t>N/A</w:t>
            </w:r>
          </w:p>
        </w:tc>
        <w:tc>
          <w:tcPr>
            <w:tcW w:w="714" w:type="pct"/>
          </w:tcPr>
          <w:p w:rsidRPr="00C97A0D" w:rsidR="00D10057" w:rsidP="00C97A0D" w:rsidRDefault="00D10057" w14:paraId="74453A49" w14:textId="77777777">
            <w:pPr>
              <w:spacing w:after="120"/>
              <w:rPr>
                <w:sz w:val="22"/>
                <w:szCs w:val="20"/>
              </w:rPr>
            </w:pPr>
            <w:r w:rsidRPr="00C97A0D">
              <w:rPr>
                <w:sz w:val="22"/>
                <w:szCs w:val="20"/>
              </w:rPr>
              <w:t>N/A</w:t>
            </w:r>
          </w:p>
        </w:tc>
      </w:tr>
      <w:tr w:rsidRPr="00C97A0D" w:rsidR="00D10057" w14:paraId="4AE855C3" w14:textId="77777777">
        <w:tc>
          <w:tcPr>
            <w:tcW w:w="1685" w:type="pct"/>
          </w:tcPr>
          <w:p w:rsidRPr="00C97A0D" w:rsidR="00D10057" w:rsidP="00C97A0D" w:rsidRDefault="00D10057" w14:paraId="2DACD943" w14:textId="77777777">
            <w:pPr>
              <w:spacing w:after="120"/>
              <w:rPr>
                <w:sz w:val="22"/>
                <w:szCs w:val="20"/>
              </w:rPr>
            </w:pPr>
            <w:r w:rsidRPr="00C97A0D">
              <w:rPr>
                <w:sz w:val="22"/>
                <w:szCs w:val="20"/>
              </w:rPr>
              <w:t xml:space="preserve">Output Indicator 4.4 Percent of MAGC </w:t>
            </w:r>
            <w:r w:rsidRPr="00C97A0D">
              <w:rPr>
                <w:sz w:val="22"/>
                <w:szCs w:val="20"/>
              </w:rPr>
              <w:t>Research Panel recommendations satisfactorily addressed by MAGC team and actioned</w:t>
            </w:r>
          </w:p>
        </w:tc>
        <w:tc>
          <w:tcPr>
            <w:tcW w:w="633" w:type="pct"/>
          </w:tcPr>
          <w:p w:rsidRPr="00C97A0D" w:rsidR="00D10057" w:rsidP="00C97A0D" w:rsidRDefault="00D10057" w14:paraId="5B17A8EB" w14:textId="77777777">
            <w:pPr>
              <w:spacing w:after="120"/>
              <w:rPr>
                <w:sz w:val="22"/>
                <w:szCs w:val="20"/>
              </w:rPr>
            </w:pPr>
            <w:r w:rsidRPr="00C97A0D">
              <w:rPr>
                <w:sz w:val="22"/>
                <w:szCs w:val="20"/>
              </w:rPr>
              <w:t>N/A</w:t>
            </w:r>
          </w:p>
        </w:tc>
        <w:tc>
          <w:tcPr>
            <w:tcW w:w="633" w:type="pct"/>
          </w:tcPr>
          <w:p w:rsidRPr="00C97A0D" w:rsidR="00D10057" w:rsidP="00C97A0D" w:rsidRDefault="00D10057" w14:paraId="35B82773" w14:textId="77777777">
            <w:pPr>
              <w:spacing w:after="120"/>
              <w:rPr>
                <w:sz w:val="22"/>
                <w:szCs w:val="20"/>
              </w:rPr>
            </w:pPr>
            <w:r w:rsidRPr="00C97A0D">
              <w:rPr>
                <w:sz w:val="22"/>
                <w:szCs w:val="20"/>
              </w:rPr>
              <w:t>N/A</w:t>
            </w:r>
          </w:p>
        </w:tc>
        <w:tc>
          <w:tcPr>
            <w:tcW w:w="632" w:type="pct"/>
          </w:tcPr>
          <w:p w:rsidRPr="00C97A0D" w:rsidR="00D10057" w:rsidP="00C97A0D" w:rsidRDefault="00D10057" w14:paraId="74CE25B7" w14:textId="77777777">
            <w:pPr>
              <w:spacing w:after="120"/>
              <w:rPr>
                <w:sz w:val="22"/>
                <w:szCs w:val="20"/>
              </w:rPr>
            </w:pPr>
            <w:r w:rsidRPr="00C97A0D">
              <w:rPr>
                <w:sz w:val="22"/>
                <w:szCs w:val="20"/>
              </w:rPr>
              <w:t>N/A</w:t>
            </w:r>
          </w:p>
        </w:tc>
        <w:tc>
          <w:tcPr>
            <w:tcW w:w="703" w:type="pct"/>
          </w:tcPr>
          <w:p w:rsidRPr="00C97A0D" w:rsidR="00D10057" w:rsidP="00C97A0D" w:rsidRDefault="00D10057" w14:paraId="2389CD80" w14:textId="77777777">
            <w:pPr>
              <w:spacing w:after="120"/>
              <w:rPr>
                <w:sz w:val="22"/>
                <w:szCs w:val="20"/>
              </w:rPr>
            </w:pPr>
            <w:r w:rsidRPr="00C97A0D">
              <w:rPr>
                <w:sz w:val="22"/>
                <w:szCs w:val="20"/>
              </w:rPr>
              <w:t>N/A</w:t>
            </w:r>
          </w:p>
        </w:tc>
        <w:tc>
          <w:tcPr>
            <w:tcW w:w="714" w:type="pct"/>
          </w:tcPr>
          <w:p w:rsidRPr="00C97A0D" w:rsidR="00D10057" w:rsidP="00C97A0D" w:rsidRDefault="00D10057" w14:paraId="789D7041" w14:textId="77777777">
            <w:pPr>
              <w:spacing w:after="120"/>
              <w:rPr>
                <w:sz w:val="22"/>
                <w:szCs w:val="20"/>
              </w:rPr>
            </w:pPr>
            <w:r w:rsidRPr="00C97A0D">
              <w:rPr>
                <w:sz w:val="22"/>
                <w:szCs w:val="20"/>
              </w:rPr>
              <w:t>N/A</w:t>
            </w:r>
          </w:p>
        </w:tc>
      </w:tr>
      <w:tr w:rsidRPr="00C97A0D" w:rsidR="00D10057" w14:paraId="637914A2" w14:textId="77777777">
        <w:tc>
          <w:tcPr>
            <w:tcW w:w="1685" w:type="pct"/>
          </w:tcPr>
          <w:p w:rsidRPr="00C97A0D" w:rsidR="00D10057" w:rsidP="00C97A0D" w:rsidRDefault="00D10057" w14:paraId="4E2F0643" w14:textId="77777777">
            <w:pPr>
              <w:spacing w:after="120"/>
              <w:rPr>
                <w:sz w:val="22"/>
                <w:szCs w:val="20"/>
              </w:rPr>
            </w:pPr>
            <w:r w:rsidRPr="00C97A0D">
              <w:rPr>
                <w:sz w:val="22"/>
                <w:szCs w:val="20"/>
              </w:rPr>
              <w:t>Output Indicator 4.5 Cumulative number of core reports quality assured and published</w:t>
            </w:r>
          </w:p>
        </w:tc>
        <w:tc>
          <w:tcPr>
            <w:tcW w:w="633" w:type="pct"/>
          </w:tcPr>
          <w:p w:rsidRPr="00C97A0D" w:rsidR="00D10057" w:rsidP="00C97A0D" w:rsidRDefault="00D10057" w14:paraId="7D100BCE" w14:textId="77777777">
            <w:pPr>
              <w:spacing w:after="120"/>
              <w:rPr>
                <w:sz w:val="22"/>
                <w:szCs w:val="20"/>
              </w:rPr>
            </w:pPr>
            <w:r w:rsidRPr="00C97A0D">
              <w:rPr>
                <w:sz w:val="22"/>
                <w:szCs w:val="20"/>
              </w:rPr>
              <w:t>N/A</w:t>
            </w:r>
          </w:p>
        </w:tc>
        <w:tc>
          <w:tcPr>
            <w:tcW w:w="633" w:type="pct"/>
          </w:tcPr>
          <w:p w:rsidRPr="00C97A0D" w:rsidR="00D10057" w:rsidP="00C97A0D" w:rsidRDefault="00D10057" w14:paraId="6BA1EB60" w14:textId="77777777">
            <w:pPr>
              <w:spacing w:after="120"/>
              <w:rPr>
                <w:sz w:val="22"/>
                <w:szCs w:val="20"/>
              </w:rPr>
            </w:pPr>
            <w:r w:rsidRPr="00C97A0D">
              <w:rPr>
                <w:sz w:val="22"/>
                <w:szCs w:val="20"/>
              </w:rPr>
              <w:t>N/A</w:t>
            </w:r>
          </w:p>
        </w:tc>
        <w:tc>
          <w:tcPr>
            <w:tcW w:w="632" w:type="pct"/>
          </w:tcPr>
          <w:p w:rsidRPr="00C97A0D" w:rsidR="00D10057" w:rsidP="00C97A0D" w:rsidRDefault="00D10057" w14:paraId="3DCFA05C" w14:textId="77777777">
            <w:pPr>
              <w:spacing w:after="120"/>
              <w:rPr>
                <w:sz w:val="22"/>
                <w:szCs w:val="20"/>
              </w:rPr>
            </w:pPr>
            <w:r w:rsidRPr="00C97A0D">
              <w:rPr>
                <w:sz w:val="22"/>
                <w:szCs w:val="20"/>
              </w:rPr>
              <w:t>N/A</w:t>
            </w:r>
          </w:p>
        </w:tc>
        <w:tc>
          <w:tcPr>
            <w:tcW w:w="703" w:type="pct"/>
          </w:tcPr>
          <w:p w:rsidRPr="00C97A0D" w:rsidR="00D10057" w:rsidP="00C97A0D" w:rsidRDefault="00D10057" w14:paraId="6147C535" w14:textId="77777777">
            <w:pPr>
              <w:spacing w:after="120"/>
              <w:rPr>
                <w:sz w:val="22"/>
                <w:szCs w:val="20"/>
              </w:rPr>
            </w:pPr>
            <w:r w:rsidRPr="00C97A0D">
              <w:rPr>
                <w:sz w:val="22"/>
                <w:szCs w:val="20"/>
              </w:rPr>
              <w:t>Not achieved (0/1)</w:t>
            </w:r>
          </w:p>
        </w:tc>
        <w:tc>
          <w:tcPr>
            <w:tcW w:w="714" w:type="pct"/>
          </w:tcPr>
          <w:p w:rsidRPr="00C97A0D" w:rsidR="00D10057" w:rsidP="00C97A0D" w:rsidRDefault="00D10057" w14:paraId="19656FA7" w14:textId="77777777">
            <w:pPr>
              <w:spacing w:after="120"/>
              <w:rPr>
                <w:sz w:val="22"/>
                <w:szCs w:val="20"/>
              </w:rPr>
            </w:pPr>
            <w:r w:rsidRPr="00C97A0D">
              <w:rPr>
                <w:sz w:val="22"/>
                <w:szCs w:val="20"/>
              </w:rPr>
              <w:t>Partially achieved (1/2)</w:t>
            </w:r>
          </w:p>
        </w:tc>
      </w:tr>
      <w:tr w:rsidRPr="00C97A0D" w:rsidR="00D10057" w14:paraId="2F8C38D4" w14:textId="77777777">
        <w:tc>
          <w:tcPr>
            <w:tcW w:w="1685" w:type="pct"/>
          </w:tcPr>
          <w:p w:rsidRPr="00C97A0D" w:rsidR="00D10057" w:rsidP="00C97A0D" w:rsidRDefault="00D10057" w14:paraId="3719892E" w14:textId="77777777">
            <w:pPr>
              <w:spacing w:after="120"/>
              <w:rPr>
                <w:sz w:val="22"/>
                <w:szCs w:val="20"/>
              </w:rPr>
            </w:pPr>
            <w:r w:rsidRPr="00C97A0D">
              <w:rPr>
                <w:sz w:val="22"/>
                <w:szCs w:val="20"/>
              </w:rPr>
              <w:t>Output Indicator 4.6 Cumulative number of stakeholders interacting with MAGC Research outputs (by download, access to link, comments, likes and shares in social media)</w:t>
            </w:r>
          </w:p>
        </w:tc>
        <w:tc>
          <w:tcPr>
            <w:tcW w:w="633" w:type="pct"/>
          </w:tcPr>
          <w:p w:rsidRPr="00C97A0D" w:rsidR="00D10057" w:rsidP="00C97A0D" w:rsidRDefault="00D10057" w14:paraId="69B08CFD" w14:textId="77777777">
            <w:pPr>
              <w:spacing w:after="120"/>
              <w:rPr>
                <w:sz w:val="22"/>
                <w:szCs w:val="20"/>
              </w:rPr>
            </w:pPr>
            <w:r w:rsidRPr="00C97A0D">
              <w:rPr>
                <w:sz w:val="22"/>
                <w:szCs w:val="20"/>
              </w:rPr>
              <w:t>N/A</w:t>
            </w:r>
          </w:p>
        </w:tc>
        <w:tc>
          <w:tcPr>
            <w:tcW w:w="633" w:type="pct"/>
          </w:tcPr>
          <w:p w:rsidRPr="00C97A0D" w:rsidR="00D10057" w:rsidP="00C97A0D" w:rsidRDefault="00D10057" w14:paraId="351DB99A" w14:textId="77777777">
            <w:pPr>
              <w:spacing w:after="120"/>
              <w:rPr>
                <w:sz w:val="22"/>
                <w:szCs w:val="20"/>
              </w:rPr>
            </w:pPr>
            <w:r w:rsidRPr="00C97A0D">
              <w:rPr>
                <w:sz w:val="22"/>
                <w:szCs w:val="20"/>
              </w:rPr>
              <w:t>N/A</w:t>
            </w:r>
          </w:p>
        </w:tc>
        <w:tc>
          <w:tcPr>
            <w:tcW w:w="632" w:type="pct"/>
          </w:tcPr>
          <w:p w:rsidRPr="00C97A0D" w:rsidR="00D10057" w:rsidP="00C97A0D" w:rsidRDefault="00D10057" w14:paraId="50660DCE" w14:textId="77777777">
            <w:pPr>
              <w:spacing w:after="120"/>
              <w:rPr>
                <w:sz w:val="22"/>
                <w:szCs w:val="20"/>
              </w:rPr>
            </w:pPr>
            <w:r w:rsidRPr="00C97A0D">
              <w:rPr>
                <w:sz w:val="22"/>
                <w:szCs w:val="20"/>
              </w:rPr>
              <w:t>N/A</w:t>
            </w:r>
          </w:p>
        </w:tc>
        <w:tc>
          <w:tcPr>
            <w:tcW w:w="703" w:type="pct"/>
          </w:tcPr>
          <w:p w:rsidRPr="00C97A0D" w:rsidR="00D10057" w:rsidP="00C97A0D" w:rsidRDefault="00D10057" w14:paraId="762C6EE6" w14:textId="77777777">
            <w:pPr>
              <w:spacing w:after="120"/>
              <w:rPr>
                <w:sz w:val="22"/>
                <w:szCs w:val="20"/>
              </w:rPr>
            </w:pPr>
            <w:r w:rsidRPr="00C97A0D">
              <w:rPr>
                <w:sz w:val="22"/>
                <w:szCs w:val="20"/>
              </w:rPr>
              <w:t>Exceeded (479/175)</w:t>
            </w:r>
          </w:p>
        </w:tc>
        <w:tc>
          <w:tcPr>
            <w:tcW w:w="714" w:type="pct"/>
          </w:tcPr>
          <w:p w:rsidRPr="00C97A0D" w:rsidR="00D10057" w:rsidP="00C97A0D" w:rsidRDefault="00D10057" w14:paraId="21A7704F" w14:textId="77777777">
            <w:pPr>
              <w:spacing w:after="120"/>
              <w:rPr>
                <w:sz w:val="22"/>
                <w:szCs w:val="20"/>
              </w:rPr>
            </w:pPr>
            <w:r w:rsidRPr="00C97A0D">
              <w:rPr>
                <w:sz w:val="22"/>
                <w:szCs w:val="20"/>
              </w:rPr>
              <w:t>Exceeded (1,039/385)</w:t>
            </w:r>
          </w:p>
        </w:tc>
      </w:tr>
      <w:tr w:rsidRPr="00C97A0D" w:rsidR="00D10057" w14:paraId="0ACAAD7C" w14:textId="77777777">
        <w:tc>
          <w:tcPr>
            <w:tcW w:w="1685" w:type="pct"/>
          </w:tcPr>
          <w:p w:rsidRPr="00C97A0D" w:rsidR="00D10057" w:rsidP="00C97A0D" w:rsidRDefault="00D10057" w14:paraId="316CE459" w14:textId="77777777">
            <w:pPr>
              <w:spacing w:after="120"/>
              <w:rPr>
                <w:sz w:val="22"/>
                <w:szCs w:val="20"/>
              </w:rPr>
            </w:pPr>
            <w:r w:rsidRPr="00C97A0D">
              <w:rPr>
                <w:sz w:val="22"/>
                <w:szCs w:val="20"/>
              </w:rPr>
              <w:t>Output Indicator 4.7 Cumulative number of key stakeholders participating in MAGC Research dissemination events </w:t>
            </w:r>
          </w:p>
        </w:tc>
        <w:tc>
          <w:tcPr>
            <w:tcW w:w="633" w:type="pct"/>
          </w:tcPr>
          <w:p w:rsidRPr="00C97A0D" w:rsidR="00D10057" w:rsidP="00C97A0D" w:rsidRDefault="00D10057" w14:paraId="3981012D" w14:textId="77777777">
            <w:pPr>
              <w:spacing w:after="120"/>
              <w:rPr>
                <w:sz w:val="22"/>
                <w:szCs w:val="20"/>
              </w:rPr>
            </w:pPr>
            <w:r w:rsidRPr="00C97A0D">
              <w:rPr>
                <w:sz w:val="22"/>
                <w:szCs w:val="20"/>
              </w:rPr>
              <w:t>N/A</w:t>
            </w:r>
          </w:p>
        </w:tc>
        <w:tc>
          <w:tcPr>
            <w:tcW w:w="633" w:type="pct"/>
          </w:tcPr>
          <w:p w:rsidRPr="00C97A0D" w:rsidR="00D10057" w:rsidP="00C97A0D" w:rsidRDefault="00D10057" w14:paraId="2516E2D5" w14:textId="77777777">
            <w:pPr>
              <w:spacing w:after="120"/>
              <w:rPr>
                <w:sz w:val="22"/>
                <w:szCs w:val="20"/>
              </w:rPr>
            </w:pPr>
            <w:r w:rsidRPr="00C97A0D">
              <w:rPr>
                <w:sz w:val="22"/>
                <w:szCs w:val="20"/>
              </w:rPr>
              <w:t>N/A</w:t>
            </w:r>
          </w:p>
        </w:tc>
        <w:tc>
          <w:tcPr>
            <w:tcW w:w="632" w:type="pct"/>
          </w:tcPr>
          <w:p w:rsidRPr="00C97A0D" w:rsidR="00D10057" w:rsidP="00C97A0D" w:rsidRDefault="00D10057" w14:paraId="7A08C3CA" w14:textId="77777777">
            <w:pPr>
              <w:spacing w:after="120"/>
              <w:rPr>
                <w:sz w:val="22"/>
                <w:szCs w:val="20"/>
              </w:rPr>
            </w:pPr>
            <w:r w:rsidRPr="00C97A0D">
              <w:rPr>
                <w:sz w:val="22"/>
                <w:szCs w:val="20"/>
              </w:rPr>
              <w:t>N/A</w:t>
            </w:r>
          </w:p>
        </w:tc>
        <w:tc>
          <w:tcPr>
            <w:tcW w:w="703" w:type="pct"/>
          </w:tcPr>
          <w:p w:rsidRPr="00C97A0D" w:rsidR="00D10057" w:rsidP="00C97A0D" w:rsidRDefault="00D10057" w14:paraId="3D4C2859" w14:textId="77777777">
            <w:pPr>
              <w:spacing w:after="120"/>
              <w:rPr>
                <w:sz w:val="22"/>
                <w:szCs w:val="20"/>
              </w:rPr>
            </w:pPr>
            <w:r w:rsidRPr="00C97A0D">
              <w:rPr>
                <w:sz w:val="22"/>
                <w:szCs w:val="20"/>
              </w:rPr>
              <w:t>Exceeded (269/60)</w:t>
            </w:r>
          </w:p>
        </w:tc>
        <w:tc>
          <w:tcPr>
            <w:tcW w:w="714" w:type="pct"/>
          </w:tcPr>
          <w:p w:rsidRPr="00C97A0D" w:rsidR="00D10057" w:rsidP="00C97A0D" w:rsidRDefault="00D10057" w14:paraId="2DB4C3DC" w14:textId="77777777">
            <w:pPr>
              <w:spacing w:after="120"/>
              <w:rPr>
                <w:sz w:val="22"/>
                <w:szCs w:val="20"/>
              </w:rPr>
            </w:pPr>
            <w:r w:rsidRPr="00C97A0D">
              <w:rPr>
                <w:sz w:val="22"/>
                <w:szCs w:val="20"/>
              </w:rPr>
              <w:t>Exceeded (346/180)</w:t>
            </w:r>
          </w:p>
        </w:tc>
      </w:tr>
      <w:tr w:rsidRPr="00C97A0D" w:rsidR="00D10057" w14:paraId="65408494" w14:textId="77777777">
        <w:tc>
          <w:tcPr>
            <w:tcW w:w="1685" w:type="pct"/>
          </w:tcPr>
          <w:p w:rsidRPr="00C97A0D" w:rsidR="00D10057" w:rsidP="00C97A0D" w:rsidRDefault="00D10057" w14:paraId="1C6E2A5E" w14:textId="77777777">
            <w:pPr>
              <w:spacing w:after="120"/>
              <w:rPr>
                <w:sz w:val="22"/>
                <w:szCs w:val="20"/>
              </w:rPr>
            </w:pPr>
            <w:r w:rsidRPr="00C97A0D">
              <w:rPr>
                <w:sz w:val="22"/>
                <w:szCs w:val="20"/>
              </w:rPr>
              <w:t>Output Indicator 4.8 Percent of survey respondents (attending MAGC Research events) reporting increased knowledge of certified green buildings</w:t>
            </w:r>
          </w:p>
        </w:tc>
        <w:tc>
          <w:tcPr>
            <w:tcW w:w="633" w:type="pct"/>
          </w:tcPr>
          <w:p w:rsidRPr="00C97A0D" w:rsidR="00D10057" w:rsidP="00C97A0D" w:rsidRDefault="00D10057" w14:paraId="495C1417" w14:textId="77777777">
            <w:pPr>
              <w:spacing w:after="120"/>
              <w:rPr>
                <w:sz w:val="22"/>
                <w:szCs w:val="20"/>
              </w:rPr>
            </w:pPr>
            <w:r w:rsidRPr="00C97A0D">
              <w:rPr>
                <w:sz w:val="22"/>
                <w:szCs w:val="20"/>
              </w:rPr>
              <w:t>N/A</w:t>
            </w:r>
          </w:p>
        </w:tc>
        <w:tc>
          <w:tcPr>
            <w:tcW w:w="633" w:type="pct"/>
          </w:tcPr>
          <w:p w:rsidRPr="00C97A0D" w:rsidR="00D10057" w:rsidP="00C97A0D" w:rsidRDefault="00D10057" w14:paraId="6C7B9C2E" w14:textId="77777777">
            <w:pPr>
              <w:spacing w:after="120"/>
              <w:rPr>
                <w:sz w:val="22"/>
                <w:szCs w:val="20"/>
              </w:rPr>
            </w:pPr>
            <w:r w:rsidRPr="00C97A0D">
              <w:rPr>
                <w:sz w:val="22"/>
                <w:szCs w:val="20"/>
              </w:rPr>
              <w:t>N/A</w:t>
            </w:r>
          </w:p>
        </w:tc>
        <w:tc>
          <w:tcPr>
            <w:tcW w:w="632" w:type="pct"/>
          </w:tcPr>
          <w:p w:rsidRPr="00C97A0D" w:rsidR="00D10057" w:rsidP="00C97A0D" w:rsidRDefault="00D10057" w14:paraId="5D238B24" w14:textId="77777777">
            <w:pPr>
              <w:spacing w:after="120"/>
              <w:rPr>
                <w:sz w:val="22"/>
                <w:szCs w:val="20"/>
              </w:rPr>
            </w:pPr>
            <w:r w:rsidRPr="00C97A0D">
              <w:rPr>
                <w:sz w:val="22"/>
                <w:szCs w:val="20"/>
              </w:rPr>
              <w:t>N/A</w:t>
            </w:r>
          </w:p>
        </w:tc>
        <w:tc>
          <w:tcPr>
            <w:tcW w:w="703" w:type="pct"/>
          </w:tcPr>
          <w:p w:rsidRPr="00C97A0D" w:rsidR="00D10057" w:rsidP="00C97A0D" w:rsidRDefault="00D10057" w14:paraId="379DDCCA" w14:textId="77777777">
            <w:pPr>
              <w:spacing w:after="120"/>
              <w:rPr>
                <w:sz w:val="22"/>
                <w:szCs w:val="20"/>
              </w:rPr>
            </w:pPr>
            <w:r w:rsidRPr="00C97A0D">
              <w:rPr>
                <w:sz w:val="22"/>
                <w:szCs w:val="20"/>
              </w:rPr>
              <w:t>Exceeded</w:t>
            </w:r>
          </w:p>
          <w:p w:rsidRPr="00C97A0D" w:rsidR="00D10057" w:rsidP="00C97A0D" w:rsidRDefault="00D10057" w14:paraId="3E2BFCC3" w14:textId="77777777">
            <w:pPr>
              <w:spacing w:after="120"/>
              <w:rPr>
                <w:sz w:val="22"/>
                <w:szCs w:val="20"/>
              </w:rPr>
            </w:pPr>
            <w:r w:rsidRPr="00C97A0D">
              <w:rPr>
                <w:sz w:val="22"/>
                <w:szCs w:val="20"/>
              </w:rPr>
              <w:t>(96%/70%)</w:t>
            </w:r>
          </w:p>
        </w:tc>
        <w:tc>
          <w:tcPr>
            <w:tcW w:w="714" w:type="pct"/>
          </w:tcPr>
          <w:p w:rsidRPr="00C97A0D" w:rsidR="00D10057" w:rsidP="00C97A0D" w:rsidRDefault="00D10057" w14:paraId="388C9457" w14:textId="77777777">
            <w:pPr>
              <w:spacing w:after="120"/>
              <w:rPr>
                <w:sz w:val="22"/>
                <w:szCs w:val="20"/>
              </w:rPr>
            </w:pPr>
            <w:r w:rsidRPr="00C97A0D">
              <w:rPr>
                <w:sz w:val="22"/>
                <w:szCs w:val="20"/>
              </w:rPr>
              <w:t>Exceeded</w:t>
            </w:r>
          </w:p>
          <w:p w:rsidRPr="00C97A0D" w:rsidR="00D10057" w:rsidP="00C97A0D" w:rsidRDefault="00D10057" w14:paraId="04239CBC" w14:textId="77777777">
            <w:pPr>
              <w:spacing w:after="120"/>
              <w:rPr>
                <w:sz w:val="22"/>
                <w:szCs w:val="20"/>
              </w:rPr>
            </w:pPr>
            <w:r w:rsidRPr="00C97A0D">
              <w:rPr>
                <w:sz w:val="22"/>
                <w:szCs w:val="20"/>
              </w:rPr>
              <w:t>(98%/70%)</w:t>
            </w:r>
          </w:p>
        </w:tc>
      </w:tr>
    </w:tbl>
    <w:p w:rsidR="00D10057" w:rsidP="008E7737" w:rsidRDefault="00D10057" w14:paraId="0B1DE5B5" w14:textId="77777777"/>
    <w:p w:rsidR="00827C92" w:rsidRDefault="00827C92" w14:paraId="1EF3A59C" w14:textId="77777777">
      <w:pPr>
        <w:spacing w:after="160" w:line="259" w:lineRule="auto"/>
        <w:rPr>
          <w:rFonts w:eastAsiaTheme="majorEastAsia" w:cstheme="majorBidi"/>
          <w:color w:val="041E42"/>
          <w:sz w:val="52"/>
          <w:szCs w:val="32"/>
        </w:rPr>
      </w:pPr>
      <w:r>
        <w:br w:type="page"/>
      </w:r>
    </w:p>
    <w:p w:rsidR="004A3DCA" w:rsidP="004A3DCA" w:rsidRDefault="004A3DCA" w14:paraId="63E26A30" w14:textId="3EAD71CD">
      <w:pPr>
        <w:pStyle w:val="Heading1"/>
      </w:pPr>
      <w:bookmarkStart w:name="_Toc207790217" w:id="126"/>
      <w:r>
        <w:t xml:space="preserve">Annex </w:t>
      </w:r>
      <w:r w:rsidR="00F626F6">
        <w:t>7</w:t>
      </w:r>
      <w:r>
        <w:t xml:space="preserve">: </w:t>
      </w:r>
      <w:r w:rsidR="00EA1E4E">
        <w:t>Research tools</w:t>
      </w:r>
      <w:bookmarkEnd w:id="126"/>
    </w:p>
    <w:p w:rsidRPr="00EA1E4E" w:rsidR="00EA1E4E" w:rsidP="00EA1E4E" w:rsidRDefault="00DD3244" w14:paraId="7BBE6815" w14:textId="15750407">
      <w:pPr>
        <w:pStyle w:val="Heading2"/>
      </w:pPr>
      <w:bookmarkStart w:name="_Toc179474011" w:id="127"/>
      <w:bookmarkStart w:name="_Toc181883595" w:id="128"/>
      <w:bookmarkStart w:name="_Toc188870879" w:id="129"/>
      <w:bookmarkStart w:name="_Toc207790218" w:id="130"/>
      <w:r>
        <w:t>T</w:t>
      </w:r>
      <w:r w:rsidRPr="00DD3244">
        <w:t xml:space="preserve">opic </w:t>
      </w:r>
      <w:r w:rsidR="00EA1E4E">
        <w:t>guides</w:t>
      </w:r>
      <w:bookmarkEnd w:id="127"/>
      <w:bookmarkEnd w:id="128"/>
      <w:bookmarkEnd w:id="129"/>
      <w:bookmarkEnd w:id="130"/>
    </w:p>
    <w:p w:rsidR="004A3DCA" w:rsidP="00EA1E4E" w:rsidRDefault="004A3DCA" w14:paraId="00109E37" w14:textId="1C2ACA51">
      <w:pPr>
        <w:pStyle w:val="Heading3"/>
      </w:pPr>
      <w:bookmarkStart w:name="_Toc179468562" w:id="131"/>
      <w:bookmarkStart w:name="_Toc179474012" w:id="132"/>
      <w:bookmarkStart w:name="_Toc181883596" w:id="133"/>
      <w:bookmarkStart w:name="_Toc188870880" w:id="134"/>
      <w:bookmarkStart w:name="_Toc207790219" w:id="135"/>
      <w:r>
        <w:t xml:space="preserve">T0 DESNZ and IFC programme team </w:t>
      </w:r>
      <w:r w:rsidR="00DD3244">
        <w:t>T</w:t>
      </w:r>
      <w:r w:rsidRPr="00DD3244" w:rsidR="00DD3244">
        <w:t xml:space="preserve">opic </w:t>
      </w:r>
      <w:r>
        <w:t>Guide</w:t>
      </w:r>
      <w:bookmarkEnd w:id="131"/>
      <w:bookmarkEnd w:id="132"/>
      <w:bookmarkEnd w:id="133"/>
      <w:bookmarkEnd w:id="134"/>
      <w:bookmarkEnd w:id="135"/>
    </w:p>
    <w:p w:rsidRPr="009A71CF" w:rsidR="004A3DCA" w:rsidP="004A3DCA" w:rsidRDefault="004A3DCA" w14:paraId="1892513D" w14:textId="77777777">
      <w:r w:rsidRPr="009A71CF">
        <w:t xml:space="preserve">Thank you for agreeing to take part in this interview. I am a </w:t>
      </w:r>
      <w:r w:rsidRPr="009A71CF">
        <w:rPr>
          <w:rStyle w:val="Italic"/>
        </w:rPr>
        <w:t>[role at Ipsos]</w:t>
      </w:r>
      <w:r w:rsidRPr="009A71CF">
        <w:t>, and my role on this evaluation is</w:t>
      </w:r>
      <w:r w:rsidRPr="009A71CF">
        <w:rPr>
          <w:rStyle w:val="Italic"/>
        </w:rPr>
        <w:t xml:space="preserve"> [interviewer to add]</w:t>
      </w:r>
      <w:r w:rsidRPr="009A71CF">
        <w:t xml:space="preserve">.  </w:t>
      </w:r>
    </w:p>
    <w:p w:rsidRPr="009A71CF" w:rsidR="004A3DCA" w:rsidP="004A3DCA" w:rsidRDefault="004A3DCA" w14:paraId="40435FE9" w14:textId="77777777">
      <w:r w:rsidRPr="009A71CF">
        <w:t>As you know, Ipsos has been appointed as the Evaluation and Learning Partner for the Market Accelerator for Green Construction (MAGC) programme. Our evaluation started in July 2023 and up until now we have completed the scoping phase and the process evaluation phase. We are currently in the early outcome and value for money (VfM) phase.</w:t>
      </w:r>
    </w:p>
    <w:p w:rsidRPr="009A71CF" w:rsidR="004A3DCA" w:rsidP="004A3DCA" w:rsidRDefault="004A3DCA" w14:paraId="73C35177" w14:textId="77777777">
      <w:r w:rsidRPr="009A71CF">
        <w:t xml:space="preserve">As part of this phase, we are talking to programme and country level stakeholders to gather their thought on the benefits of MAGC. We will use the findings from these interviews to inform an early outcome and VfM evaluation report. </w:t>
      </w:r>
    </w:p>
    <w:p w:rsidRPr="009A71CF" w:rsidR="004A3DCA" w:rsidP="004A3DCA" w:rsidRDefault="004A3DCA" w14:paraId="27193878" w14:textId="77777777">
      <w:r w:rsidRPr="009A71CF">
        <w:t>We are looking for honest feedback, and all responses, positive or negative, are valuable for learning and improvement. 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rsidRPr="009A71CF" w:rsidR="004A3DCA" w:rsidP="004A3DCA" w:rsidRDefault="004A3DCA" w14:paraId="0D981F5A" w14:textId="77777777">
      <w:r w:rsidRPr="009A71CF">
        <w:t>Your participation in this interview is voluntary and you can change your mind and terminate the interview at any time. Likewise, you are not required to answer any questions if you do not want to.</w:t>
      </w:r>
    </w:p>
    <w:p w:rsidRPr="009A71CF" w:rsidR="004A3DCA" w:rsidP="004A3DCA" w:rsidRDefault="004A3DCA" w14:paraId="1FF76550" w14:textId="77777777">
      <w:r w:rsidRPr="009A71CF">
        <w:t xml:space="preserve">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p>
    <w:p w:rsidRPr="009A71CF" w:rsidR="004A3DCA" w:rsidP="004A3DCA" w:rsidRDefault="004A3DCA" w14:paraId="70F66894" w14:textId="77777777">
      <w:pPr>
        <w:rPr>
          <w:rStyle w:val="Italic"/>
        </w:rPr>
      </w:pPr>
      <w:r w:rsidRPr="009A71CF">
        <w:rPr>
          <w:rStyle w:val="Italic"/>
        </w:rPr>
        <w:t>[Ask for permission to record interview]</w:t>
      </w:r>
    </w:p>
    <w:p w:rsidRPr="009A71CF" w:rsidR="004A3DCA" w:rsidP="004A3DCA" w:rsidRDefault="004A3DCA" w14:paraId="3816F0A6" w14:textId="77777777">
      <w:pPr>
        <w:rPr>
          <w:rStyle w:val="Italic"/>
        </w:rPr>
      </w:pPr>
      <w:r w:rsidRPr="009A71CF">
        <w:rPr>
          <w:rStyle w:val="Italic"/>
        </w:rPr>
        <w:t>[Note to interviewer: all questions (including those marked as “ask all”) should be tailored to the stakeholder specific role in relation to the programme. The interview should follow a semi-structured approach, allowing the conversation to follow the interviewee’s responses, include additional questions based on their role, and skip questions that are not relevant.]</w:t>
      </w:r>
    </w:p>
    <w:p w:rsidRPr="009A71CF" w:rsidR="004A3DCA" w:rsidP="004A3DCA" w:rsidRDefault="004A3DCA" w14:paraId="631AE5F2" w14:textId="77777777">
      <w:r w:rsidRPr="009A71CF">
        <w:rPr>
          <w:rStyle w:val="Boldtext"/>
        </w:rPr>
        <w:t>Background and context</w:t>
      </w:r>
      <w:r w:rsidRPr="009A71CF">
        <w:t xml:space="preserve"> </w:t>
      </w:r>
      <w:r w:rsidRPr="009A71CF">
        <w:rPr>
          <w:rStyle w:val="Italic"/>
        </w:rPr>
        <w:t>Ask all</w:t>
      </w:r>
    </w:p>
    <w:p w:rsidRPr="009A71CF" w:rsidR="004A3DCA" w:rsidP="004A3DCA" w:rsidRDefault="004A3DCA" w14:paraId="19F4665C" w14:textId="77777777">
      <w:pPr>
        <w:rPr>
          <w:rStyle w:val="Italic"/>
        </w:rPr>
      </w:pPr>
      <w:r w:rsidRPr="009A71CF">
        <w:rPr>
          <w:rStyle w:val="Italic"/>
        </w:rPr>
        <w:t>Interviewer to review responses of the interviewee in the process evaluation interviews and probe for changes in their role.</w:t>
      </w:r>
    </w:p>
    <w:p w:rsidRPr="009A71CF" w:rsidR="004A3DCA" w:rsidP="00C97A0D" w:rsidRDefault="004A3DCA" w14:paraId="50078B0C" w14:textId="0AB53584">
      <w:pPr>
        <w:pStyle w:val="ListParagraph"/>
        <w:numPr>
          <w:ilvl w:val="0"/>
          <w:numId w:val="48"/>
        </w:numPr>
      </w:pPr>
      <w:r w:rsidRPr="00540130">
        <w:rPr>
          <w:rFonts w:ascii="Arial" w:hAnsi="Arial"/>
          <w:sz w:val="24"/>
        </w:rPr>
        <w:t>Have there been any changes to your role since MAGC inception/since we last spoke?</w:t>
      </w:r>
    </w:p>
    <w:p w:rsidRPr="009A71CF" w:rsidR="004A3DCA" w:rsidP="004A3DCA" w:rsidRDefault="004A3DCA" w14:paraId="4C6E2AF8" w14:textId="77777777">
      <w:r w:rsidRPr="009A71CF">
        <w:rPr>
          <w:rStyle w:val="Boldtext"/>
        </w:rPr>
        <w:t>Delivery of MAGC</w:t>
      </w:r>
      <w:r w:rsidRPr="009A71CF">
        <w:t xml:space="preserve"> </w:t>
      </w:r>
      <w:r w:rsidRPr="009A71CF">
        <w:rPr>
          <w:rStyle w:val="Italic"/>
        </w:rPr>
        <w:t>Ask IFC and DESNZ programme lead</w:t>
      </w:r>
    </w:p>
    <w:p w:rsidRPr="00540130" w:rsidR="004A3DCA" w:rsidP="00C97A0D" w:rsidRDefault="004A3DCA" w14:paraId="39733D3E" w14:textId="70ACC746">
      <w:pPr>
        <w:pStyle w:val="ListParagraph"/>
        <w:numPr>
          <w:ilvl w:val="0"/>
          <w:numId w:val="48"/>
        </w:numPr>
      </w:pPr>
      <w:r w:rsidRPr="00540130">
        <w:rPr>
          <w:rFonts w:ascii="Arial" w:hAnsi="Arial"/>
          <w:sz w:val="24"/>
        </w:rPr>
        <w:t>In your opinion, to what extent have MAGC activities been carried out effectively? Does that align with your expectations? Probe on each component/activity depending on their involvement</w:t>
      </w:r>
    </w:p>
    <w:p w:rsidRPr="00540130" w:rsidR="004A3DCA" w:rsidP="00C97A0D" w:rsidRDefault="004A3DCA" w14:paraId="15014280" w14:textId="3234E34E">
      <w:pPr>
        <w:pStyle w:val="ListParagraph"/>
        <w:numPr>
          <w:ilvl w:val="0"/>
          <w:numId w:val="48"/>
        </w:numPr>
      </w:pPr>
      <w:r w:rsidRPr="00540130">
        <w:rPr>
          <w:rFonts w:ascii="Arial" w:hAnsi="Arial"/>
          <w:sz w:val="24"/>
        </w:rPr>
        <w:t xml:space="preserve">What challenges did you face in delivering activities as part of MAGC </w:t>
      </w:r>
      <w:r w:rsidRPr="00540130">
        <w:rPr>
          <w:rStyle w:val="Italic"/>
          <w:rFonts w:ascii="Arial" w:hAnsi="Arial"/>
          <w:sz w:val="24"/>
        </w:rPr>
        <w:t>[refer to activities mentioned earlier]</w:t>
      </w:r>
      <w:r w:rsidRPr="00540130">
        <w:rPr>
          <w:rFonts w:ascii="Arial" w:hAnsi="Arial"/>
          <w:sz w:val="24"/>
        </w:rPr>
        <w:t>? Were these mitigated and if so, how?</w:t>
      </w:r>
    </w:p>
    <w:p w:rsidRPr="009A71CF" w:rsidR="004A3DCA" w:rsidP="004A3DCA" w:rsidRDefault="004A3DCA" w14:paraId="6C60ED35" w14:textId="77777777">
      <w:pPr>
        <w:rPr>
          <w:rStyle w:val="Boldtext"/>
        </w:rPr>
      </w:pPr>
      <w:r w:rsidRPr="009A71CF">
        <w:rPr>
          <w:rStyle w:val="Boldtext"/>
        </w:rPr>
        <w:t>Early outcomes</w:t>
      </w:r>
    </w:p>
    <w:p w:rsidRPr="004A3DCA" w:rsidR="004A3DCA" w:rsidP="004A3DCA" w:rsidRDefault="004A3DCA" w14:paraId="5D78F9BF" w14:textId="77777777">
      <w:pPr>
        <w:rPr>
          <w:rStyle w:val="Italic"/>
        </w:rPr>
      </w:pPr>
      <w:r w:rsidRPr="009A71CF">
        <w:rPr>
          <w:rStyle w:val="Boldtext"/>
        </w:rPr>
        <w:t>Overall</w:t>
      </w:r>
      <w:r w:rsidRPr="004A3DCA">
        <w:t xml:space="preserve"> </w:t>
      </w:r>
      <w:r w:rsidRPr="004A3DCA">
        <w:rPr>
          <w:rStyle w:val="Italic"/>
        </w:rPr>
        <w:t>Ask all</w:t>
      </w:r>
    </w:p>
    <w:p w:rsidRPr="00540130" w:rsidR="004A3DCA" w:rsidP="00C97A0D" w:rsidRDefault="004A3DCA" w14:paraId="0511F905" w14:textId="635F4D49">
      <w:pPr>
        <w:pStyle w:val="ListParagraph"/>
        <w:numPr>
          <w:ilvl w:val="0"/>
          <w:numId w:val="48"/>
        </w:numPr>
      </w:pPr>
      <w:r w:rsidRPr="00540130">
        <w:rPr>
          <w:rFonts w:ascii="Arial" w:hAnsi="Arial"/>
          <w:sz w:val="24"/>
        </w:rPr>
        <w:t>Do the results of MAGC activities to date align with your and your team’s initial expectations and the targets initially set? Interviewer to probe, where relevant, on targets and timeliness of achieving them in each component.</w:t>
      </w:r>
    </w:p>
    <w:p w:rsidRPr="00540130" w:rsidR="004A3DCA" w:rsidP="00C97A0D" w:rsidRDefault="004A3DCA" w14:paraId="1D8AE61F" w14:textId="5A24C681">
      <w:pPr>
        <w:pStyle w:val="ListParagraph"/>
        <w:numPr>
          <w:ilvl w:val="0"/>
          <w:numId w:val="48"/>
        </w:numPr>
      </w:pPr>
      <w:r w:rsidRPr="00540130">
        <w:rPr>
          <w:rFonts w:ascii="Arial" w:hAnsi="Arial"/>
          <w:sz w:val="24"/>
        </w:rPr>
        <w:t>What is your view on how (well) the programme is enabling the realisation of benefits, both originally modelled and unexpected/unintended benefits?</w:t>
      </w:r>
    </w:p>
    <w:p w:rsidRPr="00540130" w:rsidR="004A3DCA" w:rsidP="00C97A0D" w:rsidRDefault="004A3DCA" w14:paraId="74AAFAAA" w14:textId="5C0A07E5">
      <w:pPr>
        <w:pStyle w:val="ListParagraph"/>
        <w:numPr>
          <w:ilvl w:val="0"/>
          <w:numId w:val="48"/>
        </w:numPr>
      </w:pPr>
      <w:r w:rsidRPr="00540130">
        <w:rPr>
          <w:rFonts w:ascii="Arial" w:hAnsi="Arial"/>
          <w:sz w:val="24"/>
        </w:rPr>
        <w:t xml:space="preserve">From your perspective, how do you see MAGC fitting into the wider landscape of international climate finance initiatives? </w:t>
      </w:r>
    </w:p>
    <w:p w:rsidRPr="00540130" w:rsidR="004A3DCA" w:rsidP="00C97A0D" w:rsidRDefault="004A3DCA" w14:paraId="5E5F4FEE" w14:textId="07DDC672">
      <w:pPr>
        <w:pStyle w:val="ListParagraph"/>
        <w:numPr>
          <w:ilvl w:val="0"/>
          <w:numId w:val="48"/>
        </w:numPr>
      </w:pPr>
      <w:r w:rsidRPr="00540130">
        <w:rPr>
          <w:rStyle w:val="Italic"/>
          <w:rFonts w:ascii="Arial" w:hAnsi="Arial"/>
          <w:sz w:val="24"/>
        </w:rPr>
        <w:t>(If relevant)</w:t>
      </w:r>
      <w:r w:rsidRPr="00540130">
        <w:rPr>
          <w:rFonts w:ascii="Arial" w:hAnsi="Arial"/>
          <w:sz w:val="24"/>
        </w:rPr>
        <w:t xml:space="preserve"> Are there any common challenges or opportunities you’ve observed across the various programmes you work on?</w:t>
      </w:r>
    </w:p>
    <w:p w:rsidRPr="00540130" w:rsidR="004A3DCA" w:rsidP="00C97A0D" w:rsidRDefault="004A3DCA" w14:paraId="098A4730" w14:textId="54313D97">
      <w:pPr>
        <w:pStyle w:val="ListParagraph"/>
        <w:numPr>
          <w:ilvl w:val="0"/>
          <w:numId w:val="48"/>
        </w:numPr>
      </w:pPr>
      <w:r w:rsidRPr="00540130">
        <w:rPr>
          <w:rFonts w:ascii="Arial" w:hAnsi="Arial"/>
          <w:sz w:val="24"/>
        </w:rPr>
        <w:t>In your view, what are the key factors that contribute to the success of green construction programmes like MAGC?</w:t>
      </w:r>
    </w:p>
    <w:p w:rsidRPr="004A3DCA" w:rsidR="004A3DCA" w:rsidP="004A3DCA" w:rsidRDefault="004A3DCA" w14:paraId="18D9BB3B" w14:textId="77777777">
      <w:pPr>
        <w:rPr>
          <w:rStyle w:val="Italic"/>
        </w:rPr>
      </w:pPr>
      <w:r w:rsidRPr="009A71CF">
        <w:rPr>
          <w:rStyle w:val="Boldtext"/>
        </w:rPr>
        <w:t>Component 1 – FIs receiving blended finance and advisory services</w:t>
      </w:r>
      <w:r w:rsidRPr="004A3DCA">
        <w:t xml:space="preserve"> </w:t>
      </w:r>
      <w:r w:rsidRPr="004A3DCA">
        <w:rPr>
          <w:rStyle w:val="Italic"/>
        </w:rPr>
        <w:t xml:space="preserve">Ask IFC (and DESNZ programme lead where relevant) </w:t>
      </w:r>
    </w:p>
    <w:p w:rsidRPr="00540130" w:rsidR="004A3DCA" w:rsidP="00C97A0D" w:rsidRDefault="004A3DCA" w14:paraId="73F08226" w14:textId="0014ABF1">
      <w:pPr>
        <w:pStyle w:val="ListParagraph"/>
        <w:numPr>
          <w:ilvl w:val="0"/>
          <w:numId w:val="48"/>
        </w:numPr>
      </w:pPr>
      <w:r w:rsidRPr="00540130">
        <w:rPr>
          <w:rFonts w:ascii="Arial" w:hAnsi="Arial"/>
          <w:sz w:val="24"/>
        </w:rPr>
        <w:t>At the level of individual investment, what do you think has constituted a successful investment?</w:t>
      </w:r>
    </w:p>
    <w:p w:rsidRPr="00540130" w:rsidR="004A3DCA" w:rsidP="00C97A0D" w:rsidRDefault="004A3DCA" w14:paraId="6CBDE317" w14:textId="236B2C09">
      <w:pPr>
        <w:pStyle w:val="ListParagraph"/>
        <w:numPr>
          <w:ilvl w:val="0"/>
          <w:numId w:val="51"/>
        </w:numPr>
      </w:pPr>
      <w:r w:rsidRPr="00540130">
        <w:rPr>
          <w:rFonts w:ascii="Arial" w:hAnsi="Arial"/>
          <w:sz w:val="24"/>
        </w:rPr>
        <w:t>What investments have been particularly successful? What is it about the investments that made them successful?</w:t>
      </w:r>
    </w:p>
    <w:p w:rsidRPr="00540130" w:rsidR="004A3DCA" w:rsidP="00C97A0D" w:rsidRDefault="004A3DCA" w14:paraId="4BBDC9CA" w14:textId="73780934">
      <w:pPr>
        <w:pStyle w:val="ListParagraph"/>
        <w:numPr>
          <w:ilvl w:val="0"/>
          <w:numId w:val="51"/>
        </w:numPr>
      </w:pPr>
      <w:r w:rsidRPr="00540130">
        <w:rPr>
          <w:rFonts w:ascii="Arial" w:hAnsi="Arial"/>
          <w:sz w:val="24"/>
        </w:rPr>
        <w:t>Similarly, which investments have been less successful? What is it about the investments that made them less successful?</w:t>
      </w:r>
    </w:p>
    <w:p w:rsidRPr="00540130" w:rsidR="004A3DCA" w:rsidP="00C97A0D" w:rsidRDefault="004A3DCA" w14:paraId="4AF31B88" w14:textId="5F060108">
      <w:pPr>
        <w:pStyle w:val="ListParagraph"/>
        <w:numPr>
          <w:ilvl w:val="0"/>
          <w:numId w:val="48"/>
        </w:numPr>
      </w:pPr>
      <w:r w:rsidRPr="00540130">
        <w:rPr>
          <w:rFonts w:ascii="Arial" w:hAnsi="Arial"/>
          <w:sz w:val="24"/>
        </w:rPr>
        <w:t>Up until now, which types of buildings have received MAGC support to be constructed? i.e., low income residential, middle income residential, commercial, mixed-use buildings</w:t>
      </w:r>
    </w:p>
    <w:p w:rsidRPr="00540130" w:rsidR="004A3DCA" w:rsidP="00C97A0D" w:rsidRDefault="004A3DCA" w14:paraId="6B73FF61" w14:textId="0D0DA142">
      <w:pPr>
        <w:pStyle w:val="ListParagraph"/>
        <w:numPr>
          <w:ilvl w:val="0"/>
          <w:numId w:val="48"/>
        </w:numPr>
      </w:pPr>
      <w:r w:rsidRPr="00540130">
        <w:rPr>
          <w:rFonts w:ascii="Arial" w:hAnsi="Arial"/>
          <w:sz w:val="24"/>
        </w:rPr>
        <w:t xml:space="preserve">To what extent have advisory services and technical assistance helped to address barriers to investments for FIs so far? </w:t>
      </w:r>
    </w:p>
    <w:p w:rsidRPr="00540130" w:rsidR="004A3DCA" w:rsidP="00C97A0D" w:rsidRDefault="004A3DCA" w14:paraId="5C19174F" w14:textId="1CCBFAAA">
      <w:pPr>
        <w:pStyle w:val="ListParagraph"/>
        <w:numPr>
          <w:ilvl w:val="0"/>
          <w:numId w:val="48"/>
        </w:numPr>
      </w:pPr>
      <w:r w:rsidRPr="00540130">
        <w:rPr>
          <w:rFonts w:ascii="Arial" w:hAnsi="Arial"/>
          <w:sz w:val="24"/>
        </w:rPr>
        <w:t>To what extent has there been increased capacity to assess green building risk? Could you provide examples?</w:t>
      </w:r>
    </w:p>
    <w:p w:rsidRPr="004A3DCA" w:rsidR="004A3DCA" w:rsidP="004A3DCA" w:rsidRDefault="004A3DCA" w14:paraId="49A02144" w14:textId="77777777">
      <w:pPr>
        <w:rPr>
          <w:rStyle w:val="Italic"/>
        </w:rPr>
      </w:pPr>
      <w:r w:rsidRPr="009A71CF">
        <w:rPr>
          <w:rStyle w:val="Boldtext"/>
        </w:rPr>
        <w:t>Component 2 – Private and public sector in country technical assistance</w:t>
      </w:r>
      <w:r w:rsidRPr="004A3DCA">
        <w:t xml:space="preserve"> </w:t>
      </w:r>
      <w:r w:rsidRPr="004A3DCA">
        <w:rPr>
          <w:rStyle w:val="Italic"/>
        </w:rPr>
        <w:t xml:space="preserve">Ask IFC (and DESNZ programme lead where relevant) </w:t>
      </w:r>
    </w:p>
    <w:p w:rsidRPr="00540130" w:rsidR="004A3DCA" w:rsidP="00C97A0D" w:rsidRDefault="004A3DCA" w14:paraId="1F29194D" w14:textId="73B570DC">
      <w:pPr>
        <w:pStyle w:val="ListParagraph"/>
        <w:numPr>
          <w:ilvl w:val="0"/>
          <w:numId w:val="48"/>
        </w:numPr>
      </w:pPr>
      <w:r w:rsidRPr="00540130">
        <w:rPr>
          <w:rFonts w:ascii="Arial" w:hAnsi="Arial"/>
          <w:sz w:val="24"/>
        </w:rPr>
        <w:t>What types of stakeholders have so far received technical assistance? Could you provide examples of specific events/trainings/seminars?</w:t>
      </w:r>
    </w:p>
    <w:p w:rsidRPr="00540130" w:rsidR="004A3DCA" w:rsidP="00C97A0D" w:rsidRDefault="004A3DCA" w14:paraId="06BC7286" w14:textId="12B792EC">
      <w:pPr>
        <w:pStyle w:val="ListParagraph"/>
        <w:numPr>
          <w:ilvl w:val="0"/>
          <w:numId w:val="48"/>
        </w:numPr>
      </w:pPr>
      <w:r w:rsidRPr="00540130">
        <w:rPr>
          <w:rFonts w:ascii="Arial" w:hAnsi="Arial"/>
          <w:sz w:val="24"/>
        </w:rPr>
        <w:t>What were the results to date of MAGC activities on the regulatory environment/ framework? Could you provide some examples? (policies introduced, building codes)</w:t>
      </w:r>
    </w:p>
    <w:p w:rsidRPr="004A3DCA" w:rsidR="004A3DCA" w:rsidP="004A3DCA" w:rsidRDefault="004A3DCA" w14:paraId="0682201A" w14:textId="77777777">
      <w:pPr>
        <w:rPr>
          <w:rStyle w:val="Italic"/>
        </w:rPr>
      </w:pPr>
      <w:r w:rsidRPr="009A71CF">
        <w:rPr>
          <w:rStyle w:val="Boldtext"/>
        </w:rPr>
        <w:t>Component 3 – Maintenance, operation and improvement of the EDGE certification platform</w:t>
      </w:r>
      <w:r w:rsidRPr="004A3DCA">
        <w:t xml:space="preserve"> </w:t>
      </w:r>
      <w:r w:rsidRPr="004A3DCA">
        <w:rPr>
          <w:rStyle w:val="Italic"/>
        </w:rPr>
        <w:t xml:space="preserve">Ask IFC (and DESNZ programme lead where relevant) </w:t>
      </w:r>
    </w:p>
    <w:p w:rsidRPr="00B95F85" w:rsidR="004A3DCA" w:rsidP="002C57BB" w:rsidRDefault="004A3DCA" w14:paraId="4916395F" w14:textId="278C29E6">
      <w:pPr>
        <w:pStyle w:val="ListParagraph"/>
        <w:numPr>
          <w:ilvl w:val="0"/>
          <w:numId w:val="48"/>
        </w:numPr>
      </w:pPr>
      <w:r w:rsidRPr="00B95F85">
        <w:rPr>
          <w:rFonts w:ascii="Arial" w:hAnsi="Arial"/>
          <w:sz w:val="24"/>
        </w:rPr>
        <w:t xml:space="preserve">What did the maintenance, operation, and improvements of the EDGE certification platform as part of MAGC involve? </w:t>
      </w:r>
    </w:p>
    <w:p w:rsidRPr="00B95F85" w:rsidR="004A3DCA" w:rsidP="002C57BB" w:rsidRDefault="004A3DCA" w14:paraId="74A3C6A1" w14:textId="258163BC">
      <w:pPr>
        <w:pStyle w:val="ListParagraph"/>
        <w:numPr>
          <w:ilvl w:val="0"/>
          <w:numId w:val="48"/>
        </w:numPr>
      </w:pPr>
      <w:r w:rsidRPr="00B95F85">
        <w:rPr>
          <w:rFonts w:ascii="Arial" w:hAnsi="Arial"/>
          <w:sz w:val="24"/>
        </w:rPr>
        <w:t>What have been the key achievements of the MAGC programme on EDGE so far? And what have been the key challenges?</w:t>
      </w:r>
    </w:p>
    <w:p w:rsidRPr="00B95F85" w:rsidR="004A3DCA" w:rsidP="002C57BB" w:rsidRDefault="004A3DCA" w14:paraId="4A07F584" w14:textId="6FDBE84E">
      <w:pPr>
        <w:pStyle w:val="ListParagraph"/>
        <w:numPr>
          <w:ilvl w:val="0"/>
          <w:numId w:val="48"/>
        </w:numPr>
      </w:pPr>
      <w:r w:rsidRPr="00B95F85">
        <w:rPr>
          <w:rFonts w:ascii="Arial" w:hAnsi="Arial"/>
          <w:sz w:val="24"/>
        </w:rPr>
        <w:t>To what extent has MAGC contributed to an increased uptake of EDGE or other certifications? In what ways? (probe for contexts where EDGE uptake was already high and where it was low)</w:t>
      </w:r>
    </w:p>
    <w:p w:rsidRPr="004A3DCA" w:rsidR="004A3DCA" w:rsidP="004A3DCA" w:rsidRDefault="004A3DCA" w14:paraId="2E629981" w14:textId="77777777">
      <w:r w:rsidRPr="009A71CF">
        <w:rPr>
          <w:rStyle w:val="Boldtext"/>
        </w:rPr>
        <w:t>Component 4 – Research and evidence</w:t>
      </w:r>
      <w:r w:rsidRPr="004A3DCA">
        <w:t xml:space="preserve"> </w:t>
      </w:r>
      <w:r w:rsidRPr="004A3DCA">
        <w:rPr>
          <w:rStyle w:val="Italic"/>
        </w:rPr>
        <w:t>Ask all</w:t>
      </w:r>
    </w:p>
    <w:p w:rsidRPr="00B95F85" w:rsidR="004A3DCA" w:rsidP="002C57BB" w:rsidRDefault="004A3DCA" w14:paraId="17A7A775" w14:textId="626BDD56">
      <w:pPr>
        <w:pStyle w:val="ListParagraph"/>
        <w:numPr>
          <w:ilvl w:val="0"/>
          <w:numId w:val="48"/>
        </w:numPr>
      </w:pPr>
      <w:r w:rsidRPr="00B95F85">
        <w:rPr>
          <w:rFonts w:ascii="Arial" w:hAnsi="Arial"/>
          <w:sz w:val="24"/>
        </w:rPr>
        <w:t>How has the evidence generated so far through the research component (stakeholder assessments, market baseline assessments) been used so far? How can it motivate the uptake of green construction? Could you give some examples?</w:t>
      </w:r>
    </w:p>
    <w:p w:rsidRPr="009A71CF" w:rsidR="004A3DCA" w:rsidP="004A3DCA" w:rsidRDefault="004A3DCA" w14:paraId="15CFF2D2" w14:textId="77777777">
      <w:pPr>
        <w:rPr>
          <w:rStyle w:val="Boldtext"/>
        </w:rPr>
      </w:pPr>
      <w:r w:rsidRPr="009A71CF">
        <w:rPr>
          <w:rStyle w:val="Boldtext"/>
        </w:rPr>
        <w:t>Impacts and transformational change</w:t>
      </w:r>
    </w:p>
    <w:p w:rsidRPr="009A71CF" w:rsidR="004A3DCA" w:rsidP="004A3DCA" w:rsidRDefault="004A3DCA" w14:paraId="65A3286C" w14:textId="77777777">
      <w:pPr>
        <w:rPr>
          <w:rStyle w:val="Italic"/>
        </w:rPr>
      </w:pPr>
      <w:r w:rsidRPr="009A71CF">
        <w:rPr>
          <w:rStyle w:val="Italic"/>
        </w:rPr>
        <w:t>This section aims to identify any early signs that the programme can contribute to transformational change.</w:t>
      </w:r>
    </w:p>
    <w:p w:rsidRPr="00B95F85" w:rsidR="004A3DCA" w:rsidP="002C57BB" w:rsidRDefault="004A3DCA" w14:paraId="3F5291AC" w14:textId="5F1726C0">
      <w:pPr>
        <w:pStyle w:val="ListParagraph"/>
        <w:numPr>
          <w:ilvl w:val="0"/>
          <w:numId w:val="48"/>
        </w:numPr>
      </w:pPr>
      <w:r w:rsidRPr="00B95F85">
        <w:rPr>
          <w:rStyle w:val="Italic"/>
          <w:rFonts w:ascii="Arial" w:hAnsi="Arial"/>
          <w:sz w:val="24"/>
        </w:rPr>
        <w:t>Ask DESNZ programme and analysis teams</w:t>
      </w:r>
      <w:r w:rsidRPr="00B95F85">
        <w:rPr>
          <w:rFonts w:ascii="Arial" w:hAnsi="Arial"/>
          <w:sz w:val="24"/>
        </w:rPr>
        <w:t xml:space="preserve"> What indicators or metrics are most useful to assess signs of transformational impact of MAGC on the green construction market? Are there any other indicators or metrics that would be useful?</w:t>
      </w:r>
    </w:p>
    <w:p w:rsidRPr="00B95F85" w:rsidR="004A3DCA" w:rsidP="002C57BB" w:rsidRDefault="004A3DCA" w14:paraId="5DAB568A" w14:textId="16366CEB">
      <w:pPr>
        <w:pStyle w:val="ListParagraph"/>
        <w:numPr>
          <w:ilvl w:val="0"/>
          <w:numId w:val="48"/>
        </w:numPr>
      </w:pPr>
      <w:r w:rsidRPr="00B95F85">
        <w:rPr>
          <w:rStyle w:val="Italic"/>
          <w:rFonts w:ascii="Arial" w:hAnsi="Arial"/>
          <w:sz w:val="24"/>
        </w:rPr>
        <w:t>Ask all</w:t>
      </w:r>
      <w:r w:rsidRPr="00B95F85">
        <w:rPr>
          <w:rFonts w:ascii="Arial" w:hAnsi="Arial"/>
          <w:sz w:val="24"/>
        </w:rPr>
        <w:t xml:space="preserve"> </w:t>
      </w:r>
      <w:proofErr w:type="gramStart"/>
      <w:r w:rsidRPr="00B95F85">
        <w:rPr>
          <w:rFonts w:ascii="Arial" w:hAnsi="Arial"/>
          <w:sz w:val="24"/>
        </w:rPr>
        <w:t>From</w:t>
      </w:r>
      <w:proofErr w:type="gramEnd"/>
      <w:r w:rsidRPr="00B95F85">
        <w:rPr>
          <w:rFonts w:ascii="Arial" w:hAnsi="Arial"/>
          <w:sz w:val="24"/>
        </w:rPr>
        <w:t xml:space="preserve"> your point of view, is there any evidence of early signs that the programme can contribute to transformational change?</w:t>
      </w:r>
    </w:p>
    <w:p w:rsidRPr="009A71CF" w:rsidR="004A3DCA" w:rsidP="004A3DCA" w:rsidRDefault="004A3DCA" w14:paraId="1123CAEC" w14:textId="77777777">
      <w:pPr>
        <w:rPr>
          <w:rStyle w:val="Italic"/>
        </w:rPr>
      </w:pPr>
      <w:r w:rsidRPr="009A71CF">
        <w:rPr>
          <w:rStyle w:val="Italic"/>
        </w:rPr>
        <w:t>Ask 18-22 to IFC (and to DESNZ team only where relevant to their role)</w:t>
      </w:r>
    </w:p>
    <w:p w:rsidRPr="00B95F85" w:rsidR="004A3DCA" w:rsidP="002C57BB" w:rsidRDefault="004A3DCA" w14:paraId="252C6A98" w14:textId="6FB96A92">
      <w:pPr>
        <w:pStyle w:val="ListParagraph"/>
        <w:numPr>
          <w:ilvl w:val="0"/>
          <w:numId w:val="48"/>
        </w:numPr>
        <w:rPr>
          <w:rStyle w:val="Boldtext"/>
        </w:rPr>
      </w:pPr>
      <w:r w:rsidRPr="00B95F85">
        <w:rPr>
          <w:rStyle w:val="Boldtext"/>
          <w:rFonts w:ascii="Arial" w:hAnsi="Arial"/>
          <w:sz w:val="24"/>
        </w:rPr>
        <w:t xml:space="preserve">Capacity and capability </w:t>
      </w:r>
    </w:p>
    <w:p w:rsidRPr="00B95F85" w:rsidR="004A3DCA" w:rsidP="002C57BB" w:rsidRDefault="004A3DCA" w14:paraId="34021F2A" w14:textId="4BA85A6B">
      <w:pPr>
        <w:pStyle w:val="ListParagraph"/>
        <w:numPr>
          <w:ilvl w:val="0"/>
          <w:numId w:val="56"/>
        </w:numPr>
      </w:pPr>
      <w:r w:rsidRPr="00B95F85">
        <w:rPr>
          <w:rFonts w:ascii="Arial" w:hAnsi="Arial"/>
          <w:sz w:val="24"/>
        </w:rPr>
        <w:t>What were the key effects of advisory services so far on financial intermediaries? To what extent have the programme activities influenced the capacity and capability of the financial intermediaries involved? In what ways?</w:t>
      </w:r>
    </w:p>
    <w:p w:rsidRPr="00B95F85" w:rsidR="004A3DCA" w:rsidP="002C57BB" w:rsidRDefault="004A3DCA" w14:paraId="50724ED8" w14:textId="14A185BA">
      <w:pPr>
        <w:pStyle w:val="ListParagraph"/>
        <w:numPr>
          <w:ilvl w:val="0"/>
          <w:numId w:val="56"/>
        </w:numPr>
      </w:pPr>
      <w:r w:rsidRPr="00B95F85">
        <w:rPr>
          <w:rFonts w:ascii="Arial" w:hAnsi="Arial"/>
          <w:sz w:val="24"/>
        </w:rPr>
        <w:t>What were the outcomes of workshops, trainings, seminars, and conferences delivered by MAGC? To what extent did they influence stakeholders' understanding and approach to green construction? If so, in what ways?</w:t>
      </w:r>
    </w:p>
    <w:p w:rsidRPr="00B95F85" w:rsidR="004A3DCA" w:rsidP="002C57BB" w:rsidRDefault="004A3DCA" w14:paraId="4C47A456" w14:textId="1393F5A8">
      <w:pPr>
        <w:pStyle w:val="ListParagraph"/>
        <w:numPr>
          <w:ilvl w:val="0"/>
          <w:numId w:val="56"/>
        </w:numPr>
      </w:pPr>
      <w:r w:rsidRPr="00B95F85">
        <w:rPr>
          <w:rFonts w:ascii="Arial" w:hAnsi="Arial"/>
          <w:sz w:val="24"/>
        </w:rPr>
        <w:t xml:space="preserve">What were the outcomes of the training of EDGE auditors and experts? </w:t>
      </w:r>
    </w:p>
    <w:p w:rsidRPr="00B95F85" w:rsidR="004A3DCA" w:rsidP="002C57BB" w:rsidRDefault="004A3DCA" w14:paraId="73785859" w14:textId="2E43F3A4">
      <w:pPr>
        <w:pStyle w:val="ListParagraph"/>
        <w:numPr>
          <w:ilvl w:val="0"/>
          <w:numId w:val="56"/>
        </w:numPr>
      </w:pPr>
      <w:r w:rsidRPr="00B95F85">
        <w:rPr>
          <w:rStyle w:val="Italic"/>
          <w:rFonts w:ascii="Arial" w:hAnsi="Arial"/>
          <w:sz w:val="24"/>
        </w:rPr>
        <w:t>(Ask IFC)</w:t>
      </w:r>
      <w:r w:rsidRPr="00B95F85">
        <w:rPr>
          <w:rFonts w:ascii="Arial" w:hAnsi="Arial"/>
          <w:sz w:val="24"/>
        </w:rPr>
        <w:t xml:space="preserve"> What challenges have you experienced in increasing the capacity and capability of stakeholders through the programme, and how have you addressed them?</w:t>
      </w:r>
    </w:p>
    <w:p w:rsidRPr="00B95F85" w:rsidR="004A3DCA" w:rsidP="002C57BB" w:rsidRDefault="004A3DCA" w14:paraId="6AE237C1" w14:textId="7FE6AA99">
      <w:pPr>
        <w:pStyle w:val="ListParagraph"/>
        <w:numPr>
          <w:ilvl w:val="0"/>
          <w:numId w:val="56"/>
        </w:numPr>
      </w:pPr>
      <w:r w:rsidRPr="00B95F85">
        <w:rPr>
          <w:rFonts w:ascii="Arial" w:hAnsi="Arial"/>
          <w:sz w:val="24"/>
        </w:rPr>
        <w:t>How does the programme ensure the quality and impact of the advisory services provided to financial intermediaries?</w:t>
      </w:r>
    </w:p>
    <w:p w:rsidRPr="009A71CF" w:rsidR="004A3DCA" w:rsidP="002C57BB" w:rsidRDefault="004A3DCA" w14:paraId="0381D6D6" w14:textId="4F2BAF7C">
      <w:pPr>
        <w:pStyle w:val="ListParagraph"/>
        <w:numPr>
          <w:ilvl w:val="0"/>
          <w:numId w:val="48"/>
        </w:numPr>
      </w:pPr>
      <w:r w:rsidRPr="00B95F85">
        <w:rPr>
          <w:rFonts w:ascii="Arial" w:hAnsi="Arial"/>
          <w:sz w:val="24"/>
        </w:rPr>
        <w:t>To what extent does the number of active EDGE users indicate progress and success of the programme? If so, in what ways?</w:t>
      </w:r>
    </w:p>
    <w:p w:rsidRPr="002C57BB" w:rsidR="004A3DCA" w:rsidP="002C57BB" w:rsidRDefault="004A3DCA" w14:paraId="271B7CA0" w14:textId="59F80448">
      <w:pPr>
        <w:pStyle w:val="ListParagraph"/>
        <w:numPr>
          <w:ilvl w:val="0"/>
          <w:numId w:val="48"/>
        </w:numPr>
        <w:rPr>
          <w:rStyle w:val="Boldtext"/>
          <w:rFonts w:ascii="Arial" w:hAnsi="Arial"/>
          <w:sz w:val="24"/>
        </w:rPr>
      </w:pPr>
      <w:r w:rsidRPr="00CD4C06">
        <w:rPr>
          <w:rStyle w:val="Boldtext"/>
          <w:rFonts w:ascii="Arial" w:hAnsi="Arial"/>
          <w:sz w:val="24"/>
        </w:rPr>
        <w:t>Innovation</w:t>
      </w:r>
    </w:p>
    <w:p w:rsidRPr="00CD4C06" w:rsidR="004A3DCA" w:rsidP="002C57BB" w:rsidRDefault="004A3DCA" w14:paraId="6488D865" w14:textId="1AC92F00">
      <w:pPr>
        <w:pStyle w:val="ListParagraph"/>
        <w:numPr>
          <w:ilvl w:val="0"/>
          <w:numId w:val="57"/>
        </w:numPr>
      </w:pPr>
      <w:r w:rsidRPr="00CD4C06">
        <w:rPr>
          <w:rFonts w:ascii="Arial" w:hAnsi="Arial"/>
          <w:sz w:val="24"/>
        </w:rPr>
        <w:t>What effects have you observed after the EDGE and CAFI tool improvements? (on the use of the platforms by financial institutions, auditors, green building experts) Can you share examples?</w:t>
      </w:r>
    </w:p>
    <w:p w:rsidRPr="00CD4C06" w:rsidR="004A3DCA" w:rsidP="002C57BB" w:rsidRDefault="004A3DCA" w14:paraId="70E28576" w14:textId="331CDB9B">
      <w:pPr>
        <w:pStyle w:val="ListParagraph"/>
        <w:numPr>
          <w:ilvl w:val="0"/>
          <w:numId w:val="57"/>
        </w:numPr>
      </w:pPr>
      <w:r w:rsidRPr="00CD4C06">
        <w:rPr>
          <w:rFonts w:ascii="Arial" w:hAnsi="Arial"/>
          <w:sz w:val="24"/>
        </w:rPr>
        <w:t>Do the EDGE and CAFI tools represent an innovation in the green building market? In what way?</w:t>
      </w:r>
    </w:p>
    <w:p w:rsidRPr="00CD4C06" w:rsidR="004A3DCA" w:rsidP="002C57BB" w:rsidRDefault="004A3DCA" w14:paraId="3D26F9DA" w14:textId="7521A385">
      <w:pPr>
        <w:pStyle w:val="ListParagraph"/>
        <w:numPr>
          <w:ilvl w:val="0"/>
          <w:numId w:val="57"/>
        </w:numPr>
      </w:pPr>
      <w:r w:rsidRPr="00CD4C06">
        <w:rPr>
          <w:rFonts w:ascii="Arial" w:hAnsi="Arial"/>
          <w:sz w:val="24"/>
        </w:rPr>
        <w:t xml:space="preserve">Can you provide examples of how the recommended changes from EDGE have been implemented by entities? </w:t>
      </w:r>
    </w:p>
    <w:p w:rsidRPr="00CD4C06" w:rsidR="004A3DCA" w:rsidP="002C57BB" w:rsidRDefault="004A3DCA" w14:paraId="1B4BEEF3" w14:textId="268B19D5">
      <w:pPr>
        <w:pStyle w:val="ListParagraph"/>
        <w:numPr>
          <w:ilvl w:val="0"/>
          <w:numId w:val="57"/>
        </w:numPr>
      </w:pPr>
      <w:r w:rsidRPr="00CD4C06">
        <w:rPr>
          <w:rFonts w:ascii="Arial" w:hAnsi="Arial"/>
          <w:sz w:val="24"/>
        </w:rPr>
        <w:t>How does the programme ensure that the improved EDGE and CAFI tools are effectively utilised by the entities?</w:t>
      </w:r>
    </w:p>
    <w:p w:rsidRPr="00CD4C06" w:rsidR="004A3DCA" w:rsidP="002C57BB" w:rsidRDefault="004A3DCA" w14:paraId="4B1A9015" w14:textId="416AC53D">
      <w:pPr>
        <w:pStyle w:val="ListParagraph"/>
        <w:numPr>
          <w:ilvl w:val="0"/>
          <w:numId w:val="57"/>
        </w:numPr>
      </w:pPr>
      <w:r w:rsidRPr="00CD4C06">
        <w:rPr>
          <w:rFonts w:ascii="Arial" w:hAnsi="Arial"/>
          <w:sz w:val="24"/>
        </w:rPr>
        <w:t>What future improvements are planned for the EDGE and CAFI tools to foster innovation within the programme?</w:t>
      </w:r>
    </w:p>
    <w:p w:rsidRPr="002C57BB" w:rsidR="004A3DCA" w:rsidP="002C57BB" w:rsidRDefault="004A3DCA" w14:paraId="55164B1F" w14:textId="381D8C3A">
      <w:pPr>
        <w:pStyle w:val="ListParagraph"/>
        <w:numPr>
          <w:ilvl w:val="0"/>
          <w:numId w:val="48"/>
        </w:numPr>
        <w:rPr>
          <w:rStyle w:val="Boldtext"/>
          <w:rFonts w:ascii="Arial" w:hAnsi="Arial"/>
          <w:sz w:val="24"/>
        </w:rPr>
      </w:pPr>
      <w:r w:rsidRPr="00CD4C06">
        <w:rPr>
          <w:rStyle w:val="Boldtext"/>
          <w:rFonts w:ascii="Arial" w:hAnsi="Arial"/>
          <w:sz w:val="24"/>
        </w:rPr>
        <w:t>Leverage/creating incentives for others to act</w:t>
      </w:r>
    </w:p>
    <w:p w:rsidRPr="00CD4C06" w:rsidR="004A3DCA" w:rsidP="002C57BB" w:rsidRDefault="004A3DCA" w14:paraId="534CC7C4" w14:textId="60996975">
      <w:pPr>
        <w:pStyle w:val="ListParagraph"/>
        <w:numPr>
          <w:ilvl w:val="1"/>
          <w:numId w:val="48"/>
        </w:numPr>
      </w:pPr>
      <w:r w:rsidRPr="00CD4C06">
        <w:rPr>
          <w:rFonts w:ascii="Arial" w:hAnsi="Arial"/>
          <w:sz w:val="24"/>
        </w:rPr>
        <w:t>To what extent is the programme encouraging replication of finance for green building project costs?</w:t>
      </w:r>
    </w:p>
    <w:p w:rsidRPr="00CD4C06" w:rsidR="004A3DCA" w:rsidP="002C57BB" w:rsidRDefault="004A3DCA" w14:paraId="43988C6F" w14:textId="786F85EB">
      <w:pPr>
        <w:pStyle w:val="ListParagraph"/>
        <w:numPr>
          <w:ilvl w:val="1"/>
          <w:numId w:val="48"/>
        </w:numPr>
      </w:pPr>
      <w:r w:rsidRPr="00CD4C06">
        <w:rPr>
          <w:rFonts w:ascii="Arial" w:hAnsi="Arial"/>
          <w:sz w:val="24"/>
        </w:rPr>
        <w:t>What effects have you observed, if any, in the financial intermediaries that have committed to MAGC blended finance (in terms of activities, decisions, and understanding of green buildings)? Can you share examples?</w:t>
      </w:r>
    </w:p>
    <w:p w:rsidRPr="002C57BB" w:rsidR="004A3DCA" w:rsidP="002C57BB" w:rsidRDefault="004A3DCA" w14:paraId="4E505D2F" w14:textId="69716F18">
      <w:pPr>
        <w:pStyle w:val="ListParagraph"/>
        <w:numPr>
          <w:ilvl w:val="0"/>
          <w:numId w:val="48"/>
        </w:numPr>
        <w:rPr>
          <w:rStyle w:val="Boldtext"/>
          <w:rFonts w:ascii="Arial" w:hAnsi="Arial"/>
          <w:sz w:val="24"/>
        </w:rPr>
      </w:pPr>
      <w:r w:rsidRPr="00CD4C06">
        <w:rPr>
          <w:rStyle w:val="Boldtext"/>
          <w:rFonts w:ascii="Arial" w:hAnsi="Arial"/>
          <w:sz w:val="24"/>
        </w:rPr>
        <w:t>Critical mass</w:t>
      </w:r>
    </w:p>
    <w:p w:rsidRPr="00CD4C06" w:rsidR="004A3DCA" w:rsidP="002C57BB" w:rsidRDefault="004A3DCA" w14:paraId="7C13AC43" w14:textId="3FBFED1F">
      <w:pPr>
        <w:pStyle w:val="ListParagraph"/>
        <w:numPr>
          <w:ilvl w:val="1"/>
          <w:numId w:val="48"/>
        </w:numPr>
      </w:pPr>
      <w:r w:rsidRPr="00CD4C06">
        <w:rPr>
          <w:rFonts w:ascii="Arial" w:hAnsi="Arial"/>
          <w:sz w:val="24"/>
        </w:rPr>
        <w:t>To what extent has the programme influenced the entry of additional financial intermediaries into green building markets? Can you provide specific examples?</w:t>
      </w:r>
    </w:p>
    <w:p w:rsidRPr="009A71CF" w:rsidR="004A3DCA" w:rsidP="004A3DCA" w:rsidRDefault="004A3DCA" w14:paraId="19C47E87" w14:textId="77777777">
      <w:pPr>
        <w:rPr>
          <w:rStyle w:val="Boldtext"/>
        </w:rPr>
      </w:pPr>
      <w:r w:rsidRPr="009A71CF">
        <w:rPr>
          <w:rStyle w:val="Boldtext"/>
        </w:rPr>
        <w:t xml:space="preserve">GEDSI </w:t>
      </w:r>
    </w:p>
    <w:p w:rsidRPr="00CD4C06" w:rsidR="004A3DCA" w:rsidP="002C57BB" w:rsidRDefault="004A3DCA" w14:paraId="2236C202" w14:textId="1A2CA36D">
      <w:pPr>
        <w:pStyle w:val="ListParagraph"/>
        <w:numPr>
          <w:ilvl w:val="0"/>
          <w:numId w:val="48"/>
        </w:numPr>
        <w:rPr>
          <w:rStyle w:val="Italic"/>
        </w:rPr>
      </w:pPr>
      <w:r w:rsidRPr="00CD4C06">
        <w:rPr>
          <w:rFonts w:ascii="Arial" w:hAnsi="Arial"/>
          <w:sz w:val="24"/>
        </w:rPr>
        <w:t xml:space="preserve">Green buildings and GEDSI </w:t>
      </w:r>
      <w:r w:rsidRPr="00CD4C06">
        <w:rPr>
          <w:rStyle w:val="Italic"/>
          <w:rFonts w:ascii="Arial" w:hAnsi="Arial"/>
          <w:sz w:val="24"/>
        </w:rPr>
        <w:t>Ask all</w:t>
      </w:r>
    </w:p>
    <w:p w:rsidRPr="00CD4C06" w:rsidR="004A3DCA" w:rsidP="002C57BB" w:rsidRDefault="004A3DCA" w14:paraId="29BD8CB6" w14:textId="3D863A74">
      <w:pPr>
        <w:pStyle w:val="ListParagraph"/>
        <w:numPr>
          <w:ilvl w:val="1"/>
          <w:numId w:val="48"/>
        </w:numPr>
      </w:pPr>
      <w:r w:rsidRPr="00CD4C06">
        <w:rPr>
          <w:rFonts w:ascii="Arial" w:hAnsi="Arial"/>
          <w:sz w:val="24"/>
        </w:rPr>
        <w:t>Which groups do you believe are most impacted by the construction of green buildings?</w:t>
      </w:r>
    </w:p>
    <w:p w:rsidRPr="00CD4C06" w:rsidR="004A3DCA" w:rsidP="002C57BB" w:rsidRDefault="004A3DCA" w14:paraId="67CBEE9E" w14:textId="617D5446">
      <w:pPr>
        <w:pStyle w:val="ListParagraph"/>
        <w:numPr>
          <w:ilvl w:val="1"/>
          <w:numId w:val="48"/>
        </w:numPr>
      </w:pPr>
      <w:r w:rsidRPr="00CD4C06">
        <w:rPr>
          <w:rFonts w:ascii="Arial" w:hAnsi="Arial"/>
          <w:sz w:val="24"/>
        </w:rPr>
        <w:t>Are you aware of any ways in which green buildings could unintentionally disadvantage certain groups? Some probes:</w:t>
      </w:r>
    </w:p>
    <w:p w:rsidRPr="00CD4C06" w:rsidR="004A3DCA" w:rsidP="002C57BB" w:rsidRDefault="004A3DCA" w14:paraId="158E0EB3" w14:textId="2016DCFF">
      <w:pPr>
        <w:pStyle w:val="ListParagraph"/>
        <w:numPr>
          <w:ilvl w:val="0"/>
          <w:numId w:val="59"/>
        </w:numPr>
      </w:pPr>
      <w:r w:rsidRPr="00CD4C06">
        <w:rPr>
          <w:rFonts w:ascii="Arial" w:hAnsi="Arial"/>
          <w:sz w:val="24"/>
        </w:rPr>
        <w:t>Affordability of green housing for low-income groups or single-parent households</w:t>
      </w:r>
    </w:p>
    <w:p w:rsidRPr="00CD4C06" w:rsidR="004A3DCA" w:rsidP="002C57BB" w:rsidRDefault="004A3DCA" w14:paraId="05D6A0B4" w14:textId="2828D4C4">
      <w:pPr>
        <w:pStyle w:val="ListParagraph"/>
        <w:numPr>
          <w:ilvl w:val="0"/>
          <w:numId w:val="59"/>
        </w:numPr>
      </w:pPr>
      <w:r w:rsidRPr="00CD4C06">
        <w:rPr>
          <w:rFonts w:ascii="Arial" w:hAnsi="Arial"/>
          <w:sz w:val="24"/>
        </w:rPr>
        <w:t>Accessibility for people with disabilities</w:t>
      </w:r>
    </w:p>
    <w:p w:rsidRPr="00CD4C06" w:rsidR="004A3DCA" w:rsidP="002C57BB" w:rsidRDefault="004A3DCA" w14:paraId="15DFCB4C" w14:textId="41772A89">
      <w:pPr>
        <w:pStyle w:val="ListParagraph"/>
        <w:numPr>
          <w:ilvl w:val="0"/>
          <w:numId w:val="59"/>
        </w:numPr>
      </w:pPr>
      <w:r w:rsidRPr="00CD4C06">
        <w:rPr>
          <w:rFonts w:ascii="Arial" w:hAnsi="Arial"/>
          <w:sz w:val="24"/>
        </w:rPr>
        <w:t>Any challenges related to location of green buildings for certain groups (women, single-parent households, ethnic minorities including indigenous groups)</w:t>
      </w:r>
    </w:p>
    <w:p w:rsidRPr="00CD4C06" w:rsidR="004A3DCA" w:rsidP="002C57BB" w:rsidRDefault="004A3DCA" w14:paraId="4586D509" w14:textId="13A7A09D">
      <w:pPr>
        <w:pStyle w:val="ListParagraph"/>
        <w:numPr>
          <w:ilvl w:val="0"/>
          <w:numId w:val="48"/>
        </w:numPr>
      </w:pPr>
      <w:r w:rsidRPr="00CD4C06">
        <w:rPr>
          <w:rStyle w:val="Boldtext"/>
          <w:rFonts w:ascii="Arial" w:hAnsi="Arial"/>
          <w:sz w:val="24"/>
        </w:rPr>
        <w:t>Delivery</w:t>
      </w:r>
      <w:r w:rsidRPr="00CD4C06">
        <w:rPr>
          <w:rFonts w:ascii="Arial" w:hAnsi="Arial"/>
          <w:sz w:val="24"/>
        </w:rPr>
        <w:t xml:space="preserve"> </w:t>
      </w:r>
      <w:r w:rsidRPr="00CD4C06">
        <w:rPr>
          <w:rStyle w:val="Italic"/>
          <w:rFonts w:ascii="Arial" w:hAnsi="Arial"/>
          <w:sz w:val="24"/>
        </w:rPr>
        <w:t>Ask IFC and DESNZ programme lead</w:t>
      </w:r>
    </w:p>
    <w:p w:rsidRPr="00CD4C06" w:rsidR="004A3DCA" w:rsidP="002C57BB" w:rsidRDefault="004A3DCA" w14:paraId="60A79D79" w14:textId="20C96E85">
      <w:pPr>
        <w:pStyle w:val="ListParagraph"/>
        <w:numPr>
          <w:ilvl w:val="1"/>
          <w:numId w:val="48"/>
        </w:numPr>
      </w:pPr>
      <w:r w:rsidRPr="00CD4C06">
        <w:rPr>
          <w:rFonts w:ascii="Arial" w:hAnsi="Arial"/>
          <w:sz w:val="24"/>
        </w:rPr>
        <w:t xml:space="preserve">To what extent have unintended benefits relating to GEDSI been realised during MAGC delivery? </w:t>
      </w:r>
    </w:p>
    <w:p w:rsidRPr="00CD4C06" w:rsidR="004A3DCA" w:rsidP="002C57BB" w:rsidRDefault="004A3DCA" w14:paraId="195117AE" w14:textId="6AA1A2BB">
      <w:pPr>
        <w:pStyle w:val="ListParagraph"/>
        <w:numPr>
          <w:ilvl w:val="1"/>
          <w:numId w:val="48"/>
        </w:numPr>
      </w:pPr>
      <w:r w:rsidRPr="00CD4C06">
        <w:rPr>
          <w:rFonts w:ascii="Arial" w:hAnsi="Arial"/>
          <w:sz w:val="24"/>
        </w:rPr>
        <w:t>To what extent did MAGC support these benefits from occurring?</w:t>
      </w:r>
    </w:p>
    <w:p w:rsidRPr="00CD4C06" w:rsidR="004A3DCA" w:rsidP="002C57BB" w:rsidRDefault="004A3DCA" w14:paraId="57063731" w14:textId="55ECC589">
      <w:pPr>
        <w:pStyle w:val="ListParagraph"/>
        <w:numPr>
          <w:ilvl w:val="1"/>
          <w:numId w:val="48"/>
        </w:numPr>
      </w:pPr>
      <w:r w:rsidRPr="00CD4C06">
        <w:rPr>
          <w:rFonts w:ascii="Arial" w:hAnsi="Arial"/>
          <w:sz w:val="24"/>
        </w:rPr>
        <w:t>To what extent did MAGC prevent GEDSI benefits from occurring?</w:t>
      </w:r>
    </w:p>
    <w:p w:rsidRPr="00CD4C06" w:rsidR="004A3DCA" w:rsidP="002C57BB" w:rsidRDefault="004A3DCA" w14:paraId="2480297F" w14:textId="7762FE4B">
      <w:pPr>
        <w:pStyle w:val="ListParagraph"/>
        <w:numPr>
          <w:ilvl w:val="1"/>
          <w:numId w:val="48"/>
        </w:numPr>
      </w:pPr>
      <w:r w:rsidRPr="00CD4C06">
        <w:rPr>
          <w:rFonts w:ascii="Arial" w:hAnsi="Arial"/>
          <w:sz w:val="24"/>
        </w:rPr>
        <w:t>Did any external factors contribute to these benefits or prevent benefits?</w:t>
      </w:r>
    </w:p>
    <w:p w:rsidRPr="00CD4C06" w:rsidR="004A3DCA" w:rsidP="002C57BB" w:rsidRDefault="004A3DCA" w14:paraId="63C4A6AE" w14:textId="2BC2882C">
      <w:pPr>
        <w:pStyle w:val="ListParagraph"/>
        <w:numPr>
          <w:ilvl w:val="0"/>
          <w:numId w:val="48"/>
        </w:numPr>
      </w:pPr>
      <w:r w:rsidRPr="00CD4C06">
        <w:rPr>
          <w:rStyle w:val="Boldtext"/>
          <w:rFonts w:ascii="Arial" w:hAnsi="Arial"/>
          <w:sz w:val="24"/>
        </w:rPr>
        <w:t>Indicators</w:t>
      </w:r>
      <w:r w:rsidRPr="00CD4C06">
        <w:rPr>
          <w:rFonts w:ascii="Arial" w:hAnsi="Arial"/>
          <w:sz w:val="24"/>
        </w:rPr>
        <w:t xml:space="preserve"> </w:t>
      </w:r>
      <w:r w:rsidRPr="00CD4C06">
        <w:rPr>
          <w:rStyle w:val="Italic"/>
          <w:rFonts w:ascii="Arial" w:hAnsi="Arial"/>
          <w:sz w:val="24"/>
        </w:rPr>
        <w:t>Ask all</w:t>
      </w:r>
    </w:p>
    <w:p w:rsidRPr="00CD4C06" w:rsidR="004A3DCA" w:rsidP="002C57BB" w:rsidRDefault="004A3DCA" w14:paraId="0A3B4E3C" w14:textId="60EEBC73">
      <w:pPr>
        <w:pStyle w:val="ListParagraph"/>
        <w:numPr>
          <w:ilvl w:val="1"/>
          <w:numId w:val="48"/>
        </w:numPr>
      </w:pPr>
      <w:r w:rsidRPr="00CD4C06">
        <w:rPr>
          <w:rFonts w:ascii="Arial" w:hAnsi="Arial"/>
          <w:sz w:val="24"/>
        </w:rPr>
        <w:t xml:space="preserve">To what extent have women benefitted from EDGE expert accreditation? To what extent have other marginalised groups benefitted from EDGE expert accreditation? </w:t>
      </w:r>
    </w:p>
    <w:p w:rsidRPr="00CD4C06" w:rsidR="004A3DCA" w:rsidP="002C57BB" w:rsidRDefault="004A3DCA" w14:paraId="2035124A" w14:textId="41C07805">
      <w:pPr>
        <w:pStyle w:val="ListParagraph"/>
        <w:numPr>
          <w:ilvl w:val="1"/>
          <w:numId w:val="48"/>
        </w:numPr>
      </w:pPr>
      <w:r w:rsidRPr="00CD4C06">
        <w:rPr>
          <w:rFonts w:ascii="Arial" w:hAnsi="Arial"/>
          <w:sz w:val="24"/>
        </w:rPr>
        <w:t xml:space="preserve">What benefits are associated with EDGE expert accreditation? </w:t>
      </w:r>
    </w:p>
    <w:p w:rsidRPr="00CD4C06" w:rsidR="004A3DCA" w:rsidP="002C57BB" w:rsidRDefault="004A3DCA" w14:paraId="2F0B6718" w14:textId="0FC93568">
      <w:pPr>
        <w:pStyle w:val="ListParagraph"/>
        <w:numPr>
          <w:ilvl w:val="1"/>
          <w:numId w:val="48"/>
        </w:numPr>
      </w:pPr>
      <w:r w:rsidRPr="00CD4C06">
        <w:rPr>
          <w:rStyle w:val="Italic"/>
          <w:rFonts w:ascii="Arial" w:hAnsi="Arial"/>
          <w:sz w:val="24"/>
        </w:rPr>
        <w:t>(Ask IFC)</w:t>
      </w:r>
      <w:r w:rsidRPr="00CD4C06">
        <w:rPr>
          <w:rFonts w:ascii="Arial" w:hAnsi="Arial"/>
          <w:sz w:val="24"/>
        </w:rPr>
        <w:t xml:space="preserve"> What are the barriers and enablers to positive benefits being achieved?</w:t>
      </w:r>
    </w:p>
    <w:p w:rsidRPr="00CD4C06" w:rsidR="004A3DCA" w:rsidP="002C57BB" w:rsidRDefault="004A3DCA" w14:paraId="637EBEC3" w14:textId="3512853D">
      <w:pPr>
        <w:pStyle w:val="ListParagraph"/>
        <w:numPr>
          <w:ilvl w:val="1"/>
          <w:numId w:val="48"/>
        </w:numPr>
      </w:pPr>
      <w:r w:rsidRPr="00CD4C06">
        <w:rPr>
          <w:rFonts w:ascii="Arial" w:hAnsi="Arial"/>
          <w:sz w:val="24"/>
        </w:rPr>
        <w:t>To what extent has MAGC increased the availability of affordable housing? In your view, who tends to benefit from this? To what extent are marginalised groups benefitting from this? What are the barriers and enablers to positive benefits being achieved?</w:t>
      </w:r>
    </w:p>
    <w:p w:rsidRPr="00CD4C06" w:rsidR="004A3DCA" w:rsidP="002C57BB" w:rsidRDefault="004A3DCA" w14:paraId="10691DC7" w14:textId="228E4051">
      <w:pPr>
        <w:pStyle w:val="ListParagraph"/>
        <w:numPr>
          <w:ilvl w:val="1"/>
          <w:numId w:val="48"/>
        </w:numPr>
      </w:pPr>
      <w:r w:rsidRPr="00CD4C06">
        <w:rPr>
          <w:rFonts w:ascii="Arial" w:hAnsi="Arial"/>
          <w:sz w:val="24"/>
        </w:rPr>
        <w:t>Is IFC/DESNZ considering adding any indicators relating to GEDSI as part of ongoing reviews of the Logframe?</w:t>
      </w:r>
    </w:p>
    <w:p w:rsidRPr="00CD4C06" w:rsidR="004A3DCA" w:rsidP="002C57BB" w:rsidRDefault="004A3DCA" w14:paraId="2BA81417" w14:textId="46461E05">
      <w:pPr>
        <w:pStyle w:val="ListParagraph"/>
        <w:numPr>
          <w:ilvl w:val="0"/>
          <w:numId w:val="48"/>
        </w:numPr>
      </w:pPr>
      <w:r w:rsidRPr="00CD4C06">
        <w:rPr>
          <w:rStyle w:val="Boldtext"/>
          <w:rFonts w:ascii="Arial" w:hAnsi="Arial"/>
          <w:sz w:val="24"/>
        </w:rPr>
        <w:t>Future programme design</w:t>
      </w:r>
      <w:r w:rsidRPr="00CD4C06">
        <w:rPr>
          <w:rFonts w:ascii="Arial" w:hAnsi="Arial"/>
          <w:sz w:val="24"/>
        </w:rPr>
        <w:t xml:space="preserve"> </w:t>
      </w:r>
      <w:r w:rsidRPr="00CD4C06">
        <w:rPr>
          <w:rStyle w:val="Italic"/>
          <w:rFonts w:ascii="Arial" w:hAnsi="Arial"/>
          <w:sz w:val="24"/>
        </w:rPr>
        <w:t>Ask all</w:t>
      </w:r>
    </w:p>
    <w:p w:rsidRPr="00CD4C06" w:rsidR="004A3DCA" w:rsidP="002C57BB" w:rsidRDefault="004A3DCA" w14:paraId="6A17840E" w14:textId="0AFA814F">
      <w:pPr>
        <w:pStyle w:val="ListParagraph"/>
        <w:numPr>
          <w:ilvl w:val="1"/>
          <w:numId w:val="48"/>
        </w:numPr>
      </w:pPr>
      <w:r w:rsidRPr="00CD4C06">
        <w:rPr>
          <w:rFonts w:ascii="Arial" w:hAnsi="Arial"/>
          <w:sz w:val="24"/>
        </w:rPr>
        <w:t xml:space="preserve">What processes are in place to capture and share learnings on GEDSI, within MAGC and with the wider sector? Are there any planned processes to do this in future? </w:t>
      </w:r>
    </w:p>
    <w:p w:rsidRPr="00CD4C06" w:rsidR="004A3DCA" w:rsidP="002C57BB" w:rsidRDefault="004A3DCA" w14:paraId="2331F4CA" w14:textId="473F5EDC">
      <w:pPr>
        <w:pStyle w:val="ListParagraph"/>
        <w:numPr>
          <w:ilvl w:val="1"/>
          <w:numId w:val="48"/>
        </w:numPr>
      </w:pPr>
      <w:r w:rsidRPr="00CD4C06">
        <w:rPr>
          <w:rFonts w:ascii="Arial" w:hAnsi="Arial"/>
          <w:sz w:val="24"/>
        </w:rPr>
        <w:t xml:space="preserve">To what extent do you think it's feasible for future programming on green construction to include social impact as a key aim? E.g. within business case development, </w:t>
      </w:r>
      <w:proofErr w:type="spellStart"/>
      <w:r w:rsidRPr="00CD4C06">
        <w:rPr>
          <w:rFonts w:ascii="Arial" w:hAnsi="Arial"/>
          <w:sz w:val="24"/>
        </w:rPr>
        <w:t>ToRs</w:t>
      </w:r>
      <w:proofErr w:type="spellEnd"/>
      <w:r w:rsidRPr="00CD4C06">
        <w:rPr>
          <w:rFonts w:ascii="Arial" w:hAnsi="Arial"/>
          <w:sz w:val="24"/>
        </w:rPr>
        <w:t xml:space="preserve">, programme design, design of M&amp;E processes. What are the enablers/ barriers to including it? </w:t>
      </w:r>
    </w:p>
    <w:p w:rsidRPr="00CD4C06" w:rsidR="004A3DCA" w:rsidP="002C57BB" w:rsidRDefault="004A3DCA" w14:paraId="4E88ABD8" w14:textId="6526E95F">
      <w:pPr>
        <w:pStyle w:val="ListParagraph"/>
        <w:numPr>
          <w:ilvl w:val="1"/>
          <w:numId w:val="48"/>
        </w:numPr>
      </w:pPr>
      <w:r w:rsidRPr="00CD4C06">
        <w:rPr>
          <w:rFonts w:ascii="Arial" w:hAnsi="Arial"/>
          <w:sz w:val="24"/>
        </w:rPr>
        <w:t xml:space="preserve">What role should different stakeholder groups play in future programming to facilitate the inclusion of GEDSI in design and delivery? What role do you think your organisation should play? </w:t>
      </w:r>
    </w:p>
    <w:p w:rsidRPr="00CD4C06" w:rsidR="004A3DCA" w:rsidP="002C57BB" w:rsidRDefault="004A3DCA" w14:paraId="6C355BBA" w14:textId="20D3DE58">
      <w:pPr>
        <w:pStyle w:val="ListParagraph"/>
        <w:numPr>
          <w:ilvl w:val="1"/>
          <w:numId w:val="48"/>
        </w:numPr>
      </w:pPr>
      <w:r w:rsidRPr="00CD4C06">
        <w:rPr>
          <w:rFonts w:ascii="Arial" w:hAnsi="Arial"/>
          <w:sz w:val="24"/>
        </w:rPr>
        <w:t>Which other indicators do you think it would have been useful to include in the original MAGC Logframe to monitor GEDSI objectives?</w:t>
      </w:r>
    </w:p>
    <w:p w:rsidRPr="009A71CF" w:rsidR="004A3DCA" w:rsidP="004A3DCA" w:rsidRDefault="004A3DCA" w14:paraId="560CDBBD" w14:textId="77777777">
      <w:pPr>
        <w:rPr>
          <w:rStyle w:val="Italic"/>
        </w:rPr>
      </w:pPr>
      <w:r w:rsidRPr="009A71CF">
        <w:rPr>
          <w:rStyle w:val="Boldtext"/>
        </w:rPr>
        <w:t>Value for Money</w:t>
      </w:r>
      <w:r w:rsidRPr="009A71CF">
        <w:t xml:space="preserve"> </w:t>
      </w:r>
      <w:r w:rsidRPr="009A71CF">
        <w:rPr>
          <w:rStyle w:val="Italic"/>
        </w:rPr>
        <w:t>Ask all</w:t>
      </w:r>
    </w:p>
    <w:p w:rsidRPr="00CD4C06" w:rsidR="004A3DCA" w:rsidP="002C57BB" w:rsidRDefault="004A3DCA" w14:paraId="4656D486" w14:textId="7B05A0F8">
      <w:pPr>
        <w:pStyle w:val="ListParagraph"/>
        <w:numPr>
          <w:ilvl w:val="0"/>
          <w:numId w:val="48"/>
        </w:numPr>
      </w:pPr>
      <w:r w:rsidRPr="00CD4C06">
        <w:rPr>
          <w:rFonts w:ascii="Arial" w:hAnsi="Arial"/>
          <w:sz w:val="24"/>
        </w:rPr>
        <w:t>Have there been efforts to keep costs at reasonable levels when delivering under MAGC? If so, what were these efforts?</w:t>
      </w:r>
    </w:p>
    <w:p w:rsidRPr="00CD4C06" w:rsidR="004A3DCA" w:rsidP="002C57BB" w:rsidRDefault="004A3DCA" w14:paraId="0C2403FB" w14:textId="21FD437B">
      <w:pPr>
        <w:pStyle w:val="ListParagraph"/>
        <w:numPr>
          <w:ilvl w:val="0"/>
          <w:numId w:val="48"/>
        </w:numPr>
      </w:pPr>
      <w:r w:rsidRPr="00CD4C06">
        <w:rPr>
          <w:rFonts w:ascii="Arial" w:hAnsi="Arial"/>
          <w:sz w:val="24"/>
        </w:rPr>
        <w:t>What processes are in place to track/review costs and progress against milestones and are they effective?</w:t>
      </w:r>
    </w:p>
    <w:p w:rsidRPr="00CD4C06" w:rsidR="004A3DCA" w:rsidP="002C57BB" w:rsidRDefault="004A3DCA" w14:paraId="5CB96BDB" w14:textId="0C12830E">
      <w:pPr>
        <w:pStyle w:val="ListParagraph"/>
        <w:numPr>
          <w:ilvl w:val="0"/>
          <w:numId w:val="48"/>
        </w:numPr>
      </w:pPr>
      <w:r w:rsidRPr="00CD4C06">
        <w:rPr>
          <w:rFonts w:ascii="Arial" w:hAnsi="Arial"/>
          <w:sz w:val="24"/>
        </w:rPr>
        <w:t>Are there any best practices from other programmes that have been/can be integrated into the delivery of MAGC?</w:t>
      </w:r>
    </w:p>
    <w:p w:rsidRPr="009A71CF" w:rsidR="004A3DCA" w:rsidP="004A3DCA" w:rsidRDefault="004A3DCA" w14:paraId="506B88D3" w14:textId="77777777">
      <w:pPr>
        <w:rPr>
          <w:rStyle w:val="Boldtext"/>
        </w:rPr>
      </w:pPr>
      <w:r w:rsidRPr="009A71CF">
        <w:rPr>
          <w:rStyle w:val="Boldtext"/>
        </w:rPr>
        <w:t>Wrap up Ask all</w:t>
      </w:r>
    </w:p>
    <w:p w:rsidRPr="00CD4C06" w:rsidR="004A3DCA" w:rsidP="002C57BB" w:rsidRDefault="004A3DCA" w14:paraId="486CDF71" w14:textId="3D3A5A7F">
      <w:pPr>
        <w:pStyle w:val="ListParagraph"/>
        <w:numPr>
          <w:ilvl w:val="0"/>
          <w:numId w:val="48"/>
        </w:numPr>
      </w:pPr>
      <w:r w:rsidRPr="00CD4C06">
        <w:rPr>
          <w:rFonts w:ascii="Arial" w:hAnsi="Arial"/>
          <w:sz w:val="24"/>
        </w:rPr>
        <w:t>Is there anything else that we haven’t discussed that you would like to share or that you think will be important for the evaluation?</w:t>
      </w:r>
    </w:p>
    <w:p w:rsidRPr="00CD4C06" w:rsidR="004A3DCA" w:rsidP="002C57BB" w:rsidRDefault="004A3DCA" w14:paraId="13C4D542" w14:textId="02AE8CA3">
      <w:pPr>
        <w:pStyle w:val="ListParagraph"/>
        <w:numPr>
          <w:ilvl w:val="0"/>
          <w:numId w:val="48"/>
        </w:numPr>
      </w:pPr>
      <w:r w:rsidRPr="00CD4C06">
        <w:rPr>
          <w:rFonts w:ascii="Arial" w:hAnsi="Arial"/>
          <w:sz w:val="24"/>
        </w:rPr>
        <w:t>Are you happy for us to use this interview for the evaluation?</w:t>
      </w:r>
    </w:p>
    <w:p w:rsidRPr="00CD4C06" w:rsidR="004A3DCA" w:rsidP="002C57BB" w:rsidRDefault="004A3DCA" w14:paraId="01360B57" w14:textId="7D55FC2A">
      <w:pPr>
        <w:pStyle w:val="ListParagraph"/>
        <w:numPr>
          <w:ilvl w:val="0"/>
          <w:numId w:val="48"/>
        </w:numPr>
      </w:pPr>
      <w:r w:rsidRPr="00CD4C06">
        <w:rPr>
          <w:rFonts w:ascii="Arial" w:hAnsi="Arial"/>
          <w:sz w:val="24"/>
        </w:rPr>
        <w:t>Are you happy to be recontacted by email if we have any follow-up questions or for an interview at a later stage in the evaluation?</w:t>
      </w:r>
    </w:p>
    <w:p w:rsidR="004A3DCA" w:rsidP="00EA1E4E" w:rsidRDefault="004A3DCA" w14:paraId="115DAB3A" w14:textId="64AE658F">
      <w:pPr>
        <w:pStyle w:val="Heading3"/>
      </w:pPr>
      <w:bookmarkStart w:name="_Toc179468563" w:id="136"/>
      <w:bookmarkStart w:name="_Toc179474013" w:id="137"/>
      <w:bookmarkStart w:name="_Toc181883597" w:id="138"/>
      <w:bookmarkStart w:name="_Toc188870881" w:id="139"/>
      <w:bookmarkStart w:name="_Toc207790220" w:id="140"/>
      <w:r>
        <w:t xml:space="preserve">T2/T3 Building Sector </w:t>
      </w:r>
      <w:r w:rsidR="00DD3244">
        <w:t>T</w:t>
      </w:r>
      <w:r w:rsidRPr="00DD3244" w:rsidR="00DD3244">
        <w:t xml:space="preserve">opic </w:t>
      </w:r>
      <w:r>
        <w:t>Guide</w:t>
      </w:r>
      <w:bookmarkEnd w:id="136"/>
      <w:bookmarkEnd w:id="137"/>
      <w:bookmarkEnd w:id="138"/>
      <w:bookmarkEnd w:id="139"/>
      <w:bookmarkEnd w:id="140"/>
    </w:p>
    <w:p w:rsidRPr="00C90F83" w:rsidR="004A3DCA" w:rsidP="004A3DCA" w:rsidRDefault="004A3DCA" w14:paraId="517E8066" w14:textId="77777777">
      <w:r w:rsidRPr="00C90F83">
        <w:t xml:space="preserve">Thank you for agreeing to take part in this interview. I am a </w:t>
      </w:r>
      <w:r w:rsidRPr="00E77D12">
        <w:rPr>
          <w:rStyle w:val="Italic"/>
        </w:rPr>
        <w:t>[role at Ipsos]</w:t>
      </w:r>
      <w:r w:rsidRPr="00C90F83">
        <w:t xml:space="preserve">, a global research company that specialises in social research and evaluation. My role on this evaluation is </w:t>
      </w:r>
      <w:r w:rsidRPr="00E77D12">
        <w:rPr>
          <w:rStyle w:val="Italic"/>
        </w:rPr>
        <w:t>[interviewer to add]</w:t>
      </w:r>
      <w:r w:rsidRPr="00C90F83">
        <w:t xml:space="preserve">.  </w:t>
      </w:r>
    </w:p>
    <w:p w:rsidRPr="00C90F83" w:rsidR="004A3DCA" w:rsidP="004A3DCA" w:rsidRDefault="004A3DCA" w14:paraId="7D10B476" w14:textId="77777777">
      <w:r w:rsidRPr="00C90F83">
        <w:t xml:space="preserve">Ipsos has been appointed by the UK Government as the Evaluation and Learning Partner for a programme delivered by International Finance Corporation (IFC), to accelerate the construction of certified green buildings. Our evaluation started in July 2023 and up until now </w:t>
      </w:r>
      <w:r w:rsidRPr="00C90F83">
        <w:t>we have completed the scoping phase and the process evaluation phase. We are currently in the early outcome and value for money (VfM) phase.</w:t>
      </w:r>
    </w:p>
    <w:p w:rsidRPr="00C90F83" w:rsidR="004A3DCA" w:rsidP="004A3DCA" w:rsidRDefault="004A3DCA" w14:paraId="04E80E81" w14:textId="77777777">
      <w:r w:rsidRPr="00C90F83">
        <w:t xml:space="preserve">As part of this phase, we are talking to a number of stakeholders from the UK government, IFC, as well as other in-country stakeholders, in order to gather their thoughts on the benefits of MAGC. We will use the findings from these interviews to inform our evaluation report. </w:t>
      </w:r>
    </w:p>
    <w:p w:rsidRPr="00C90F83" w:rsidR="004A3DCA" w:rsidP="004A3DCA" w:rsidRDefault="004A3DCA" w14:paraId="55811340" w14:textId="77777777">
      <w:r w:rsidRPr="00C90F83">
        <w:t>We are looking for honest feedback, and all responses, positive or negative, are valuable for learning and improvement. 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rsidRPr="00C90F83" w:rsidR="004A3DCA" w:rsidP="004A3DCA" w:rsidRDefault="004A3DCA" w14:paraId="53CC546B" w14:textId="77777777">
      <w:r w:rsidRPr="00C90F83">
        <w:t>Your participation in this interview is voluntary and you can change your mind and terminate the interview at any time. Likewise, you are not required to answer any questions if you do not want to.</w:t>
      </w:r>
    </w:p>
    <w:p w:rsidRPr="00C90F83" w:rsidR="004A3DCA" w:rsidP="004A3DCA" w:rsidRDefault="004A3DCA" w14:paraId="60CF625D" w14:textId="77777777">
      <w:r w:rsidRPr="00C90F83">
        <w:t xml:space="preserve">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p>
    <w:p w:rsidRPr="00E77D12" w:rsidR="004A3DCA" w:rsidP="004A3DCA" w:rsidRDefault="004A3DCA" w14:paraId="0EFD6D4B" w14:textId="77777777">
      <w:pPr>
        <w:rPr>
          <w:rStyle w:val="Italic"/>
        </w:rPr>
      </w:pPr>
      <w:r w:rsidRPr="00E77D12">
        <w:rPr>
          <w:rStyle w:val="Italic"/>
        </w:rPr>
        <w:t>[Ask for permission to record interview]</w:t>
      </w:r>
    </w:p>
    <w:p w:rsidRPr="00E77D12" w:rsidR="004A3DCA" w:rsidP="004A3DCA" w:rsidRDefault="004A3DCA" w14:paraId="2B56921E" w14:textId="77777777">
      <w:pPr>
        <w:rPr>
          <w:rStyle w:val="Italic"/>
        </w:rPr>
      </w:pPr>
      <w:r w:rsidRPr="00E77D12">
        <w:rPr>
          <w:rStyle w:val="Italic"/>
        </w:rPr>
        <w:t>[Ask if they are happy for us to use this interview for this evaluation]</w:t>
      </w:r>
    </w:p>
    <w:p w:rsidRPr="00C90F83" w:rsidR="004A3DCA" w:rsidP="004A3DCA" w:rsidRDefault="004A3DCA" w14:paraId="33304165" w14:textId="77777777">
      <w:r w:rsidRPr="00C90F83">
        <w:rPr>
          <w:rStyle w:val="Boldtext"/>
        </w:rPr>
        <w:t>Introduction</w:t>
      </w:r>
      <w:r w:rsidRPr="00C90F83">
        <w:t xml:space="preserve"> </w:t>
      </w:r>
    </w:p>
    <w:p w:rsidRPr="00FD51A6" w:rsidR="004A3DCA" w:rsidP="002C57BB" w:rsidRDefault="004A3DCA" w14:paraId="5D4997E1" w14:textId="21181632">
      <w:pPr>
        <w:pStyle w:val="ListParagraph"/>
        <w:numPr>
          <w:ilvl w:val="1"/>
          <w:numId w:val="59"/>
        </w:numPr>
        <w:ind w:left="1440"/>
      </w:pPr>
      <w:r w:rsidRPr="00FD51A6">
        <w:rPr>
          <w:rFonts w:ascii="Arial" w:hAnsi="Arial"/>
          <w:sz w:val="24"/>
        </w:rPr>
        <w:t xml:space="preserve">Can you introduce yourself and your role within your organisation? </w:t>
      </w:r>
    </w:p>
    <w:p w:rsidRPr="00FD51A6" w:rsidR="004A3DCA" w:rsidP="002C57BB" w:rsidRDefault="004A3DCA" w14:paraId="6B548AEC" w14:textId="34184B70">
      <w:pPr>
        <w:pStyle w:val="ListParagraph"/>
        <w:numPr>
          <w:ilvl w:val="1"/>
          <w:numId w:val="59"/>
        </w:numPr>
        <w:ind w:left="1440"/>
      </w:pPr>
      <w:r w:rsidRPr="00FD51A6">
        <w:rPr>
          <w:rFonts w:ascii="Arial" w:hAnsi="Arial"/>
          <w:sz w:val="24"/>
        </w:rPr>
        <w:t>Are you involved in any programmes or initiatives related to green construction?</w:t>
      </w:r>
    </w:p>
    <w:p w:rsidRPr="00FD51A6" w:rsidR="004A3DCA" w:rsidP="002C57BB" w:rsidRDefault="004A3DCA" w14:paraId="25626710" w14:textId="2312E846">
      <w:pPr>
        <w:pStyle w:val="ListParagraph"/>
        <w:numPr>
          <w:ilvl w:val="0"/>
          <w:numId w:val="63"/>
        </w:numPr>
        <w:ind w:left="2160"/>
      </w:pPr>
      <w:r w:rsidRPr="00FD51A6">
        <w:rPr>
          <w:rFonts w:ascii="Arial" w:hAnsi="Arial"/>
          <w:sz w:val="24"/>
        </w:rPr>
        <w:t>If so, which programmes, in what capacity?</w:t>
      </w:r>
    </w:p>
    <w:p w:rsidRPr="00C90F83" w:rsidR="004A3DCA" w:rsidP="004A3DCA" w:rsidRDefault="004A3DCA" w14:paraId="0960BC7C" w14:textId="77777777">
      <w:pPr>
        <w:rPr>
          <w:rStyle w:val="Boldtext"/>
        </w:rPr>
      </w:pPr>
      <w:r w:rsidRPr="00C90F83">
        <w:rPr>
          <w:rStyle w:val="Boldtext"/>
        </w:rPr>
        <w:t>Country context and EDGE</w:t>
      </w:r>
    </w:p>
    <w:p w:rsidRPr="00FD51A6" w:rsidR="004A3DCA" w:rsidP="002C57BB" w:rsidRDefault="004A3DCA" w14:paraId="5F2BA1DC" w14:textId="27657E14">
      <w:pPr>
        <w:pStyle w:val="ListParagraph"/>
        <w:numPr>
          <w:ilvl w:val="1"/>
          <w:numId w:val="59"/>
        </w:numPr>
        <w:ind w:left="1440"/>
      </w:pPr>
      <w:r w:rsidRPr="00FD51A6">
        <w:rPr>
          <w:rFonts w:ascii="Arial" w:hAnsi="Arial"/>
          <w:sz w:val="24"/>
        </w:rPr>
        <w:t xml:space="preserve">What type of buildings do you/does your organisation construct/certify? (low income residential, middle income residential, commercial, mixed-use buildings). </w:t>
      </w:r>
    </w:p>
    <w:p w:rsidRPr="00FD51A6" w:rsidR="004A3DCA" w:rsidP="002C57BB" w:rsidRDefault="004A3DCA" w14:paraId="27ED5355" w14:textId="7BA28507">
      <w:pPr>
        <w:pStyle w:val="ListParagraph"/>
        <w:numPr>
          <w:ilvl w:val="0"/>
          <w:numId w:val="65"/>
        </w:numPr>
        <w:ind w:left="2160"/>
      </w:pPr>
      <w:r w:rsidRPr="00FD51A6">
        <w:rPr>
          <w:rFonts w:ascii="Arial" w:hAnsi="Arial"/>
          <w:sz w:val="24"/>
        </w:rPr>
        <w:t>Could you describe the main building categories in your country and how they are classified? (e.g. how is social housing defined and who can access it?)</w:t>
      </w:r>
    </w:p>
    <w:p w:rsidRPr="00FD51A6" w:rsidR="004A3DCA" w:rsidP="002C57BB" w:rsidRDefault="004A3DCA" w14:paraId="56A2B89F" w14:textId="24D64D7D">
      <w:pPr>
        <w:pStyle w:val="ListParagraph"/>
        <w:numPr>
          <w:ilvl w:val="0"/>
          <w:numId w:val="65"/>
        </w:numPr>
        <w:ind w:left="2160"/>
      </w:pPr>
      <w:r w:rsidRPr="00FD51A6">
        <w:rPr>
          <w:rFonts w:ascii="Arial" w:hAnsi="Arial"/>
          <w:sz w:val="24"/>
        </w:rPr>
        <w:t>In what city and type of climate does your organisation operate? (hot humid, hot dry, cold wet, cold dry)</w:t>
      </w:r>
    </w:p>
    <w:p w:rsidRPr="00FD51A6" w:rsidR="004A3DCA" w:rsidP="002C57BB" w:rsidRDefault="004A3DCA" w14:paraId="3B91964F" w14:textId="4C677646">
      <w:pPr>
        <w:pStyle w:val="ListParagraph"/>
        <w:numPr>
          <w:ilvl w:val="0"/>
          <w:numId w:val="65"/>
        </w:numPr>
        <w:ind w:left="2160"/>
      </w:pPr>
      <w:r w:rsidRPr="00FD51A6">
        <w:rPr>
          <w:rFonts w:ascii="Arial" w:hAnsi="Arial"/>
          <w:sz w:val="24"/>
        </w:rPr>
        <w:t>What type of energy and water efficiency measures does your organisation use for green buildings?</w:t>
      </w:r>
    </w:p>
    <w:p w:rsidRPr="00FD51A6" w:rsidR="004A3DCA" w:rsidP="002C57BB" w:rsidRDefault="004A3DCA" w14:paraId="5B4039C7" w14:textId="3831284F">
      <w:pPr>
        <w:pStyle w:val="ListParagraph"/>
        <w:numPr>
          <w:ilvl w:val="1"/>
          <w:numId w:val="59"/>
        </w:numPr>
        <w:ind w:left="1440"/>
      </w:pPr>
      <w:r w:rsidRPr="00FD51A6">
        <w:rPr>
          <w:rFonts w:ascii="Arial" w:hAnsi="Arial"/>
          <w:sz w:val="24"/>
        </w:rPr>
        <w:t>What do you think are the key benefits of green buildings in your city and its climate? What are their costs? To what extent do you think there is a trade-off between environmental and financial performance?</w:t>
      </w:r>
    </w:p>
    <w:p w:rsidRPr="00FD51A6" w:rsidR="004A3DCA" w:rsidP="002C57BB" w:rsidRDefault="004A3DCA" w14:paraId="49F56268" w14:textId="50E4201C">
      <w:pPr>
        <w:pStyle w:val="ListParagraph"/>
        <w:numPr>
          <w:ilvl w:val="1"/>
          <w:numId w:val="59"/>
        </w:numPr>
        <w:ind w:left="1440"/>
      </w:pPr>
      <w:r w:rsidRPr="00FD51A6">
        <w:rPr>
          <w:rFonts w:ascii="Arial" w:hAnsi="Arial"/>
          <w:sz w:val="24"/>
        </w:rPr>
        <w:t>What are the main barriers to green building investment in your country? (e.g. lack of knowledge/ regulation/incentives etc) What are the main enablers?</w:t>
      </w:r>
    </w:p>
    <w:p w:rsidRPr="00FD51A6" w:rsidR="004A3DCA" w:rsidP="002C57BB" w:rsidRDefault="004A3DCA" w14:paraId="65CD04D3" w14:textId="5AB0C1F7">
      <w:pPr>
        <w:pStyle w:val="ListParagraph"/>
        <w:numPr>
          <w:ilvl w:val="1"/>
          <w:numId w:val="59"/>
        </w:numPr>
        <w:ind w:left="1440"/>
      </w:pPr>
      <w:r w:rsidRPr="00FD51A6">
        <w:rPr>
          <w:rFonts w:ascii="Arial" w:hAnsi="Arial"/>
          <w:sz w:val="24"/>
        </w:rPr>
        <w:t>What are the key challenges that developers/construction companies/property managers/architects face in building a green construction portfolio?</w:t>
      </w:r>
    </w:p>
    <w:p w:rsidRPr="00FD51A6" w:rsidR="004A3DCA" w:rsidP="002C57BB" w:rsidRDefault="004A3DCA" w14:paraId="053EF2B7" w14:textId="4A0DFADE">
      <w:pPr>
        <w:pStyle w:val="ListParagraph"/>
        <w:numPr>
          <w:ilvl w:val="1"/>
          <w:numId w:val="59"/>
        </w:numPr>
        <w:ind w:left="1440"/>
      </w:pPr>
      <w:r w:rsidRPr="00FD51A6">
        <w:rPr>
          <w:rFonts w:ascii="Arial" w:hAnsi="Arial"/>
          <w:sz w:val="24"/>
        </w:rPr>
        <w:t xml:space="preserve">How has the green building market evolved in your country in the last five years? What do you think have been the drivers of these changes? Can you provide further information? </w:t>
      </w:r>
    </w:p>
    <w:p w:rsidRPr="00FD51A6" w:rsidR="004A3DCA" w:rsidP="002C57BB" w:rsidRDefault="004A3DCA" w14:paraId="5AF204B6" w14:textId="155E0432">
      <w:pPr>
        <w:pStyle w:val="ListParagraph"/>
        <w:numPr>
          <w:ilvl w:val="1"/>
          <w:numId w:val="59"/>
        </w:numPr>
        <w:ind w:left="1440"/>
      </w:pPr>
      <w:r w:rsidRPr="00FD51A6">
        <w:rPr>
          <w:rFonts w:ascii="Arial" w:hAnsi="Arial"/>
          <w:sz w:val="24"/>
        </w:rPr>
        <w:t>Are you aware of IFC’s Excellence in Design for Greater Efficiencies (EDGE) standard? If so, how do you apply it in your work?</w:t>
      </w:r>
    </w:p>
    <w:p w:rsidRPr="00FD51A6" w:rsidR="004A3DCA" w:rsidP="002C57BB" w:rsidRDefault="004A3DCA" w14:paraId="11AB96BB" w14:textId="52D3BB12">
      <w:pPr>
        <w:pStyle w:val="ListParagraph"/>
        <w:numPr>
          <w:ilvl w:val="1"/>
          <w:numId w:val="59"/>
        </w:numPr>
        <w:ind w:left="1440"/>
      </w:pPr>
      <w:r w:rsidRPr="00FD51A6">
        <w:rPr>
          <w:rStyle w:val="Italic"/>
          <w:rFonts w:ascii="Arial" w:hAnsi="Arial"/>
          <w:sz w:val="24"/>
        </w:rPr>
        <w:t>(Ask EDGE experts)</w:t>
      </w:r>
      <w:r w:rsidRPr="00FD51A6">
        <w:rPr>
          <w:rFonts w:ascii="Arial" w:hAnsi="Arial"/>
          <w:sz w:val="24"/>
        </w:rPr>
        <w:t>: How many buildings/houses are EDGE certified in your country?</w:t>
      </w:r>
    </w:p>
    <w:p w:rsidRPr="00FD51A6" w:rsidR="004A3DCA" w:rsidP="002C57BB" w:rsidRDefault="004A3DCA" w14:paraId="7EC24AE3" w14:textId="1FBC7144">
      <w:pPr>
        <w:pStyle w:val="ListParagraph"/>
        <w:numPr>
          <w:ilvl w:val="0"/>
          <w:numId w:val="66"/>
        </w:numPr>
        <w:ind w:left="2160"/>
      </w:pPr>
      <w:r w:rsidRPr="00FD51A6">
        <w:rPr>
          <w:rFonts w:ascii="Arial" w:hAnsi="Arial"/>
          <w:sz w:val="24"/>
        </w:rPr>
        <w:t>What are the main drivers of EDGE uptake? What are the main barriers?</w:t>
      </w:r>
    </w:p>
    <w:p w:rsidRPr="00FD51A6" w:rsidR="004A3DCA" w:rsidP="002C57BB" w:rsidRDefault="004A3DCA" w14:paraId="7EBFE730" w14:textId="1B51FB5F">
      <w:pPr>
        <w:pStyle w:val="ListParagraph"/>
        <w:numPr>
          <w:ilvl w:val="1"/>
          <w:numId w:val="59"/>
        </w:numPr>
        <w:ind w:left="1440"/>
      </w:pPr>
      <w:r w:rsidRPr="00FD51A6">
        <w:rPr>
          <w:rFonts w:ascii="Arial" w:hAnsi="Arial"/>
          <w:sz w:val="24"/>
        </w:rPr>
        <w:t>Are there any other green certifications that are used more/less than EDGE in the country? What are the key differences?</w:t>
      </w:r>
    </w:p>
    <w:p w:rsidRPr="00FD51A6" w:rsidR="004A3DCA" w:rsidP="002C57BB" w:rsidRDefault="004A3DCA" w14:paraId="23151F0A" w14:textId="332531CC">
      <w:pPr>
        <w:pStyle w:val="ListParagraph"/>
        <w:numPr>
          <w:ilvl w:val="1"/>
          <w:numId w:val="59"/>
        </w:numPr>
        <w:ind w:left="1440"/>
      </w:pPr>
      <w:r w:rsidRPr="00FD51A6">
        <w:rPr>
          <w:rFonts w:ascii="Arial" w:hAnsi="Arial"/>
          <w:sz w:val="24"/>
        </w:rPr>
        <w:t>Does your organisation currently receive any financial support or services for green construction? Are you aware of any of these products or services elsewhere?</w:t>
      </w:r>
    </w:p>
    <w:p w:rsidRPr="00FD51A6" w:rsidR="004A3DCA" w:rsidP="002C57BB" w:rsidRDefault="004A3DCA" w14:paraId="7C548D2F" w14:textId="34F4211F">
      <w:pPr>
        <w:pStyle w:val="ListParagraph"/>
        <w:numPr>
          <w:ilvl w:val="1"/>
          <w:numId w:val="59"/>
        </w:numPr>
        <w:ind w:left="1440"/>
      </w:pPr>
      <w:r w:rsidRPr="00FD51A6">
        <w:rPr>
          <w:rFonts w:ascii="Arial" w:hAnsi="Arial"/>
          <w:sz w:val="24"/>
        </w:rPr>
        <w:t>How do you currently assess green building risks and what could improve this process?</w:t>
      </w:r>
    </w:p>
    <w:p w:rsidRPr="00C90F83" w:rsidR="004A3DCA" w:rsidP="004A3DCA" w:rsidRDefault="004A3DCA" w14:paraId="52B93A03" w14:textId="77777777">
      <w:pPr>
        <w:rPr>
          <w:rStyle w:val="Boldtext"/>
        </w:rPr>
      </w:pPr>
      <w:r w:rsidRPr="00C90F83">
        <w:rPr>
          <w:rStyle w:val="Boldtext"/>
        </w:rPr>
        <w:t>Early outcomes</w:t>
      </w:r>
    </w:p>
    <w:p w:rsidRPr="00C90F83" w:rsidR="004A3DCA" w:rsidP="004A3DCA" w:rsidRDefault="004A3DCA" w14:paraId="26F35B56" w14:textId="77777777">
      <w:pPr>
        <w:rPr>
          <w:rStyle w:val="Italic"/>
        </w:rPr>
      </w:pPr>
      <w:r w:rsidRPr="00C90F83">
        <w:rPr>
          <w:rStyle w:val="Italic"/>
        </w:rPr>
        <w:t>For organisations that have AND have not received MAGC support (to get some comparative data)</w:t>
      </w:r>
    </w:p>
    <w:p w:rsidRPr="00FD51A6" w:rsidR="004A3DCA" w:rsidP="002C57BB" w:rsidRDefault="004A3DCA" w14:paraId="6103A857" w14:textId="14A77D14">
      <w:pPr>
        <w:pStyle w:val="ListParagraph"/>
        <w:numPr>
          <w:ilvl w:val="1"/>
          <w:numId w:val="59"/>
        </w:numPr>
        <w:ind w:left="1440"/>
      </w:pPr>
      <w:r w:rsidRPr="00FD51A6">
        <w:rPr>
          <w:rFonts w:ascii="Arial" w:hAnsi="Arial"/>
          <w:sz w:val="24"/>
        </w:rPr>
        <w:t>We are now going to ask you about potential changes in your ways of working and services over the last few years</w:t>
      </w:r>
    </w:p>
    <w:p w:rsidRPr="00FD51A6" w:rsidR="004A3DCA" w:rsidP="002C57BB" w:rsidRDefault="004A3DCA" w14:paraId="645DF0FD" w14:textId="7876216F">
      <w:pPr>
        <w:pStyle w:val="ListParagraph"/>
        <w:numPr>
          <w:ilvl w:val="0"/>
          <w:numId w:val="68"/>
        </w:numPr>
        <w:ind w:left="2160"/>
      </w:pPr>
      <w:r w:rsidRPr="00FD51A6">
        <w:rPr>
          <w:rFonts w:ascii="Arial" w:hAnsi="Arial"/>
          <w:sz w:val="24"/>
        </w:rPr>
        <w:t>How, if at all, has your/your company’s understanding of ‘green buildings’ – their definition and their relevance for your work/opportunities for investment evolved over the last few years? What factors have influenced this change?</w:t>
      </w:r>
    </w:p>
    <w:p w:rsidRPr="00FD51A6" w:rsidR="004A3DCA" w:rsidP="002C57BB" w:rsidRDefault="004A3DCA" w14:paraId="02F2FC85" w14:textId="66ED8FDD">
      <w:pPr>
        <w:pStyle w:val="ListParagraph"/>
        <w:numPr>
          <w:ilvl w:val="0"/>
          <w:numId w:val="68"/>
        </w:numPr>
        <w:ind w:left="2160"/>
      </w:pPr>
      <w:r w:rsidRPr="00FD51A6">
        <w:rPr>
          <w:rFonts w:ascii="Arial" w:hAnsi="Arial"/>
          <w:sz w:val="24"/>
        </w:rPr>
        <w:t>How, if at all, have your/your company’s skills in green construction and certification evolved over the last few years?</w:t>
      </w:r>
    </w:p>
    <w:p w:rsidRPr="00FD51A6" w:rsidR="004A3DCA" w:rsidP="002C57BB" w:rsidRDefault="004A3DCA" w14:paraId="3ECE2F4B" w14:textId="42B50AE5">
      <w:pPr>
        <w:pStyle w:val="ListParagraph"/>
        <w:numPr>
          <w:ilvl w:val="0"/>
          <w:numId w:val="68"/>
        </w:numPr>
        <w:ind w:left="2160"/>
      </w:pPr>
      <w:r w:rsidRPr="00FD51A6">
        <w:rPr>
          <w:rFonts w:ascii="Arial" w:hAnsi="Arial"/>
          <w:sz w:val="24"/>
        </w:rPr>
        <w:t>Can you describe any changes in your business decisions related to green construction over this time period?</w:t>
      </w:r>
    </w:p>
    <w:p w:rsidRPr="00FD51A6" w:rsidR="004A3DCA" w:rsidP="002C57BB" w:rsidRDefault="004A3DCA" w14:paraId="06F913D6" w14:textId="366FC577">
      <w:pPr>
        <w:pStyle w:val="ListParagraph"/>
        <w:numPr>
          <w:ilvl w:val="0"/>
          <w:numId w:val="68"/>
        </w:numPr>
        <w:ind w:left="2160"/>
      </w:pPr>
      <w:r w:rsidRPr="00FD51A6">
        <w:rPr>
          <w:rFonts w:ascii="Arial" w:hAnsi="Arial"/>
          <w:sz w:val="24"/>
        </w:rPr>
        <w:t>Can you describe any changes in your ability to secure finance related to green construction over this time period? What factors have influenced this change?</w:t>
      </w:r>
    </w:p>
    <w:p w:rsidRPr="00FD51A6" w:rsidR="004A3DCA" w:rsidP="002C57BB" w:rsidRDefault="004A3DCA" w14:paraId="1C7ABD14" w14:textId="78F72AA3">
      <w:pPr>
        <w:pStyle w:val="ListParagraph"/>
        <w:numPr>
          <w:ilvl w:val="0"/>
          <w:numId w:val="68"/>
        </w:numPr>
        <w:ind w:left="2160"/>
      </w:pPr>
      <w:r w:rsidRPr="00FD51A6">
        <w:rPr>
          <w:rFonts w:ascii="Arial" w:hAnsi="Arial"/>
          <w:sz w:val="24"/>
        </w:rPr>
        <w:t>Can you describe any changes in your design and construction processes related to green construction over this time period?</w:t>
      </w:r>
    </w:p>
    <w:p w:rsidRPr="00FD51A6" w:rsidR="004A3DCA" w:rsidP="002C57BB" w:rsidRDefault="004A3DCA" w14:paraId="2BB474EB" w14:textId="3D2BA933">
      <w:pPr>
        <w:pStyle w:val="ListParagraph"/>
        <w:numPr>
          <w:ilvl w:val="0"/>
          <w:numId w:val="68"/>
        </w:numPr>
        <w:ind w:left="2160"/>
      </w:pPr>
      <w:r w:rsidRPr="00FD51A6">
        <w:rPr>
          <w:rFonts w:ascii="Arial" w:hAnsi="Arial"/>
          <w:sz w:val="24"/>
        </w:rPr>
        <w:t>Have there been changes in your systems/processes/tools to facilitate this?</w:t>
      </w:r>
    </w:p>
    <w:p w:rsidRPr="00FD51A6" w:rsidR="004A3DCA" w:rsidP="002C57BB" w:rsidRDefault="004A3DCA" w14:paraId="44F62E3E" w14:textId="4F06D847">
      <w:pPr>
        <w:pStyle w:val="ListParagraph"/>
        <w:numPr>
          <w:ilvl w:val="1"/>
          <w:numId w:val="59"/>
        </w:numPr>
        <w:ind w:left="1440"/>
      </w:pPr>
      <w:r w:rsidRPr="00FD51A6">
        <w:rPr>
          <w:rFonts w:ascii="Arial" w:hAnsi="Arial"/>
          <w:sz w:val="24"/>
        </w:rPr>
        <w:t>Are you aware of the MAGC programme? If so, when and how did you hear about it?</w:t>
      </w:r>
    </w:p>
    <w:p w:rsidRPr="00025F07" w:rsidR="004A3DCA" w:rsidP="00025F07" w:rsidRDefault="004A3DCA" w14:paraId="3358D651" w14:textId="77777777">
      <w:pPr>
        <w:rPr>
          <w:rStyle w:val="Italic"/>
          <w:rFonts w:cs="Arial"/>
          <w:szCs w:val="24"/>
        </w:rPr>
      </w:pPr>
      <w:r w:rsidRPr="00025F07">
        <w:rPr>
          <w:rStyle w:val="Italic"/>
          <w:rFonts w:cs="Arial"/>
          <w:szCs w:val="24"/>
        </w:rPr>
        <w:t>If organisation has received MAGC support:</w:t>
      </w:r>
    </w:p>
    <w:p w:rsidRPr="00FD51A6" w:rsidR="004A3DCA" w:rsidP="002C57BB" w:rsidRDefault="004A3DCA" w14:paraId="7222BA70" w14:textId="54A3F1F6">
      <w:pPr>
        <w:pStyle w:val="ListParagraph"/>
        <w:numPr>
          <w:ilvl w:val="1"/>
          <w:numId w:val="59"/>
        </w:numPr>
        <w:ind w:left="1440"/>
      </w:pPr>
      <w:r w:rsidRPr="00FD51A6">
        <w:rPr>
          <w:rFonts w:ascii="Arial" w:hAnsi="Arial"/>
          <w:sz w:val="24"/>
        </w:rPr>
        <w:t xml:space="preserve">Can you describe your involvement with IFC and EDGE? What did your involvement consist in? </w:t>
      </w:r>
      <w:r w:rsidRPr="00FD51A6">
        <w:rPr>
          <w:rStyle w:val="Italic"/>
          <w:rFonts w:ascii="Arial" w:hAnsi="Arial"/>
          <w:sz w:val="24"/>
        </w:rPr>
        <w:t>(Probe for type, frequency, timing)</w:t>
      </w:r>
    </w:p>
    <w:p w:rsidRPr="00FD51A6" w:rsidR="004A3DCA" w:rsidP="002C57BB" w:rsidRDefault="004A3DCA" w14:paraId="395752CC" w14:textId="30863FDD">
      <w:pPr>
        <w:pStyle w:val="ListParagraph"/>
        <w:numPr>
          <w:ilvl w:val="1"/>
          <w:numId w:val="59"/>
        </w:numPr>
        <w:ind w:left="1440"/>
      </w:pPr>
      <w:r w:rsidRPr="00FD51A6">
        <w:rPr>
          <w:rFonts w:ascii="Arial" w:hAnsi="Arial"/>
          <w:sz w:val="24"/>
        </w:rPr>
        <w:t>Did you participate in any EDGE capacity building activities? If so, which ones?</w:t>
      </w:r>
    </w:p>
    <w:p w:rsidRPr="00FD51A6" w:rsidR="004A3DCA" w:rsidP="002C57BB" w:rsidRDefault="004A3DCA" w14:paraId="66103C8A" w14:textId="294CBE6E">
      <w:pPr>
        <w:pStyle w:val="ListParagraph"/>
        <w:numPr>
          <w:ilvl w:val="0"/>
          <w:numId w:val="69"/>
        </w:numPr>
        <w:ind w:left="2160"/>
      </w:pPr>
      <w:r w:rsidRPr="00FD51A6">
        <w:rPr>
          <w:rStyle w:val="Italic"/>
          <w:rFonts w:ascii="Arial" w:hAnsi="Arial"/>
          <w:sz w:val="24"/>
        </w:rPr>
        <w:t>(If participated)</w:t>
      </w:r>
      <w:r w:rsidRPr="00FD51A6">
        <w:rPr>
          <w:rFonts w:ascii="Arial" w:hAnsi="Arial"/>
          <w:sz w:val="24"/>
        </w:rPr>
        <w:t xml:space="preserve"> How were the activities delivered? (format, timing, audience)</w:t>
      </w:r>
    </w:p>
    <w:p w:rsidRPr="00FD51A6" w:rsidR="004A3DCA" w:rsidP="002C57BB" w:rsidRDefault="004A3DCA" w14:paraId="17EF7192" w14:textId="00323DD5">
      <w:pPr>
        <w:pStyle w:val="ListParagraph"/>
        <w:numPr>
          <w:ilvl w:val="0"/>
          <w:numId w:val="69"/>
        </w:numPr>
        <w:ind w:left="2160"/>
      </w:pPr>
      <w:r w:rsidRPr="00FD51A6">
        <w:rPr>
          <w:rFonts w:ascii="Arial" w:hAnsi="Arial"/>
          <w:sz w:val="24"/>
        </w:rPr>
        <w:t xml:space="preserve">Were there any challenges faced and how were they mitigated? </w:t>
      </w:r>
    </w:p>
    <w:p w:rsidRPr="00FD51A6" w:rsidR="004A3DCA" w:rsidP="002C57BB" w:rsidRDefault="004A3DCA" w14:paraId="57E4B60B" w14:textId="227ACCE1">
      <w:pPr>
        <w:pStyle w:val="ListParagraph"/>
        <w:numPr>
          <w:ilvl w:val="1"/>
          <w:numId w:val="59"/>
        </w:numPr>
        <w:ind w:left="1440"/>
      </w:pPr>
      <w:r w:rsidRPr="00FD51A6">
        <w:rPr>
          <w:rFonts w:ascii="Arial" w:hAnsi="Arial"/>
          <w:sz w:val="24"/>
        </w:rPr>
        <w:t>How and to what extent did capacity building align with your organisation’s targets, timelines and expectations?</w:t>
      </w:r>
    </w:p>
    <w:p w:rsidRPr="00FD51A6" w:rsidR="004A3DCA" w:rsidP="002C57BB" w:rsidRDefault="004A3DCA" w14:paraId="7C28B330" w14:textId="5C128591">
      <w:pPr>
        <w:pStyle w:val="ListParagraph"/>
        <w:numPr>
          <w:ilvl w:val="1"/>
          <w:numId w:val="59"/>
        </w:numPr>
        <w:ind w:left="1440"/>
      </w:pPr>
      <w:r w:rsidRPr="00FD51A6">
        <w:rPr>
          <w:rFonts w:ascii="Arial" w:hAnsi="Arial"/>
          <w:sz w:val="24"/>
        </w:rPr>
        <w:t xml:space="preserve">Are you aware of the CAFI (Climate Assessment for Financial Institutions) tool? Have you used it or will you use it? If so, how? </w:t>
      </w:r>
      <w:r w:rsidRPr="00FD51A6">
        <w:rPr>
          <w:rStyle w:val="Italic"/>
          <w:rFonts w:ascii="Arial" w:hAnsi="Arial"/>
          <w:sz w:val="24"/>
        </w:rPr>
        <w:t>(If needed, explain: CAFI is a web-based platform that allows FIs to track and report on climate investments)</w:t>
      </w:r>
    </w:p>
    <w:p w:rsidRPr="00FD51A6" w:rsidR="004A3DCA" w:rsidP="002C57BB" w:rsidRDefault="004A3DCA" w14:paraId="406F278E" w14:textId="4D9AEBE2">
      <w:pPr>
        <w:pStyle w:val="ListParagraph"/>
        <w:numPr>
          <w:ilvl w:val="0"/>
          <w:numId w:val="70"/>
        </w:numPr>
        <w:ind w:left="2160"/>
      </w:pPr>
      <w:r w:rsidRPr="00FD51A6">
        <w:rPr>
          <w:rFonts w:ascii="Arial" w:hAnsi="Arial"/>
          <w:sz w:val="24"/>
        </w:rPr>
        <w:t>Do you know of any other institutions or projects that use these tools?</w:t>
      </w:r>
    </w:p>
    <w:p w:rsidRPr="00FD51A6" w:rsidR="004A3DCA" w:rsidP="002C57BB" w:rsidRDefault="004A3DCA" w14:paraId="034D5AD1" w14:textId="4B581FA2">
      <w:pPr>
        <w:pStyle w:val="ListParagraph"/>
        <w:numPr>
          <w:ilvl w:val="1"/>
          <w:numId w:val="59"/>
        </w:numPr>
        <w:ind w:left="1440"/>
      </w:pPr>
      <w:r w:rsidRPr="00FD51A6">
        <w:rPr>
          <w:rFonts w:ascii="Arial" w:hAnsi="Arial"/>
          <w:sz w:val="24"/>
        </w:rPr>
        <w:t>Can you provide an example of a green building project that you designed, constructed or certified as a result of the MAGC programme? Could you describe the process of financing, developing and constructing the project?</w:t>
      </w:r>
    </w:p>
    <w:p w:rsidRPr="00FD51A6" w:rsidR="004A3DCA" w:rsidP="002C57BB" w:rsidRDefault="004A3DCA" w14:paraId="49A1AA70" w14:textId="51A5786A">
      <w:pPr>
        <w:pStyle w:val="ListParagraph"/>
        <w:numPr>
          <w:ilvl w:val="1"/>
          <w:numId w:val="59"/>
        </w:numPr>
        <w:ind w:left="1440"/>
      </w:pPr>
      <w:r w:rsidRPr="00FD51A6">
        <w:rPr>
          <w:rFonts w:ascii="Arial" w:hAnsi="Arial"/>
          <w:sz w:val="24"/>
        </w:rPr>
        <w:t>We are now going to probe a bit more into the possible effects of the capacity building support. (e.g., learning about certified green buildings; enhancing technical skills in the use of EDGE</w:t>
      </w:r>
      <w:r w:rsidR="00025F07">
        <w:rPr>
          <w:rFonts w:ascii="Arial" w:hAnsi="Arial" w:cs="Arial"/>
          <w:sz w:val="24"/>
          <w:szCs w:val="24"/>
        </w:rPr>
        <w:t>.</w:t>
      </w:r>
      <w:r w:rsidRPr="00FD51A6">
        <w:rPr>
          <w:rFonts w:ascii="Arial" w:hAnsi="Arial"/>
          <w:sz w:val="24"/>
        </w:rPr>
        <w:t xml:space="preserve">) </w:t>
      </w:r>
    </w:p>
    <w:p w:rsidRPr="00FD51A6" w:rsidR="004A3DCA" w:rsidP="002C57BB" w:rsidRDefault="004A3DCA" w14:paraId="5A147277" w14:textId="54094DD4">
      <w:pPr>
        <w:pStyle w:val="ListParagraph"/>
        <w:numPr>
          <w:ilvl w:val="0"/>
          <w:numId w:val="71"/>
        </w:numPr>
        <w:ind w:left="2160"/>
      </w:pPr>
      <w:r w:rsidRPr="00FD51A6">
        <w:rPr>
          <w:rFonts w:ascii="Arial" w:hAnsi="Arial"/>
          <w:sz w:val="24"/>
        </w:rPr>
        <w:t xml:space="preserve">Thinking of the IFC and EDGE capacity building and awareness activities, what do you think have been their effects – if any – on your company and daily work? </w:t>
      </w:r>
    </w:p>
    <w:p w:rsidRPr="00FD51A6" w:rsidR="004A3DCA" w:rsidP="002C57BB" w:rsidRDefault="004A3DCA" w14:paraId="5D781FA9" w14:textId="03FB9742">
      <w:pPr>
        <w:pStyle w:val="ListParagraph"/>
        <w:numPr>
          <w:ilvl w:val="0"/>
          <w:numId w:val="71"/>
        </w:numPr>
        <w:ind w:left="2160"/>
      </w:pPr>
      <w:r w:rsidRPr="00FD51A6">
        <w:rPr>
          <w:rFonts w:ascii="Arial" w:hAnsi="Arial"/>
          <w:sz w:val="24"/>
        </w:rPr>
        <w:t xml:space="preserve">What do you think have been the effects of this support – if any – on securing green building finance? </w:t>
      </w:r>
    </w:p>
    <w:p w:rsidRPr="00FD51A6" w:rsidR="004A3DCA" w:rsidP="002C57BB" w:rsidRDefault="004A3DCA" w14:paraId="64638DD4" w14:textId="65E67F43">
      <w:pPr>
        <w:pStyle w:val="ListParagraph"/>
        <w:numPr>
          <w:ilvl w:val="0"/>
          <w:numId w:val="71"/>
        </w:numPr>
        <w:ind w:left="2160"/>
      </w:pPr>
      <w:r w:rsidRPr="00FD51A6">
        <w:rPr>
          <w:rFonts w:ascii="Arial" w:hAnsi="Arial"/>
          <w:sz w:val="24"/>
        </w:rPr>
        <w:t xml:space="preserve">Thinking of the EDGE platform improvements (EDGE Zero Net Carbon ready certification; EDGE app accessible in multiple languages; EDGE labelling; EDGE Retrofit), what do you think have been their effects – if any – on your company and daily work? </w:t>
      </w:r>
    </w:p>
    <w:p w:rsidRPr="00FD51A6" w:rsidR="004A3DCA" w:rsidP="002C57BB" w:rsidRDefault="004A3DCA" w14:paraId="5A44EC62" w14:textId="56AD27B2">
      <w:pPr>
        <w:pStyle w:val="ListParagraph"/>
        <w:numPr>
          <w:ilvl w:val="1"/>
          <w:numId w:val="59"/>
        </w:numPr>
        <w:ind w:left="1440"/>
      </w:pPr>
      <w:r w:rsidRPr="00FD51A6">
        <w:rPr>
          <w:rStyle w:val="Italic"/>
          <w:rFonts w:ascii="Arial" w:hAnsi="Arial"/>
          <w:sz w:val="24"/>
        </w:rPr>
        <w:t>(If there is an investment in place)</w:t>
      </w:r>
      <w:r w:rsidRPr="00FD51A6">
        <w:rPr>
          <w:rFonts w:ascii="Arial" w:hAnsi="Arial"/>
          <w:sz w:val="24"/>
        </w:rPr>
        <w:t xml:space="preserve"> What types of buildings are financed through the investment? I.e., low income residential, middle income residential, commercial, mixed-use buildings</w:t>
      </w:r>
    </w:p>
    <w:p w:rsidRPr="00FD51A6" w:rsidR="004A3DCA" w:rsidP="002C57BB" w:rsidRDefault="004A3DCA" w14:paraId="212D5ACC" w14:textId="4BD8C941">
      <w:pPr>
        <w:pStyle w:val="ListParagraph"/>
        <w:numPr>
          <w:ilvl w:val="1"/>
          <w:numId w:val="59"/>
        </w:numPr>
        <w:ind w:left="1440"/>
      </w:pPr>
      <w:r w:rsidRPr="00FD51A6">
        <w:rPr>
          <w:rFonts w:ascii="Arial" w:hAnsi="Arial"/>
          <w:sz w:val="24"/>
        </w:rPr>
        <w:t>Was any similar type of support available for your organisation? If so, which type of support? Has your organisation made use of any other type of capacity building or technical assistance support for green buildings?</w:t>
      </w:r>
    </w:p>
    <w:p w:rsidRPr="00E77D12" w:rsidR="004A3DCA" w:rsidP="004A3DCA" w:rsidRDefault="004A3DCA" w14:paraId="64010CDD" w14:textId="77777777">
      <w:pPr>
        <w:rPr>
          <w:rStyle w:val="Boldtext"/>
        </w:rPr>
      </w:pPr>
      <w:r w:rsidRPr="00E77D12">
        <w:rPr>
          <w:rStyle w:val="Boldtext"/>
        </w:rPr>
        <w:t>Longer term impact and transformational change</w:t>
      </w:r>
    </w:p>
    <w:p w:rsidRPr="00E77D12" w:rsidR="004A3DCA" w:rsidP="004A3DCA" w:rsidRDefault="004A3DCA" w14:paraId="17576270" w14:textId="77777777">
      <w:pPr>
        <w:rPr>
          <w:rStyle w:val="Italic"/>
        </w:rPr>
      </w:pPr>
      <w:r w:rsidRPr="00E77D12">
        <w:rPr>
          <w:rStyle w:val="Italic"/>
        </w:rPr>
        <w:t>If interviewee is familiar with MAGC/EDGE:</w:t>
      </w:r>
    </w:p>
    <w:p w:rsidRPr="00025F07" w:rsidR="004A3DCA" w:rsidP="002C57BB" w:rsidRDefault="004A3DCA" w14:paraId="0E682899" w14:textId="56ADAA8A">
      <w:pPr>
        <w:pStyle w:val="ListParagraph"/>
        <w:numPr>
          <w:ilvl w:val="1"/>
          <w:numId w:val="59"/>
        </w:numPr>
        <w:ind w:left="1440"/>
      </w:pPr>
      <w:r w:rsidRPr="00025F07">
        <w:rPr>
          <w:rFonts w:ascii="Arial" w:hAnsi="Arial"/>
          <w:sz w:val="24"/>
        </w:rPr>
        <w:t>Do the EDGE and CAFI tools represent an innovation in the green building market? In what way?</w:t>
      </w:r>
    </w:p>
    <w:p w:rsidRPr="00025F07" w:rsidR="004A3DCA" w:rsidP="002C57BB" w:rsidRDefault="004A3DCA" w14:paraId="4CEA3B1D" w14:textId="5F74477F">
      <w:pPr>
        <w:pStyle w:val="ListParagraph"/>
        <w:numPr>
          <w:ilvl w:val="1"/>
          <w:numId w:val="59"/>
        </w:numPr>
        <w:ind w:left="1440"/>
      </w:pPr>
      <w:r w:rsidRPr="00025F07">
        <w:rPr>
          <w:rFonts w:ascii="Arial" w:hAnsi="Arial"/>
          <w:sz w:val="24"/>
        </w:rPr>
        <w:t>In what ways has the capacity building support play a role (or can play a role) in the evolvement of green building market? How would you rate the importance of capacity building in accelerating the green building market and why?</w:t>
      </w:r>
    </w:p>
    <w:p w:rsidRPr="00E77D12" w:rsidR="004A3DCA" w:rsidP="004A3DCA" w:rsidRDefault="004A3DCA" w14:paraId="50EAB6F4" w14:textId="77777777">
      <w:pPr>
        <w:rPr>
          <w:rStyle w:val="Italic"/>
        </w:rPr>
      </w:pPr>
      <w:r w:rsidRPr="00E77D12">
        <w:rPr>
          <w:rStyle w:val="Italic"/>
        </w:rPr>
        <w:t>If interviewee is not familiar with MAGC/EDGE:</w:t>
      </w:r>
    </w:p>
    <w:p w:rsidRPr="00025F07" w:rsidR="004A3DCA" w:rsidP="002C57BB" w:rsidRDefault="004A3DCA" w14:paraId="57798C4D" w14:textId="44A1DEC6">
      <w:pPr>
        <w:pStyle w:val="ListParagraph"/>
        <w:numPr>
          <w:ilvl w:val="1"/>
          <w:numId w:val="59"/>
        </w:numPr>
        <w:ind w:left="1440"/>
      </w:pPr>
      <w:r w:rsidRPr="00025F07">
        <w:rPr>
          <w:rFonts w:ascii="Arial" w:hAnsi="Arial"/>
          <w:sz w:val="24"/>
        </w:rPr>
        <w:t>Have you observed a change in the market share of green certified floor space in your operations or region? What have been key drivers?</w:t>
      </w:r>
    </w:p>
    <w:p w:rsidRPr="00025F07" w:rsidR="004A3DCA" w:rsidP="002C57BB" w:rsidRDefault="004A3DCA" w14:paraId="6D0841C2" w14:textId="10EC1EE2">
      <w:pPr>
        <w:pStyle w:val="ListParagraph"/>
        <w:numPr>
          <w:ilvl w:val="1"/>
          <w:numId w:val="59"/>
        </w:numPr>
        <w:ind w:left="1440"/>
      </w:pPr>
      <w:r w:rsidRPr="00025F07">
        <w:rPr>
          <w:rFonts w:ascii="Arial" w:hAnsi="Arial"/>
          <w:sz w:val="24"/>
        </w:rPr>
        <w:t>Given what you know about IFC and EDGE investment, advisory and capacity building activities, would you be interested in participating in it or a similar initiative in the future?</w:t>
      </w:r>
    </w:p>
    <w:p w:rsidRPr="00E77D12" w:rsidR="004A3DCA" w:rsidP="004A3DCA" w:rsidRDefault="004A3DCA" w14:paraId="70CF9CDF" w14:textId="77777777">
      <w:pPr>
        <w:rPr>
          <w:rStyle w:val="Italic"/>
        </w:rPr>
      </w:pPr>
      <w:r w:rsidRPr="00E77D12">
        <w:rPr>
          <w:rStyle w:val="Italic"/>
        </w:rPr>
        <w:t>Ask all</w:t>
      </w:r>
    </w:p>
    <w:p w:rsidRPr="00025F07" w:rsidR="004A3DCA" w:rsidP="002C57BB" w:rsidRDefault="004A3DCA" w14:paraId="67C1F857" w14:textId="4D698C7B">
      <w:pPr>
        <w:pStyle w:val="ListParagraph"/>
        <w:numPr>
          <w:ilvl w:val="1"/>
          <w:numId w:val="59"/>
        </w:numPr>
        <w:ind w:left="1440"/>
      </w:pPr>
      <w:r w:rsidRPr="00025F07">
        <w:rPr>
          <w:rFonts w:ascii="Arial" w:hAnsi="Arial"/>
          <w:sz w:val="24"/>
        </w:rPr>
        <w:t>Can you describe your future investment or construction plans in the green building sector?</w:t>
      </w:r>
    </w:p>
    <w:p w:rsidRPr="00E77D12" w:rsidR="004A3DCA" w:rsidP="004A3DCA" w:rsidRDefault="004A3DCA" w14:paraId="17612003" w14:textId="77777777">
      <w:pPr>
        <w:rPr>
          <w:rStyle w:val="Boldtext"/>
        </w:rPr>
      </w:pPr>
      <w:r w:rsidRPr="00E77D12">
        <w:rPr>
          <w:rStyle w:val="Boldtext"/>
        </w:rPr>
        <w:t>GEDSI</w:t>
      </w:r>
    </w:p>
    <w:p w:rsidRPr="00025F07" w:rsidR="004A3DCA" w:rsidP="002C57BB" w:rsidRDefault="004A3DCA" w14:paraId="0415D6FB" w14:textId="653F365B">
      <w:pPr>
        <w:pStyle w:val="ListParagraph"/>
        <w:numPr>
          <w:ilvl w:val="1"/>
          <w:numId w:val="59"/>
        </w:numPr>
        <w:ind w:left="1440"/>
      </w:pPr>
      <w:r w:rsidRPr="00025F07">
        <w:rPr>
          <w:rFonts w:ascii="Arial" w:hAnsi="Arial"/>
          <w:sz w:val="24"/>
        </w:rPr>
        <w:t>Does your organisation have a gender equality disability and social inclusion strategy?</w:t>
      </w:r>
    </w:p>
    <w:p w:rsidRPr="00025F07" w:rsidR="004A3DCA" w:rsidP="002C57BB" w:rsidRDefault="004A3DCA" w14:paraId="54E4FE06" w14:textId="45151B92">
      <w:pPr>
        <w:pStyle w:val="ListParagraph"/>
        <w:numPr>
          <w:ilvl w:val="1"/>
          <w:numId w:val="59"/>
        </w:numPr>
        <w:ind w:left="1440"/>
      </w:pPr>
      <w:r w:rsidRPr="00025F07">
        <w:rPr>
          <w:rFonts w:ascii="Arial" w:hAnsi="Arial"/>
          <w:sz w:val="24"/>
        </w:rPr>
        <w:t>How are local communities involved in your green building developments?</w:t>
      </w:r>
    </w:p>
    <w:p w:rsidRPr="00025F07" w:rsidR="004A3DCA" w:rsidP="002C57BB" w:rsidRDefault="004A3DCA" w14:paraId="6FF217C6" w14:textId="55CF9A10">
      <w:pPr>
        <w:pStyle w:val="ListParagraph"/>
        <w:numPr>
          <w:ilvl w:val="1"/>
          <w:numId w:val="59"/>
        </w:numPr>
        <w:ind w:left="1440"/>
      </w:pPr>
      <w:r w:rsidRPr="00025F07">
        <w:rPr>
          <w:rFonts w:ascii="Arial" w:hAnsi="Arial"/>
          <w:sz w:val="24"/>
        </w:rPr>
        <w:t>Which groups do you believe are most impacted by the construction of green buildings?</w:t>
      </w:r>
    </w:p>
    <w:p w:rsidRPr="00025F07" w:rsidR="004A3DCA" w:rsidP="002C57BB" w:rsidRDefault="004A3DCA" w14:paraId="358700D7" w14:textId="1856327A">
      <w:pPr>
        <w:pStyle w:val="ListParagraph"/>
        <w:numPr>
          <w:ilvl w:val="1"/>
          <w:numId w:val="59"/>
        </w:numPr>
        <w:ind w:left="1440"/>
      </w:pPr>
      <w:r w:rsidRPr="00025F07">
        <w:rPr>
          <w:rFonts w:ascii="Arial" w:hAnsi="Arial"/>
          <w:sz w:val="24"/>
        </w:rPr>
        <w:t>Are you aware of any ways in which green buildings could unintentionally disadvantage certain groups? Some probes:</w:t>
      </w:r>
    </w:p>
    <w:p w:rsidRPr="00025F07" w:rsidR="004A3DCA" w:rsidP="002C57BB" w:rsidRDefault="004A3DCA" w14:paraId="1737FFF7" w14:textId="3DDB43EB">
      <w:pPr>
        <w:pStyle w:val="ListParagraph"/>
        <w:numPr>
          <w:ilvl w:val="1"/>
          <w:numId w:val="68"/>
        </w:numPr>
      </w:pPr>
      <w:r w:rsidRPr="00025F07">
        <w:rPr>
          <w:rFonts w:ascii="Arial" w:hAnsi="Arial"/>
          <w:sz w:val="24"/>
        </w:rPr>
        <w:t>Affordability of green housing for low-income groups or single-parent households</w:t>
      </w:r>
    </w:p>
    <w:p w:rsidRPr="00025F07" w:rsidR="004A3DCA" w:rsidP="002C57BB" w:rsidRDefault="004A3DCA" w14:paraId="5A63619F" w14:textId="1FC960CB">
      <w:pPr>
        <w:pStyle w:val="ListParagraph"/>
        <w:numPr>
          <w:ilvl w:val="1"/>
          <w:numId w:val="68"/>
        </w:numPr>
      </w:pPr>
      <w:r w:rsidRPr="00025F07">
        <w:rPr>
          <w:rFonts w:ascii="Arial" w:hAnsi="Arial"/>
          <w:sz w:val="24"/>
        </w:rPr>
        <w:t>Accessibility for people with disabilities</w:t>
      </w:r>
    </w:p>
    <w:p w:rsidRPr="00025F07" w:rsidR="004A3DCA" w:rsidP="002C57BB" w:rsidRDefault="004A3DCA" w14:paraId="31A50820" w14:textId="0B931E19">
      <w:pPr>
        <w:pStyle w:val="ListParagraph"/>
        <w:numPr>
          <w:ilvl w:val="1"/>
          <w:numId w:val="68"/>
        </w:numPr>
      </w:pPr>
      <w:r w:rsidRPr="00025F07">
        <w:rPr>
          <w:rFonts w:ascii="Arial" w:hAnsi="Arial"/>
          <w:sz w:val="24"/>
        </w:rPr>
        <w:t>Any challenges related to location of green buildings for certain groups (women, single-parent households, ethnic minorities including indigenous groups)</w:t>
      </w:r>
    </w:p>
    <w:p w:rsidRPr="00E77D12" w:rsidR="004A3DCA" w:rsidP="004A3DCA" w:rsidRDefault="004A3DCA" w14:paraId="233574AA" w14:textId="77777777">
      <w:pPr>
        <w:rPr>
          <w:rStyle w:val="Italic"/>
        </w:rPr>
      </w:pPr>
      <w:r w:rsidRPr="00E77D12">
        <w:rPr>
          <w:rStyle w:val="Italic"/>
        </w:rPr>
        <w:t>If interviewee is familiar with MAGC/EDGE</w:t>
      </w:r>
    </w:p>
    <w:p w:rsidRPr="00025F07" w:rsidR="004A3DCA" w:rsidP="002C57BB" w:rsidRDefault="004A3DCA" w14:paraId="54C96AB5" w14:textId="25F64A19">
      <w:pPr>
        <w:pStyle w:val="ListParagraph"/>
        <w:numPr>
          <w:ilvl w:val="1"/>
          <w:numId w:val="59"/>
        </w:numPr>
        <w:ind w:left="1440"/>
      </w:pPr>
      <w:r w:rsidRPr="00025F07">
        <w:rPr>
          <w:rFonts w:ascii="Arial" w:hAnsi="Arial"/>
          <w:sz w:val="24"/>
        </w:rPr>
        <w:t>Delivery</w:t>
      </w:r>
    </w:p>
    <w:p w:rsidRPr="00025F07" w:rsidR="004A3DCA" w:rsidP="002C57BB" w:rsidRDefault="004A3DCA" w14:paraId="4E0F907F" w14:textId="74857094">
      <w:pPr>
        <w:pStyle w:val="ListParagraph"/>
        <w:numPr>
          <w:ilvl w:val="0"/>
          <w:numId w:val="77"/>
        </w:numPr>
        <w:ind w:left="2160"/>
      </w:pPr>
      <w:r w:rsidRPr="00025F07">
        <w:rPr>
          <w:rFonts w:ascii="Arial" w:hAnsi="Arial"/>
          <w:sz w:val="24"/>
        </w:rPr>
        <w:t>Have you seen any unexpected positive effects relating to GEDSI during the delivery of investment and advisory services by IFC? Some probes:</w:t>
      </w:r>
    </w:p>
    <w:p w:rsidRPr="00025F07" w:rsidR="004A3DCA" w:rsidP="002C57BB" w:rsidRDefault="004A3DCA" w14:paraId="462743CF" w14:textId="3E3CD341">
      <w:pPr>
        <w:pStyle w:val="ListParagraph"/>
        <w:numPr>
          <w:ilvl w:val="2"/>
          <w:numId w:val="76"/>
        </w:numPr>
        <w:ind w:left="2341" w:hanging="181"/>
      </w:pPr>
      <w:r w:rsidRPr="00025F07">
        <w:rPr>
          <w:rFonts w:ascii="Arial" w:hAnsi="Arial"/>
          <w:sz w:val="24"/>
        </w:rPr>
        <w:t>Women’s participation in the green building sector</w:t>
      </w:r>
    </w:p>
    <w:p w:rsidRPr="00025F07" w:rsidR="004A3DCA" w:rsidP="002C57BB" w:rsidRDefault="004A3DCA" w14:paraId="6B6136B6" w14:textId="3E813742">
      <w:pPr>
        <w:pStyle w:val="ListParagraph"/>
        <w:numPr>
          <w:ilvl w:val="2"/>
          <w:numId w:val="76"/>
        </w:numPr>
        <w:ind w:left="2341" w:hanging="181"/>
      </w:pPr>
      <w:r w:rsidRPr="00025F07">
        <w:rPr>
          <w:rFonts w:ascii="Arial" w:hAnsi="Arial"/>
          <w:sz w:val="24"/>
        </w:rPr>
        <w:t>Affordability of green housing for low-income families and single-parent households</w:t>
      </w:r>
    </w:p>
    <w:p w:rsidRPr="00025F07" w:rsidR="004A3DCA" w:rsidP="002C57BB" w:rsidRDefault="004A3DCA" w14:paraId="0B7CCE25" w14:textId="7E31C639">
      <w:pPr>
        <w:pStyle w:val="ListParagraph"/>
        <w:numPr>
          <w:ilvl w:val="2"/>
          <w:numId w:val="76"/>
        </w:numPr>
        <w:ind w:left="2341" w:hanging="181"/>
      </w:pPr>
      <w:r w:rsidRPr="00025F07">
        <w:rPr>
          <w:rFonts w:ascii="Arial" w:hAnsi="Arial"/>
          <w:sz w:val="24"/>
        </w:rPr>
        <w:t>Accessibility considerations in certified green buildings</w:t>
      </w:r>
    </w:p>
    <w:p w:rsidRPr="00025F07" w:rsidR="004A3DCA" w:rsidP="002C57BB" w:rsidRDefault="004A3DCA" w14:paraId="4DFD15D1" w14:textId="568E8472">
      <w:pPr>
        <w:pStyle w:val="ListParagraph"/>
        <w:numPr>
          <w:ilvl w:val="0"/>
          <w:numId w:val="77"/>
        </w:numPr>
        <w:ind w:left="2160"/>
      </w:pPr>
      <w:r w:rsidRPr="00025F07">
        <w:rPr>
          <w:rFonts w:ascii="Arial" w:hAnsi="Arial"/>
          <w:sz w:val="24"/>
        </w:rPr>
        <w:t xml:space="preserve">To what extent did the investment/advisory services support these benefits from occurring? </w:t>
      </w:r>
    </w:p>
    <w:p w:rsidRPr="00025F07" w:rsidR="004A3DCA" w:rsidP="002C57BB" w:rsidRDefault="004A3DCA" w14:paraId="013ACB7F" w14:textId="347C007A">
      <w:pPr>
        <w:pStyle w:val="ListParagraph"/>
        <w:numPr>
          <w:ilvl w:val="0"/>
          <w:numId w:val="77"/>
        </w:numPr>
        <w:ind w:left="2160"/>
      </w:pPr>
      <w:r w:rsidRPr="00025F07">
        <w:rPr>
          <w:rFonts w:ascii="Arial" w:hAnsi="Arial"/>
          <w:sz w:val="24"/>
        </w:rPr>
        <w:t xml:space="preserve">To what extent did investment/advisory services prevent GEDSI benefits from occurring? </w:t>
      </w:r>
    </w:p>
    <w:p w:rsidRPr="00025F07" w:rsidR="004A3DCA" w:rsidP="002C57BB" w:rsidRDefault="004A3DCA" w14:paraId="479D6F13" w14:textId="142B13DA">
      <w:pPr>
        <w:pStyle w:val="ListParagraph"/>
        <w:numPr>
          <w:ilvl w:val="0"/>
          <w:numId w:val="77"/>
        </w:numPr>
        <w:ind w:left="2160"/>
      </w:pPr>
      <w:r w:rsidRPr="00025F07">
        <w:rPr>
          <w:rFonts w:ascii="Arial" w:hAnsi="Arial"/>
          <w:sz w:val="24"/>
        </w:rPr>
        <w:t>Did any external factors contribute to these benefits or prevent benefits?</w:t>
      </w:r>
    </w:p>
    <w:p w:rsidRPr="00025F07" w:rsidR="004A3DCA" w:rsidP="002C57BB" w:rsidRDefault="004A3DCA" w14:paraId="7DBAFE9F" w14:textId="53A54944">
      <w:pPr>
        <w:pStyle w:val="ListParagraph"/>
        <w:numPr>
          <w:ilvl w:val="1"/>
          <w:numId w:val="59"/>
        </w:numPr>
        <w:ind w:left="1440"/>
      </w:pPr>
      <w:r w:rsidRPr="00025F07">
        <w:rPr>
          <w:rFonts w:ascii="Arial" w:hAnsi="Arial"/>
          <w:sz w:val="24"/>
        </w:rPr>
        <w:t>Future programme design</w:t>
      </w:r>
    </w:p>
    <w:p w:rsidRPr="00025F07" w:rsidR="004A3DCA" w:rsidP="002C57BB" w:rsidRDefault="004A3DCA" w14:paraId="09C71373" w14:textId="06F8A2F4">
      <w:pPr>
        <w:pStyle w:val="ListParagraph"/>
        <w:numPr>
          <w:ilvl w:val="0"/>
          <w:numId w:val="78"/>
        </w:numPr>
        <w:ind w:left="2160"/>
      </w:pPr>
      <w:r w:rsidRPr="00025F07">
        <w:rPr>
          <w:rFonts w:ascii="Arial" w:hAnsi="Arial"/>
          <w:sz w:val="24"/>
        </w:rPr>
        <w:t xml:space="preserve">To what extent do you think it's feasible for future programming on green construction to include social impact as a key aim? What are the enablers/ barriers to including it? </w:t>
      </w:r>
    </w:p>
    <w:p w:rsidRPr="00025F07" w:rsidR="004A3DCA" w:rsidP="002C57BB" w:rsidRDefault="004A3DCA" w14:paraId="3541D5A8" w14:textId="0B9017AD">
      <w:pPr>
        <w:pStyle w:val="ListParagraph"/>
        <w:numPr>
          <w:ilvl w:val="0"/>
          <w:numId w:val="78"/>
        </w:numPr>
        <w:ind w:left="2160"/>
      </w:pPr>
      <w:r w:rsidRPr="00025F07">
        <w:rPr>
          <w:rFonts w:ascii="Arial" w:hAnsi="Arial"/>
          <w:sz w:val="24"/>
        </w:rPr>
        <w:t>What role should different stakeholder groups play in future programming to facilitate the inclusion of GEDSI in design and delivery? What role do you think your organisation should play?</w:t>
      </w:r>
    </w:p>
    <w:p w:rsidRPr="00E77D12" w:rsidR="004A3DCA" w:rsidP="004A3DCA" w:rsidRDefault="004A3DCA" w14:paraId="39AE4E52" w14:textId="77777777">
      <w:pPr>
        <w:rPr>
          <w:rStyle w:val="Boldtext"/>
        </w:rPr>
      </w:pPr>
      <w:r w:rsidRPr="00E77D12">
        <w:rPr>
          <w:rStyle w:val="Boldtext"/>
        </w:rPr>
        <w:t>Wrap up and recontact</w:t>
      </w:r>
    </w:p>
    <w:p w:rsidRPr="00025F07" w:rsidR="004A3DCA" w:rsidP="002C57BB" w:rsidRDefault="004A3DCA" w14:paraId="6EFF73C8" w14:textId="31E901B2">
      <w:pPr>
        <w:pStyle w:val="ListParagraph"/>
        <w:numPr>
          <w:ilvl w:val="1"/>
          <w:numId w:val="59"/>
        </w:numPr>
        <w:ind w:left="1440"/>
      </w:pPr>
      <w:r w:rsidRPr="00025F07">
        <w:rPr>
          <w:rFonts w:ascii="Arial" w:hAnsi="Arial"/>
          <w:sz w:val="24"/>
        </w:rPr>
        <w:t>Is there anything else that we haven’t discussed that you would like to share or that you think will be important for the evaluation?</w:t>
      </w:r>
    </w:p>
    <w:p w:rsidRPr="00025F07" w:rsidR="004A3DCA" w:rsidP="002C57BB" w:rsidRDefault="004A3DCA" w14:paraId="5909B13F" w14:textId="52F2C5D5">
      <w:pPr>
        <w:pStyle w:val="ListParagraph"/>
        <w:numPr>
          <w:ilvl w:val="1"/>
          <w:numId w:val="59"/>
        </w:numPr>
        <w:ind w:left="1440"/>
      </w:pPr>
      <w:r w:rsidRPr="00025F07">
        <w:rPr>
          <w:rStyle w:val="Italic"/>
          <w:rFonts w:ascii="Arial" w:hAnsi="Arial"/>
          <w:sz w:val="24"/>
        </w:rPr>
        <w:t>(If not captured before)</w:t>
      </w:r>
      <w:r w:rsidRPr="00025F07">
        <w:rPr>
          <w:rFonts w:ascii="Arial" w:hAnsi="Arial"/>
          <w:sz w:val="24"/>
        </w:rPr>
        <w:t xml:space="preserve"> Are you happy for us to use this interview for this evaluation?</w:t>
      </w:r>
    </w:p>
    <w:p w:rsidRPr="00025F07" w:rsidR="004A3DCA" w:rsidP="002C57BB" w:rsidRDefault="004A3DCA" w14:paraId="63E1A5CF" w14:textId="469C50C0">
      <w:pPr>
        <w:pStyle w:val="ListParagraph"/>
        <w:numPr>
          <w:ilvl w:val="1"/>
          <w:numId w:val="59"/>
        </w:numPr>
        <w:ind w:left="1440"/>
      </w:pPr>
      <w:r w:rsidRPr="00025F07">
        <w:rPr>
          <w:rFonts w:ascii="Arial" w:hAnsi="Arial"/>
          <w:sz w:val="24"/>
        </w:rPr>
        <w:t>Are you happy to be recontacted by email if we have any follow-up questions or for an interview at a later stage in the evaluation?</w:t>
      </w:r>
    </w:p>
    <w:p w:rsidR="004A3DCA" w:rsidP="00EA1E4E" w:rsidRDefault="004A3DCA" w14:paraId="62A2F3ED" w14:textId="42B61D33">
      <w:pPr>
        <w:pStyle w:val="Heading3"/>
      </w:pPr>
      <w:bookmarkStart w:name="_Toc179468564" w:id="141"/>
      <w:bookmarkStart w:name="_Toc179474014" w:id="142"/>
      <w:bookmarkStart w:name="_Toc181883598" w:id="143"/>
      <w:bookmarkStart w:name="_Toc188870882" w:id="144"/>
      <w:bookmarkStart w:name="_Toc207790221" w:id="145"/>
      <w:r>
        <w:t xml:space="preserve">T2/T3 Financial Intermediaries </w:t>
      </w:r>
      <w:r w:rsidR="00DD3244">
        <w:t>T</w:t>
      </w:r>
      <w:r w:rsidRPr="00DD3244" w:rsidR="00DD3244">
        <w:t xml:space="preserve">opic </w:t>
      </w:r>
      <w:r>
        <w:t>Guide</w:t>
      </w:r>
      <w:bookmarkEnd w:id="141"/>
      <w:bookmarkEnd w:id="142"/>
      <w:bookmarkEnd w:id="143"/>
      <w:bookmarkEnd w:id="144"/>
      <w:bookmarkEnd w:id="145"/>
    </w:p>
    <w:p w:rsidRPr="00C90F83" w:rsidR="004A3DCA" w:rsidP="004A3DCA" w:rsidRDefault="004A3DCA" w14:paraId="2074C35C" w14:textId="77777777">
      <w:r w:rsidRPr="00C90F83">
        <w:t xml:space="preserve">Thank you for agreeing to take part in this interview. I am a </w:t>
      </w:r>
      <w:r w:rsidRPr="00E77D12">
        <w:rPr>
          <w:rStyle w:val="Italic"/>
        </w:rPr>
        <w:t>[role at Ipsos]</w:t>
      </w:r>
      <w:r w:rsidRPr="00C90F83">
        <w:t xml:space="preserve">, a global research company that specialises in social research and evaluation. My role on this evaluation is </w:t>
      </w:r>
      <w:r w:rsidRPr="00E77D12">
        <w:rPr>
          <w:rStyle w:val="Italic"/>
        </w:rPr>
        <w:t>[interviewer to add]</w:t>
      </w:r>
      <w:r w:rsidRPr="00C90F83">
        <w:t xml:space="preserve">.  </w:t>
      </w:r>
    </w:p>
    <w:p w:rsidRPr="00C90F83" w:rsidR="004A3DCA" w:rsidP="004A3DCA" w:rsidRDefault="004A3DCA" w14:paraId="3A77685B" w14:textId="77777777">
      <w:r w:rsidRPr="00C90F83">
        <w:t>Ipsos has been appointed by the UK Government as the Evaluation and Learning Partner for a programme delivered by International Finance Corporation (IFC), to accelerate the construction of certified green buildings. Our evaluation started in July 2023 and up until now we have completed the scoping phase and the process evaluation phase. We are currently in the early outcome and value for money (VfM) phase.</w:t>
      </w:r>
    </w:p>
    <w:p w:rsidRPr="00C90F83" w:rsidR="004A3DCA" w:rsidP="004A3DCA" w:rsidRDefault="004A3DCA" w14:paraId="11EB2CEC" w14:textId="77777777">
      <w:r w:rsidRPr="00C90F83">
        <w:t xml:space="preserve">As part of this phase, we are talking to a number of stakeholders from the UK government, IFC, as well as other in-country stakeholders, in order to gather their thoughts on the benefits of MAGC. We will use the findings from these interviews to inform our evaluation report. </w:t>
      </w:r>
    </w:p>
    <w:p w:rsidRPr="00C90F83" w:rsidR="004A3DCA" w:rsidP="004A3DCA" w:rsidRDefault="004A3DCA" w14:paraId="0627269D" w14:textId="77777777">
      <w:r w:rsidRPr="00C90F83">
        <w:t>We are looking for honest feedback, and all responses, positive or negative, are valuable for learning and improvement. 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rsidRPr="00C90F83" w:rsidR="004A3DCA" w:rsidP="004A3DCA" w:rsidRDefault="004A3DCA" w14:paraId="27011673" w14:textId="77777777">
      <w:r w:rsidRPr="00C90F83">
        <w:t>Your participation in this interview is voluntary and you can change your mind and terminate the interview at any time. Likewise, you are not required to answer any questions if you do not want to.</w:t>
      </w:r>
    </w:p>
    <w:p w:rsidRPr="00C90F83" w:rsidR="004A3DCA" w:rsidP="004A3DCA" w:rsidRDefault="004A3DCA" w14:paraId="6FC70334" w14:textId="77777777">
      <w:bookmarkStart w:name="_Hlk178689754" w:id="146"/>
      <w:r w:rsidRPr="00C90F83">
        <w:t xml:space="preserve">The </w:t>
      </w:r>
      <w:bookmarkEnd w:id="146"/>
      <w:r w:rsidRPr="00C90F83">
        <w:t xml:space="preserve">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p>
    <w:p w:rsidRPr="00E77D12" w:rsidR="004A3DCA" w:rsidP="004A3DCA" w:rsidRDefault="004A3DCA" w14:paraId="40D2E265" w14:textId="77777777">
      <w:pPr>
        <w:rPr>
          <w:rStyle w:val="Italic"/>
        </w:rPr>
      </w:pPr>
      <w:r w:rsidRPr="00E77D12">
        <w:rPr>
          <w:rStyle w:val="Italic"/>
        </w:rPr>
        <w:t>[Ask for permission to record interview]</w:t>
      </w:r>
    </w:p>
    <w:p w:rsidR="004A3DCA" w:rsidP="004A3DCA" w:rsidRDefault="004A3DCA" w14:paraId="754403F2" w14:textId="77777777">
      <w:pPr>
        <w:rPr>
          <w:rStyle w:val="Italic"/>
        </w:rPr>
      </w:pPr>
      <w:r w:rsidRPr="00E77D12">
        <w:rPr>
          <w:rStyle w:val="Italic"/>
        </w:rPr>
        <w:t>[Ask if they are happy for us to use this interview for this evaluation]</w:t>
      </w:r>
    </w:p>
    <w:p w:rsidRPr="00463633" w:rsidR="004A3DCA" w:rsidP="004A3DCA" w:rsidRDefault="004A3DCA" w14:paraId="4D585127" w14:textId="77777777">
      <w:pPr>
        <w:rPr>
          <w:rStyle w:val="Boldtext"/>
        </w:rPr>
      </w:pPr>
      <w:r w:rsidRPr="00463633">
        <w:rPr>
          <w:rStyle w:val="Boldtext"/>
        </w:rPr>
        <w:t xml:space="preserve">Introduction </w:t>
      </w:r>
    </w:p>
    <w:p w:rsidRPr="00025F07" w:rsidR="004A3DCA" w:rsidP="002C57BB" w:rsidRDefault="004A3DCA" w14:paraId="502E10EB" w14:textId="5869EE92">
      <w:pPr>
        <w:pStyle w:val="ListParagraph"/>
        <w:numPr>
          <w:ilvl w:val="1"/>
          <w:numId w:val="78"/>
        </w:numPr>
        <w:ind w:left="1440"/>
      </w:pPr>
      <w:r w:rsidRPr="00025F07">
        <w:rPr>
          <w:rFonts w:ascii="Arial" w:hAnsi="Arial"/>
          <w:sz w:val="24"/>
        </w:rPr>
        <w:t>Can you introduce yourself and your role within your organisation?</w:t>
      </w:r>
    </w:p>
    <w:p w:rsidRPr="00025F07" w:rsidR="004A3DCA" w:rsidP="002C57BB" w:rsidRDefault="004A3DCA" w14:paraId="124BF9B7" w14:textId="72F2373F">
      <w:pPr>
        <w:pStyle w:val="ListParagraph"/>
        <w:numPr>
          <w:ilvl w:val="1"/>
          <w:numId w:val="78"/>
        </w:numPr>
        <w:ind w:left="1440"/>
      </w:pPr>
      <w:r w:rsidRPr="00025F07">
        <w:rPr>
          <w:rFonts w:ascii="Arial" w:hAnsi="Arial"/>
          <w:sz w:val="24"/>
        </w:rPr>
        <w:t>Are you involved in any programmes or initiatives related to green construction?</w:t>
      </w:r>
    </w:p>
    <w:p w:rsidRPr="00025F07" w:rsidR="004A3DCA" w:rsidP="002C57BB" w:rsidRDefault="004A3DCA" w14:paraId="07B79C01" w14:textId="513E4E6B">
      <w:pPr>
        <w:pStyle w:val="ListParagraph"/>
        <w:numPr>
          <w:ilvl w:val="0"/>
          <w:numId w:val="81"/>
        </w:numPr>
      </w:pPr>
      <w:r w:rsidRPr="00025F07">
        <w:rPr>
          <w:rFonts w:ascii="Arial" w:hAnsi="Arial"/>
          <w:sz w:val="24"/>
        </w:rPr>
        <w:t>If so, which programmes, in what capacity?</w:t>
      </w:r>
    </w:p>
    <w:p w:rsidRPr="00463633" w:rsidR="004A3DCA" w:rsidP="004A3DCA" w:rsidRDefault="004A3DCA" w14:paraId="29E88085" w14:textId="77777777">
      <w:pPr>
        <w:rPr>
          <w:rStyle w:val="Boldtext"/>
        </w:rPr>
      </w:pPr>
      <w:r w:rsidRPr="00463633">
        <w:rPr>
          <w:rStyle w:val="Boldtext"/>
        </w:rPr>
        <w:t>Country context</w:t>
      </w:r>
    </w:p>
    <w:p w:rsidRPr="00025F07" w:rsidR="004A3DCA" w:rsidP="002C57BB" w:rsidRDefault="004A3DCA" w14:paraId="579743F5" w14:textId="5E533350">
      <w:pPr>
        <w:pStyle w:val="ListParagraph"/>
        <w:numPr>
          <w:ilvl w:val="1"/>
          <w:numId w:val="78"/>
        </w:numPr>
        <w:ind w:left="1440"/>
      </w:pPr>
      <w:r w:rsidRPr="00025F07">
        <w:rPr>
          <w:rFonts w:ascii="Arial" w:hAnsi="Arial"/>
          <w:sz w:val="24"/>
        </w:rPr>
        <w:t>How well do you know the green building market in your country?</w:t>
      </w:r>
    </w:p>
    <w:p w:rsidRPr="00025F07" w:rsidR="004A3DCA" w:rsidP="002C57BB" w:rsidRDefault="004A3DCA" w14:paraId="6116FF72" w14:textId="38E4791A">
      <w:pPr>
        <w:pStyle w:val="ListParagraph"/>
        <w:numPr>
          <w:ilvl w:val="1"/>
          <w:numId w:val="78"/>
        </w:numPr>
        <w:ind w:left="1440"/>
      </w:pPr>
      <w:r w:rsidRPr="00025F07">
        <w:rPr>
          <w:rFonts w:ascii="Arial" w:hAnsi="Arial"/>
          <w:sz w:val="24"/>
        </w:rPr>
        <w:t>If so: What are the main barriers to green building investment in your country? (e.g. lack of knowledge/ regulation/incentives/lack of demand/lack of profit, etc)</w:t>
      </w:r>
    </w:p>
    <w:p w:rsidRPr="00025F07" w:rsidR="004A3DCA" w:rsidP="002C57BB" w:rsidRDefault="004A3DCA" w14:paraId="4A529267" w14:textId="3006A9A5">
      <w:pPr>
        <w:pStyle w:val="ListParagraph"/>
        <w:numPr>
          <w:ilvl w:val="1"/>
          <w:numId w:val="78"/>
        </w:numPr>
        <w:ind w:left="1440"/>
      </w:pPr>
      <w:r w:rsidRPr="00025F07">
        <w:rPr>
          <w:rFonts w:ascii="Arial" w:hAnsi="Arial"/>
          <w:sz w:val="24"/>
        </w:rPr>
        <w:t>What are the key challenges that financial intermediaries face in building a green construction portfolio?</w:t>
      </w:r>
    </w:p>
    <w:p w:rsidRPr="00025F07" w:rsidR="004A3DCA" w:rsidP="002C57BB" w:rsidRDefault="004A3DCA" w14:paraId="5CC75906" w14:textId="0AA6F88F">
      <w:pPr>
        <w:pStyle w:val="ListParagraph"/>
        <w:numPr>
          <w:ilvl w:val="1"/>
          <w:numId w:val="78"/>
        </w:numPr>
        <w:ind w:left="1440"/>
      </w:pPr>
      <w:r w:rsidRPr="00025F07">
        <w:rPr>
          <w:rFonts w:ascii="Arial" w:hAnsi="Arial"/>
          <w:sz w:val="24"/>
        </w:rPr>
        <w:t>What are the main enablers to green building investment in your country? (e.g. incentives, regulation, policy, market enablers) What has worked well or could work well?</w:t>
      </w:r>
    </w:p>
    <w:p w:rsidRPr="00025F07" w:rsidR="004A3DCA" w:rsidP="002C57BB" w:rsidRDefault="004A3DCA" w14:paraId="66AF32B0" w14:textId="429A42B7">
      <w:pPr>
        <w:pStyle w:val="ListParagraph"/>
        <w:numPr>
          <w:ilvl w:val="1"/>
          <w:numId w:val="78"/>
        </w:numPr>
        <w:ind w:left="1440"/>
      </w:pPr>
      <w:r w:rsidRPr="00025F07">
        <w:rPr>
          <w:rFonts w:ascii="Arial" w:hAnsi="Arial"/>
          <w:sz w:val="24"/>
        </w:rPr>
        <w:t>How has the green building market evolved in your country in the last five years? What main drivers have motivated these changes?</w:t>
      </w:r>
    </w:p>
    <w:p w:rsidRPr="00025F07" w:rsidR="004A3DCA" w:rsidP="002C57BB" w:rsidRDefault="004A3DCA" w14:paraId="6A387F46" w14:textId="32FE4C3C">
      <w:pPr>
        <w:pStyle w:val="ListParagraph"/>
        <w:numPr>
          <w:ilvl w:val="1"/>
          <w:numId w:val="78"/>
        </w:numPr>
        <w:ind w:left="1440"/>
      </w:pPr>
      <w:r w:rsidRPr="00025F07">
        <w:rPr>
          <w:rFonts w:ascii="Arial" w:hAnsi="Arial"/>
          <w:sz w:val="24"/>
        </w:rPr>
        <w:t>Does your organisation currently have any financial products or services for green construction in the market? Are you aware of any of these products or services elsewhere?</w:t>
      </w:r>
    </w:p>
    <w:p w:rsidRPr="00025F07" w:rsidR="004A3DCA" w:rsidP="002C57BB" w:rsidRDefault="004A3DCA" w14:paraId="14778B81" w14:textId="60BF66E5">
      <w:pPr>
        <w:pStyle w:val="ListParagraph"/>
        <w:numPr>
          <w:ilvl w:val="1"/>
          <w:numId w:val="78"/>
        </w:numPr>
        <w:ind w:left="1440"/>
      </w:pPr>
      <w:r w:rsidRPr="00025F07">
        <w:rPr>
          <w:rFonts w:ascii="Arial" w:hAnsi="Arial"/>
          <w:sz w:val="24"/>
        </w:rPr>
        <w:t>How do you currently assess green building risks and what could improve this process?</w:t>
      </w:r>
    </w:p>
    <w:p w:rsidRPr="00463633" w:rsidR="004A3DCA" w:rsidP="004A3DCA" w:rsidRDefault="004A3DCA" w14:paraId="492F9CFE" w14:textId="77777777">
      <w:pPr>
        <w:rPr>
          <w:rStyle w:val="Boldtext"/>
        </w:rPr>
      </w:pPr>
      <w:r w:rsidRPr="00463633">
        <w:rPr>
          <w:rStyle w:val="Boldtext"/>
        </w:rPr>
        <w:t>Early outcomes</w:t>
      </w:r>
    </w:p>
    <w:p w:rsidRPr="00463633" w:rsidR="004A3DCA" w:rsidP="004A3DCA" w:rsidRDefault="004A3DCA" w14:paraId="42A6A0E7" w14:textId="77777777">
      <w:pPr>
        <w:rPr>
          <w:rStyle w:val="Italic"/>
        </w:rPr>
      </w:pPr>
      <w:r w:rsidRPr="00463633">
        <w:rPr>
          <w:rStyle w:val="Italic"/>
        </w:rPr>
        <w:t>For organisations that have AND have not received MAGC support (to get some comparative data)</w:t>
      </w:r>
    </w:p>
    <w:p w:rsidRPr="00025F07" w:rsidR="004A3DCA" w:rsidP="002C57BB" w:rsidRDefault="004A3DCA" w14:paraId="0D779596" w14:textId="29DB5BE0">
      <w:pPr>
        <w:pStyle w:val="ListParagraph"/>
        <w:numPr>
          <w:ilvl w:val="1"/>
          <w:numId w:val="78"/>
        </w:numPr>
        <w:ind w:left="1025" w:leftChars="127"/>
      </w:pPr>
      <w:r w:rsidRPr="00025F07">
        <w:rPr>
          <w:rFonts w:ascii="Arial" w:hAnsi="Arial"/>
          <w:sz w:val="24"/>
        </w:rPr>
        <w:t>We are now going to ask you about potential changes in your ways of working and services over the last few years</w:t>
      </w:r>
    </w:p>
    <w:p w:rsidRPr="00025F07" w:rsidR="004A3DCA" w:rsidP="002C57BB" w:rsidRDefault="004A3DCA" w14:paraId="3FB262E6" w14:textId="5F605D71">
      <w:pPr>
        <w:pStyle w:val="ListParagraph"/>
        <w:numPr>
          <w:ilvl w:val="0"/>
          <w:numId w:val="83"/>
        </w:numPr>
        <w:ind w:left="2160"/>
      </w:pPr>
      <w:r w:rsidRPr="00025F07">
        <w:rPr>
          <w:rFonts w:ascii="Arial" w:hAnsi="Arial"/>
          <w:sz w:val="24"/>
        </w:rPr>
        <w:t>How, if at all, has your/your company’s understanding of ‘green buildings’ – their definition and their relevance for your work/opportunities for investment evolved over the last few years? What factors have influenced this change?</w:t>
      </w:r>
    </w:p>
    <w:p w:rsidRPr="00025F07" w:rsidR="004A3DCA" w:rsidP="002C57BB" w:rsidRDefault="004A3DCA" w14:paraId="3988EF5E" w14:textId="0EED9351">
      <w:pPr>
        <w:pStyle w:val="ListParagraph"/>
        <w:numPr>
          <w:ilvl w:val="0"/>
          <w:numId w:val="83"/>
        </w:numPr>
        <w:ind w:left="2160"/>
      </w:pPr>
      <w:r w:rsidRPr="00025F07">
        <w:rPr>
          <w:rFonts w:ascii="Arial" w:hAnsi="Arial"/>
          <w:sz w:val="24"/>
        </w:rPr>
        <w:t>Can you describe any changes in your investment portfolio related to green construction over this time period?</w:t>
      </w:r>
    </w:p>
    <w:p w:rsidRPr="00025F07" w:rsidR="004A3DCA" w:rsidP="002C57BB" w:rsidRDefault="004A3DCA" w14:paraId="5553AC82" w14:textId="4B39470B">
      <w:pPr>
        <w:pStyle w:val="ListParagraph"/>
        <w:numPr>
          <w:ilvl w:val="0"/>
          <w:numId w:val="83"/>
        </w:numPr>
        <w:ind w:left="2160"/>
      </w:pPr>
      <w:r w:rsidRPr="00025F07">
        <w:rPr>
          <w:rFonts w:ascii="Arial" w:hAnsi="Arial"/>
          <w:sz w:val="24"/>
        </w:rPr>
        <w:t>Have there been any changes in your systems/processes/tools to facilitate this?</w:t>
      </w:r>
    </w:p>
    <w:p w:rsidRPr="00025F07" w:rsidR="004A3DCA" w:rsidP="002C57BB" w:rsidRDefault="004A3DCA" w14:paraId="060DDC62" w14:textId="6F6748CF">
      <w:pPr>
        <w:pStyle w:val="ListParagraph"/>
        <w:numPr>
          <w:ilvl w:val="1"/>
          <w:numId w:val="78"/>
        </w:numPr>
        <w:ind w:left="1025" w:leftChars="127"/>
      </w:pPr>
      <w:r w:rsidRPr="00025F07">
        <w:rPr>
          <w:rFonts w:ascii="Arial" w:hAnsi="Arial"/>
          <w:sz w:val="24"/>
        </w:rPr>
        <w:t>Can you describe your involvement with IFC and EDGE?</w:t>
      </w:r>
    </w:p>
    <w:p w:rsidRPr="00025F07" w:rsidR="004A3DCA" w:rsidP="00025F07" w:rsidRDefault="004A3DCA" w14:paraId="5CCC5751" w14:textId="77777777">
      <w:pPr>
        <w:rPr>
          <w:rStyle w:val="Italic"/>
          <w:rFonts w:cs="Arial"/>
          <w:szCs w:val="24"/>
        </w:rPr>
      </w:pPr>
      <w:r w:rsidRPr="00025F07">
        <w:rPr>
          <w:rStyle w:val="Italic"/>
          <w:rFonts w:cs="Arial"/>
          <w:szCs w:val="24"/>
        </w:rPr>
        <w:t>If organisation has received MAGC support:</w:t>
      </w:r>
    </w:p>
    <w:p w:rsidRPr="00025F07" w:rsidR="004A3DCA" w:rsidP="002C57BB" w:rsidRDefault="004A3DCA" w14:paraId="263EB5B7" w14:textId="686128E7">
      <w:pPr>
        <w:pStyle w:val="ListParagraph"/>
        <w:numPr>
          <w:ilvl w:val="1"/>
          <w:numId w:val="78"/>
        </w:numPr>
        <w:ind w:left="1025" w:leftChars="127"/>
      </w:pPr>
      <w:r w:rsidRPr="00025F07">
        <w:rPr>
          <w:rFonts w:ascii="Arial" w:hAnsi="Arial"/>
          <w:sz w:val="24"/>
        </w:rPr>
        <w:t>What was your involvement with IFC on finance for green mortgages? What did the investment and advisory support consist in? (Probe for type, frequency, timing of investment and technical support)</w:t>
      </w:r>
    </w:p>
    <w:p w:rsidRPr="00025F07" w:rsidR="004A3DCA" w:rsidP="002C57BB" w:rsidRDefault="004A3DCA" w14:paraId="4ECDE78D" w14:textId="726B21EC">
      <w:pPr>
        <w:pStyle w:val="ListParagraph"/>
        <w:numPr>
          <w:ilvl w:val="1"/>
          <w:numId w:val="78"/>
        </w:numPr>
        <w:ind w:left="1025" w:leftChars="127"/>
      </w:pPr>
      <w:r w:rsidRPr="00025F07">
        <w:rPr>
          <w:rStyle w:val="Italic"/>
          <w:rFonts w:ascii="Arial" w:hAnsi="Arial"/>
          <w:sz w:val="24"/>
        </w:rPr>
        <w:t>[If there has been an investment]</w:t>
      </w:r>
      <w:r w:rsidRPr="00025F07">
        <w:rPr>
          <w:rFonts w:ascii="Arial" w:hAnsi="Arial"/>
          <w:sz w:val="24"/>
        </w:rPr>
        <w:t xml:space="preserve"> How was the investment structured? What instrument was used? (performance-based incentive, interest rate buydown, etc.) To what extent was this instrument appropriate for this type of transaction? </w:t>
      </w:r>
    </w:p>
    <w:p w:rsidRPr="00025F07" w:rsidR="004A3DCA" w:rsidP="002C57BB" w:rsidRDefault="004A3DCA" w14:paraId="4C38DD4B" w14:textId="33D4347D">
      <w:pPr>
        <w:pStyle w:val="ListParagraph"/>
        <w:numPr>
          <w:ilvl w:val="1"/>
          <w:numId w:val="78"/>
        </w:numPr>
        <w:ind w:left="1025" w:leftChars="127"/>
      </w:pPr>
      <w:r w:rsidRPr="00025F07">
        <w:rPr>
          <w:rStyle w:val="Italic"/>
          <w:rFonts w:ascii="Arial" w:hAnsi="Arial"/>
          <w:sz w:val="24"/>
        </w:rPr>
        <w:t>[If there has been an investment]</w:t>
      </w:r>
      <w:r w:rsidRPr="00025F07">
        <w:rPr>
          <w:rFonts w:ascii="Arial" w:hAnsi="Arial"/>
          <w:sz w:val="24"/>
        </w:rPr>
        <w:t xml:space="preserve"> How was the investment used? How did the green mortgages work and who were they for? (developers/constructors, end users)</w:t>
      </w:r>
    </w:p>
    <w:p w:rsidRPr="00025F07" w:rsidR="004A3DCA" w:rsidP="002C57BB" w:rsidRDefault="004A3DCA" w14:paraId="3C8E749E" w14:textId="6EEE6697">
      <w:pPr>
        <w:pStyle w:val="ListParagraph"/>
        <w:numPr>
          <w:ilvl w:val="1"/>
          <w:numId w:val="78"/>
        </w:numPr>
        <w:ind w:left="1025" w:leftChars="127"/>
      </w:pPr>
      <w:r w:rsidRPr="00025F07">
        <w:rPr>
          <w:rStyle w:val="Italic"/>
          <w:rFonts w:ascii="Arial" w:hAnsi="Arial"/>
          <w:sz w:val="24"/>
        </w:rPr>
        <w:t>[If there has been an investment]</w:t>
      </w:r>
      <w:r w:rsidRPr="00025F07">
        <w:rPr>
          <w:rFonts w:ascii="Arial" w:hAnsi="Arial"/>
          <w:sz w:val="24"/>
        </w:rPr>
        <w:t xml:space="preserve"> What types of buildings are financed through the investment? I.e., low income residential, middle income residential, commercial, mixed-use buildings. Why is the focus on this building type?</w:t>
      </w:r>
    </w:p>
    <w:p w:rsidRPr="00025F07" w:rsidR="004A3DCA" w:rsidP="002C57BB" w:rsidRDefault="004A3DCA" w14:paraId="401C9A3B" w14:textId="4AE29E20">
      <w:pPr>
        <w:pStyle w:val="ListParagraph"/>
        <w:numPr>
          <w:ilvl w:val="1"/>
          <w:numId w:val="78"/>
        </w:numPr>
        <w:ind w:left="1025" w:leftChars="127"/>
      </w:pPr>
      <w:r w:rsidRPr="00025F07">
        <w:rPr>
          <w:rFonts w:ascii="Arial" w:hAnsi="Arial"/>
          <w:sz w:val="24"/>
        </w:rPr>
        <w:t>How helpful did you find the support? Was there anything that you thought worked particularly well/less well about how the support was provided? Were there any challenges faced?</w:t>
      </w:r>
    </w:p>
    <w:p w:rsidRPr="00025F07" w:rsidR="004A3DCA" w:rsidP="002C57BB" w:rsidRDefault="004A3DCA" w14:paraId="24559231" w14:textId="72D9016C">
      <w:pPr>
        <w:pStyle w:val="ListParagraph"/>
        <w:numPr>
          <w:ilvl w:val="1"/>
          <w:numId w:val="78"/>
        </w:numPr>
        <w:ind w:left="1025" w:leftChars="127"/>
      </w:pPr>
      <w:r w:rsidRPr="00025F07">
        <w:rPr>
          <w:rFonts w:ascii="Arial" w:hAnsi="Arial"/>
          <w:sz w:val="24"/>
        </w:rPr>
        <w:t>How and to what extent did MAGC support align with your organisation’s targets, timelines and expectations?</w:t>
      </w:r>
    </w:p>
    <w:p w:rsidRPr="002C57BB" w:rsidR="00025F07" w:rsidP="00025F07" w:rsidRDefault="004A3DCA" w14:paraId="44C9BF2C" w14:textId="0A18773C">
      <w:pPr>
        <w:pStyle w:val="ListParagraph"/>
        <w:numPr>
          <w:ilvl w:val="1"/>
          <w:numId w:val="78"/>
        </w:numPr>
        <w:ind w:left="1025" w:leftChars="127"/>
        <w:rPr>
          <w:rFonts w:ascii="Arial" w:hAnsi="Arial" w:cs="Arial"/>
          <w:i/>
          <w:sz w:val="24"/>
          <w:szCs w:val="24"/>
        </w:rPr>
      </w:pPr>
      <w:r w:rsidRPr="002C57BB">
        <w:rPr>
          <w:rFonts w:ascii="Arial" w:hAnsi="Arial"/>
          <w:sz w:val="24"/>
        </w:rPr>
        <w:t xml:space="preserve">Are you aware of the CAFI (Climate Assessment for Financial Institutions) tool? </w:t>
      </w:r>
    </w:p>
    <w:p w:rsidRPr="00025F07" w:rsidR="004A3DCA" w:rsidP="00025F07" w:rsidRDefault="004A3DCA" w14:paraId="01D62398" w14:textId="08F89DC8">
      <w:pPr>
        <w:rPr>
          <w:rStyle w:val="Italic"/>
        </w:rPr>
      </w:pPr>
      <w:r w:rsidRPr="00025F07">
        <w:rPr>
          <w:rStyle w:val="Italic"/>
        </w:rPr>
        <w:t xml:space="preserve">[If needed, explain: CAFI is a web-based platform that allows FIs to track and report on climate investments] </w:t>
      </w:r>
    </w:p>
    <w:p w:rsidRPr="00025F07" w:rsidR="004A3DCA" w:rsidP="002C57BB" w:rsidRDefault="004A3DCA" w14:paraId="0F201DC4" w14:textId="67A2FAF5">
      <w:pPr>
        <w:pStyle w:val="ListParagraph"/>
        <w:numPr>
          <w:ilvl w:val="0"/>
          <w:numId w:val="84"/>
        </w:numPr>
        <w:ind w:left="2160"/>
      </w:pPr>
      <w:r w:rsidRPr="00025F07">
        <w:rPr>
          <w:rFonts w:ascii="Arial" w:hAnsi="Arial"/>
          <w:sz w:val="24"/>
        </w:rPr>
        <w:t>Have you used it, or will you use it? If so, how and when?</w:t>
      </w:r>
    </w:p>
    <w:p w:rsidRPr="00025F07" w:rsidR="004A3DCA" w:rsidP="002C57BB" w:rsidRDefault="004A3DCA" w14:paraId="5E22ADBD" w14:textId="728271C0">
      <w:pPr>
        <w:pStyle w:val="ListParagraph"/>
        <w:numPr>
          <w:ilvl w:val="0"/>
          <w:numId w:val="84"/>
        </w:numPr>
        <w:ind w:left="2160"/>
      </w:pPr>
      <w:r w:rsidRPr="00025F07">
        <w:rPr>
          <w:rFonts w:ascii="Arial" w:hAnsi="Arial"/>
          <w:sz w:val="24"/>
        </w:rPr>
        <w:t>Do you know of any other institutions or projects that use these tools?</w:t>
      </w:r>
    </w:p>
    <w:p w:rsidRPr="00025F07" w:rsidR="004A3DCA" w:rsidP="002C57BB" w:rsidRDefault="004A3DCA" w14:paraId="73700BB7" w14:textId="1152D068">
      <w:pPr>
        <w:pStyle w:val="ListParagraph"/>
        <w:numPr>
          <w:ilvl w:val="1"/>
          <w:numId w:val="78"/>
        </w:numPr>
        <w:ind w:left="1025" w:leftChars="127"/>
      </w:pPr>
      <w:r w:rsidRPr="00025F07">
        <w:rPr>
          <w:rFonts w:ascii="Arial" w:hAnsi="Arial"/>
          <w:sz w:val="24"/>
        </w:rPr>
        <w:t>Can you provide an example of a green building project that you financed as a result of the IFC investment? Could you describe the process of financing, developing and constructing the project?</w:t>
      </w:r>
    </w:p>
    <w:p w:rsidRPr="00025F07" w:rsidR="004A3DCA" w:rsidP="002C57BB" w:rsidRDefault="004A3DCA" w14:paraId="2C7E6670" w14:textId="3111F0C9">
      <w:pPr>
        <w:pStyle w:val="ListParagraph"/>
        <w:numPr>
          <w:ilvl w:val="1"/>
          <w:numId w:val="78"/>
        </w:numPr>
        <w:ind w:left="1025" w:leftChars="127"/>
      </w:pPr>
      <w:r w:rsidRPr="00025F07">
        <w:rPr>
          <w:rFonts w:ascii="Arial" w:hAnsi="Arial"/>
          <w:sz w:val="24"/>
        </w:rPr>
        <w:t xml:space="preserve">We are now going to probe a bit more into the possible effects of the investment and advisory support. (e.g., develop a pipeline of green building investments, expand existing portfolio; assessing green building risks) </w:t>
      </w:r>
    </w:p>
    <w:p w:rsidRPr="00025F07" w:rsidR="004A3DCA" w:rsidP="002C57BB" w:rsidRDefault="004A3DCA" w14:paraId="082CB361" w14:textId="184F220B">
      <w:pPr>
        <w:pStyle w:val="ListParagraph"/>
        <w:numPr>
          <w:ilvl w:val="0"/>
          <w:numId w:val="85"/>
        </w:numPr>
        <w:ind w:left="2160"/>
      </w:pPr>
      <w:r w:rsidRPr="00025F07">
        <w:rPr>
          <w:rFonts w:ascii="Arial" w:hAnsi="Arial"/>
          <w:sz w:val="24"/>
        </w:rPr>
        <w:t xml:space="preserve">Thinking of the advisory support by IFC, what do you think have been its effects – if any – on your company and daily work? </w:t>
      </w:r>
    </w:p>
    <w:p w:rsidRPr="00025F07" w:rsidR="004A3DCA" w:rsidP="002C57BB" w:rsidRDefault="004A3DCA" w14:paraId="35EA37CD" w14:textId="2ED9BD5D">
      <w:pPr>
        <w:pStyle w:val="ListParagraph"/>
        <w:numPr>
          <w:ilvl w:val="0"/>
          <w:numId w:val="85"/>
        </w:numPr>
        <w:ind w:left="2160"/>
      </w:pPr>
      <w:r w:rsidRPr="00025F07">
        <w:rPr>
          <w:rFonts w:ascii="Arial" w:hAnsi="Arial"/>
          <w:sz w:val="24"/>
        </w:rPr>
        <w:t>What have been its effects, if any, on internal systems and tools for assessing green building risk?</w:t>
      </w:r>
    </w:p>
    <w:p w:rsidRPr="00025F07" w:rsidR="004A3DCA" w:rsidP="002C57BB" w:rsidRDefault="004A3DCA" w14:paraId="756B89B6" w14:textId="7242698E">
      <w:pPr>
        <w:pStyle w:val="ListParagraph"/>
        <w:numPr>
          <w:ilvl w:val="0"/>
          <w:numId w:val="85"/>
        </w:numPr>
        <w:ind w:left="2160"/>
      </w:pPr>
      <w:r w:rsidRPr="00025F07">
        <w:rPr>
          <w:rFonts w:ascii="Arial" w:hAnsi="Arial"/>
          <w:sz w:val="24"/>
        </w:rPr>
        <w:t>How has the programme influenced your investment decisions regarding green buildings?</w:t>
      </w:r>
    </w:p>
    <w:p w:rsidRPr="00025F07" w:rsidR="004A3DCA" w:rsidP="002C57BB" w:rsidRDefault="004A3DCA" w14:paraId="398F0DF1" w14:textId="78D86571">
      <w:pPr>
        <w:pStyle w:val="ListParagraph"/>
        <w:numPr>
          <w:ilvl w:val="1"/>
          <w:numId w:val="78"/>
        </w:numPr>
        <w:ind w:left="1025" w:leftChars="127"/>
      </w:pPr>
      <w:r w:rsidRPr="00025F07">
        <w:rPr>
          <w:rFonts w:ascii="Arial" w:hAnsi="Arial"/>
          <w:sz w:val="24"/>
        </w:rPr>
        <w:t xml:space="preserve">Was any similar type of support available for your organisation? If so, which type of support? Has your organisation made use of any other type of blended finance or advisory support for green buildings? </w:t>
      </w:r>
      <w:r w:rsidRPr="00025F07">
        <w:rPr>
          <w:rStyle w:val="Italic"/>
          <w:rFonts w:ascii="Arial" w:hAnsi="Arial"/>
          <w:sz w:val="24"/>
        </w:rPr>
        <w:t>(If needed, explain definition of blended finance: the combination of commercial funding with access to capital at favourable rates)</w:t>
      </w:r>
    </w:p>
    <w:p w:rsidRPr="00025F07" w:rsidR="004A3DCA" w:rsidP="00025F07" w:rsidRDefault="004A3DCA" w14:paraId="4016B616" w14:textId="77777777">
      <w:pPr>
        <w:rPr>
          <w:rStyle w:val="Italic"/>
          <w:rFonts w:cs="Arial"/>
          <w:szCs w:val="24"/>
        </w:rPr>
      </w:pPr>
      <w:r w:rsidRPr="00025F07">
        <w:rPr>
          <w:rStyle w:val="Italic"/>
          <w:rFonts w:cs="Arial"/>
          <w:szCs w:val="24"/>
        </w:rPr>
        <w:t>If organisation has not received any MAGC support:</w:t>
      </w:r>
    </w:p>
    <w:p w:rsidRPr="00025F07" w:rsidR="004A3DCA" w:rsidP="002C57BB" w:rsidRDefault="004A3DCA" w14:paraId="4254342C" w14:textId="20B89FCE">
      <w:pPr>
        <w:pStyle w:val="ListParagraph"/>
        <w:numPr>
          <w:ilvl w:val="1"/>
          <w:numId w:val="78"/>
        </w:numPr>
        <w:ind w:left="1025" w:leftChars="127"/>
      </w:pPr>
      <w:r w:rsidRPr="00025F07">
        <w:rPr>
          <w:rFonts w:ascii="Arial" w:hAnsi="Arial"/>
          <w:sz w:val="24"/>
        </w:rPr>
        <w:t>Are you aware of access to capital at favourable rate connected to EDGE and IFC? If so, when and how did you hear about it?</w:t>
      </w:r>
    </w:p>
    <w:p w:rsidRPr="00025F07" w:rsidR="004A3DCA" w:rsidP="002C57BB" w:rsidRDefault="004A3DCA" w14:paraId="33624F15" w14:textId="65D77022">
      <w:pPr>
        <w:pStyle w:val="ListParagraph"/>
        <w:numPr>
          <w:ilvl w:val="1"/>
          <w:numId w:val="78"/>
        </w:numPr>
        <w:ind w:left="1025" w:leftChars="127"/>
      </w:pPr>
      <w:r w:rsidRPr="00025F07">
        <w:rPr>
          <w:rFonts w:ascii="Arial" w:hAnsi="Arial"/>
          <w:sz w:val="24"/>
        </w:rPr>
        <w:t>What is your understanding of green construction and the associated financial risks and opportunities?</w:t>
      </w:r>
    </w:p>
    <w:p w:rsidRPr="00463633" w:rsidR="004A3DCA" w:rsidP="004A3DCA" w:rsidRDefault="004A3DCA" w14:paraId="5D809CF6" w14:textId="77777777">
      <w:pPr>
        <w:rPr>
          <w:rStyle w:val="Boldtext"/>
        </w:rPr>
      </w:pPr>
      <w:r w:rsidRPr="00463633">
        <w:rPr>
          <w:rStyle w:val="Boldtext"/>
        </w:rPr>
        <w:t>Longer term impact and transformational change</w:t>
      </w:r>
    </w:p>
    <w:p w:rsidRPr="00463633" w:rsidR="004A3DCA" w:rsidP="004A3DCA" w:rsidRDefault="004A3DCA" w14:paraId="2A127C62" w14:textId="77777777">
      <w:pPr>
        <w:rPr>
          <w:rStyle w:val="Italic"/>
        </w:rPr>
      </w:pPr>
      <w:r w:rsidRPr="00463633">
        <w:rPr>
          <w:rStyle w:val="Italic"/>
        </w:rPr>
        <w:t>If interviewee is familiar with MAGC/EDGE:</w:t>
      </w:r>
    </w:p>
    <w:p w:rsidRPr="00025F07" w:rsidR="004A3DCA" w:rsidP="002C57BB" w:rsidRDefault="004A3DCA" w14:paraId="223A8E79" w14:textId="14F5C170">
      <w:pPr>
        <w:pStyle w:val="ListParagraph"/>
        <w:numPr>
          <w:ilvl w:val="1"/>
          <w:numId w:val="78"/>
        </w:numPr>
        <w:ind w:left="1440"/>
      </w:pPr>
      <w:r w:rsidRPr="00025F07">
        <w:rPr>
          <w:rFonts w:ascii="Arial" w:hAnsi="Arial"/>
          <w:sz w:val="24"/>
        </w:rPr>
        <w:t>Do the EDGE and CAFI tools represent an innovation in the green building market? In what way?</w:t>
      </w:r>
    </w:p>
    <w:p w:rsidRPr="00025F07" w:rsidR="004A3DCA" w:rsidP="002C57BB" w:rsidRDefault="004A3DCA" w14:paraId="3B788DC0" w14:textId="330AAD8B">
      <w:pPr>
        <w:pStyle w:val="ListParagraph"/>
        <w:numPr>
          <w:ilvl w:val="1"/>
          <w:numId w:val="78"/>
        </w:numPr>
        <w:ind w:left="1440"/>
      </w:pPr>
      <w:r w:rsidRPr="00025F07">
        <w:rPr>
          <w:rFonts w:ascii="Arial" w:hAnsi="Arial"/>
          <w:sz w:val="24"/>
        </w:rPr>
        <w:t>How would you rate the importance of the investment and advisory support in accelerating the green building market and why? In what ways has blended finance and advisory played a role, or can play a role, in the evolvement of green building market? (probe for: what incentives/leverage for others to act are provided; how capacity and capability is increased)</w:t>
      </w:r>
    </w:p>
    <w:p w:rsidRPr="00463633" w:rsidR="004A3DCA" w:rsidP="004A3DCA" w:rsidRDefault="004A3DCA" w14:paraId="1AE2D7C4" w14:textId="77777777">
      <w:pPr>
        <w:rPr>
          <w:rStyle w:val="Italic"/>
        </w:rPr>
      </w:pPr>
      <w:r w:rsidRPr="00463633">
        <w:rPr>
          <w:rStyle w:val="Italic"/>
        </w:rPr>
        <w:t>If interviewee is not familiar with MAGC/EDGE:</w:t>
      </w:r>
    </w:p>
    <w:p w:rsidRPr="00025F07" w:rsidR="004A3DCA" w:rsidP="002C57BB" w:rsidRDefault="004A3DCA" w14:paraId="0B7C4BF4" w14:textId="3BB08EC1">
      <w:pPr>
        <w:pStyle w:val="ListParagraph"/>
        <w:numPr>
          <w:ilvl w:val="1"/>
          <w:numId w:val="78"/>
        </w:numPr>
        <w:ind w:left="1440"/>
      </w:pPr>
      <w:r w:rsidRPr="00025F07">
        <w:rPr>
          <w:rFonts w:ascii="Arial" w:hAnsi="Arial"/>
          <w:sz w:val="24"/>
        </w:rPr>
        <w:t>Given what you know about access to capital at favourable rate connected to EDGE and IFC, would you be interested in participating in it or a similar initiative in the future?</w:t>
      </w:r>
    </w:p>
    <w:p w:rsidRPr="00463633" w:rsidR="004A3DCA" w:rsidP="004A3DCA" w:rsidRDefault="004A3DCA" w14:paraId="3A7A89A3" w14:textId="77777777">
      <w:pPr>
        <w:rPr>
          <w:rStyle w:val="Italic"/>
        </w:rPr>
      </w:pPr>
      <w:r w:rsidRPr="00463633">
        <w:rPr>
          <w:rStyle w:val="Italic"/>
        </w:rPr>
        <w:t>Ask all</w:t>
      </w:r>
    </w:p>
    <w:p w:rsidRPr="00025F07" w:rsidR="004A3DCA" w:rsidP="002C57BB" w:rsidRDefault="004A3DCA" w14:paraId="09FEFC53" w14:textId="7F61531B">
      <w:pPr>
        <w:pStyle w:val="ListParagraph"/>
        <w:numPr>
          <w:ilvl w:val="1"/>
          <w:numId w:val="78"/>
        </w:numPr>
        <w:ind w:left="1440"/>
      </w:pPr>
      <w:r w:rsidRPr="00025F07">
        <w:rPr>
          <w:rFonts w:ascii="Arial" w:hAnsi="Arial"/>
          <w:sz w:val="24"/>
        </w:rPr>
        <w:t>Can you describe your future investment plans in the green building sector?</w:t>
      </w:r>
    </w:p>
    <w:p w:rsidRPr="00463633" w:rsidR="004A3DCA" w:rsidP="004A3DCA" w:rsidRDefault="004A3DCA" w14:paraId="1622A1EB" w14:textId="77777777">
      <w:pPr>
        <w:rPr>
          <w:rStyle w:val="Boldtext"/>
        </w:rPr>
      </w:pPr>
      <w:r w:rsidRPr="00463633">
        <w:rPr>
          <w:rStyle w:val="Boldtext"/>
        </w:rPr>
        <w:t xml:space="preserve">GEDSI </w:t>
      </w:r>
    </w:p>
    <w:p w:rsidRPr="00025F07" w:rsidR="004A3DCA" w:rsidP="002C57BB" w:rsidRDefault="004A3DCA" w14:paraId="49AA7CD4" w14:textId="17D9AF71">
      <w:pPr>
        <w:pStyle w:val="ListParagraph"/>
        <w:numPr>
          <w:ilvl w:val="1"/>
          <w:numId w:val="78"/>
        </w:numPr>
        <w:ind w:left="1440"/>
      </w:pPr>
      <w:r w:rsidRPr="00025F07">
        <w:rPr>
          <w:rFonts w:ascii="Arial" w:hAnsi="Arial"/>
          <w:sz w:val="24"/>
        </w:rPr>
        <w:t>Does your organisation have a gender equality disability and social inclusion strategy?</w:t>
      </w:r>
    </w:p>
    <w:p w:rsidRPr="00025F07" w:rsidR="004A3DCA" w:rsidP="002C57BB" w:rsidRDefault="004A3DCA" w14:paraId="2C839D4B" w14:textId="152C475D">
      <w:pPr>
        <w:pStyle w:val="ListParagraph"/>
        <w:numPr>
          <w:ilvl w:val="1"/>
          <w:numId w:val="78"/>
        </w:numPr>
        <w:ind w:left="1440"/>
      </w:pPr>
      <w:r w:rsidRPr="00025F07">
        <w:rPr>
          <w:rFonts w:ascii="Arial" w:hAnsi="Arial"/>
          <w:sz w:val="24"/>
        </w:rPr>
        <w:t>How are local communities involved in your green building developments?</w:t>
      </w:r>
    </w:p>
    <w:p w:rsidRPr="00025F07" w:rsidR="004A3DCA" w:rsidP="002C57BB" w:rsidRDefault="004A3DCA" w14:paraId="50361CA3" w14:textId="5EBA6EEF">
      <w:pPr>
        <w:pStyle w:val="ListParagraph"/>
        <w:numPr>
          <w:ilvl w:val="1"/>
          <w:numId w:val="78"/>
        </w:numPr>
        <w:ind w:left="1440"/>
      </w:pPr>
      <w:r w:rsidRPr="00025F07">
        <w:rPr>
          <w:rFonts w:ascii="Arial" w:hAnsi="Arial"/>
          <w:sz w:val="24"/>
        </w:rPr>
        <w:t>Which groups do you believe are most impacted by the construction of green buildings?</w:t>
      </w:r>
    </w:p>
    <w:p w:rsidRPr="00025F07" w:rsidR="004A3DCA" w:rsidP="002C57BB" w:rsidRDefault="004A3DCA" w14:paraId="46F5839D" w14:textId="313EB0D9">
      <w:pPr>
        <w:pStyle w:val="ListParagraph"/>
        <w:numPr>
          <w:ilvl w:val="1"/>
          <w:numId w:val="78"/>
        </w:numPr>
        <w:ind w:left="1440"/>
      </w:pPr>
      <w:r w:rsidRPr="00025F07">
        <w:rPr>
          <w:rFonts w:ascii="Arial" w:hAnsi="Arial"/>
          <w:sz w:val="24"/>
        </w:rPr>
        <w:t>Are you aware of any ways in which green buildings could unintentionally disadvantage certain groups? Some probes:</w:t>
      </w:r>
    </w:p>
    <w:p w:rsidRPr="00025F07" w:rsidR="004A3DCA" w:rsidP="002C57BB" w:rsidRDefault="004A3DCA" w14:paraId="53C6F52D" w14:textId="4D134F7F">
      <w:pPr>
        <w:pStyle w:val="ListParagraph"/>
        <w:numPr>
          <w:ilvl w:val="0"/>
          <w:numId w:val="90"/>
        </w:numPr>
        <w:ind w:left="2160"/>
      </w:pPr>
      <w:r w:rsidRPr="00025F07">
        <w:rPr>
          <w:rFonts w:ascii="Arial" w:hAnsi="Arial"/>
          <w:sz w:val="24"/>
        </w:rPr>
        <w:t>Affordability of green housing for low-income groups or single-parent households</w:t>
      </w:r>
    </w:p>
    <w:p w:rsidRPr="00025F07" w:rsidR="004A3DCA" w:rsidP="002C57BB" w:rsidRDefault="004A3DCA" w14:paraId="12B8A2B5" w14:textId="78DD8CBB">
      <w:pPr>
        <w:pStyle w:val="ListParagraph"/>
        <w:numPr>
          <w:ilvl w:val="0"/>
          <w:numId w:val="90"/>
        </w:numPr>
        <w:ind w:left="2160"/>
      </w:pPr>
      <w:r w:rsidRPr="00025F07">
        <w:rPr>
          <w:rFonts w:ascii="Arial" w:hAnsi="Arial"/>
          <w:sz w:val="24"/>
        </w:rPr>
        <w:t>Accessibility for people with disabilities</w:t>
      </w:r>
    </w:p>
    <w:p w:rsidRPr="00025F07" w:rsidR="004A3DCA" w:rsidP="002C57BB" w:rsidRDefault="004A3DCA" w14:paraId="5046A7AF" w14:textId="666CDAB7">
      <w:pPr>
        <w:pStyle w:val="ListParagraph"/>
        <w:numPr>
          <w:ilvl w:val="0"/>
          <w:numId w:val="90"/>
        </w:numPr>
        <w:ind w:left="2160"/>
      </w:pPr>
      <w:r w:rsidRPr="00025F07">
        <w:rPr>
          <w:rFonts w:ascii="Arial" w:hAnsi="Arial"/>
          <w:sz w:val="24"/>
        </w:rPr>
        <w:t>Any challenges related to location of green buildings for certain groups (women, single-parent households, ethnic minorities including indigenous groups)</w:t>
      </w:r>
    </w:p>
    <w:p w:rsidRPr="00AE4C01" w:rsidR="004A3DCA" w:rsidP="00AE4C01" w:rsidRDefault="004A3DCA" w14:paraId="419BCBAD" w14:textId="77777777">
      <w:pPr>
        <w:rPr>
          <w:rStyle w:val="Italic"/>
          <w:rFonts w:cs="Arial"/>
          <w:szCs w:val="24"/>
        </w:rPr>
      </w:pPr>
      <w:r w:rsidRPr="00AE4C01">
        <w:rPr>
          <w:rStyle w:val="Italic"/>
          <w:rFonts w:cs="Arial"/>
          <w:szCs w:val="24"/>
        </w:rPr>
        <w:t>If interviewee is familiar with MAGC/EDGE</w:t>
      </w:r>
    </w:p>
    <w:p w:rsidRPr="00025F07" w:rsidR="004A3DCA" w:rsidP="002C57BB" w:rsidRDefault="004A3DCA" w14:paraId="10E1834B" w14:textId="790F9730">
      <w:pPr>
        <w:pStyle w:val="ListParagraph"/>
        <w:numPr>
          <w:ilvl w:val="1"/>
          <w:numId w:val="78"/>
        </w:numPr>
        <w:ind w:left="1440"/>
      </w:pPr>
      <w:r w:rsidRPr="00025F07">
        <w:rPr>
          <w:rFonts w:ascii="Arial" w:hAnsi="Arial"/>
          <w:sz w:val="24"/>
        </w:rPr>
        <w:t>Delivery</w:t>
      </w:r>
    </w:p>
    <w:p w:rsidRPr="00025F07" w:rsidR="004A3DCA" w:rsidP="002C57BB" w:rsidRDefault="004A3DCA" w14:paraId="367686C0" w14:textId="6627FE2D">
      <w:pPr>
        <w:pStyle w:val="ListParagraph"/>
        <w:numPr>
          <w:ilvl w:val="0"/>
          <w:numId w:val="91"/>
        </w:numPr>
        <w:ind w:left="2160"/>
      </w:pPr>
      <w:r w:rsidRPr="00025F07">
        <w:rPr>
          <w:rFonts w:ascii="Arial" w:hAnsi="Arial"/>
          <w:sz w:val="24"/>
        </w:rPr>
        <w:t>Have you seen any unexpected positive effects relating to GEDSI during the delivery of investment and advisory services by IFC? Some probes:</w:t>
      </w:r>
    </w:p>
    <w:p w:rsidRPr="00025F07" w:rsidR="004A3DCA" w:rsidP="002C57BB" w:rsidRDefault="004A3DCA" w14:paraId="7C1C378F" w14:textId="274EFA5D">
      <w:pPr>
        <w:pStyle w:val="ListParagraph"/>
        <w:numPr>
          <w:ilvl w:val="2"/>
          <w:numId w:val="89"/>
        </w:numPr>
        <w:ind w:left="2341" w:hanging="181"/>
      </w:pPr>
      <w:r w:rsidRPr="00025F07">
        <w:rPr>
          <w:rFonts w:ascii="Arial" w:hAnsi="Arial"/>
          <w:sz w:val="24"/>
        </w:rPr>
        <w:t>Women’s participation in the green building sector</w:t>
      </w:r>
    </w:p>
    <w:p w:rsidRPr="00025F07" w:rsidR="004A3DCA" w:rsidP="002C57BB" w:rsidRDefault="004A3DCA" w14:paraId="618C518C" w14:textId="1BE7787C">
      <w:pPr>
        <w:pStyle w:val="ListParagraph"/>
        <w:numPr>
          <w:ilvl w:val="2"/>
          <w:numId w:val="89"/>
        </w:numPr>
        <w:ind w:left="2341" w:hanging="181"/>
      </w:pPr>
      <w:r w:rsidRPr="00025F07">
        <w:rPr>
          <w:rFonts w:ascii="Arial" w:hAnsi="Arial"/>
          <w:sz w:val="24"/>
        </w:rPr>
        <w:t>Affordability of green housing for low-income families and single-parent households</w:t>
      </w:r>
    </w:p>
    <w:p w:rsidRPr="00025F07" w:rsidR="004A3DCA" w:rsidP="002C57BB" w:rsidRDefault="004A3DCA" w14:paraId="5F215793" w14:textId="1A05F774">
      <w:pPr>
        <w:pStyle w:val="ListParagraph"/>
        <w:numPr>
          <w:ilvl w:val="2"/>
          <w:numId w:val="89"/>
        </w:numPr>
        <w:ind w:left="2341" w:hanging="181"/>
      </w:pPr>
      <w:r w:rsidRPr="00025F07">
        <w:rPr>
          <w:rFonts w:ascii="Arial" w:hAnsi="Arial"/>
          <w:sz w:val="24"/>
        </w:rPr>
        <w:t>Accessibility considerations in certified green buildings</w:t>
      </w:r>
    </w:p>
    <w:p w:rsidRPr="00025F07" w:rsidR="004A3DCA" w:rsidP="002C57BB" w:rsidRDefault="004A3DCA" w14:paraId="1D299BF0" w14:textId="71F2DEC6">
      <w:pPr>
        <w:pStyle w:val="ListParagraph"/>
        <w:numPr>
          <w:ilvl w:val="0"/>
          <w:numId w:val="91"/>
        </w:numPr>
        <w:ind w:left="2160"/>
      </w:pPr>
      <w:r w:rsidRPr="00025F07">
        <w:rPr>
          <w:rFonts w:ascii="Arial" w:hAnsi="Arial"/>
          <w:sz w:val="24"/>
        </w:rPr>
        <w:t xml:space="preserve">To what extent did the investment/advisory services support these benefits from occurring? </w:t>
      </w:r>
    </w:p>
    <w:p w:rsidRPr="00025F07" w:rsidR="004A3DCA" w:rsidP="002C57BB" w:rsidRDefault="004A3DCA" w14:paraId="6050117D" w14:textId="0D5956A2">
      <w:pPr>
        <w:pStyle w:val="ListParagraph"/>
        <w:numPr>
          <w:ilvl w:val="0"/>
          <w:numId w:val="91"/>
        </w:numPr>
        <w:ind w:left="2160"/>
      </w:pPr>
      <w:r w:rsidRPr="00025F07">
        <w:rPr>
          <w:rFonts w:ascii="Arial" w:hAnsi="Arial"/>
          <w:sz w:val="24"/>
        </w:rPr>
        <w:t xml:space="preserve">To what extent did investment/advisory services prevent GEDSI benefits from occurring? </w:t>
      </w:r>
    </w:p>
    <w:p w:rsidRPr="00025F07" w:rsidR="004A3DCA" w:rsidP="002C57BB" w:rsidRDefault="004A3DCA" w14:paraId="7ABBD74D" w14:textId="375D2C57">
      <w:pPr>
        <w:pStyle w:val="ListParagraph"/>
        <w:numPr>
          <w:ilvl w:val="0"/>
          <w:numId w:val="91"/>
        </w:numPr>
        <w:ind w:left="2160"/>
      </w:pPr>
      <w:r w:rsidRPr="00025F07">
        <w:rPr>
          <w:rFonts w:ascii="Arial" w:hAnsi="Arial"/>
          <w:sz w:val="24"/>
        </w:rPr>
        <w:t>Did any external factors contribute to these benefits or prevent benefits?</w:t>
      </w:r>
    </w:p>
    <w:p w:rsidRPr="00025F07" w:rsidR="004A3DCA" w:rsidP="002C57BB" w:rsidRDefault="004A3DCA" w14:paraId="133F9E96" w14:textId="0C7AD4E2">
      <w:pPr>
        <w:pStyle w:val="ListParagraph"/>
        <w:numPr>
          <w:ilvl w:val="1"/>
          <w:numId w:val="78"/>
        </w:numPr>
        <w:ind w:left="1440"/>
      </w:pPr>
      <w:r w:rsidRPr="00025F07">
        <w:rPr>
          <w:rFonts w:ascii="Arial" w:hAnsi="Arial"/>
          <w:sz w:val="24"/>
        </w:rPr>
        <w:t>Future programme design</w:t>
      </w:r>
    </w:p>
    <w:p w:rsidRPr="00025F07" w:rsidR="004A3DCA" w:rsidP="002C57BB" w:rsidRDefault="004A3DCA" w14:paraId="0AB38C7B" w14:textId="5F459C52">
      <w:pPr>
        <w:pStyle w:val="ListParagraph"/>
        <w:numPr>
          <w:ilvl w:val="0"/>
          <w:numId w:val="92"/>
        </w:numPr>
        <w:ind w:left="2160"/>
      </w:pPr>
      <w:r w:rsidRPr="00025F07">
        <w:rPr>
          <w:rFonts w:ascii="Arial" w:hAnsi="Arial"/>
          <w:sz w:val="24"/>
        </w:rPr>
        <w:t xml:space="preserve">To what extent do you think it's feasible for future programming on green construction to include social impact as a key aim? What are the enablers/ barriers to including it? </w:t>
      </w:r>
    </w:p>
    <w:p w:rsidRPr="00025F07" w:rsidR="004A3DCA" w:rsidP="002C57BB" w:rsidRDefault="004A3DCA" w14:paraId="2520EFB3" w14:textId="0C8AD4CD">
      <w:pPr>
        <w:pStyle w:val="ListParagraph"/>
        <w:numPr>
          <w:ilvl w:val="0"/>
          <w:numId w:val="92"/>
        </w:numPr>
        <w:ind w:left="2160"/>
      </w:pPr>
      <w:r w:rsidRPr="00025F07">
        <w:rPr>
          <w:rFonts w:ascii="Arial" w:hAnsi="Arial"/>
          <w:sz w:val="24"/>
        </w:rPr>
        <w:t>What role should different stakeholder groups play in future programming to facilitate the inclusion of GEDSI in design and delivery? What role do you think your organisation should play?</w:t>
      </w:r>
    </w:p>
    <w:p w:rsidRPr="00463633" w:rsidR="004A3DCA" w:rsidP="004A3DCA" w:rsidRDefault="004A3DCA" w14:paraId="7B987586" w14:textId="77777777">
      <w:pPr>
        <w:rPr>
          <w:rStyle w:val="Boldtext"/>
        </w:rPr>
      </w:pPr>
      <w:r w:rsidRPr="00463633">
        <w:rPr>
          <w:rStyle w:val="Boldtext"/>
        </w:rPr>
        <w:t>Wrap up and recontact</w:t>
      </w:r>
    </w:p>
    <w:p w:rsidRPr="00AE4C01" w:rsidR="004A3DCA" w:rsidP="002C57BB" w:rsidRDefault="004A3DCA" w14:paraId="22E18B2B" w14:textId="185DAFBD">
      <w:pPr>
        <w:pStyle w:val="ListParagraph"/>
        <w:numPr>
          <w:ilvl w:val="1"/>
          <w:numId w:val="78"/>
        </w:numPr>
        <w:ind w:left="1440"/>
      </w:pPr>
      <w:r w:rsidRPr="00AE4C01">
        <w:rPr>
          <w:rFonts w:ascii="Arial" w:hAnsi="Arial"/>
          <w:sz w:val="24"/>
        </w:rPr>
        <w:t>Is there anything else that we haven’t discussed that you would like to share or that you think will be important for the evaluation?</w:t>
      </w:r>
    </w:p>
    <w:p w:rsidRPr="00AE4C01" w:rsidR="004A3DCA" w:rsidP="002C57BB" w:rsidRDefault="004A3DCA" w14:paraId="41A4C344" w14:textId="6E595178">
      <w:pPr>
        <w:pStyle w:val="ListParagraph"/>
        <w:numPr>
          <w:ilvl w:val="1"/>
          <w:numId w:val="78"/>
        </w:numPr>
        <w:ind w:left="1440"/>
      </w:pPr>
      <w:r w:rsidRPr="00AE4C01">
        <w:rPr>
          <w:rStyle w:val="Italic"/>
          <w:rFonts w:ascii="Arial" w:hAnsi="Arial"/>
          <w:sz w:val="24"/>
        </w:rPr>
        <w:t>(If not captured before)</w:t>
      </w:r>
      <w:r w:rsidRPr="00AE4C01">
        <w:rPr>
          <w:rFonts w:ascii="Arial" w:hAnsi="Arial"/>
          <w:sz w:val="24"/>
        </w:rPr>
        <w:t xml:space="preserve"> Are you happy for us to use this interview for this evaluation?</w:t>
      </w:r>
    </w:p>
    <w:p w:rsidRPr="00AE4C01" w:rsidR="004A3DCA" w:rsidP="002C57BB" w:rsidRDefault="004A3DCA" w14:paraId="68E3EEF4" w14:textId="73975383">
      <w:pPr>
        <w:pStyle w:val="ListParagraph"/>
        <w:numPr>
          <w:ilvl w:val="1"/>
          <w:numId w:val="78"/>
        </w:numPr>
        <w:ind w:left="1440"/>
      </w:pPr>
      <w:r w:rsidRPr="00AE4C01">
        <w:rPr>
          <w:rFonts w:ascii="Arial" w:hAnsi="Arial"/>
          <w:sz w:val="24"/>
        </w:rPr>
        <w:t>Are you happy to be recontacted by email if we have any follow-up questions or for an interview at a later stage in the evaluation?</w:t>
      </w:r>
    </w:p>
    <w:p w:rsidR="004A3DCA" w:rsidP="00EA1E4E" w:rsidRDefault="004A3DCA" w14:paraId="0B52EC06" w14:textId="3DF43680">
      <w:pPr>
        <w:pStyle w:val="Heading3"/>
      </w:pPr>
      <w:bookmarkStart w:name="_Toc179468565" w:id="147"/>
      <w:bookmarkStart w:name="_Toc179474015" w:id="148"/>
      <w:bookmarkStart w:name="_Toc181883599" w:id="149"/>
      <w:bookmarkStart w:name="_Toc188870883" w:id="150"/>
      <w:bookmarkStart w:name="_Toc207790222" w:id="151"/>
      <w:r>
        <w:t xml:space="preserve">T2/T3 IFC country offices </w:t>
      </w:r>
      <w:r w:rsidR="00DD3244">
        <w:t>T</w:t>
      </w:r>
      <w:r w:rsidRPr="00DD3244" w:rsidR="00DD3244">
        <w:t xml:space="preserve">opic </w:t>
      </w:r>
      <w:r>
        <w:t>Guide</w:t>
      </w:r>
      <w:bookmarkEnd w:id="147"/>
      <w:bookmarkEnd w:id="148"/>
      <w:bookmarkEnd w:id="149"/>
      <w:bookmarkEnd w:id="150"/>
      <w:bookmarkEnd w:id="151"/>
    </w:p>
    <w:p w:rsidRPr="00C90F83" w:rsidR="004A3DCA" w:rsidP="004A3DCA" w:rsidRDefault="004A3DCA" w14:paraId="07354C71" w14:textId="77777777">
      <w:r w:rsidRPr="00C90F83">
        <w:t xml:space="preserve">Thank you for agreeing to take part in this interview. I am a </w:t>
      </w:r>
      <w:r w:rsidRPr="00E77D12">
        <w:rPr>
          <w:rStyle w:val="Italic"/>
        </w:rPr>
        <w:t>[role at Ipsos]</w:t>
      </w:r>
      <w:r w:rsidRPr="00C90F83">
        <w:t xml:space="preserve">, a global research company that specialises in social research and evaluation. My role on this evaluation is </w:t>
      </w:r>
      <w:r w:rsidRPr="00E77D12">
        <w:rPr>
          <w:rStyle w:val="Italic"/>
        </w:rPr>
        <w:t>[interviewer to add]</w:t>
      </w:r>
      <w:r w:rsidRPr="00C90F83">
        <w:t xml:space="preserve">.  </w:t>
      </w:r>
    </w:p>
    <w:p w:rsidRPr="00C90F83" w:rsidR="004A3DCA" w:rsidP="004A3DCA" w:rsidRDefault="004A3DCA" w14:paraId="22C24F9D" w14:textId="77777777">
      <w:r w:rsidRPr="00C90F83">
        <w:t>Ipsos has been appointed by the UK Government as the Evaluation and Learning Partner for a programme delivered by International Finance Corporation (IFC), to accelerate the construction of certified green buildings. Our evaluation started in July 2023 and up until now we have completed the scoping phase and the process evaluation phase. We are currently in the early outcome and value for money (VfM) phase.</w:t>
      </w:r>
    </w:p>
    <w:p w:rsidRPr="00C90F83" w:rsidR="004A3DCA" w:rsidP="004A3DCA" w:rsidRDefault="004A3DCA" w14:paraId="1374F53B" w14:textId="77777777">
      <w:r w:rsidRPr="00C90F83">
        <w:t xml:space="preserve">As part of this phase, we are talking to a number of stakeholders from the UK government, IFC, as well as other in-country stakeholders, in order to gather their thoughts on the benefits of MAGC. We will use the findings from these interviews to inform our evaluation report. </w:t>
      </w:r>
    </w:p>
    <w:p w:rsidRPr="00C90F83" w:rsidR="004A3DCA" w:rsidP="004A3DCA" w:rsidRDefault="004A3DCA" w14:paraId="08F09EF2" w14:textId="77777777">
      <w:r w:rsidRPr="00C90F83">
        <w:t>We are looking for honest feedback, and all responses, positive or negative, are valuable for learning and improvement. 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rsidRPr="00C90F83" w:rsidR="004A3DCA" w:rsidP="004A3DCA" w:rsidRDefault="004A3DCA" w14:paraId="120E5A79" w14:textId="77777777">
      <w:r w:rsidRPr="00C90F83">
        <w:t>Your participation in this interview is voluntary and you can change your mind and terminate the interview at any time. Likewise, you are not required to answer any questions if you do not want to.</w:t>
      </w:r>
    </w:p>
    <w:p w:rsidRPr="00C90F83" w:rsidR="004A3DCA" w:rsidP="004A3DCA" w:rsidRDefault="004A3DCA" w14:paraId="4BB17C0B" w14:textId="77777777">
      <w:r w:rsidRPr="00C90F83">
        <w:t xml:space="preserve">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p>
    <w:p w:rsidRPr="00E77D12" w:rsidR="004A3DCA" w:rsidP="004A3DCA" w:rsidRDefault="004A3DCA" w14:paraId="72F092A7" w14:textId="77777777">
      <w:pPr>
        <w:rPr>
          <w:rStyle w:val="Italic"/>
        </w:rPr>
      </w:pPr>
      <w:r w:rsidRPr="00E77D12">
        <w:rPr>
          <w:rStyle w:val="Italic"/>
        </w:rPr>
        <w:t>[Ask for permission to record interview]</w:t>
      </w:r>
    </w:p>
    <w:p w:rsidR="004A3DCA" w:rsidP="004A3DCA" w:rsidRDefault="004A3DCA" w14:paraId="1236F6A6" w14:textId="77777777">
      <w:pPr>
        <w:rPr>
          <w:rStyle w:val="Italic"/>
        </w:rPr>
      </w:pPr>
      <w:r w:rsidRPr="00E77D12">
        <w:rPr>
          <w:rStyle w:val="Italic"/>
        </w:rPr>
        <w:t>[Ask if they are happy for us to use this interview for this evaluation]</w:t>
      </w:r>
    </w:p>
    <w:p w:rsidRPr="00463633" w:rsidR="004A3DCA" w:rsidP="004A3DCA" w:rsidRDefault="004A3DCA" w14:paraId="61A0FA05" w14:textId="77777777">
      <w:pPr>
        <w:rPr>
          <w:rStyle w:val="Boldtext"/>
        </w:rPr>
      </w:pPr>
      <w:r w:rsidRPr="00463633">
        <w:rPr>
          <w:rStyle w:val="Boldtext"/>
        </w:rPr>
        <w:t>Background and context</w:t>
      </w:r>
    </w:p>
    <w:p w:rsidRPr="00463633" w:rsidR="004A3DCA" w:rsidP="004A3DCA" w:rsidRDefault="004A3DCA" w14:paraId="77A48919" w14:textId="77777777">
      <w:pPr>
        <w:rPr>
          <w:rStyle w:val="Italic"/>
        </w:rPr>
      </w:pPr>
      <w:r w:rsidRPr="00463633">
        <w:rPr>
          <w:rStyle w:val="Italic"/>
        </w:rPr>
        <w:t>Interviewer to review responses of the interviewee in the process evaluation interviews and probe for changes in their role.</w:t>
      </w:r>
    </w:p>
    <w:p w:rsidRPr="00AE4C01" w:rsidR="004A3DCA" w:rsidP="002C57BB" w:rsidRDefault="004A3DCA" w14:paraId="7E2C8AE0" w14:textId="381B2645">
      <w:pPr>
        <w:pStyle w:val="ListParagraph"/>
        <w:numPr>
          <w:ilvl w:val="1"/>
          <w:numId w:val="92"/>
        </w:numPr>
      </w:pPr>
      <w:r w:rsidRPr="00AE4C01">
        <w:rPr>
          <w:rFonts w:ascii="Arial" w:hAnsi="Arial"/>
          <w:sz w:val="24"/>
        </w:rPr>
        <w:t>Could you give me an overview of your role and your involvement in MAGC? Probe for involvement in different components.</w:t>
      </w:r>
    </w:p>
    <w:p w:rsidRPr="00AE4C01" w:rsidR="004A3DCA" w:rsidP="002C57BB" w:rsidRDefault="004A3DCA" w14:paraId="0DD8AAE4" w14:textId="04980774">
      <w:pPr>
        <w:pStyle w:val="ListParagraph"/>
        <w:numPr>
          <w:ilvl w:val="1"/>
          <w:numId w:val="92"/>
        </w:numPr>
      </w:pPr>
      <w:r w:rsidRPr="00AE4C01">
        <w:rPr>
          <w:rFonts w:ascii="Arial" w:hAnsi="Arial"/>
          <w:sz w:val="24"/>
        </w:rPr>
        <w:t>Could you give me an overview of the activities and responsibilities of your team, in relation to MAGC?</w:t>
      </w:r>
    </w:p>
    <w:p w:rsidRPr="00463633" w:rsidR="004A3DCA" w:rsidP="004A3DCA" w:rsidRDefault="004A3DCA" w14:paraId="4C209584" w14:textId="77777777">
      <w:pPr>
        <w:rPr>
          <w:rStyle w:val="Boldtext"/>
        </w:rPr>
      </w:pPr>
      <w:r w:rsidRPr="00463633">
        <w:rPr>
          <w:rStyle w:val="Boldtext"/>
        </w:rPr>
        <w:t>Delivery of MAGC</w:t>
      </w:r>
    </w:p>
    <w:p w:rsidRPr="00AE4C01" w:rsidR="004A3DCA" w:rsidP="002C57BB" w:rsidRDefault="004A3DCA" w14:paraId="1914B4A2" w14:textId="57628D35">
      <w:pPr>
        <w:pStyle w:val="ListParagraph"/>
        <w:numPr>
          <w:ilvl w:val="1"/>
          <w:numId w:val="92"/>
        </w:numPr>
      </w:pPr>
      <w:r w:rsidRPr="00AE4C01">
        <w:rPr>
          <w:rFonts w:ascii="Arial" w:hAnsi="Arial"/>
          <w:sz w:val="24"/>
        </w:rPr>
        <w:t>In your opinion, to what extent have MAGC activities been carried out effectively? Does that align with your expectations? Probe on each component/activity depending on their involvement</w:t>
      </w:r>
    </w:p>
    <w:p w:rsidRPr="00AE4C01" w:rsidR="004A3DCA" w:rsidP="002C57BB" w:rsidRDefault="004A3DCA" w14:paraId="4A626FDC" w14:textId="7AD02090">
      <w:pPr>
        <w:pStyle w:val="ListParagraph"/>
        <w:numPr>
          <w:ilvl w:val="1"/>
          <w:numId w:val="92"/>
        </w:numPr>
      </w:pPr>
      <w:r w:rsidRPr="00AE4C01">
        <w:rPr>
          <w:rFonts w:ascii="Arial" w:hAnsi="Arial"/>
          <w:sz w:val="24"/>
        </w:rPr>
        <w:t xml:space="preserve">What challenges did you face, if any, in delivering activities as part of MAGC </w:t>
      </w:r>
      <w:r w:rsidRPr="002C57BB">
        <w:t>[refer to activities mentioned earlier]</w:t>
      </w:r>
      <w:r w:rsidRPr="00AE4C01">
        <w:rPr>
          <w:rFonts w:ascii="Arial" w:hAnsi="Arial"/>
          <w:sz w:val="24"/>
        </w:rPr>
        <w:t>? Were these mitigated and if so, how?</w:t>
      </w:r>
    </w:p>
    <w:p w:rsidRPr="00463633" w:rsidR="004A3DCA" w:rsidP="004A3DCA" w:rsidRDefault="004A3DCA" w14:paraId="3D6A2FED" w14:textId="77777777">
      <w:pPr>
        <w:rPr>
          <w:rStyle w:val="Boldtext"/>
        </w:rPr>
      </w:pPr>
      <w:r w:rsidRPr="00463633">
        <w:rPr>
          <w:rStyle w:val="Boldtext"/>
        </w:rPr>
        <w:t>Value for Money</w:t>
      </w:r>
    </w:p>
    <w:p w:rsidRPr="00AE4C01" w:rsidR="004A3DCA" w:rsidP="002C57BB" w:rsidRDefault="004A3DCA" w14:paraId="2DBD6B3E" w14:textId="1D7E2D40">
      <w:pPr>
        <w:pStyle w:val="ListParagraph"/>
        <w:numPr>
          <w:ilvl w:val="1"/>
          <w:numId w:val="92"/>
        </w:numPr>
      </w:pPr>
      <w:r w:rsidRPr="00AE4C01">
        <w:rPr>
          <w:rFonts w:ascii="Arial" w:hAnsi="Arial"/>
          <w:sz w:val="24"/>
        </w:rPr>
        <w:t xml:space="preserve">Are MAGC activities in the country delivered on time and within budget? In case of deviations (positive or negative): what are the drivers for that? </w:t>
      </w:r>
    </w:p>
    <w:p w:rsidRPr="00AE4C01" w:rsidR="004A3DCA" w:rsidP="002C57BB" w:rsidRDefault="004A3DCA" w14:paraId="56C802B0" w14:textId="0C9AAA53">
      <w:pPr>
        <w:pStyle w:val="ListParagraph"/>
        <w:numPr>
          <w:ilvl w:val="1"/>
          <w:numId w:val="92"/>
        </w:numPr>
      </w:pPr>
      <w:r w:rsidRPr="00AE4C01">
        <w:rPr>
          <w:rFonts w:ascii="Arial" w:hAnsi="Arial"/>
          <w:sz w:val="24"/>
        </w:rPr>
        <w:t>To what extent have there been efforts to keep costs of different activities (stakeholder outreach, capacity building activities) at reasonable levels? In what ways?</w:t>
      </w:r>
    </w:p>
    <w:p w:rsidRPr="00463633" w:rsidR="004A3DCA" w:rsidP="004A3DCA" w:rsidRDefault="004A3DCA" w14:paraId="521BF99F" w14:textId="77777777">
      <w:pPr>
        <w:rPr>
          <w:rStyle w:val="Boldtext"/>
        </w:rPr>
      </w:pPr>
      <w:r w:rsidRPr="00463633">
        <w:rPr>
          <w:rStyle w:val="Boldtext"/>
        </w:rPr>
        <w:t>Early outcomes</w:t>
      </w:r>
    </w:p>
    <w:p w:rsidRPr="00AE4C01" w:rsidR="004A3DCA" w:rsidP="002C57BB" w:rsidRDefault="004A3DCA" w14:paraId="164420E1" w14:textId="2484DCDD">
      <w:pPr>
        <w:pStyle w:val="ListParagraph"/>
        <w:numPr>
          <w:ilvl w:val="1"/>
          <w:numId w:val="92"/>
        </w:numPr>
      </w:pPr>
      <w:r w:rsidRPr="00AE4C01">
        <w:rPr>
          <w:rFonts w:ascii="Arial" w:hAnsi="Arial"/>
          <w:sz w:val="24"/>
        </w:rPr>
        <w:t>Could you share some of the key results achieved to date in relation to MAGC activities? E.g., number of workshops, trainings, engagement events, number of people engaged with, etc.</w:t>
      </w:r>
    </w:p>
    <w:p w:rsidRPr="00AE4C01" w:rsidR="004A3DCA" w:rsidP="002C57BB" w:rsidRDefault="004A3DCA" w14:paraId="4EAE2297" w14:textId="1819D24B">
      <w:pPr>
        <w:pStyle w:val="ListParagraph"/>
        <w:numPr>
          <w:ilvl w:val="0"/>
          <w:numId w:val="99"/>
        </w:numPr>
      </w:pPr>
      <w:r w:rsidRPr="00AE4C01">
        <w:rPr>
          <w:rStyle w:val="Italic"/>
          <w:rFonts w:ascii="Arial" w:hAnsi="Arial"/>
          <w:sz w:val="24"/>
        </w:rPr>
        <w:t>[If there is an investment in the country]</w:t>
      </w:r>
      <w:r w:rsidRPr="00AE4C01">
        <w:rPr>
          <w:rFonts w:ascii="Arial" w:hAnsi="Arial"/>
          <w:sz w:val="24"/>
        </w:rPr>
        <w:t xml:space="preserve"> Do you know how many buildings/houses have been built with EDGE? What type of buildings are they (low income residential, middle income residential, commercial, mixed-use buildings)?</w:t>
      </w:r>
    </w:p>
    <w:p w:rsidRPr="00AE4C01" w:rsidR="004A3DCA" w:rsidP="002C57BB" w:rsidRDefault="004A3DCA" w14:paraId="0971E64E" w14:textId="31A55014">
      <w:pPr>
        <w:pStyle w:val="ListParagraph"/>
        <w:numPr>
          <w:ilvl w:val="0"/>
          <w:numId w:val="99"/>
        </w:numPr>
      </w:pPr>
      <w:r w:rsidRPr="00AE4C01">
        <w:rPr>
          <w:rFonts w:ascii="Arial" w:hAnsi="Arial"/>
          <w:sz w:val="24"/>
        </w:rPr>
        <w:t>Could you describe the main building categories in your country and how they are classified? (e.g. how is social housing defined and who can access it?)</w:t>
      </w:r>
    </w:p>
    <w:p w:rsidRPr="00AE4C01" w:rsidR="004A3DCA" w:rsidP="002C57BB" w:rsidRDefault="004A3DCA" w14:paraId="719D03F1" w14:textId="2DFDD806">
      <w:pPr>
        <w:pStyle w:val="ListParagraph"/>
        <w:numPr>
          <w:ilvl w:val="1"/>
          <w:numId w:val="92"/>
        </w:numPr>
      </w:pPr>
      <w:r w:rsidRPr="00AE4C01">
        <w:rPr>
          <w:rFonts w:ascii="Arial" w:hAnsi="Arial"/>
          <w:sz w:val="24"/>
        </w:rPr>
        <w:t>In your opinion, how well do these results observed align with the overall aim of MAGC – to increase savings and reduce emission through new green buildings?</w:t>
      </w:r>
    </w:p>
    <w:p w:rsidRPr="00AE4C01" w:rsidR="004A3DCA" w:rsidP="002C57BB" w:rsidRDefault="004A3DCA" w14:paraId="2FAD2AF0" w14:textId="7E551FF7">
      <w:pPr>
        <w:pStyle w:val="ListParagraph"/>
        <w:numPr>
          <w:ilvl w:val="1"/>
          <w:numId w:val="92"/>
        </w:numPr>
      </w:pPr>
      <w:r w:rsidRPr="00AE4C01">
        <w:rPr>
          <w:rFonts w:ascii="Arial" w:hAnsi="Arial"/>
          <w:sz w:val="24"/>
        </w:rPr>
        <w:t xml:space="preserve">How has the green building market and EDGE uptake evolved in your country in the last five years? </w:t>
      </w:r>
    </w:p>
    <w:p w:rsidRPr="00AE4C01" w:rsidR="004A3DCA" w:rsidP="002C57BB" w:rsidRDefault="004A3DCA" w14:paraId="215512BB" w14:textId="22B83301">
      <w:pPr>
        <w:pStyle w:val="ListParagraph"/>
        <w:numPr>
          <w:ilvl w:val="0"/>
          <w:numId w:val="100"/>
        </w:numPr>
      </w:pPr>
      <w:r w:rsidRPr="00AE4C01">
        <w:rPr>
          <w:rFonts w:ascii="Arial" w:hAnsi="Arial"/>
          <w:sz w:val="24"/>
        </w:rPr>
        <w:t>What are the main drivers of EDGE uptake? What are the main barriers?</w:t>
      </w:r>
    </w:p>
    <w:p w:rsidRPr="00AE4C01" w:rsidR="004A3DCA" w:rsidP="002C57BB" w:rsidRDefault="004A3DCA" w14:paraId="57BC45BB" w14:textId="0F8972FA">
      <w:pPr>
        <w:pStyle w:val="ListParagraph"/>
        <w:numPr>
          <w:ilvl w:val="1"/>
          <w:numId w:val="92"/>
        </w:numPr>
      </w:pPr>
      <w:r w:rsidRPr="00AE4C01">
        <w:rPr>
          <w:rStyle w:val="Italic"/>
          <w:rFonts w:ascii="Arial" w:hAnsi="Arial"/>
          <w:sz w:val="24"/>
        </w:rPr>
        <w:t>[Depending on MAGC activities that are present in the country]</w:t>
      </w:r>
      <w:r w:rsidRPr="00AE4C01">
        <w:rPr>
          <w:rFonts w:ascii="Arial" w:hAnsi="Arial"/>
          <w:sz w:val="24"/>
        </w:rPr>
        <w:t xml:space="preserve"> Do you think advisory services and technical assistance offered to FIs in your country helps address barriers to investing in the sector (and how)? Have they had any effect on the regulatory framework?</w:t>
      </w:r>
    </w:p>
    <w:p w:rsidRPr="00AE4C01" w:rsidR="004A3DCA" w:rsidP="002C57BB" w:rsidRDefault="004A3DCA" w14:paraId="6CCC00CE" w14:textId="270C8A7B">
      <w:pPr>
        <w:pStyle w:val="ListParagraph"/>
        <w:numPr>
          <w:ilvl w:val="1"/>
          <w:numId w:val="92"/>
        </w:numPr>
      </w:pPr>
      <w:r w:rsidRPr="00AE4C01">
        <w:rPr>
          <w:rFonts w:ascii="Arial" w:hAnsi="Arial"/>
          <w:sz w:val="24"/>
        </w:rPr>
        <w:t>At the level of individual investment, what do you think has constituted a successful investment?</w:t>
      </w:r>
    </w:p>
    <w:p w:rsidRPr="00AE4C01" w:rsidR="004A3DCA" w:rsidP="002C57BB" w:rsidRDefault="004A3DCA" w14:paraId="6947D1EC" w14:textId="27296A3A">
      <w:pPr>
        <w:pStyle w:val="ListParagraph"/>
        <w:numPr>
          <w:ilvl w:val="0"/>
          <w:numId w:val="101"/>
        </w:numPr>
      </w:pPr>
      <w:r w:rsidRPr="00AE4C01">
        <w:rPr>
          <w:rStyle w:val="Italic"/>
          <w:rFonts w:ascii="Arial" w:hAnsi="Arial"/>
          <w:sz w:val="24"/>
        </w:rPr>
        <w:t>(If there is an investment in the country)</w:t>
      </w:r>
      <w:r w:rsidRPr="00AE4C01">
        <w:rPr>
          <w:rFonts w:ascii="Arial" w:hAnsi="Arial"/>
          <w:sz w:val="24"/>
        </w:rPr>
        <w:t xml:space="preserve"> Do you consider the investment in your country successful or less successful, and why?</w:t>
      </w:r>
    </w:p>
    <w:p w:rsidRPr="00463633" w:rsidR="004A3DCA" w:rsidP="004A3DCA" w:rsidRDefault="004A3DCA" w14:paraId="034D4AF1" w14:textId="77777777">
      <w:pPr>
        <w:rPr>
          <w:rStyle w:val="Boldtext"/>
        </w:rPr>
      </w:pPr>
      <w:r w:rsidRPr="00463633">
        <w:rPr>
          <w:rStyle w:val="Boldtext"/>
        </w:rPr>
        <w:t>Impacts and transformational change</w:t>
      </w:r>
    </w:p>
    <w:p w:rsidRPr="004A3DCA" w:rsidR="004A3DCA" w:rsidP="004A3DCA" w:rsidRDefault="004A3DCA" w14:paraId="4740AADC" w14:textId="7C420DE5">
      <w:pPr>
        <w:rPr>
          <w:rStyle w:val="Boldtext"/>
        </w:rPr>
      </w:pPr>
      <w:r w:rsidRPr="00463633">
        <w:rPr>
          <w:rStyle w:val="Boldtext"/>
        </w:rPr>
        <w:t xml:space="preserve">Criterion: Capacity and capability </w:t>
      </w:r>
    </w:p>
    <w:p w:rsidRPr="00AE4C01" w:rsidR="004A3DCA" w:rsidP="002C57BB" w:rsidRDefault="004A3DCA" w14:paraId="16E79351" w14:textId="7ADCE8DE">
      <w:pPr>
        <w:pStyle w:val="ListParagraph"/>
        <w:numPr>
          <w:ilvl w:val="1"/>
          <w:numId w:val="92"/>
        </w:numPr>
      </w:pPr>
      <w:r w:rsidRPr="00AE4C01">
        <w:rPr>
          <w:rFonts w:ascii="Arial" w:hAnsi="Arial"/>
          <w:sz w:val="24"/>
        </w:rPr>
        <w:t>What were the outcomes of workshops, trainings, seminars, and conferences delivered by MAGC? To what extent did they influence stakeholders' understanding and approach to green construction? If so, in what ways?</w:t>
      </w:r>
    </w:p>
    <w:p w:rsidRPr="00AE4C01" w:rsidR="004A3DCA" w:rsidP="002C57BB" w:rsidRDefault="004A3DCA" w14:paraId="4D0B494A" w14:textId="07DE7687">
      <w:pPr>
        <w:pStyle w:val="ListParagraph"/>
        <w:numPr>
          <w:ilvl w:val="1"/>
          <w:numId w:val="92"/>
        </w:numPr>
      </w:pPr>
      <w:r w:rsidRPr="00AE4C01">
        <w:rPr>
          <w:rFonts w:ascii="Arial" w:hAnsi="Arial"/>
          <w:sz w:val="24"/>
        </w:rPr>
        <w:t>What were the outcomes of the investment and advisory services? To what extent did they influence stakeholders' understanding and approach to green construction? If so, in what ways?</w:t>
      </w:r>
    </w:p>
    <w:p w:rsidRPr="00AE4C01" w:rsidR="004A3DCA" w:rsidP="002C57BB" w:rsidRDefault="004A3DCA" w14:paraId="450784EF" w14:textId="7C75BF7A">
      <w:pPr>
        <w:pStyle w:val="ListParagraph"/>
        <w:numPr>
          <w:ilvl w:val="1"/>
          <w:numId w:val="92"/>
        </w:numPr>
      </w:pPr>
      <w:r w:rsidRPr="00AE4C01">
        <w:rPr>
          <w:rFonts w:ascii="Arial" w:hAnsi="Arial"/>
          <w:sz w:val="24"/>
        </w:rPr>
        <w:t xml:space="preserve">What were the outcomes of the training of EDGE auditors and experts? </w:t>
      </w:r>
    </w:p>
    <w:p w:rsidRPr="00AE4C01" w:rsidR="004A3DCA" w:rsidP="002C57BB" w:rsidRDefault="004A3DCA" w14:paraId="4C8391A0" w14:textId="4C3FB27E">
      <w:pPr>
        <w:pStyle w:val="ListParagraph"/>
        <w:numPr>
          <w:ilvl w:val="1"/>
          <w:numId w:val="92"/>
        </w:numPr>
      </w:pPr>
      <w:r w:rsidRPr="00AE4C01">
        <w:rPr>
          <w:rFonts w:ascii="Arial" w:hAnsi="Arial"/>
          <w:sz w:val="24"/>
        </w:rPr>
        <w:t>What challenges have you experienced in building the capacity and capability of stakeholders through the programme, and how have you addressed them?</w:t>
      </w:r>
    </w:p>
    <w:p w:rsidRPr="00AE4C01" w:rsidR="004A3DCA" w:rsidP="002C57BB" w:rsidRDefault="004A3DCA" w14:paraId="6E7687EE" w14:textId="42AF5953">
      <w:pPr>
        <w:pStyle w:val="ListParagraph"/>
        <w:numPr>
          <w:ilvl w:val="1"/>
          <w:numId w:val="92"/>
        </w:numPr>
      </w:pPr>
      <w:r w:rsidRPr="00AE4C01">
        <w:rPr>
          <w:rFonts w:ascii="Arial" w:hAnsi="Arial"/>
          <w:sz w:val="24"/>
        </w:rPr>
        <w:t>To what extent does the number of active EDGE users indicate progress and success of the programme? If so, in what ways?</w:t>
      </w:r>
    </w:p>
    <w:p w:rsidRPr="004A3DCA" w:rsidR="004A3DCA" w:rsidP="004A3DCA" w:rsidRDefault="004A3DCA" w14:paraId="5449A960" w14:textId="77777777">
      <w:pPr>
        <w:rPr>
          <w:rStyle w:val="Boldtext"/>
        </w:rPr>
      </w:pPr>
      <w:r w:rsidRPr="003B2A4D">
        <w:rPr>
          <w:rStyle w:val="Boldtext"/>
        </w:rPr>
        <w:t>Criterion: Innovation</w:t>
      </w:r>
    </w:p>
    <w:p w:rsidRPr="00AE4C01" w:rsidR="004A3DCA" w:rsidP="002C57BB" w:rsidRDefault="004A3DCA" w14:paraId="28F3A1B7" w14:textId="5C029EEA">
      <w:pPr>
        <w:pStyle w:val="ListParagraph"/>
        <w:numPr>
          <w:ilvl w:val="1"/>
          <w:numId w:val="92"/>
        </w:numPr>
      </w:pPr>
      <w:r w:rsidRPr="00AE4C01">
        <w:rPr>
          <w:rFonts w:ascii="Arial" w:hAnsi="Arial"/>
          <w:sz w:val="24"/>
        </w:rPr>
        <w:t>What effects, if any, have you observed after the EDGE and CAFI tool improvements? (EDGE Zero Net Carbon ready certification; EDGE app accessible in multiple languages; EDGE labelling; EDGE Retrofit) Can you share examples? (on the use of the platforms by financial institutions, auditors, green building experts)</w:t>
      </w:r>
    </w:p>
    <w:p w:rsidRPr="00AE4C01" w:rsidR="004A3DCA" w:rsidP="002C57BB" w:rsidRDefault="004A3DCA" w14:paraId="258FBB27" w14:textId="6B976813">
      <w:pPr>
        <w:pStyle w:val="ListParagraph"/>
        <w:numPr>
          <w:ilvl w:val="1"/>
          <w:numId w:val="92"/>
        </w:numPr>
      </w:pPr>
      <w:r w:rsidRPr="00AE4C01">
        <w:rPr>
          <w:rFonts w:ascii="Arial" w:hAnsi="Arial"/>
          <w:sz w:val="24"/>
        </w:rPr>
        <w:t>To what extend do the EDGE and CAFI tools represent an innovation in the green building market? In what way?</w:t>
      </w:r>
    </w:p>
    <w:p w:rsidRPr="00AE4C01" w:rsidR="004A3DCA" w:rsidP="002C57BB" w:rsidRDefault="004A3DCA" w14:paraId="160BA08F" w14:textId="2A807E6A">
      <w:pPr>
        <w:pStyle w:val="ListParagraph"/>
        <w:numPr>
          <w:ilvl w:val="1"/>
          <w:numId w:val="92"/>
        </w:numPr>
      </w:pPr>
      <w:r w:rsidRPr="00AE4C01">
        <w:rPr>
          <w:rFonts w:ascii="Arial" w:hAnsi="Arial"/>
          <w:sz w:val="24"/>
        </w:rPr>
        <w:t>What challenges, if any, have you encountered with the EDGE and CAFI tools? How about people you work with, or other people you know that are using these tools?</w:t>
      </w:r>
    </w:p>
    <w:p w:rsidRPr="00AE4C01" w:rsidR="004A3DCA" w:rsidP="002C57BB" w:rsidRDefault="004A3DCA" w14:paraId="571B5C2C" w14:textId="1E7E765C">
      <w:pPr>
        <w:pStyle w:val="ListParagraph"/>
        <w:numPr>
          <w:ilvl w:val="1"/>
          <w:numId w:val="92"/>
        </w:numPr>
      </w:pPr>
      <w:r w:rsidRPr="00AE4C01">
        <w:rPr>
          <w:rFonts w:ascii="Arial" w:hAnsi="Arial"/>
          <w:sz w:val="24"/>
        </w:rPr>
        <w:t>What future improvements are planned for the EDGE and CAFI tools to foster innovation within the programme?</w:t>
      </w:r>
    </w:p>
    <w:p w:rsidRPr="004A3DCA" w:rsidR="004A3DCA" w:rsidP="004A3DCA" w:rsidRDefault="004A3DCA" w14:paraId="4FABF619" w14:textId="77777777">
      <w:pPr>
        <w:rPr>
          <w:rStyle w:val="Boldtext"/>
        </w:rPr>
      </w:pPr>
      <w:r w:rsidRPr="003B2A4D">
        <w:rPr>
          <w:rStyle w:val="Boldtext"/>
        </w:rPr>
        <w:t>Criterion: Leverage/create incentives for others to act</w:t>
      </w:r>
    </w:p>
    <w:p w:rsidRPr="00AE4C01" w:rsidR="004A3DCA" w:rsidP="002C57BB" w:rsidRDefault="004A3DCA" w14:paraId="130D0F6D" w14:textId="748F76B1">
      <w:pPr>
        <w:pStyle w:val="ListParagraph"/>
        <w:numPr>
          <w:ilvl w:val="1"/>
          <w:numId w:val="92"/>
        </w:numPr>
      </w:pPr>
      <w:r w:rsidRPr="00AE4C01">
        <w:rPr>
          <w:rFonts w:ascii="Arial" w:hAnsi="Arial"/>
          <w:sz w:val="24"/>
        </w:rPr>
        <w:t xml:space="preserve">To what extent is the programme encouraging replication of finance (define: finance beyond MAGC investment) for green building project costs? </w:t>
      </w:r>
    </w:p>
    <w:p w:rsidRPr="00AE4C01" w:rsidR="004A3DCA" w:rsidP="002C57BB" w:rsidRDefault="004A3DCA" w14:paraId="7715831D" w14:textId="3EC96B3F">
      <w:pPr>
        <w:pStyle w:val="ListParagraph"/>
        <w:numPr>
          <w:ilvl w:val="1"/>
          <w:numId w:val="92"/>
        </w:numPr>
      </w:pPr>
      <w:r w:rsidRPr="00AE4C01">
        <w:rPr>
          <w:rFonts w:ascii="Arial" w:hAnsi="Arial"/>
          <w:sz w:val="24"/>
        </w:rPr>
        <w:t>What effects have you observed, if any, in the financial intermediaries that have committed to MAGC blended finance (in terms of activities, decisions, and understanding of green buildings)? Can you share examples?</w:t>
      </w:r>
    </w:p>
    <w:p w:rsidRPr="00AE4C01" w:rsidR="004A3DCA" w:rsidP="002C57BB" w:rsidRDefault="004A3DCA" w14:paraId="0F53EA6C" w14:textId="50242EF8">
      <w:pPr>
        <w:pStyle w:val="ListParagraph"/>
        <w:numPr>
          <w:ilvl w:val="1"/>
          <w:numId w:val="92"/>
        </w:numPr>
      </w:pPr>
      <w:r w:rsidRPr="00AE4C01">
        <w:rPr>
          <w:rFonts w:ascii="Arial" w:hAnsi="Arial"/>
          <w:sz w:val="24"/>
        </w:rPr>
        <w:t>Can you provide examples of how cities, local governments, policymakers and other public bodies have implemented the changes recommended through advisory? (e.g. policies/incentives/ ordinances or decrees/ updates of previous policies/ordinances/decrees are published)</w:t>
      </w:r>
    </w:p>
    <w:p w:rsidRPr="004A3DCA" w:rsidR="004A3DCA" w:rsidP="004A3DCA" w:rsidRDefault="004A3DCA" w14:paraId="2154E084" w14:textId="77777777">
      <w:pPr>
        <w:rPr>
          <w:rStyle w:val="Boldtext"/>
        </w:rPr>
      </w:pPr>
      <w:r w:rsidRPr="003B2A4D">
        <w:rPr>
          <w:rStyle w:val="Boldtext"/>
        </w:rPr>
        <w:t>Criterion: Critical mass</w:t>
      </w:r>
    </w:p>
    <w:p w:rsidRPr="00AE4C01" w:rsidR="004A3DCA" w:rsidP="002C57BB" w:rsidRDefault="004A3DCA" w14:paraId="5035F308" w14:textId="172ACD31">
      <w:pPr>
        <w:pStyle w:val="ListParagraph"/>
        <w:numPr>
          <w:ilvl w:val="1"/>
          <w:numId w:val="92"/>
        </w:numPr>
      </w:pPr>
      <w:r w:rsidRPr="00AE4C01">
        <w:rPr>
          <w:rFonts w:ascii="Arial" w:hAnsi="Arial"/>
          <w:sz w:val="24"/>
        </w:rPr>
        <w:t>To what extent has the programme influenced the entry of additional financial intermediaries into green building markets? Can you provide specific examples?</w:t>
      </w:r>
    </w:p>
    <w:p w:rsidRPr="00AE4C01" w:rsidR="004A3DCA" w:rsidP="002C57BB" w:rsidRDefault="004A3DCA" w14:paraId="40B953E5" w14:textId="600E9642">
      <w:pPr>
        <w:pStyle w:val="ListParagraph"/>
        <w:numPr>
          <w:ilvl w:val="1"/>
          <w:numId w:val="92"/>
        </w:numPr>
      </w:pPr>
      <w:r w:rsidRPr="00AE4C01">
        <w:rPr>
          <w:rFonts w:ascii="Arial" w:hAnsi="Arial"/>
          <w:sz w:val="24"/>
        </w:rPr>
        <w:t xml:space="preserve">To what extent is the programme making a difference in the green building market? Why or why not? In what ways do you see it doing this? What would be needed to influence change in the green building sector in your country? </w:t>
      </w:r>
    </w:p>
    <w:p w:rsidRPr="003B2A4D" w:rsidR="004A3DCA" w:rsidP="004A3DCA" w:rsidRDefault="004A3DCA" w14:paraId="20D457CD" w14:textId="77777777">
      <w:pPr>
        <w:rPr>
          <w:rStyle w:val="Boldtext"/>
        </w:rPr>
      </w:pPr>
      <w:r w:rsidRPr="003B2A4D">
        <w:rPr>
          <w:rStyle w:val="Boldtext"/>
        </w:rPr>
        <w:t>GEDSI</w:t>
      </w:r>
    </w:p>
    <w:p w:rsidRPr="00AE4C01" w:rsidR="004A3DCA" w:rsidP="002C57BB" w:rsidRDefault="004A3DCA" w14:paraId="0D3924A0" w14:textId="2AA74A6E">
      <w:pPr>
        <w:pStyle w:val="ListParagraph"/>
        <w:numPr>
          <w:ilvl w:val="1"/>
          <w:numId w:val="92"/>
        </w:numPr>
      </w:pPr>
      <w:r w:rsidRPr="00AE4C01">
        <w:rPr>
          <w:rFonts w:ascii="Arial" w:hAnsi="Arial"/>
          <w:sz w:val="24"/>
        </w:rPr>
        <w:t>Which groups do you believe are most impacted by the construction of green buildings?</w:t>
      </w:r>
    </w:p>
    <w:p w:rsidRPr="00AE4C01" w:rsidR="004A3DCA" w:rsidP="002C57BB" w:rsidRDefault="004A3DCA" w14:paraId="643EB6BC" w14:textId="6EDF1960">
      <w:pPr>
        <w:pStyle w:val="ListParagraph"/>
        <w:numPr>
          <w:ilvl w:val="1"/>
          <w:numId w:val="92"/>
        </w:numPr>
      </w:pPr>
      <w:r w:rsidRPr="00AE4C01">
        <w:rPr>
          <w:rFonts w:ascii="Arial" w:hAnsi="Arial"/>
          <w:sz w:val="24"/>
        </w:rPr>
        <w:t>Are you aware of any ways in which green buildings could unintentionally disadvantage certain groups? Some probes:</w:t>
      </w:r>
    </w:p>
    <w:p w:rsidRPr="00AE4C01" w:rsidR="004A3DCA" w:rsidP="002C57BB" w:rsidRDefault="004A3DCA" w14:paraId="54F5355E" w14:textId="7FDD79A6">
      <w:pPr>
        <w:pStyle w:val="ListParagraph"/>
        <w:numPr>
          <w:ilvl w:val="0"/>
          <w:numId w:val="102"/>
        </w:numPr>
      </w:pPr>
      <w:r w:rsidRPr="00AE4C01">
        <w:rPr>
          <w:rFonts w:ascii="Arial" w:hAnsi="Arial"/>
          <w:sz w:val="24"/>
        </w:rPr>
        <w:t>Affordability of green housing for low-income groups or single-parent households</w:t>
      </w:r>
    </w:p>
    <w:p w:rsidRPr="00AE4C01" w:rsidR="004A3DCA" w:rsidP="002C57BB" w:rsidRDefault="004A3DCA" w14:paraId="5E0D46A4" w14:textId="6E90C638">
      <w:pPr>
        <w:pStyle w:val="ListParagraph"/>
        <w:numPr>
          <w:ilvl w:val="0"/>
          <w:numId w:val="102"/>
        </w:numPr>
      </w:pPr>
      <w:r w:rsidRPr="00AE4C01">
        <w:rPr>
          <w:rFonts w:ascii="Arial" w:hAnsi="Arial"/>
          <w:sz w:val="24"/>
        </w:rPr>
        <w:t>Accessibility for people with disabilities</w:t>
      </w:r>
    </w:p>
    <w:p w:rsidRPr="00AE4C01" w:rsidR="004A3DCA" w:rsidP="002C57BB" w:rsidRDefault="004A3DCA" w14:paraId="3E5BE635" w14:textId="4311485B">
      <w:pPr>
        <w:pStyle w:val="ListParagraph"/>
        <w:numPr>
          <w:ilvl w:val="0"/>
          <w:numId w:val="102"/>
        </w:numPr>
      </w:pPr>
      <w:r w:rsidRPr="00AE4C01">
        <w:rPr>
          <w:rFonts w:ascii="Arial" w:hAnsi="Arial"/>
          <w:sz w:val="24"/>
        </w:rPr>
        <w:t>Any challenges related to location of green buildings for certain groups (women, single-parent households, ethnic minorities including indigenous groups)</w:t>
      </w:r>
    </w:p>
    <w:p w:rsidRPr="00AE4C01" w:rsidR="004A3DCA" w:rsidP="002C57BB" w:rsidRDefault="004A3DCA" w14:paraId="669B56EB" w14:textId="0911A833">
      <w:pPr>
        <w:pStyle w:val="ListParagraph"/>
        <w:numPr>
          <w:ilvl w:val="1"/>
          <w:numId w:val="92"/>
        </w:numPr>
      </w:pPr>
      <w:r w:rsidRPr="00AE4C01">
        <w:rPr>
          <w:rFonts w:ascii="Arial" w:hAnsi="Arial"/>
          <w:sz w:val="24"/>
        </w:rPr>
        <w:t xml:space="preserve">To what extent, if at all, have unintended benefits relating to GEDSI been realised during MAGC delivery? </w:t>
      </w:r>
    </w:p>
    <w:p w:rsidRPr="00AE4C01" w:rsidR="004A3DCA" w:rsidP="002C57BB" w:rsidRDefault="004A3DCA" w14:paraId="70626323" w14:textId="056E578A">
      <w:pPr>
        <w:pStyle w:val="ListParagraph"/>
        <w:numPr>
          <w:ilvl w:val="0"/>
          <w:numId w:val="103"/>
        </w:numPr>
      </w:pPr>
      <w:r w:rsidRPr="00AE4C01">
        <w:rPr>
          <w:rFonts w:ascii="Arial" w:hAnsi="Arial"/>
          <w:sz w:val="24"/>
        </w:rPr>
        <w:t>Has MAGC supported or prevented these benefits from occurring?</w:t>
      </w:r>
    </w:p>
    <w:p w:rsidRPr="00AE4C01" w:rsidR="004A3DCA" w:rsidP="002C57BB" w:rsidRDefault="004A3DCA" w14:paraId="098239E4" w14:textId="752106A5">
      <w:pPr>
        <w:pStyle w:val="ListParagraph"/>
        <w:numPr>
          <w:ilvl w:val="0"/>
          <w:numId w:val="103"/>
        </w:numPr>
      </w:pPr>
      <w:r w:rsidRPr="00AE4C01">
        <w:rPr>
          <w:rFonts w:ascii="Arial" w:hAnsi="Arial"/>
          <w:sz w:val="24"/>
        </w:rPr>
        <w:t>Did any external factors contribute to these benefits or prevent benefits?</w:t>
      </w:r>
    </w:p>
    <w:p w:rsidRPr="00AE4C01" w:rsidR="004A3DCA" w:rsidP="002C57BB" w:rsidRDefault="004A3DCA" w14:paraId="63F3A330" w14:textId="0F08ED04">
      <w:pPr>
        <w:pStyle w:val="ListParagraph"/>
        <w:numPr>
          <w:ilvl w:val="1"/>
          <w:numId w:val="92"/>
        </w:numPr>
      </w:pPr>
      <w:r w:rsidRPr="00AE4C01">
        <w:rPr>
          <w:rFonts w:ascii="Arial" w:hAnsi="Arial"/>
          <w:sz w:val="24"/>
        </w:rPr>
        <w:t xml:space="preserve">To what extent have women benefitted from EDGE expert accreditation? To what extent have other marginalised groups benefitted from EDGE expert accreditation? </w:t>
      </w:r>
    </w:p>
    <w:p w:rsidRPr="00AE4C01" w:rsidR="004A3DCA" w:rsidP="002C57BB" w:rsidRDefault="004A3DCA" w14:paraId="14C84D98" w14:textId="64797CB5">
      <w:pPr>
        <w:pStyle w:val="ListParagraph"/>
        <w:numPr>
          <w:ilvl w:val="1"/>
          <w:numId w:val="92"/>
        </w:numPr>
      </w:pPr>
      <w:r w:rsidRPr="00AE4C01">
        <w:rPr>
          <w:rFonts w:ascii="Arial" w:hAnsi="Arial"/>
          <w:sz w:val="24"/>
        </w:rPr>
        <w:t xml:space="preserve">What benefits are associated with EDGE expert accreditation? </w:t>
      </w:r>
    </w:p>
    <w:p w:rsidRPr="00AE4C01" w:rsidR="004A3DCA" w:rsidP="002C57BB" w:rsidRDefault="004A3DCA" w14:paraId="63557BEF" w14:textId="23B205D2">
      <w:pPr>
        <w:pStyle w:val="ListParagraph"/>
        <w:numPr>
          <w:ilvl w:val="0"/>
          <w:numId w:val="104"/>
        </w:numPr>
      </w:pPr>
      <w:r w:rsidRPr="00AE4C01">
        <w:rPr>
          <w:rFonts w:ascii="Arial" w:hAnsi="Arial"/>
          <w:sz w:val="24"/>
        </w:rPr>
        <w:t>What are the barriers and enablers to positive benefits being achieved?</w:t>
      </w:r>
    </w:p>
    <w:p w:rsidRPr="00AE4C01" w:rsidR="004A3DCA" w:rsidP="002C57BB" w:rsidRDefault="004A3DCA" w14:paraId="6180771C" w14:textId="7F960980">
      <w:pPr>
        <w:pStyle w:val="ListParagraph"/>
        <w:numPr>
          <w:ilvl w:val="1"/>
          <w:numId w:val="92"/>
        </w:numPr>
      </w:pPr>
      <w:r w:rsidRPr="00AE4C01">
        <w:rPr>
          <w:rFonts w:ascii="Arial" w:hAnsi="Arial"/>
          <w:sz w:val="24"/>
        </w:rPr>
        <w:t xml:space="preserve">To what extent do you think that the MAGC portfolio can contribute to the construction of affordable housing? </w:t>
      </w:r>
    </w:p>
    <w:p w:rsidRPr="00AE4C01" w:rsidR="004A3DCA" w:rsidP="002C57BB" w:rsidRDefault="004A3DCA" w14:paraId="18664D9B" w14:textId="39F766E4">
      <w:pPr>
        <w:pStyle w:val="ListParagraph"/>
        <w:numPr>
          <w:ilvl w:val="0"/>
          <w:numId w:val="105"/>
        </w:numPr>
      </w:pPr>
      <w:r w:rsidRPr="00AE4C01">
        <w:rPr>
          <w:rFonts w:ascii="Arial" w:hAnsi="Arial"/>
          <w:sz w:val="24"/>
        </w:rPr>
        <w:t xml:space="preserve">In your view, to what extent are marginalised or disadvantaged groups benefitting from MAGC, if at all? </w:t>
      </w:r>
    </w:p>
    <w:p w:rsidRPr="00AE4C01" w:rsidR="004A3DCA" w:rsidP="002C57BB" w:rsidRDefault="004A3DCA" w14:paraId="27BC0462" w14:textId="6333082D">
      <w:pPr>
        <w:pStyle w:val="ListParagraph"/>
        <w:numPr>
          <w:ilvl w:val="0"/>
          <w:numId w:val="105"/>
        </w:numPr>
      </w:pPr>
      <w:r w:rsidRPr="00AE4C01">
        <w:rPr>
          <w:rFonts w:ascii="Arial" w:hAnsi="Arial"/>
          <w:sz w:val="24"/>
        </w:rPr>
        <w:t>What are the barriers and enablers to positive benefits being achieved in relation to marginalised/disadvantaged groups access to affordable housing?</w:t>
      </w:r>
    </w:p>
    <w:p w:rsidRPr="00AE4C01" w:rsidR="004A3DCA" w:rsidP="002C57BB" w:rsidRDefault="004A3DCA" w14:paraId="7300EB9B" w14:textId="37CD8DE6">
      <w:pPr>
        <w:pStyle w:val="ListParagraph"/>
        <w:numPr>
          <w:ilvl w:val="1"/>
          <w:numId w:val="92"/>
        </w:numPr>
      </w:pPr>
      <w:r w:rsidRPr="00AE4C01">
        <w:rPr>
          <w:rFonts w:ascii="Arial" w:hAnsi="Arial"/>
          <w:sz w:val="24"/>
        </w:rPr>
        <w:t>How do you think MAGC could demonstrate its contribution related to GEDSI? Which indicators do you think would be useful in measuring this?</w:t>
      </w:r>
    </w:p>
    <w:p w:rsidRPr="00AE4C01" w:rsidR="004A3DCA" w:rsidP="002C57BB" w:rsidRDefault="004A3DCA" w14:paraId="055B8882" w14:textId="63C98B71">
      <w:pPr>
        <w:pStyle w:val="ListParagraph"/>
        <w:numPr>
          <w:ilvl w:val="0"/>
          <w:numId w:val="106"/>
        </w:numPr>
      </w:pPr>
      <w:r w:rsidRPr="00AE4C01">
        <w:rPr>
          <w:rFonts w:ascii="Arial" w:hAnsi="Arial"/>
          <w:sz w:val="24"/>
        </w:rPr>
        <w:t>What role do you think your country office could play in collecting evidence to feed into these indicators?</w:t>
      </w:r>
    </w:p>
    <w:p w:rsidRPr="003B2A4D" w:rsidR="004A3DCA" w:rsidP="004A3DCA" w:rsidRDefault="004A3DCA" w14:paraId="2390859F" w14:textId="77777777">
      <w:pPr>
        <w:rPr>
          <w:rStyle w:val="Boldtext"/>
        </w:rPr>
      </w:pPr>
      <w:r w:rsidRPr="003B2A4D">
        <w:rPr>
          <w:rStyle w:val="Boldtext"/>
        </w:rPr>
        <w:t>Wrap up</w:t>
      </w:r>
    </w:p>
    <w:p w:rsidRPr="00AE4C01" w:rsidR="004A3DCA" w:rsidP="002C57BB" w:rsidRDefault="004A3DCA" w14:paraId="7A62E68C" w14:textId="45F7548D">
      <w:pPr>
        <w:pStyle w:val="ListParagraph"/>
        <w:numPr>
          <w:ilvl w:val="1"/>
          <w:numId w:val="92"/>
        </w:numPr>
      </w:pPr>
      <w:r w:rsidRPr="00AE4C01">
        <w:rPr>
          <w:rFonts w:ascii="Arial" w:hAnsi="Arial"/>
          <w:sz w:val="24"/>
        </w:rPr>
        <w:t>Is there anything else that we haven’t discussed that you would like to share or that you think will be important for the evaluation?</w:t>
      </w:r>
    </w:p>
    <w:p w:rsidRPr="00AE4C01" w:rsidR="004A3DCA" w:rsidP="002C57BB" w:rsidRDefault="004A3DCA" w14:paraId="3F337522" w14:textId="3C7391A5">
      <w:pPr>
        <w:pStyle w:val="ListParagraph"/>
        <w:numPr>
          <w:ilvl w:val="1"/>
          <w:numId w:val="92"/>
        </w:numPr>
      </w:pPr>
      <w:r w:rsidRPr="00AE4C01">
        <w:rPr>
          <w:rFonts w:ascii="Arial" w:hAnsi="Arial"/>
          <w:sz w:val="24"/>
        </w:rPr>
        <w:t>Are you happy for us to use this interview for the evaluation?</w:t>
      </w:r>
    </w:p>
    <w:p w:rsidRPr="002C57BB" w:rsidR="004A3DCA" w:rsidP="002C57BB" w:rsidRDefault="004A3DCA" w14:paraId="34215EF6" w14:textId="0278B553">
      <w:pPr>
        <w:pStyle w:val="ListParagraph"/>
        <w:numPr>
          <w:ilvl w:val="1"/>
          <w:numId w:val="92"/>
        </w:numPr>
        <w:rPr>
          <w:rStyle w:val="Italic"/>
          <w:rFonts w:ascii="Arial" w:hAnsi="Arial"/>
          <w:sz w:val="24"/>
        </w:rPr>
      </w:pPr>
      <w:r w:rsidRPr="00AE4C01">
        <w:rPr>
          <w:rFonts w:ascii="Arial" w:hAnsi="Arial"/>
          <w:sz w:val="24"/>
        </w:rPr>
        <w:t>Are you happy to be recontacted by email if we have any follow-up questions or for an interview at a later stage in the evaluation?</w:t>
      </w:r>
    </w:p>
    <w:p w:rsidR="004A3DCA" w:rsidP="00EA1E4E" w:rsidRDefault="004A3DCA" w14:paraId="7F44D363" w14:textId="5EFB8C7C">
      <w:pPr>
        <w:pStyle w:val="Heading3"/>
      </w:pPr>
      <w:bookmarkStart w:name="_Toc179468566" w:id="152"/>
      <w:bookmarkStart w:name="_Toc179474016" w:id="153"/>
      <w:bookmarkStart w:name="_Toc181883600" w:id="154"/>
      <w:bookmarkStart w:name="_Toc188870884" w:id="155"/>
      <w:bookmarkStart w:name="_Toc207790223" w:id="156"/>
      <w:r>
        <w:t xml:space="preserve">T2/T3 Policy and Wider </w:t>
      </w:r>
      <w:r w:rsidR="00DD3244">
        <w:t>T</w:t>
      </w:r>
      <w:r w:rsidRPr="00DD3244" w:rsidR="00DD3244">
        <w:t xml:space="preserve">opic </w:t>
      </w:r>
      <w:r>
        <w:t>Guide</w:t>
      </w:r>
      <w:bookmarkEnd w:id="152"/>
      <w:bookmarkEnd w:id="153"/>
      <w:bookmarkEnd w:id="154"/>
      <w:bookmarkEnd w:id="155"/>
      <w:bookmarkEnd w:id="156"/>
    </w:p>
    <w:p w:rsidRPr="003B2A4D" w:rsidR="004A3DCA" w:rsidP="004A3DCA" w:rsidRDefault="004A3DCA" w14:paraId="0E6E7CDF" w14:textId="77777777">
      <w:r w:rsidRPr="003B2A4D">
        <w:t xml:space="preserve">Thank you for agreeing to take part in this interview. I am a </w:t>
      </w:r>
      <w:r w:rsidRPr="003B2A4D">
        <w:rPr>
          <w:rStyle w:val="Italic"/>
        </w:rPr>
        <w:t>[role at Ipsos]</w:t>
      </w:r>
      <w:r w:rsidRPr="003B2A4D">
        <w:t xml:space="preserve">, a global research company that specialises in social research and evaluation. My role on this evaluation is </w:t>
      </w:r>
      <w:r w:rsidRPr="003B2A4D">
        <w:rPr>
          <w:rStyle w:val="Italic"/>
        </w:rPr>
        <w:t>[interviewer to add]</w:t>
      </w:r>
      <w:r w:rsidRPr="003B2A4D">
        <w:t xml:space="preserve">.  </w:t>
      </w:r>
    </w:p>
    <w:p w:rsidRPr="003B2A4D" w:rsidR="004A3DCA" w:rsidP="004A3DCA" w:rsidRDefault="004A3DCA" w14:paraId="3FB92CE3" w14:textId="77777777">
      <w:r w:rsidRPr="003B2A4D">
        <w:t>Ipsos has been appointed by the UK Government as the Evaluation and Learning Partner for a programme delivered by International Finance Corporation (IFC), to accelerate the construction of certified green buildings. Our evaluation started in July 2023 and up until now we have completed the scoping phase and the process evaluation phase. We are currently in the early outcome and value for money (VfM) phase.</w:t>
      </w:r>
    </w:p>
    <w:p w:rsidRPr="003B2A4D" w:rsidR="004A3DCA" w:rsidP="004A3DCA" w:rsidRDefault="004A3DCA" w14:paraId="3DFBCAF2" w14:textId="77777777">
      <w:r w:rsidRPr="003B2A4D">
        <w:t xml:space="preserve">As part of this phase, we are talking to a number of stakeholders from the UK government, IFC, as well as other in-country stakeholders, in order to gather their thoughts on the benefits of MAGC. We will use the findings from these interviews to inform our evaluation report. </w:t>
      </w:r>
    </w:p>
    <w:p w:rsidRPr="003B2A4D" w:rsidR="004A3DCA" w:rsidP="004A3DCA" w:rsidRDefault="004A3DCA" w14:paraId="7FA56E84" w14:textId="77777777">
      <w:r w:rsidRPr="003B2A4D">
        <w:t>We are looking for honest feedback, and all responses, positive or negative, are valuable for learning and improvement. 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rsidRPr="003B2A4D" w:rsidR="004A3DCA" w:rsidP="004A3DCA" w:rsidRDefault="004A3DCA" w14:paraId="088DBE89" w14:textId="77777777">
      <w:r w:rsidRPr="003B2A4D">
        <w:t>Your participation in this interview is voluntary and you can change your mind and terminate the interview at any time. Likewise, you are not required to answer any questions if you do not want to.</w:t>
      </w:r>
    </w:p>
    <w:p w:rsidRPr="003B2A4D" w:rsidR="004A3DCA" w:rsidP="004A3DCA" w:rsidRDefault="004A3DCA" w14:paraId="40D3358F" w14:textId="77777777">
      <w:r w:rsidRPr="003B2A4D">
        <w:t xml:space="preserve">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p>
    <w:p w:rsidRPr="003B2A4D" w:rsidR="004A3DCA" w:rsidP="004A3DCA" w:rsidRDefault="004A3DCA" w14:paraId="01BA73BD" w14:textId="77777777">
      <w:pPr>
        <w:rPr>
          <w:rStyle w:val="Italic"/>
        </w:rPr>
      </w:pPr>
      <w:r w:rsidRPr="003B2A4D">
        <w:rPr>
          <w:rStyle w:val="Italic"/>
        </w:rPr>
        <w:t>[Ask for permission to record interview]</w:t>
      </w:r>
    </w:p>
    <w:p w:rsidRPr="003B2A4D" w:rsidR="004A3DCA" w:rsidP="004A3DCA" w:rsidRDefault="004A3DCA" w14:paraId="68F6C365" w14:textId="77777777">
      <w:pPr>
        <w:rPr>
          <w:rStyle w:val="Italic"/>
        </w:rPr>
      </w:pPr>
      <w:r w:rsidRPr="003B2A4D">
        <w:rPr>
          <w:rStyle w:val="Italic"/>
        </w:rPr>
        <w:t>[Ask if they are happy for us to use this interview for this evaluation]</w:t>
      </w:r>
    </w:p>
    <w:p w:rsidRPr="003B2A4D" w:rsidR="004A3DCA" w:rsidP="004A3DCA" w:rsidRDefault="004A3DCA" w14:paraId="5DB2DA33" w14:textId="77777777">
      <w:pPr>
        <w:rPr>
          <w:rStyle w:val="Boldtext"/>
        </w:rPr>
      </w:pPr>
      <w:r w:rsidRPr="003B2A4D">
        <w:rPr>
          <w:rStyle w:val="Boldtext"/>
        </w:rPr>
        <w:t xml:space="preserve">Introduction </w:t>
      </w:r>
    </w:p>
    <w:p w:rsidRPr="00AE4C01" w:rsidR="004A3DCA" w:rsidP="002C57BB" w:rsidRDefault="004A3DCA" w14:paraId="3169C593" w14:textId="6B6F61AE">
      <w:pPr>
        <w:pStyle w:val="ListParagraph"/>
        <w:numPr>
          <w:ilvl w:val="1"/>
          <w:numId w:val="106"/>
        </w:numPr>
      </w:pPr>
      <w:r w:rsidRPr="00AE4C01">
        <w:rPr>
          <w:rFonts w:ascii="Arial" w:hAnsi="Arial"/>
          <w:sz w:val="24"/>
        </w:rPr>
        <w:t>Can you introduce yourself and your role within your organisation?</w:t>
      </w:r>
    </w:p>
    <w:p w:rsidRPr="00AE4C01" w:rsidR="004A3DCA" w:rsidP="002C57BB" w:rsidRDefault="004A3DCA" w14:paraId="41CD5339" w14:textId="2B034C85">
      <w:pPr>
        <w:pStyle w:val="ListParagraph"/>
        <w:numPr>
          <w:ilvl w:val="1"/>
          <w:numId w:val="106"/>
        </w:numPr>
      </w:pPr>
      <w:r w:rsidRPr="00AE4C01">
        <w:rPr>
          <w:rFonts w:ascii="Arial" w:hAnsi="Arial"/>
          <w:sz w:val="24"/>
        </w:rPr>
        <w:t>Are you involved in any programmes or initiatives related to green construction?</w:t>
      </w:r>
    </w:p>
    <w:p w:rsidRPr="00AE4C01" w:rsidR="004A3DCA" w:rsidP="002C57BB" w:rsidRDefault="004A3DCA" w14:paraId="7CFE7BBC" w14:textId="389B4AFB">
      <w:pPr>
        <w:pStyle w:val="ListParagraph"/>
        <w:numPr>
          <w:ilvl w:val="0"/>
          <w:numId w:val="107"/>
        </w:numPr>
      </w:pPr>
      <w:r w:rsidRPr="00AE4C01">
        <w:rPr>
          <w:rFonts w:ascii="Arial" w:hAnsi="Arial"/>
          <w:sz w:val="24"/>
        </w:rPr>
        <w:t>If so, which programmes, in what capacity?</w:t>
      </w:r>
    </w:p>
    <w:p w:rsidRPr="003B2A4D" w:rsidR="004A3DCA" w:rsidP="004A3DCA" w:rsidRDefault="004A3DCA" w14:paraId="49DDC6D2" w14:textId="77777777">
      <w:pPr>
        <w:rPr>
          <w:rStyle w:val="Boldtext"/>
        </w:rPr>
      </w:pPr>
      <w:r w:rsidRPr="003B2A4D">
        <w:rPr>
          <w:rStyle w:val="Boldtext"/>
        </w:rPr>
        <w:t>Country context and EDGE</w:t>
      </w:r>
    </w:p>
    <w:p w:rsidRPr="00AE4C01" w:rsidR="004A3DCA" w:rsidP="002C57BB" w:rsidRDefault="004A3DCA" w14:paraId="5C2132F0" w14:textId="38984FA8">
      <w:pPr>
        <w:pStyle w:val="ListParagraph"/>
        <w:numPr>
          <w:ilvl w:val="1"/>
          <w:numId w:val="106"/>
        </w:numPr>
      </w:pPr>
      <w:r w:rsidRPr="00AE4C01">
        <w:rPr>
          <w:rFonts w:ascii="Arial" w:hAnsi="Arial"/>
          <w:sz w:val="24"/>
        </w:rPr>
        <w:t xml:space="preserve">How familiar are you with the green building market in your country? </w:t>
      </w:r>
    </w:p>
    <w:p w:rsidRPr="00AE4C01" w:rsidR="004A3DCA" w:rsidP="002C57BB" w:rsidRDefault="004A3DCA" w14:paraId="00AC1A6D" w14:textId="4634BD04">
      <w:pPr>
        <w:pStyle w:val="ListParagraph"/>
        <w:numPr>
          <w:ilvl w:val="1"/>
          <w:numId w:val="106"/>
        </w:numPr>
      </w:pPr>
      <w:r w:rsidRPr="00AE4C01">
        <w:rPr>
          <w:rFonts w:ascii="Arial" w:hAnsi="Arial"/>
          <w:sz w:val="24"/>
        </w:rPr>
        <w:t>What are the main barriers to green building investment in your country? (e.g. lack of knowledge/ regulation/incentives etc.)</w:t>
      </w:r>
    </w:p>
    <w:p w:rsidRPr="00AE4C01" w:rsidR="004A3DCA" w:rsidP="002C57BB" w:rsidRDefault="004A3DCA" w14:paraId="657E7706" w14:textId="70442C40">
      <w:pPr>
        <w:pStyle w:val="ListParagraph"/>
        <w:numPr>
          <w:ilvl w:val="1"/>
          <w:numId w:val="106"/>
        </w:numPr>
      </w:pPr>
      <w:r w:rsidRPr="00AE4C01">
        <w:rPr>
          <w:rFonts w:ascii="Arial" w:hAnsi="Arial"/>
          <w:sz w:val="24"/>
        </w:rPr>
        <w:t>What are the key challenges that policymakers and regulators face in relation to green buildings?</w:t>
      </w:r>
    </w:p>
    <w:p w:rsidRPr="00AE4C01" w:rsidR="004A3DCA" w:rsidP="002C57BB" w:rsidRDefault="004A3DCA" w14:paraId="3FA9208F" w14:textId="02627F60">
      <w:pPr>
        <w:pStyle w:val="ListParagraph"/>
        <w:numPr>
          <w:ilvl w:val="1"/>
          <w:numId w:val="106"/>
        </w:numPr>
      </w:pPr>
      <w:r w:rsidRPr="00AE4C01">
        <w:rPr>
          <w:rFonts w:ascii="Arial" w:hAnsi="Arial"/>
          <w:sz w:val="24"/>
        </w:rPr>
        <w:t xml:space="preserve">What are the main enablers to green building investment in your country? (e.g. incentives, regulation, policy, market enablers) What policy changes would facilitate the growth of green buildings in your jurisdiction? </w:t>
      </w:r>
    </w:p>
    <w:p w:rsidRPr="00AE4C01" w:rsidR="004A3DCA" w:rsidP="002C57BB" w:rsidRDefault="004A3DCA" w14:paraId="5652EB29" w14:textId="17BD3D8D">
      <w:pPr>
        <w:pStyle w:val="ListParagraph"/>
        <w:numPr>
          <w:ilvl w:val="1"/>
          <w:numId w:val="106"/>
        </w:numPr>
      </w:pPr>
      <w:r w:rsidRPr="00AE4C01">
        <w:rPr>
          <w:rFonts w:ascii="Arial" w:hAnsi="Arial"/>
          <w:sz w:val="24"/>
        </w:rPr>
        <w:t>How has the green building market evolved in your country in the last five years? What main drivers have motivated these changes?</w:t>
      </w:r>
    </w:p>
    <w:p w:rsidRPr="00AE4C01" w:rsidR="004A3DCA" w:rsidP="002C57BB" w:rsidRDefault="004A3DCA" w14:paraId="46145C3C" w14:textId="51EEFC20">
      <w:pPr>
        <w:pStyle w:val="ListParagraph"/>
        <w:numPr>
          <w:ilvl w:val="1"/>
          <w:numId w:val="106"/>
        </w:numPr>
      </w:pPr>
      <w:r w:rsidRPr="00AE4C01">
        <w:rPr>
          <w:rFonts w:ascii="Arial" w:hAnsi="Arial"/>
          <w:sz w:val="24"/>
        </w:rPr>
        <w:t>How has the regulatory landscape for green buildings evolved in your country in the last five years? What have been the key drivers?</w:t>
      </w:r>
    </w:p>
    <w:p w:rsidRPr="00AE4C01" w:rsidR="004A3DCA" w:rsidP="002C57BB" w:rsidRDefault="004A3DCA" w14:paraId="1623498F" w14:textId="584B476B">
      <w:pPr>
        <w:pStyle w:val="ListParagraph"/>
        <w:numPr>
          <w:ilvl w:val="0"/>
          <w:numId w:val="109"/>
        </w:numPr>
      </w:pPr>
      <w:r w:rsidRPr="00AE4C01">
        <w:rPr>
          <w:rFonts w:ascii="Arial" w:hAnsi="Arial"/>
          <w:sz w:val="24"/>
        </w:rPr>
        <w:t>Are there plans to introduce more policies or incentives to support greener construction in your jurisdiction?</w:t>
      </w:r>
    </w:p>
    <w:p w:rsidRPr="00AE4C01" w:rsidR="004A3DCA" w:rsidP="002C57BB" w:rsidRDefault="004A3DCA" w14:paraId="62C9ABAB" w14:textId="5AFFAE02">
      <w:pPr>
        <w:pStyle w:val="ListParagraph"/>
        <w:numPr>
          <w:ilvl w:val="1"/>
          <w:numId w:val="106"/>
        </w:numPr>
      </w:pPr>
      <w:r w:rsidRPr="00AE4C01">
        <w:rPr>
          <w:rFonts w:ascii="Arial" w:hAnsi="Arial"/>
          <w:sz w:val="24"/>
        </w:rPr>
        <w:t>What is the level of awareness among policymakers on green buildings in your country?</w:t>
      </w:r>
    </w:p>
    <w:p w:rsidRPr="00AE4C01" w:rsidR="004A3DCA" w:rsidP="002C57BB" w:rsidRDefault="004A3DCA" w14:paraId="6DCBAC37" w14:textId="1DC37046">
      <w:pPr>
        <w:pStyle w:val="ListParagraph"/>
        <w:numPr>
          <w:ilvl w:val="1"/>
          <w:numId w:val="106"/>
        </w:numPr>
      </w:pPr>
      <w:r w:rsidRPr="00AE4C01">
        <w:rPr>
          <w:rFonts w:ascii="Arial" w:hAnsi="Arial"/>
          <w:sz w:val="24"/>
        </w:rPr>
        <w:t>How would you rate your understanding of green building standards?</w:t>
      </w:r>
    </w:p>
    <w:p w:rsidRPr="00AE4C01" w:rsidR="004A3DCA" w:rsidP="002C57BB" w:rsidRDefault="004A3DCA" w14:paraId="399AA5CE" w14:textId="6DB6F655">
      <w:pPr>
        <w:pStyle w:val="ListParagraph"/>
        <w:numPr>
          <w:ilvl w:val="1"/>
          <w:numId w:val="106"/>
        </w:numPr>
      </w:pPr>
      <w:r w:rsidRPr="00AE4C01">
        <w:rPr>
          <w:rFonts w:ascii="Arial" w:hAnsi="Arial"/>
          <w:sz w:val="24"/>
        </w:rPr>
        <w:t>Are you aware of IFC’s Excellence in Design for Greater Efficiencies (EDGE) standard? If so, how did you hear about it? Are you involved in any IFC initiatives?</w:t>
      </w:r>
    </w:p>
    <w:p w:rsidRPr="00AE4C01" w:rsidR="004A3DCA" w:rsidP="002C57BB" w:rsidRDefault="004A3DCA" w14:paraId="7CD791FF" w14:textId="1F1510F8">
      <w:pPr>
        <w:pStyle w:val="ListParagraph"/>
        <w:numPr>
          <w:ilvl w:val="1"/>
          <w:numId w:val="106"/>
        </w:numPr>
      </w:pPr>
      <w:r w:rsidRPr="00AE4C01">
        <w:rPr>
          <w:rFonts w:ascii="Arial" w:hAnsi="Arial"/>
          <w:sz w:val="24"/>
        </w:rPr>
        <w:t>What are the main drivers of green buildings uptake? What are the main barriers?</w:t>
      </w:r>
    </w:p>
    <w:p w:rsidRPr="00AE4C01" w:rsidR="004A3DCA" w:rsidP="002C57BB" w:rsidRDefault="004A3DCA" w14:paraId="7508CC62" w14:textId="0638B7C3">
      <w:pPr>
        <w:pStyle w:val="ListParagraph"/>
        <w:numPr>
          <w:ilvl w:val="1"/>
          <w:numId w:val="106"/>
        </w:numPr>
      </w:pPr>
      <w:r w:rsidRPr="00AE4C01">
        <w:rPr>
          <w:rFonts w:ascii="Arial" w:hAnsi="Arial"/>
          <w:sz w:val="24"/>
        </w:rPr>
        <w:t>Are there any other certifications that are used more/less than EDGE in the country? What are the key differences?</w:t>
      </w:r>
    </w:p>
    <w:p w:rsidRPr="00AE4C01" w:rsidR="004A3DCA" w:rsidP="002C57BB" w:rsidRDefault="004A3DCA" w14:paraId="6D95C967" w14:textId="48EE7A1F">
      <w:pPr>
        <w:pStyle w:val="ListParagraph"/>
        <w:numPr>
          <w:ilvl w:val="1"/>
          <w:numId w:val="106"/>
        </w:numPr>
      </w:pPr>
      <w:r w:rsidRPr="00AE4C01">
        <w:rPr>
          <w:rFonts w:ascii="Arial" w:hAnsi="Arial"/>
          <w:sz w:val="24"/>
        </w:rPr>
        <w:t>What were the effects – if any – of the EDGE certification and design tool on the development of green building policy?</w:t>
      </w:r>
    </w:p>
    <w:p w:rsidRPr="003B2A4D" w:rsidR="004A3DCA" w:rsidP="004A3DCA" w:rsidRDefault="004A3DCA" w14:paraId="265C73B9" w14:textId="77777777">
      <w:pPr>
        <w:rPr>
          <w:rStyle w:val="Boldtext"/>
        </w:rPr>
      </w:pPr>
      <w:r w:rsidRPr="003B2A4D">
        <w:rPr>
          <w:rStyle w:val="Boldtext"/>
        </w:rPr>
        <w:t>Early outcomes</w:t>
      </w:r>
    </w:p>
    <w:p w:rsidRPr="003B2A4D" w:rsidR="004A3DCA" w:rsidP="004A3DCA" w:rsidRDefault="004A3DCA" w14:paraId="43D04B0F" w14:textId="77777777">
      <w:pPr>
        <w:rPr>
          <w:rStyle w:val="Italic"/>
        </w:rPr>
      </w:pPr>
      <w:r w:rsidRPr="003B2A4D">
        <w:rPr>
          <w:rStyle w:val="Italic"/>
        </w:rPr>
        <w:t>For organisations that have AND have not received MAGC support (to get some comparative data)</w:t>
      </w:r>
    </w:p>
    <w:p w:rsidRPr="00AE4C01" w:rsidR="004A3DCA" w:rsidP="002C57BB" w:rsidRDefault="004A3DCA" w14:paraId="28DC69E6" w14:textId="7FCFDFA2">
      <w:pPr>
        <w:pStyle w:val="ListParagraph"/>
        <w:numPr>
          <w:ilvl w:val="1"/>
          <w:numId w:val="106"/>
        </w:numPr>
      </w:pPr>
      <w:r w:rsidRPr="00AE4C01">
        <w:rPr>
          <w:rFonts w:ascii="Arial" w:hAnsi="Arial"/>
          <w:sz w:val="24"/>
        </w:rPr>
        <w:t>We are now going to ask you about potential changes in your ways of working over the last few years</w:t>
      </w:r>
    </w:p>
    <w:p w:rsidRPr="00AE4C01" w:rsidR="004A3DCA" w:rsidP="002C57BB" w:rsidRDefault="004A3DCA" w14:paraId="2AD7622A" w14:textId="64C34B07">
      <w:pPr>
        <w:pStyle w:val="ListParagraph"/>
        <w:numPr>
          <w:ilvl w:val="0"/>
          <w:numId w:val="110"/>
        </w:numPr>
      </w:pPr>
      <w:r w:rsidRPr="00AE4C01">
        <w:rPr>
          <w:rFonts w:ascii="Arial" w:hAnsi="Arial"/>
          <w:sz w:val="24"/>
        </w:rPr>
        <w:t>How, if at all, has your/your organisation’s understanding of ‘green buildings’ – their definition and their relevance for your work/opportunities for investment evolved over the last few years? What factors have influenced this change?</w:t>
      </w:r>
    </w:p>
    <w:p w:rsidRPr="00AE4C01" w:rsidR="004A3DCA" w:rsidP="002C57BB" w:rsidRDefault="004A3DCA" w14:paraId="23DDB549" w14:textId="33222B14">
      <w:pPr>
        <w:pStyle w:val="ListParagraph"/>
        <w:numPr>
          <w:ilvl w:val="0"/>
          <w:numId w:val="110"/>
        </w:numPr>
      </w:pPr>
      <w:r w:rsidRPr="00AE4C01">
        <w:rPr>
          <w:rFonts w:ascii="Arial" w:hAnsi="Arial"/>
          <w:sz w:val="24"/>
        </w:rPr>
        <w:t>How, if at all, have your/your organisation’s skills in green construction and certification evolved over the last few years? What factors have influenced this change?</w:t>
      </w:r>
    </w:p>
    <w:p w:rsidRPr="00AE4C01" w:rsidR="004A3DCA" w:rsidP="002C57BB" w:rsidRDefault="004A3DCA" w14:paraId="0B8064B3" w14:textId="40DB6872">
      <w:pPr>
        <w:pStyle w:val="ListParagraph"/>
        <w:numPr>
          <w:ilvl w:val="0"/>
          <w:numId w:val="110"/>
        </w:numPr>
      </w:pPr>
      <w:r w:rsidRPr="00AE4C01">
        <w:rPr>
          <w:rFonts w:ascii="Arial" w:hAnsi="Arial"/>
          <w:sz w:val="24"/>
        </w:rPr>
        <w:t>Can you describe any changes in your policy decisions related to green construction over this time period? What factors have influenced this change?</w:t>
      </w:r>
    </w:p>
    <w:p w:rsidRPr="00AE4C01" w:rsidR="004A3DCA" w:rsidP="002C57BB" w:rsidRDefault="004A3DCA" w14:paraId="57A3DCD3" w14:textId="3C42B083">
      <w:pPr>
        <w:pStyle w:val="ListParagraph"/>
        <w:numPr>
          <w:ilvl w:val="0"/>
          <w:numId w:val="110"/>
        </w:numPr>
      </w:pPr>
      <w:r w:rsidRPr="00AE4C01">
        <w:rPr>
          <w:rFonts w:ascii="Arial" w:hAnsi="Arial"/>
          <w:sz w:val="24"/>
        </w:rPr>
        <w:t>Can you describe any changes in your ability to secure finance related to green construction over this time period? What factors have influenced this change?</w:t>
      </w:r>
    </w:p>
    <w:p w:rsidRPr="00AE4C01" w:rsidR="004A3DCA" w:rsidP="002C57BB" w:rsidRDefault="004A3DCA" w14:paraId="445B7487" w14:textId="657A55EC">
      <w:pPr>
        <w:pStyle w:val="ListParagraph"/>
        <w:numPr>
          <w:ilvl w:val="0"/>
          <w:numId w:val="110"/>
        </w:numPr>
      </w:pPr>
      <w:r w:rsidRPr="00AE4C01">
        <w:rPr>
          <w:rFonts w:ascii="Arial" w:hAnsi="Arial"/>
          <w:sz w:val="24"/>
        </w:rPr>
        <w:t>Can you describe any changes in your design and construction processes related to green construction over this time period? What factors have influenced this change?</w:t>
      </w:r>
    </w:p>
    <w:p w:rsidRPr="00AE4C01" w:rsidR="004A3DCA" w:rsidP="002C57BB" w:rsidRDefault="004A3DCA" w14:paraId="03922BC6" w14:textId="213F31C0">
      <w:pPr>
        <w:pStyle w:val="ListParagraph"/>
        <w:numPr>
          <w:ilvl w:val="0"/>
          <w:numId w:val="110"/>
        </w:numPr>
      </w:pPr>
      <w:r w:rsidRPr="00AE4C01">
        <w:rPr>
          <w:rFonts w:ascii="Arial" w:hAnsi="Arial"/>
          <w:sz w:val="24"/>
        </w:rPr>
        <w:t>Have there been changes in your systems/processes/tools to facilitate this?</w:t>
      </w:r>
    </w:p>
    <w:p w:rsidRPr="00AE4C01" w:rsidR="004A3DCA" w:rsidP="002C57BB" w:rsidRDefault="004A3DCA" w14:paraId="19A5FE68" w14:textId="106465A0">
      <w:pPr>
        <w:pStyle w:val="ListParagraph"/>
        <w:numPr>
          <w:ilvl w:val="1"/>
          <w:numId w:val="106"/>
        </w:numPr>
      </w:pPr>
      <w:r w:rsidRPr="00AE4C01">
        <w:rPr>
          <w:rFonts w:ascii="Arial" w:hAnsi="Arial"/>
          <w:sz w:val="24"/>
        </w:rPr>
        <w:t>Are you aware of the MAGC programme? If so, when and how did you hear about it?</w:t>
      </w:r>
    </w:p>
    <w:p w:rsidRPr="00AE4C01" w:rsidR="004A3DCA" w:rsidP="00AE4C01" w:rsidRDefault="004A3DCA" w14:paraId="101DAD75" w14:textId="77777777">
      <w:pPr>
        <w:rPr>
          <w:rStyle w:val="Italic"/>
          <w:rFonts w:cs="Arial"/>
          <w:szCs w:val="24"/>
        </w:rPr>
      </w:pPr>
      <w:r w:rsidRPr="00AE4C01">
        <w:rPr>
          <w:rStyle w:val="Italic"/>
          <w:rFonts w:cs="Arial"/>
          <w:szCs w:val="24"/>
        </w:rPr>
        <w:t>If organisation has been involved in MAGC activities:</w:t>
      </w:r>
    </w:p>
    <w:p w:rsidRPr="00AE4C01" w:rsidR="004A3DCA" w:rsidP="002C57BB" w:rsidRDefault="004A3DCA" w14:paraId="5D941487" w14:textId="769B5A8D">
      <w:pPr>
        <w:pStyle w:val="ListParagraph"/>
        <w:numPr>
          <w:ilvl w:val="1"/>
          <w:numId w:val="106"/>
        </w:numPr>
      </w:pPr>
      <w:r w:rsidRPr="00AE4C01">
        <w:rPr>
          <w:rFonts w:ascii="Arial" w:hAnsi="Arial"/>
          <w:sz w:val="24"/>
        </w:rPr>
        <w:t>Can you describe your involvement with IFC and EDGE activities? What did your involvement consist in? (Probe for type, frequency, timing)</w:t>
      </w:r>
    </w:p>
    <w:p w:rsidRPr="00AE4C01" w:rsidR="004A3DCA" w:rsidP="002C57BB" w:rsidRDefault="004A3DCA" w14:paraId="14E473A2" w14:textId="40EDD29A">
      <w:pPr>
        <w:pStyle w:val="ListParagraph"/>
        <w:numPr>
          <w:ilvl w:val="1"/>
          <w:numId w:val="106"/>
        </w:numPr>
      </w:pPr>
      <w:r w:rsidRPr="00AE4C01">
        <w:rPr>
          <w:rFonts w:ascii="Arial" w:hAnsi="Arial"/>
          <w:sz w:val="24"/>
        </w:rPr>
        <w:t>Did you participate in any EDGE capacity building activities or awareness events? If so, which ones?</w:t>
      </w:r>
    </w:p>
    <w:p w:rsidRPr="00AE4C01" w:rsidR="004A3DCA" w:rsidP="002C57BB" w:rsidRDefault="004A3DCA" w14:paraId="1B34D99B" w14:textId="7EB52FB0">
      <w:pPr>
        <w:pStyle w:val="ListParagraph"/>
        <w:numPr>
          <w:ilvl w:val="0"/>
          <w:numId w:val="111"/>
        </w:numPr>
      </w:pPr>
      <w:r w:rsidRPr="00AE4C01">
        <w:rPr>
          <w:rStyle w:val="Italic"/>
          <w:rFonts w:ascii="Arial" w:hAnsi="Arial"/>
          <w:sz w:val="24"/>
        </w:rPr>
        <w:t>(If participated)</w:t>
      </w:r>
      <w:r w:rsidRPr="00AE4C01">
        <w:rPr>
          <w:rFonts w:ascii="Arial" w:hAnsi="Arial"/>
          <w:sz w:val="24"/>
        </w:rPr>
        <w:t xml:space="preserve"> How were the activities delivered? (format, timing, audience)</w:t>
      </w:r>
    </w:p>
    <w:p w:rsidRPr="00AE4C01" w:rsidR="004A3DCA" w:rsidP="002C57BB" w:rsidRDefault="004A3DCA" w14:paraId="558CDB49" w14:textId="07F379AA">
      <w:pPr>
        <w:pStyle w:val="ListParagraph"/>
        <w:numPr>
          <w:ilvl w:val="0"/>
          <w:numId w:val="111"/>
        </w:numPr>
      </w:pPr>
      <w:r w:rsidRPr="00AE4C01">
        <w:rPr>
          <w:rFonts w:ascii="Arial" w:hAnsi="Arial"/>
          <w:sz w:val="24"/>
        </w:rPr>
        <w:t xml:space="preserve">Were there any challenges faced and how were they mitigated? </w:t>
      </w:r>
    </w:p>
    <w:p w:rsidRPr="00AE4C01" w:rsidR="004A3DCA" w:rsidP="002C57BB" w:rsidRDefault="004A3DCA" w14:paraId="17C56068" w14:textId="228F12A7">
      <w:pPr>
        <w:pStyle w:val="ListParagraph"/>
        <w:numPr>
          <w:ilvl w:val="1"/>
          <w:numId w:val="106"/>
        </w:numPr>
      </w:pPr>
      <w:r w:rsidRPr="00AE4C01">
        <w:rPr>
          <w:rFonts w:ascii="Arial" w:hAnsi="Arial"/>
          <w:sz w:val="24"/>
        </w:rPr>
        <w:t>How and to what extent did capacity building support align with your organisation’s targets, timelines and expectations?</w:t>
      </w:r>
    </w:p>
    <w:p w:rsidRPr="002C57BB" w:rsidR="004A3DCA" w:rsidP="002C57BB" w:rsidRDefault="004A3DCA" w14:paraId="0A1023F1" w14:textId="420AB0BA">
      <w:pPr>
        <w:pStyle w:val="ListParagraph"/>
        <w:numPr>
          <w:ilvl w:val="1"/>
          <w:numId w:val="106"/>
        </w:numPr>
        <w:rPr>
          <w:rStyle w:val="Italic"/>
          <w:rFonts w:ascii="Arial" w:hAnsi="Arial"/>
          <w:sz w:val="24"/>
        </w:rPr>
      </w:pPr>
      <w:r w:rsidRPr="00AE4C01">
        <w:rPr>
          <w:rFonts w:ascii="Arial" w:hAnsi="Arial"/>
          <w:sz w:val="24"/>
        </w:rPr>
        <w:t xml:space="preserve">Are you aware of the CAFI (Climate Assessment for Financial Institutions) tool? Have you used it or will you use it? If so, how? </w:t>
      </w:r>
      <w:r w:rsidRPr="00AE4C01">
        <w:rPr>
          <w:rStyle w:val="Italic"/>
          <w:rFonts w:ascii="Arial" w:hAnsi="Arial"/>
          <w:sz w:val="24"/>
        </w:rPr>
        <w:t>[If needed, explain: CAFI is a web-based platform that allows FIs to track and report on climate investments]</w:t>
      </w:r>
    </w:p>
    <w:p w:rsidRPr="00AE4C01" w:rsidR="004A3DCA" w:rsidP="002C57BB" w:rsidRDefault="004A3DCA" w14:paraId="283F83D5" w14:textId="2F2A9C99">
      <w:pPr>
        <w:pStyle w:val="ListParagraph"/>
        <w:numPr>
          <w:ilvl w:val="0"/>
          <w:numId w:val="112"/>
        </w:numPr>
      </w:pPr>
      <w:r w:rsidRPr="00AE4C01">
        <w:rPr>
          <w:rFonts w:ascii="Arial" w:hAnsi="Arial"/>
          <w:sz w:val="24"/>
        </w:rPr>
        <w:t>Do you know of any other institutions or projects that use these tools?</w:t>
      </w:r>
    </w:p>
    <w:p w:rsidRPr="00AE4C01" w:rsidR="004A3DCA" w:rsidP="002C57BB" w:rsidRDefault="004A3DCA" w14:paraId="27B14D75" w14:textId="10C668EF">
      <w:pPr>
        <w:pStyle w:val="ListParagraph"/>
        <w:numPr>
          <w:ilvl w:val="1"/>
          <w:numId w:val="106"/>
        </w:numPr>
      </w:pPr>
      <w:r w:rsidRPr="00AE4C01">
        <w:rPr>
          <w:rFonts w:ascii="Arial" w:hAnsi="Arial"/>
          <w:sz w:val="24"/>
        </w:rPr>
        <w:t>Can you provide an example of a green building project that was certified with EDGE? Could you describe the process of financing, developing and constructing the project? When was the project certified/developed?</w:t>
      </w:r>
    </w:p>
    <w:p w:rsidRPr="00AE4C01" w:rsidR="004A3DCA" w:rsidP="002C57BB" w:rsidRDefault="004A3DCA" w14:paraId="57F55B7E" w14:textId="26B45A04">
      <w:pPr>
        <w:pStyle w:val="ListParagraph"/>
        <w:numPr>
          <w:ilvl w:val="1"/>
          <w:numId w:val="106"/>
        </w:numPr>
      </w:pPr>
      <w:r w:rsidRPr="00AE4C01">
        <w:rPr>
          <w:rFonts w:ascii="Arial" w:hAnsi="Arial"/>
          <w:sz w:val="24"/>
        </w:rPr>
        <w:t>We are now going to probe a bit more into the possible effects of capacity building support (e.g., learning about certified green buildings; understanding actions that can be taken in the regulatory environment; increased skills and use of EDGE).</w:t>
      </w:r>
    </w:p>
    <w:p w:rsidRPr="00AE4C01" w:rsidR="004A3DCA" w:rsidP="002C57BB" w:rsidRDefault="004A3DCA" w14:paraId="7AC3D061" w14:textId="6FEDFFFA">
      <w:pPr>
        <w:pStyle w:val="ListParagraph"/>
        <w:numPr>
          <w:ilvl w:val="0"/>
          <w:numId w:val="113"/>
        </w:numPr>
      </w:pPr>
      <w:r w:rsidRPr="00AE4C01">
        <w:rPr>
          <w:rFonts w:ascii="Arial" w:hAnsi="Arial"/>
          <w:sz w:val="24"/>
        </w:rPr>
        <w:t xml:space="preserve">Thinking of the IFC and EDGE capacity building and awareness activities, what do you think have been their effects – if any – on your organisation and daily work? </w:t>
      </w:r>
    </w:p>
    <w:p w:rsidRPr="00AE4C01" w:rsidR="004A3DCA" w:rsidP="002C57BB" w:rsidRDefault="004A3DCA" w14:paraId="451E10C0" w14:textId="18820053">
      <w:pPr>
        <w:pStyle w:val="ListParagraph"/>
        <w:numPr>
          <w:ilvl w:val="0"/>
          <w:numId w:val="113"/>
        </w:numPr>
      </w:pPr>
      <w:r w:rsidRPr="00AE4C01">
        <w:rPr>
          <w:rFonts w:ascii="Arial" w:hAnsi="Arial"/>
          <w:sz w:val="24"/>
        </w:rPr>
        <w:t>Did you/your organisation identify any action points after participating in capacity building and awareness activities?</w:t>
      </w:r>
    </w:p>
    <w:p w:rsidRPr="00AE4C01" w:rsidR="004A3DCA" w:rsidP="002C57BB" w:rsidRDefault="004A3DCA" w14:paraId="2D7564CD" w14:textId="4E533636">
      <w:pPr>
        <w:pStyle w:val="ListParagraph"/>
        <w:numPr>
          <w:ilvl w:val="0"/>
          <w:numId w:val="113"/>
        </w:numPr>
      </w:pPr>
      <w:r w:rsidRPr="00AE4C01">
        <w:rPr>
          <w:rFonts w:ascii="Arial" w:hAnsi="Arial"/>
          <w:sz w:val="24"/>
        </w:rPr>
        <w:t xml:space="preserve">What do you think have been the effects of these activities – if any – on your/your organisation’s skills and knowledge about certified green buildings? </w:t>
      </w:r>
    </w:p>
    <w:p w:rsidRPr="00AE4C01" w:rsidR="004A3DCA" w:rsidP="002C57BB" w:rsidRDefault="004A3DCA" w14:paraId="0BA8D827" w14:textId="69538916">
      <w:pPr>
        <w:pStyle w:val="ListParagraph"/>
        <w:numPr>
          <w:ilvl w:val="1"/>
          <w:numId w:val="106"/>
        </w:numPr>
      </w:pPr>
      <w:r w:rsidRPr="00AE4C01">
        <w:rPr>
          <w:rFonts w:ascii="Arial" w:hAnsi="Arial"/>
          <w:sz w:val="24"/>
        </w:rPr>
        <w:t>Was any similar type of support available for your organisation? If so, which type of support? Has your organisation made use of any other type of capacity building or technical assistance support for green buildings?</w:t>
      </w:r>
    </w:p>
    <w:p w:rsidRPr="003B2A4D" w:rsidR="004A3DCA" w:rsidP="004A3DCA" w:rsidRDefault="004A3DCA" w14:paraId="6779152D" w14:textId="77777777">
      <w:pPr>
        <w:rPr>
          <w:rStyle w:val="Boldtext"/>
        </w:rPr>
      </w:pPr>
      <w:r w:rsidRPr="003B2A4D">
        <w:rPr>
          <w:rStyle w:val="Boldtext"/>
        </w:rPr>
        <w:t>Longer term impact and transformational change</w:t>
      </w:r>
    </w:p>
    <w:p w:rsidRPr="003B2A4D" w:rsidR="004A3DCA" w:rsidP="004A3DCA" w:rsidRDefault="004A3DCA" w14:paraId="2B2E445A" w14:textId="77777777">
      <w:pPr>
        <w:rPr>
          <w:rStyle w:val="Italic"/>
        </w:rPr>
      </w:pPr>
      <w:r w:rsidRPr="003B2A4D">
        <w:rPr>
          <w:rStyle w:val="Italic"/>
        </w:rPr>
        <w:t>If interviewee is familiar with MAGC/EDGE:</w:t>
      </w:r>
    </w:p>
    <w:p w:rsidRPr="00AE4C01" w:rsidR="004A3DCA" w:rsidP="002C57BB" w:rsidRDefault="004A3DCA" w14:paraId="290104D7" w14:textId="44BEF82B">
      <w:pPr>
        <w:pStyle w:val="ListParagraph"/>
        <w:numPr>
          <w:ilvl w:val="1"/>
          <w:numId w:val="106"/>
        </w:numPr>
      </w:pPr>
      <w:r w:rsidRPr="00AE4C01">
        <w:rPr>
          <w:rFonts w:ascii="Arial" w:hAnsi="Arial"/>
          <w:sz w:val="24"/>
        </w:rPr>
        <w:t>Do the EDGE and CAFI tools represent an innovation in the green building market? In what way?</w:t>
      </w:r>
    </w:p>
    <w:p w:rsidRPr="00AE4C01" w:rsidR="004A3DCA" w:rsidP="002C57BB" w:rsidRDefault="004A3DCA" w14:paraId="27238546" w14:textId="6D436807">
      <w:pPr>
        <w:pStyle w:val="ListParagraph"/>
        <w:numPr>
          <w:ilvl w:val="1"/>
          <w:numId w:val="106"/>
        </w:numPr>
      </w:pPr>
      <w:r w:rsidRPr="00AE4C01">
        <w:rPr>
          <w:rFonts w:ascii="Arial" w:hAnsi="Arial"/>
          <w:sz w:val="24"/>
        </w:rPr>
        <w:t xml:space="preserve">To what extent do you think that EDGE has the potential influence change in the green building sector in your country? </w:t>
      </w:r>
    </w:p>
    <w:p w:rsidRPr="00AE4C01" w:rsidR="004A3DCA" w:rsidP="002C57BB" w:rsidRDefault="004A3DCA" w14:paraId="18BC87C1" w14:textId="4DFACFA6">
      <w:pPr>
        <w:pStyle w:val="ListParagraph"/>
        <w:numPr>
          <w:ilvl w:val="0"/>
          <w:numId w:val="115"/>
        </w:numPr>
      </w:pPr>
      <w:r w:rsidRPr="00AE4C01">
        <w:rPr>
          <w:rFonts w:ascii="Arial" w:hAnsi="Arial"/>
          <w:sz w:val="24"/>
        </w:rPr>
        <w:t>Why or why not? In what ways do you see it doing this?</w:t>
      </w:r>
    </w:p>
    <w:p w:rsidRPr="003B2A4D" w:rsidR="004A3DCA" w:rsidP="004A3DCA" w:rsidRDefault="004A3DCA" w14:paraId="13B0A8DE" w14:textId="77777777">
      <w:pPr>
        <w:rPr>
          <w:rStyle w:val="Italic"/>
        </w:rPr>
      </w:pPr>
      <w:r w:rsidRPr="003B2A4D">
        <w:rPr>
          <w:rStyle w:val="Italic"/>
        </w:rPr>
        <w:t>Ask all:</w:t>
      </w:r>
    </w:p>
    <w:p w:rsidRPr="00AE4C01" w:rsidR="004A3DCA" w:rsidP="002C57BB" w:rsidRDefault="004A3DCA" w14:paraId="7B4B1780" w14:textId="29FCFDEE">
      <w:pPr>
        <w:pStyle w:val="ListParagraph"/>
        <w:numPr>
          <w:ilvl w:val="1"/>
          <w:numId w:val="106"/>
        </w:numPr>
      </w:pPr>
      <w:r w:rsidRPr="00AE4C01">
        <w:rPr>
          <w:rFonts w:ascii="Arial" w:hAnsi="Arial"/>
          <w:sz w:val="24"/>
        </w:rPr>
        <w:t>Have you observed a change in the market share of green certified floor space in your operations or region? What have been key drivers?</w:t>
      </w:r>
    </w:p>
    <w:p w:rsidRPr="00AE4C01" w:rsidR="004A3DCA" w:rsidP="002C57BB" w:rsidRDefault="004A3DCA" w14:paraId="0AD174F3" w14:textId="69A65924">
      <w:pPr>
        <w:pStyle w:val="ListParagraph"/>
        <w:numPr>
          <w:ilvl w:val="1"/>
          <w:numId w:val="106"/>
        </w:numPr>
      </w:pPr>
      <w:r w:rsidRPr="00AE4C01">
        <w:rPr>
          <w:rFonts w:ascii="Arial" w:hAnsi="Arial"/>
          <w:sz w:val="24"/>
        </w:rPr>
        <w:t>How do you see the role of green building certification, like EDGE, in shaping the green construction sector? How does EDGE differentiate from other certifications?</w:t>
      </w:r>
    </w:p>
    <w:p w:rsidRPr="00AE4C01" w:rsidR="004A3DCA" w:rsidP="002C57BB" w:rsidRDefault="004A3DCA" w14:paraId="2080540A" w14:textId="2DB6B76F">
      <w:pPr>
        <w:pStyle w:val="ListParagraph"/>
        <w:numPr>
          <w:ilvl w:val="1"/>
          <w:numId w:val="106"/>
        </w:numPr>
      </w:pPr>
      <w:r w:rsidRPr="00AE4C01">
        <w:rPr>
          <w:rFonts w:ascii="Arial" w:hAnsi="Arial"/>
          <w:sz w:val="24"/>
        </w:rPr>
        <w:t>How do you see the role of organizations like yours in promoting green building practices and certifications?</w:t>
      </w:r>
    </w:p>
    <w:p w:rsidRPr="00AE4C01" w:rsidR="004A3DCA" w:rsidP="002C57BB" w:rsidRDefault="004A3DCA" w14:paraId="7624BB3A" w14:textId="55A7F2BE">
      <w:pPr>
        <w:pStyle w:val="ListParagraph"/>
        <w:numPr>
          <w:ilvl w:val="1"/>
          <w:numId w:val="106"/>
        </w:numPr>
      </w:pPr>
      <w:r w:rsidRPr="00AE4C01">
        <w:rPr>
          <w:rFonts w:ascii="Arial" w:hAnsi="Arial"/>
          <w:sz w:val="24"/>
        </w:rPr>
        <w:t>Given what you know about IFC and EDGE activities, would you be interested in participating in it or a similar initiative in the future?</w:t>
      </w:r>
    </w:p>
    <w:p w:rsidRPr="00AE4C01" w:rsidR="004A3DCA" w:rsidP="002C57BB" w:rsidRDefault="004A3DCA" w14:paraId="7A2F97BA" w14:textId="27183F90">
      <w:pPr>
        <w:pStyle w:val="ListParagraph"/>
        <w:numPr>
          <w:ilvl w:val="1"/>
          <w:numId w:val="106"/>
        </w:numPr>
      </w:pPr>
      <w:r w:rsidRPr="00AE4C01">
        <w:rPr>
          <w:rFonts w:ascii="Arial" w:hAnsi="Arial"/>
          <w:sz w:val="24"/>
        </w:rPr>
        <w:t>Can you describe your organisation’s future policy/investment/construction plans in the green building sector?</w:t>
      </w:r>
    </w:p>
    <w:p w:rsidRPr="003B2A4D" w:rsidR="004A3DCA" w:rsidP="004A3DCA" w:rsidRDefault="00A5555A" w14:paraId="0EDCBDEC" w14:textId="06584BD4">
      <w:pPr>
        <w:rPr>
          <w:rStyle w:val="Boldtext"/>
        </w:rPr>
      </w:pPr>
      <w:r>
        <w:rPr>
          <w:rStyle w:val="Boldtext"/>
        </w:rPr>
        <w:t>GEDSI</w:t>
      </w:r>
      <w:r w:rsidRPr="003B2A4D" w:rsidR="004A3DCA">
        <w:rPr>
          <w:rStyle w:val="Boldtext"/>
        </w:rPr>
        <w:t xml:space="preserve"> </w:t>
      </w:r>
    </w:p>
    <w:p w:rsidRPr="003B2A4D" w:rsidR="004A3DCA" w:rsidP="004A3DCA" w:rsidRDefault="004A3DCA" w14:paraId="456ECA3F" w14:textId="77777777">
      <w:pPr>
        <w:rPr>
          <w:rStyle w:val="Italic"/>
        </w:rPr>
      </w:pPr>
      <w:r w:rsidRPr="003B2A4D">
        <w:rPr>
          <w:rStyle w:val="Italic"/>
        </w:rPr>
        <w:t>Ask all</w:t>
      </w:r>
    </w:p>
    <w:p w:rsidRPr="00AE4C01" w:rsidR="004A3DCA" w:rsidP="002C57BB" w:rsidRDefault="004A3DCA" w14:paraId="46519F9D" w14:textId="684B374D">
      <w:pPr>
        <w:pStyle w:val="ListParagraph"/>
        <w:numPr>
          <w:ilvl w:val="1"/>
          <w:numId w:val="106"/>
        </w:numPr>
      </w:pPr>
      <w:r w:rsidRPr="00AE4C01">
        <w:rPr>
          <w:rFonts w:ascii="Arial" w:hAnsi="Arial"/>
          <w:sz w:val="24"/>
        </w:rPr>
        <w:t>Does your organisation have a gender equality disability and social inclusion strategy?</w:t>
      </w:r>
    </w:p>
    <w:p w:rsidRPr="00AE4C01" w:rsidR="004A3DCA" w:rsidP="002C57BB" w:rsidRDefault="004A3DCA" w14:paraId="446523E0" w14:textId="06155B38">
      <w:pPr>
        <w:pStyle w:val="ListParagraph"/>
        <w:numPr>
          <w:ilvl w:val="1"/>
          <w:numId w:val="106"/>
        </w:numPr>
      </w:pPr>
      <w:r w:rsidRPr="00AE4C01">
        <w:rPr>
          <w:rStyle w:val="Italic"/>
          <w:rFonts w:ascii="Arial" w:hAnsi="Arial"/>
          <w:sz w:val="24"/>
        </w:rPr>
        <w:t>(If applicable)</w:t>
      </w:r>
      <w:r w:rsidRPr="00AE4C01">
        <w:rPr>
          <w:rFonts w:ascii="Arial" w:hAnsi="Arial"/>
          <w:sz w:val="24"/>
        </w:rPr>
        <w:t xml:space="preserve"> How are local communities involved in your green building developments?</w:t>
      </w:r>
    </w:p>
    <w:p w:rsidRPr="00AE4C01" w:rsidR="004A3DCA" w:rsidP="002C57BB" w:rsidRDefault="004A3DCA" w14:paraId="771E1A0B" w14:textId="7C593367">
      <w:pPr>
        <w:pStyle w:val="ListParagraph"/>
        <w:numPr>
          <w:ilvl w:val="1"/>
          <w:numId w:val="106"/>
        </w:numPr>
      </w:pPr>
      <w:r w:rsidRPr="00AE4C01">
        <w:rPr>
          <w:rFonts w:ascii="Arial" w:hAnsi="Arial"/>
          <w:sz w:val="24"/>
        </w:rPr>
        <w:t>Which groups do you believe are most impacted by the construction of green buildings?</w:t>
      </w:r>
    </w:p>
    <w:p w:rsidRPr="00AE4C01" w:rsidR="004A3DCA" w:rsidP="002C57BB" w:rsidRDefault="004A3DCA" w14:paraId="58DA17BF" w14:textId="0516023D">
      <w:pPr>
        <w:pStyle w:val="ListParagraph"/>
        <w:numPr>
          <w:ilvl w:val="1"/>
          <w:numId w:val="106"/>
        </w:numPr>
      </w:pPr>
      <w:r w:rsidRPr="00AE4C01">
        <w:rPr>
          <w:rFonts w:ascii="Arial" w:hAnsi="Arial"/>
          <w:sz w:val="24"/>
        </w:rPr>
        <w:t>Are you aware of any ways in which green buildings could unintentionally disadvantage certain groups? Some probes:</w:t>
      </w:r>
    </w:p>
    <w:p w:rsidRPr="00AE4C01" w:rsidR="004A3DCA" w:rsidP="002C57BB" w:rsidRDefault="004A3DCA" w14:paraId="41CDEF0D" w14:textId="38608F8A">
      <w:pPr>
        <w:pStyle w:val="ListParagraph"/>
        <w:numPr>
          <w:ilvl w:val="0"/>
          <w:numId w:val="116"/>
        </w:numPr>
      </w:pPr>
      <w:r w:rsidRPr="00AE4C01">
        <w:rPr>
          <w:rFonts w:ascii="Arial" w:hAnsi="Arial"/>
          <w:sz w:val="24"/>
        </w:rPr>
        <w:t>Affordability of green housing for low-income groups or single-parent households</w:t>
      </w:r>
    </w:p>
    <w:p w:rsidRPr="00AE4C01" w:rsidR="004A3DCA" w:rsidP="002C57BB" w:rsidRDefault="004A3DCA" w14:paraId="14589872" w14:textId="6B6F6F81">
      <w:pPr>
        <w:pStyle w:val="ListParagraph"/>
        <w:numPr>
          <w:ilvl w:val="0"/>
          <w:numId w:val="116"/>
        </w:numPr>
      </w:pPr>
      <w:r w:rsidRPr="00AE4C01">
        <w:rPr>
          <w:rFonts w:ascii="Arial" w:hAnsi="Arial"/>
          <w:sz w:val="24"/>
        </w:rPr>
        <w:t>Accessibility for people with disabilities</w:t>
      </w:r>
    </w:p>
    <w:p w:rsidRPr="00AE4C01" w:rsidR="004A3DCA" w:rsidP="002C57BB" w:rsidRDefault="004A3DCA" w14:paraId="25DD1546" w14:textId="2D15A7EB">
      <w:pPr>
        <w:pStyle w:val="ListParagraph"/>
        <w:numPr>
          <w:ilvl w:val="0"/>
          <w:numId w:val="116"/>
        </w:numPr>
      </w:pPr>
      <w:r w:rsidRPr="00AE4C01">
        <w:rPr>
          <w:rFonts w:ascii="Arial" w:hAnsi="Arial"/>
          <w:sz w:val="24"/>
        </w:rPr>
        <w:t>Any challenges related to location of green buildings for certain groups (women, single-parent households, ethnic minorities including indigenous groups)</w:t>
      </w:r>
    </w:p>
    <w:p w:rsidRPr="002C57BB" w:rsidR="004A3DCA" w:rsidP="002C57BB" w:rsidRDefault="004A3DCA" w14:paraId="2D85D953" w14:textId="77777777">
      <w:pPr>
        <w:pStyle w:val="ListParagraph"/>
        <w:numPr>
          <w:ilvl w:val="0"/>
          <w:numId w:val="115"/>
        </w:numPr>
        <w:rPr>
          <w:rStyle w:val="Italic"/>
          <w:rFonts w:ascii="Arial" w:hAnsi="Arial"/>
          <w:sz w:val="24"/>
        </w:rPr>
      </w:pPr>
      <w:r w:rsidRPr="00AE4C01">
        <w:rPr>
          <w:rStyle w:val="Italic"/>
          <w:rFonts w:ascii="Arial" w:hAnsi="Arial"/>
          <w:sz w:val="24"/>
        </w:rPr>
        <w:t>If interviewee is familiar with MAGC/EDGE</w:t>
      </w:r>
    </w:p>
    <w:p w:rsidRPr="00AE4C01" w:rsidR="004A3DCA" w:rsidP="002C57BB" w:rsidRDefault="004A3DCA" w14:paraId="02EF1627" w14:textId="32D7A62F">
      <w:pPr>
        <w:pStyle w:val="ListParagraph"/>
        <w:numPr>
          <w:ilvl w:val="1"/>
          <w:numId w:val="106"/>
        </w:numPr>
      </w:pPr>
      <w:r w:rsidRPr="00AE4C01">
        <w:rPr>
          <w:rFonts w:ascii="Arial" w:hAnsi="Arial"/>
          <w:sz w:val="24"/>
        </w:rPr>
        <w:t>Delivery</w:t>
      </w:r>
    </w:p>
    <w:p w:rsidRPr="00AE4C01" w:rsidR="004A3DCA" w:rsidP="002C57BB" w:rsidRDefault="004A3DCA" w14:paraId="29319735" w14:textId="160F1B50">
      <w:pPr>
        <w:pStyle w:val="ListParagraph"/>
        <w:numPr>
          <w:ilvl w:val="0"/>
          <w:numId w:val="117"/>
        </w:numPr>
      </w:pPr>
      <w:r w:rsidRPr="00AE4C01">
        <w:rPr>
          <w:rFonts w:ascii="Arial" w:hAnsi="Arial"/>
          <w:sz w:val="24"/>
        </w:rPr>
        <w:t>Have you seen any unexpected positive effects relating to GEDSI during the delivery of investment and advisory services by IFC? Some probes:</w:t>
      </w:r>
    </w:p>
    <w:p w:rsidRPr="00AE4C01" w:rsidR="004A3DCA" w:rsidP="002C57BB" w:rsidRDefault="004A3DCA" w14:paraId="6E829935" w14:textId="5C97956A">
      <w:pPr>
        <w:pStyle w:val="ListParagraph"/>
        <w:numPr>
          <w:ilvl w:val="0"/>
          <w:numId w:val="115"/>
        </w:numPr>
      </w:pPr>
      <w:r w:rsidRPr="00AE4C01">
        <w:rPr>
          <w:rFonts w:ascii="Arial" w:hAnsi="Arial"/>
          <w:sz w:val="24"/>
        </w:rPr>
        <w:t>Women’s participation in the green building sector</w:t>
      </w:r>
    </w:p>
    <w:p w:rsidRPr="00AE4C01" w:rsidR="004A3DCA" w:rsidP="002C57BB" w:rsidRDefault="004A3DCA" w14:paraId="233C65A4" w14:textId="3E4BFD0B">
      <w:pPr>
        <w:pStyle w:val="ListParagraph"/>
        <w:numPr>
          <w:ilvl w:val="0"/>
          <w:numId w:val="115"/>
        </w:numPr>
      </w:pPr>
      <w:r w:rsidRPr="00AE4C01">
        <w:rPr>
          <w:rFonts w:ascii="Arial" w:hAnsi="Arial"/>
          <w:sz w:val="24"/>
        </w:rPr>
        <w:t>Affordability of green housing for low-income families and single-parent households</w:t>
      </w:r>
    </w:p>
    <w:p w:rsidRPr="00AE4C01" w:rsidR="004A3DCA" w:rsidP="002C57BB" w:rsidRDefault="004A3DCA" w14:paraId="5F1400E5" w14:textId="04375A4E">
      <w:pPr>
        <w:pStyle w:val="ListParagraph"/>
        <w:numPr>
          <w:ilvl w:val="0"/>
          <w:numId w:val="115"/>
        </w:numPr>
      </w:pPr>
      <w:r w:rsidRPr="00AE4C01">
        <w:rPr>
          <w:rFonts w:ascii="Arial" w:hAnsi="Arial"/>
          <w:sz w:val="24"/>
        </w:rPr>
        <w:t>Accessibility considerations in certified green buildings</w:t>
      </w:r>
    </w:p>
    <w:p w:rsidRPr="00AE4C01" w:rsidR="004A3DCA" w:rsidP="002C57BB" w:rsidRDefault="004A3DCA" w14:paraId="1D733380" w14:textId="5A900480">
      <w:pPr>
        <w:pStyle w:val="ListParagraph"/>
        <w:numPr>
          <w:ilvl w:val="0"/>
          <w:numId w:val="117"/>
        </w:numPr>
      </w:pPr>
      <w:r w:rsidRPr="00AE4C01">
        <w:rPr>
          <w:rFonts w:ascii="Arial" w:hAnsi="Arial"/>
          <w:sz w:val="24"/>
        </w:rPr>
        <w:t xml:space="preserve">To what extent did the investment/advisory services support these benefits from occurring? </w:t>
      </w:r>
    </w:p>
    <w:p w:rsidRPr="00AE4C01" w:rsidR="004A3DCA" w:rsidP="002C57BB" w:rsidRDefault="004A3DCA" w14:paraId="678B74F6" w14:textId="62099C1B">
      <w:pPr>
        <w:pStyle w:val="ListParagraph"/>
        <w:numPr>
          <w:ilvl w:val="0"/>
          <w:numId w:val="117"/>
        </w:numPr>
      </w:pPr>
      <w:r w:rsidRPr="00AE4C01">
        <w:rPr>
          <w:rFonts w:ascii="Arial" w:hAnsi="Arial"/>
          <w:sz w:val="24"/>
        </w:rPr>
        <w:t xml:space="preserve">To what extent did investment/advisory services prevent GEDSI benefits from occurring? </w:t>
      </w:r>
    </w:p>
    <w:p w:rsidRPr="00AE4C01" w:rsidR="004A3DCA" w:rsidP="002C57BB" w:rsidRDefault="004A3DCA" w14:paraId="6C12FBCC" w14:textId="25B6B072">
      <w:pPr>
        <w:pStyle w:val="ListParagraph"/>
        <w:numPr>
          <w:ilvl w:val="0"/>
          <w:numId w:val="117"/>
        </w:numPr>
      </w:pPr>
      <w:r w:rsidRPr="00AE4C01">
        <w:rPr>
          <w:rFonts w:ascii="Arial" w:hAnsi="Arial"/>
          <w:sz w:val="24"/>
        </w:rPr>
        <w:t>Did any external factors contribute to these benefits or prevent benefits?</w:t>
      </w:r>
    </w:p>
    <w:p w:rsidRPr="00AE4C01" w:rsidR="004A3DCA" w:rsidP="002C57BB" w:rsidRDefault="004A3DCA" w14:paraId="2F52B9AC" w14:textId="6C9BC9D2">
      <w:pPr>
        <w:pStyle w:val="ListParagraph"/>
        <w:numPr>
          <w:ilvl w:val="1"/>
          <w:numId w:val="106"/>
        </w:numPr>
      </w:pPr>
      <w:r w:rsidRPr="00AE4C01">
        <w:rPr>
          <w:rFonts w:ascii="Arial" w:hAnsi="Arial"/>
          <w:sz w:val="24"/>
        </w:rPr>
        <w:t>Future programme design</w:t>
      </w:r>
    </w:p>
    <w:p w:rsidRPr="00AE4C01" w:rsidR="004A3DCA" w:rsidP="002C57BB" w:rsidRDefault="004A3DCA" w14:paraId="13A9B901" w14:textId="2F9A7746">
      <w:pPr>
        <w:pStyle w:val="ListParagraph"/>
        <w:numPr>
          <w:ilvl w:val="0"/>
          <w:numId w:val="118"/>
        </w:numPr>
      </w:pPr>
      <w:r w:rsidRPr="00AE4C01">
        <w:rPr>
          <w:rFonts w:ascii="Arial" w:hAnsi="Arial"/>
          <w:sz w:val="24"/>
        </w:rPr>
        <w:t xml:space="preserve">To what extent do you think it's feasible for future programming on green construction to include social impact as a key aim? What are the enablers/ barriers to including it? </w:t>
      </w:r>
    </w:p>
    <w:p w:rsidRPr="00AE4C01" w:rsidR="004A3DCA" w:rsidP="002C57BB" w:rsidRDefault="004A3DCA" w14:paraId="712B13B5" w14:textId="53DE872E">
      <w:pPr>
        <w:pStyle w:val="ListParagraph"/>
        <w:numPr>
          <w:ilvl w:val="0"/>
          <w:numId w:val="118"/>
        </w:numPr>
      </w:pPr>
      <w:r w:rsidRPr="00AE4C01">
        <w:rPr>
          <w:rFonts w:ascii="Arial" w:hAnsi="Arial"/>
          <w:sz w:val="24"/>
        </w:rPr>
        <w:t>What role should different stakeholder groups play in future programming to facilitate the inclusion of GEDSI in design and delivery? What role do you think your organisation should play?</w:t>
      </w:r>
    </w:p>
    <w:p w:rsidRPr="003B2A4D" w:rsidR="004A3DCA" w:rsidP="004A3DCA" w:rsidRDefault="004A3DCA" w14:paraId="1C9FF760" w14:textId="77777777">
      <w:pPr>
        <w:rPr>
          <w:rStyle w:val="Boldtext"/>
        </w:rPr>
      </w:pPr>
      <w:r w:rsidRPr="003B2A4D">
        <w:rPr>
          <w:rStyle w:val="Boldtext"/>
        </w:rPr>
        <w:t>Wrap up and recontact</w:t>
      </w:r>
    </w:p>
    <w:p w:rsidRPr="00AE4C01" w:rsidR="004A3DCA" w:rsidP="002C57BB" w:rsidRDefault="004A3DCA" w14:paraId="3FE1D1A7" w14:textId="1AF4C5E2">
      <w:pPr>
        <w:pStyle w:val="ListParagraph"/>
        <w:numPr>
          <w:ilvl w:val="1"/>
          <w:numId w:val="106"/>
        </w:numPr>
      </w:pPr>
      <w:r w:rsidRPr="00AE4C01">
        <w:rPr>
          <w:rFonts w:ascii="Arial" w:hAnsi="Arial"/>
          <w:sz w:val="24"/>
        </w:rPr>
        <w:t>Is there anything else that we haven’t discussed that you would like to share or that you think will be important for the evaluation?</w:t>
      </w:r>
    </w:p>
    <w:p w:rsidRPr="00AE4C01" w:rsidR="004A3DCA" w:rsidP="002C57BB" w:rsidRDefault="004A3DCA" w14:paraId="5534BAD9" w14:textId="3B581E3B">
      <w:pPr>
        <w:pStyle w:val="ListParagraph"/>
        <w:numPr>
          <w:ilvl w:val="1"/>
          <w:numId w:val="106"/>
        </w:numPr>
      </w:pPr>
      <w:r w:rsidRPr="00AE4C01">
        <w:rPr>
          <w:rStyle w:val="Italic"/>
          <w:rFonts w:ascii="Arial" w:hAnsi="Arial"/>
          <w:sz w:val="24"/>
        </w:rPr>
        <w:t>(If not captured before)</w:t>
      </w:r>
      <w:r w:rsidRPr="00AE4C01">
        <w:rPr>
          <w:rFonts w:ascii="Arial" w:hAnsi="Arial"/>
          <w:sz w:val="24"/>
        </w:rPr>
        <w:t xml:space="preserve"> Are you happy for us to use this interview for this evaluation?</w:t>
      </w:r>
    </w:p>
    <w:p w:rsidRPr="00AE4C01" w:rsidR="004A3DCA" w:rsidP="002C57BB" w:rsidRDefault="004A3DCA" w14:paraId="62F10619" w14:textId="3E8CA0F0">
      <w:pPr>
        <w:pStyle w:val="ListParagraph"/>
        <w:numPr>
          <w:ilvl w:val="1"/>
          <w:numId w:val="106"/>
        </w:numPr>
      </w:pPr>
      <w:r w:rsidRPr="00AE4C01">
        <w:rPr>
          <w:rFonts w:ascii="Arial" w:hAnsi="Arial"/>
          <w:sz w:val="24"/>
        </w:rPr>
        <w:t>Are you happy to be recontacted by email if we have any follow-up questions or for an interview at a later stage in the evaluation?</w:t>
      </w:r>
    </w:p>
    <w:p w:rsidR="004A3DCA" w:rsidP="00EA1E4E" w:rsidRDefault="004A3DCA" w14:paraId="5383E32B" w14:textId="0461C37C">
      <w:pPr>
        <w:pStyle w:val="Heading3"/>
      </w:pPr>
      <w:bookmarkStart w:name="_Toc179468567" w:id="157"/>
      <w:bookmarkStart w:name="_Toc179474017" w:id="158"/>
      <w:bookmarkStart w:name="_Toc181883601" w:id="159"/>
      <w:bookmarkStart w:name="_Toc188870885" w:id="160"/>
      <w:bookmarkStart w:name="_Toc207790224" w:id="161"/>
      <w:r>
        <w:t xml:space="preserve">T3 Residents Focus Group </w:t>
      </w:r>
      <w:r w:rsidR="00DD3244">
        <w:t>T</w:t>
      </w:r>
      <w:r w:rsidRPr="00DD3244" w:rsidR="00DD3244">
        <w:t xml:space="preserve">opic </w:t>
      </w:r>
      <w:r>
        <w:t>Guide</w:t>
      </w:r>
      <w:bookmarkEnd w:id="157"/>
      <w:bookmarkEnd w:id="158"/>
      <w:bookmarkEnd w:id="159"/>
      <w:bookmarkEnd w:id="160"/>
      <w:bookmarkEnd w:id="161"/>
    </w:p>
    <w:p w:rsidRPr="00670B5E" w:rsidR="004A3DCA" w:rsidP="004A3DCA" w:rsidRDefault="004A3DCA" w14:paraId="05AECCA7" w14:textId="77777777">
      <w:pPr>
        <w:rPr>
          <w:rStyle w:val="Boldtext"/>
        </w:rPr>
      </w:pPr>
      <w:r w:rsidRPr="00670B5E">
        <w:rPr>
          <w:rStyle w:val="Boldtext"/>
        </w:rPr>
        <w:t>Introduction for interviewer</w:t>
      </w:r>
    </w:p>
    <w:p w:rsidRPr="00670B5E" w:rsidR="004A3DCA" w:rsidP="004A3DCA" w:rsidRDefault="004A3DCA" w14:paraId="1DEDE8F4" w14:textId="77777777">
      <w:r w:rsidRPr="00670B5E">
        <w:t>The evaluation of the Market Accelerator for Green Construction includes focus groups with residents of EDGE-certified buildings, as part of the qualitative research activities.</w:t>
      </w:r>
    </w:p>
    <w:p w:rsidRPr="00670B5E" w:rsidR="004A3DCA" w:rsidP="004A3DCA" w:rsidRDefault="004A3DCA" w14:paraId="4B0E9AA7" w14:textId="77777777">
      <w:r w:rsidRPr="00670B5E">
        <w:t>Focus groups are carried out in the five case study countries (Colombia, South Africa, India, Kenya, Vietnam), with one group per country in the interim phase. Each group will have between 5 and 10 participants, recruited via developers or property managers of buildings certified with EDGE.</w:t>
      </w:r>
    </w:p>
    <w:p w:rsidRPr="00670B5E" w:rsidR="004A3DCA" w:rsidP="004A3DCA" w:rsidRDefault="004A3DCA" w14:paraId="0A4FD37C" w14:textId="77777777">
      <w:r w:rsidRPr="00670B5E">
        <w:t>The main objectives of the focus group are:</w:t>
      </w:r>
    </w:p>
    <w:p w:rsidRPr="00670B5E" w:rsidR="004A3DCA" w:rsidP="002C57BB" w:rsidRDefault="002240EC" w14:paraId="3370F538" w14:textId="0FE2FB00">
      <w:pPr>
        <w:pStyle w:val="DESNZbulletedlist"/>
      </w:pPr>
      <w:r>
        <w:t>T</w:t>
      </w:r>
      <w:r w:rsidRPr="00670B5E" w:rsidR="004A3DCA">
        <w:t>o understand the views of residents around living in a green certified building, including their awareness of green buildings and their perceived costs and benefits</w:t>
      </w:r>
    </w:p>
    <w:p w:rsidRPr="00670B5E" w:rsidR="004A3DCA" w:rsidP="002C57BB" w:rsidRDefault="002240EC" w14:paraId="0F7C2F87" w14:textId="22447A76">
      <w:pPr>
        <w:pStyle w:val="DESNZbulletedlist"/>
      </w:pPr>
      <w:r>
        <w:t>T</w:t>
      </w:r>
      <w:r w:rsidRPr="00670B5E" w:rsidR="004A3DCA">
        <w:t>o understand whether there are any signs of achievement of the aims of the EDGE certification in relation to energy and water efficiency/savings</w:t>
      </w:r>
    </w:p>
    <w:p w:rsidRPr="00670B5E" w:rsidR="004A3DCA" w:rsidP="002C57BB" w:rsidRDefault="004A3DCA" w14:paraId="2A37FAC7" w14:textId="75964DD7">
      <w:pPr>
        <w:pStyle w:val="DESNZbulletedlist"/>
      </w:pPr>
      <w:r>
        <w:t>-</w:t>
      </w:r>
      <w:r w:rsidR="002240EC">
        <w:t>T</w:t>
      </w:r>
      <w:r w:rsidRPr="00670B5E">
        <w:t>o understand what the Gender Equality, Disabilities and Social Inclusion (GEDSI) implications of living in a green certified building are, and if there are any unexpected costs or benefits</w:t>
      </w:r>
    </w:p>
    <w:p w:rsidRPr="00670B5E" w:rsidR="004A3DCA" w:rsidP="004A3DCA" w:rsidRDefault="004A3DCA" w14:paraId="409C68A1" w14:textId="77777777">
      <w:r w:rsidRPr="00670B5E">
        <w:t>To understand the suitability of participants for the focus group and record information on their circumstances to prepare the discussion, the following screener questionnaire should be used to recruit participants.</w:t>
      </w:r>
    </w:p>
    <w:p w:rsidRPr="00670B5E" w:rsidR="004A3DCA" w:rsidP="004A3DCA" w:rsidRDefault="004A3DCA" w14:paraId="4B66B524" w14:textId="77777777">
      <w:pPr>
        <w:rPr>
          <w:rStyle w:val="Boldtext"/>
        </w:rPr>
      </w:pPr>
      <w:r w:rsidRPr="00670B5E">
        <w:rPr>
          <w:rStyle w:val="Boldtext"/>
        </w:rPr>
        <w:t>Residents focus group screener questionnaire</w:t>
      </w:r>
    </w:p>
    <w:p w:rsidRPr="00670B5E" w:rsidR="004A3DCA" w:rsidP="004A3DCA" w:rsidRDefault="004A3DCA" w14:paraId="3E3FF8F3" w14:textId="77777777">
      <w:proofErr w:type="gramStart"/>
      <w:r w:rsidRPr="00670B5E">
        <w:t>Hello</w:t>
      </w:r>
      <w:proofErr w:type="gramEnd"/>
      <w:r w:rsidRPr="00670B5E">
        <w:t xml:space="preserve"> my name is [RECRUITER NAME],</w:t>
      </w:r>
    </w:p>
    <w:p w:rsidRPr="00670B5E" w:rsidR="004A3DCA" w:rsidP="004A3DCA" w:rsidRDefault="004A3DCA" w14:paraId="373E5812" w14:textId="77777777">
      <w:r w:rsidRPr="00670B5E">
        <w:t>Ipsos is carrying out research to understand the outcomes of a programme delivered by the International Finance Corporation (IFC) to accelerate the construction of certified green buildings. Ipsos has been commissioned by the UK Government, who funds this programme, to undertake this research.</w:t>
      </w:r>
    </w:p>
    <w:p w:rsidRPr="00670B5E" w:rsidR="004A3DCA" w:rsidP="004A3DCA" w:rsidRDefault="004A3DCA" w14:paraId="6DC5838D" w14:textId="77777777">
      <w:r w:rsidRPr="00670B5E">
        <w:t xml:space="preserve">We are inviting you to take part in this research as we understand that you live in a building that is certified as green with the EDGE certification. </w:t>
      </w:r>
    </w:p>
    <w:p w:rsidRPr="00670B5E" w:rsidR="004A3DCA" w:rsidP="004A3DCA" w:rsidRDefault="004A3DCA" w14:paraId="4D54B055" w14:textId="77777777">
      <w:r w:rsidRPr="00670B5E">
        <w:t xml:space="preserve">By taking part in the research, your answers will help the Government understand how the programme has worked and help to inform future programmes to accelerate the construction of green buildings. </w:t>
      </w:r>
    </w:p>
    <w:p w:rsidRPr="00670B5E" w:rsidR="004A3DCA" w:rsidP="004A3DCA" w:rsidRDefault="004A3DCA" w14:paraId="44FD8D50" w14:textId="77777777">
      <w:r w:rsidRPr="00670B5E">
        <w:t xml:space="preserve">The research will involve participating in a focus group with other 5 to 10 residents of green buildings, that will last up to 1.5 hours. You will receive [ADD INCENTIVE DETAILS] for your time once the focus group is completed. </w:t>
      </w:r>
    </w:p>
    <w:p w:rsidRPr="00670B5E" w:rsidR="004A3DCA" w:rsidP="004A3DCA" w:rsidRDefault="004A3DCA" w14:paraId="4E230722" w14:textId="77777777">
      <w:r w:rsidRPr="00670B5E">
        <w:t xml:space="preserve">First, we would like to check you are eligible to take part. This will take less than 5 minutes. The answers that you give today will be kept securely by Ipsos. Anything you say during the research exercise itself or during this interview will remain confidential. </w:t>
      </w:r>
    </w:p>
    <w:p w:rsidRPr="00670B5E" w:rsidR="004A3DCA" w:rsidP="004A3DCA" w:rsidRDefault="004A3DCA" w14:paraId="30D591B9" w14:textId="77777777">
      <w:r w:rsidRPr="00670B5E">
        <w:t>During this call I will need to ask specific questions about you. We use this to ensure that we understand the different circumstances of people we include in the research. This information will only be collected with your consent.</w:t>
      </w:r>
    </w:p>
    <w:p w:rsidRPr="00670B5E" w:rsidR="004A3DCA" w:rsidP="004A3DCA" w:rsidRDefault="004A3DCA" w14:paraId="0C442F0A" w14:textId="77777777">
      <w:r w:rsidRPr="00670B5E">
        <w:t>You have the right to withdraw your consent or object to our processing of your information at any time. The research activity and this interview will be conducted in accordance with the Market Research Society Code of Conduct, and the information you provide will be treated in accordance with data protection law.</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7"/>
        <w:gridCol w:w="3886"/>
        <w:gridCol w:w="1730"/>
        <w:gridCol w:w="3779"/>
      </w:tblGrid>
      <w:tr w:rsidRPr="00670B5E" w:rsidR="004A3DCA" w14:paraId="60B273BB" w14:textId="77777777">
        <w:tc>
          <w:tcPr>
            <w:tcW w:w="341" w:type="pct"/>
          </w:tcPr>
          <w:p w:rsidRPr="00670B5E" w:rsidR="004A3DCA" w:rsidP="004A3DCA" w:rsidRDefault="004A3DCA" w14:paraId="2ECD5B64" w14:textId="77777777">
            <w:r w:rsidRPr="00670B5E">
              <w:t xml:space="preserve">Q1. </w:t>
            </w:r>
          </w:p>
        </w:tc>
        <w:tc>
          <w:tcPr>
            <w:tcW w:w="4659" w:type="pct"/>
            <w:gridSpan w:val="3"/>
          </w:tcPr>
          <w:p w:rsidRPr="00670B5E" w:rsidR="004A3DCA" w:rsidP="004A3DCA" w:rsidRDefault="004A3DCA" w14:paraId="1737CD1E" w14:textId="77777777">
            <w:r w:rsidRPr="00670B5E">
              <w:t>Are you happy to continue on this basis?</w:t>
            </w:r>
          </w:p>
          <w:p w:rsidRPr="00670B5E" w:rsidR="004A3DCA" w:rsidP="004A3DCA" w:rsidRDefault="004A3DCA" w14:paraId="52C4BDCE" w14:textId="77777777">
            <w:r w:rsidRPr="00670B5E">
              <w:t>SINGLE CODE ONLY</w:t>
            </w:r>
          </w:p>
        </w:tc>
      </w:tr>
      <w:tr w:rsidRPr="00670B5E" w:rsidR="004A3DCA" w14:paraId="5B166A9E" w14:textId="77777777">
        <w:tc>
          <w:tcPr>
            <w:tcW w:w="341" w:type="pct"/>
          </w:tcPr>
          <w:p w:rsidRPr="00670B5E" w:rsidR="004A3DCA" w:rsidP="004A3DCA" w:rsidRDefault="004A3DCA" w14:paraId="390EBC5A" w14:textId="77777777"/>
        </w:tc>
        <w:tc>
          <w:tcPr>
            <w:tcW w:w="1927" w:type="pct"/>
          </w:tcPr>
          <w:p w:rsidRPr="00670B5E" w:rsidR="004A3DCA" w:rsidP="004A3DCA" w:rsidRDefault="004A3DCA" w14:paraId="055CA65C" w14:textId="77777777">
            <w:r w:rsidRPr="00670B5E">
              <w:t>Yes</w:t>
            </w:r>
          </w:p>
        </w:tc>
        <w:tc>
          <w:tcPr>
            <w:tcW w:w="858" w:type="pct"/>
          </w:tcPr>
          <w:p w:rsidRPr="00670B5E" w:rsidR="004A3DCA" w:rsidP="004A3DCA" w:rsidRDefault="004A3DCA" w14:paraId="4E66CCD8" w14:textId="77777777"/>
        </w:tc>
        <w:tc>
          <w:tcPr>
            <w:tcW w:w="1874" w:type="pct"/>
          </w:tcPr>
          <w:p w:rsidRPr="00670B5E" w:rsidR="004A3DCA" w:rsidP="004A3DCA" w:rsidRDefault="004A3DCA" w14:paraId="58CD67DD" w14:textId="77777777">
            <w:r w:rsidRPr="00670B5E">
              <w:t>continue</w:t>
            </w:r>
          </w:p>
        </w:tc>
      </w:tr>
      <w:tr w:rsidRPr="00670B5E" w:rsidR="004A3DCA" w14:paraId="69935C46" w14:textId="77777777">
        <w:tc>
          <w:tcPr>
            <w:tcW w:w="341" w:type="pct"/>
          </w:tcPr>
          <w:p w:rsidRPr="00670B5E" w:rsidR="004A3DCA" w:rsidP="004A3DCA" w:rsidRDefault="004A3DCA" w14:paraId="0605075E" w14:textId="77777777"/>
        </w:tc>
        <w:tc>
          <w:tcPr>
            <w:tcW w:w="1927" w:type="pct"/>
            <w:shd w:val="clear" w:color="auto" w:fill="D9D9D9" w:themeFill="background1" w:themeFillShade="D9"/>
          </w:tcPr>
          <w:p w:rsidRPr="00670B5E" w:rsidR="004A3DCA" w:rsidP="004A3DCA" w:rsidRDefault="004A3DCA" w14:paraId="09F85E12" w14:textId="77777777">
            <w:r w:rsidRPr="00670B5E">
              <w:t>No</w:t>
            </w:r>
          </w:p>
        </w:tc>
        <w:tc>
          <w:tcPr>
            <w:tcW w:w="858" w:type="pct"/>
            <w:shd w:val="clear" w:color="auto" w:fill="D9D9D9" w:themeFill="background1" w:themeFillShade="D9"/>
          </w:tcPr>
          <w:p w:rsidRPr="00670B5E" w:rsidR="004A3DCA" w:rsidP="004A3DCA" w:rsidRDefault="004A3DCA" w14:paraId="183D7F81" w14:textId="77777777"/>
        </w:tc>
        <w:tc>
          <w:tcPr>
            <w:tcW w:w="1874" w:type="pct"/>
            <w:shd w:val="clear" w:color="auto" w:fill="D9D9D9" w:themeFill="background1" w:themeFillShade="D9"/>
          </w:tcPr>
          <w:p w:rsidRPr="00670B5E" w:rsidR="004A3DCA" w:rsidP="004A3DCA" w:rsidRDefault="004A3DCA" w14:paraId="0A513CBA" w14:textId="77777777">
            <w:r w:rsidRPr="00670B5E">
              <w:t>THANK AND close</w:t>
            </w:r>
          </w:p>
        </w:tc>
      </w:tr>
    </w:tbl>
    <w:p w:rsidRPr="00670B5E" w:rsidR="004A3DCA" w:rsidP="004A3DCA" w:rsidRDefault="004A3DCA" w14:paraId="5547C5D1" w14:textId="77777777"/>
    <w:p w:rsidRPr="00670B5E" w:rsidR="004A3DCA" w:rsidP="004A3DCA" w:rsidRDefault="004A3DCA" w14:paraId="3D7CBB57" w14:textId="77777777">
      <w:r w:rsidRPr="00670B5E">
        <w:t>Screening questions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2"/>
        <w:gridCol w:w="3863"/>
        <w:gridCol w:w="1708"/>
        <w:gridCol w:w="3759"/>
      </w:tblGrid>
      <w:tr w:rsidRPr="00670B5E" w:rsidR="004A3DCA" w14:paraId="72A48304" w14:textId="77777777">
        <w:tc>
          <w:tcPr>
            <w:tcW w:w="373" w:type="pct"/>
          </w:tcPr>
          <w:p w:rsidRPr="00670B5E" w:rsidR="004A3DCA" w:rsidP="004A3DCA" w:rsidRDefault="004A3DCA" w14:paraId="752BDF54" w14:textId="77777777">
            <w:r w:rsidRPr="00670B5E">
              <w:t xml:space="preserve">Q2a. </w:t>
            </w:r>
          </w:p>
        </w:tc>
        <w:tc>
          <w:tcPr>
            <w:tcW w:w="4627" w:type="pct"/>
            <w:gridSpan w:val="3"/>
          </w:tcPr>
          <w:p w:rsidRPr="00670B5E" w:rsidR="004A3DCA" w:rsidP="004A3DCA" w:rsidRDefault="004A3DCA" w14:paraId="2F239AD8" w14:textId="77777777">
            <w:r w:rsidRPr="00670B5E">
              <w:t>Can I confirm you are a resident at [Development name or address]?</w:t>
            </w:r>
          </w:p>
          <w:p w:rsidRPr="00670B5E" w:rsidR="004A3DCA" w:rsidP="004A3DCA" w:rsidRDefault="004A3DCA" w14:paraId="03F817BB" w14:textId="77777777">
            <w:r w:rsidRPr="00670B5E">
              <w:t xml:space="preserve">RECRUITER NOTE: We are ideally looking to speak to people from different developments, but all certified with the EDGE standard. </w:t>
            </w:r>
          </w:p>
          <w:p w:rsidRPr="00670B5E" w:rsidR="004A3DCA" w:rsidP="004A3DCA" w:rsidRDefault="004A3DCA" w14:paraId="5FB30A71" w14:textId="77777777">
            <w:r w:rsidRPr="00670B5E">
              <w:t>SINGLE CODE ONLY</w:t>
            </w:r>
          </w:p>
        </w:tc>
      </w:tr>
      <w:tr w:rsidRPr="00670B5E" w:rsidR="004A3DCA" w14:paraId="59AA8208" w14:textId="77777777">
        <w:tc>
          <w:tcPr>
            <w:tcW w:w="373" w:type="pct"/>
          </w:tcPr>
          <w:p w:rsidRPr="00670B5E" w:rsidR="004A3DCA" w:rsidP="004A3DCA" w:rsidRDefault="004A3DCA" w14:paraId="2C4314DC" w14:textId="77777777"/>
        </w:tc>
        <w:tc>
          <w:tcPr>
            <w:tcW w:w="1916" w:type="pct"/>
          </w:tcPr>
          <w:p w:rsidRPr="00670B5E" w:rsidR="004A3DCA" w:rsidP="004A3DCA" w:rsidRDefault="004A3DCA" w14:paraId="2483FEAF" w14:textId="77777777">
            <w:r w:rsidRPr="00670B5E">
              <w:t>Yes</w:t>
            </w:r>
          </w:p>
        </w:tc>
        <w:tc>
          <w:tcPr>
            <w:tcW w:w="847" w:type="pct"/>
          </w:tcPr>
          <w:p w:rsidRPr="00670B5E" w:rsidR="004A3DCA" w:rsidP="004A3DCA" w:rsidRDefault="004A3DCA" w14:paraId="76CE5357" w14:textId="77777777"/>
        </w:tc>
        <w:tc>
          <w:tcPr>
            <w:tcW w:w="1864" w:type="pct"/>
          </w:tcPr>
          <w:p w:rsidRPr="00670B5E" w:rsidR="004A3DCA" w:rsidP="004A3DCA" w:rsidRDefault="004A3DCA" w14:paraId="646033A7" w14:textId="77777777">
            <w:r w:rsidRPr="00670B5E">
              <w:t>RECORD AND CONTINUE TO Q3</w:t>
            </w:r>
          </w:p>
        </w:tc>
      </w:tr>
      <w:tr w:rsidRPr="00670B5E" w:rsidR="004A3DCA" w14:paraId="6C2C2F20" w14:textId="77777777">
        <w:trPr>
          <w:trHeight w:val="70"/>
        </w:trPr>
        <w:tc>
          <w:tcPr>
            <w:tcW w:w="373" w:type="pct"/>
          </w:tcPr>
          <w:p w:rsidRPr="00670B5E" w:rsidR="004A3DCA" w:rsidP="004A3DCA" w:rsidRDefault="004A3DCA" w14:paraId="7D4B4A1D" w14:textId="77777777"/>
        </w:tc>
        <w:tc>
          <w:tcPr>
            <w:tcW w:w="1916" w:type="pct"/>
            <w:shd w:val="clear" w:color="auto" w:fill="D9D9D9" w:themeFill="background1" w:themeFillShade="D9"/>
          </w:tcPr>
          <w:p w:rsidRPr="00670B5E" w:rsidR="004A3DCA" w:rsidP="004A3DCA" w:rsidRDefault="004A3DCA" w14:paraId="4C67393D" w14:textId="77777777">
            <w:r w:rsidRPr="00670B5E">
              <w:t>No</w:t>
            </w:r>
          </w:p>
        </w:tc>
        <w:tc>
          <w:tcPr>
            <w:tcW w:w="847" w:type="pct"/>
            <w:shd w:val="clear" w:color="auto" w:fill="D9D9D9" w:themeFill="background1" w:themeFillShade="D9"/>
          </w:tcPr>
          <w:p w:rsidRPr="00670B5E" w:rsidR="004A3DCA" w:rsidP="004A3DCA" w:rsidRDefault="004A3DCA" w14:paraId="2F0BB8FF" w14:textId="77777777"/>
        </w:tc>
        <w:tc>
          <w:tcPr>
            <w:tcW w:w="1864" w:type="pct"/>
            <w:shd w:val="clear" w:color="auto" w:fill="D9D9D9" w:themeFill="background1" w:themeFillShade="D9"/>
          </w:tcPr>
          <w:p w:rsidRPr="00670B5E" w:rsidR="004A3DCA" w:rsidP="004A3DCA" w:rsidRDefault="004A3DCA" w14:paraId="6FC4CE53" w14:textId="77777777">
            <w:r w:rsidRPr="00670B5E">
              <w:t>RECORD AND CONTINUE TO Q2B</w:t>
            </w:r>
          </w:p>
        </w:tc>
      </w:tr>
    </w:tbl>
    <w:p w:rsidRPr="00670B5E" w:rsidR="004A3DCA" w:rsidP="004A3DCA" w:rsidRDefault="004A3DCA" w14:paraId="7618CAE5"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37"/>
        <w:gridCol w:w="3869"/>
        <w:gridCol w:w="1713"/>
        <w:gridCol w:w="3763"/>
      </w:tblGrid>
      <w:tr w:rsidRPr="00670B5E" w:rsidR="004A3DCA" w14:paraId="3F3C77B8" w14:textId="77777777">
        <w:tc>
          <w:tcPr>
            <w:tcW w:w="341" w:type="pct"/>
          </w:tcPr>
          <w:p w:rsidRPr="00670B5E" w:rsidR="004A3DCA" w:rsidP="004A3DCA" w:rsidRDefault="004A3DCA" w14:paraId="302C9F2A" w14:textId="77777777">
            <w:r w:rsidRPr="00670B5E">
              <w:t xml:space="preserve">Q2b. </w:t>
            </w:r>
          </w:p>
        </w:tc>
        <w:tc>
          <w:tcPr>
            <w:tcW w:w="4659" w:type="pct"/>
            <w:gridSpan w:val="3"/>
          </w:tcPr>
          <w:p w:rsidRPr="00670B5E" w:rsidR="004A3DCA" w:rsidP="004A3DCA" w:rsidRDefault="004A3DCA" w14:paraId="3AE2DE5B" w14:textId="77777777">
            <w:r w:rsidRPr="00670B5E">
              <w:t>Would you be happy for Ipsos to contact you again by email or telephone to invite you to take part in a research interview in the future on this topic?  You do not need to say now whether you would take part in this, just whether you would be happy for Ipsos to contact you about it. Are you happy to agree to be re-contacted by Ipsos on this basis?</w:t>
            </w:r>
          </w:p>
          <w:p w:rsidRPr="00670B5E" w:rsidR="004A3DCA" w:rsidP="004A3DCA" w:rsidRDefault="004A3DCA" w14:paraId="2C792991" w14:textId="77777777">
            <w:r w:rsidRPr="00670B5E">
              <w:t>SINGLE CODE ONLY</w:t>
            </w:r>
          </w:p>
        </w:tc>
      </w:tr>
      <w:tr w:rsidRPr="00670B5E" w:rsidR="004A3DCA" w14:paraId="23B71E75" w14:textId="77777777">
        <w:tc>
          <w:tcPr>
            <w:tcW w:w="341" w:type="pct"/>
          </w:tcPr>
          <w:p w:rsidRPr="00670B5E" w:rsidR="004A3DCA" w:rsidP="004A3DCA" w:rsidRDefault="004A3DCA" w14:paraId="0DC991BB" w14:textId="77777777"/>
        </w:tc>
        <w:tc>
          <w:tcPr>
            <w:tcW w:w="1927" w:type="pct"/>
          </w:tcPr>
          <w:p w:rsidRPr="00670B5E" w:rsidR="004A3DCA" w:rsidP="004A3DCA" w:rsidRDefault="004A3DCA" w14:paraId="08E87C24" w14:textId="77777777">
            <w:r w:rsidRPr="00670B5E">
              <w:t>Yes</w:t>
            </w:r>
          </w:p>
        </w:tc>
        <w:tc>
          <w:tcPr>
            <w:tcW w:w="858" w:type="pct"/>
          </w:tcPr>
          <w:p w:rsidRPr="00670B5E" w:rsidR="004A3DCA" w:rsidP="004A3DCA" w:rsidRDefault="004A3DCA" w14:paraId="59EF3650" w14:textId="77777777"/>
        </w:tc>
        <w:tc>
          <w:tcPr>
            <w:tcW w:w="1874" w:type="pct"/>
          </w:tcPr>
          <w:p w:rsidRPr="00670B5E" w:rsidR="004A3DCA" w:rsidP="004A3DCA" w:rsidRDefault="004A3DCA" w14:paraId="49036E9B" w14:textId="77777777">
            <w:r w:rsidRPr="00670B5E">
              <w:t>THANK AND CLOSE</w:t>
            </w:r>
          </w:p>
        </w:tc>
      </w:tr>
      <w:tr w:rsidRPr="00670B5E" w:rsidR="004A3DCA" w14:paraId="095915D5" w14:textId="77777777">
        <w:tc>
          <w:tcPr>
            <w:tcW w:w="341" w:type="pct"/>
          </w:tcPr>
          <w:p w:rsidRPr="00670B5E" w:rsidR="004A3DCA" w:rsidP="004A3DCA" w:rsidRDefault="004A3DCA" w14:paraId="4318226E" w14:textId="77777777"/>
        </w:tc>
        <w:tc>
          <w:tcPr>
            <w:tcW w:w="1927" w:type="pct"/>
            <w:shd w:val="clear" w:color="auto" w:fill="D9D9D9" w:themeFill="background1" w:themeFillShade="D9"/>
          </w:tcPr>
          <w:p w:rsidRPr="00670B5E" w:rsidR="004A3DCA" w:rsidP="004A3DCA" w:rsidRDefault="004A3DCA" w14:paraId="0FEDAB15" w14:textId="77777777">
            <w:r w:rsidRPr="00670B5E">
              <w:t>No</w:t>
            </w:r>
          </w:p>
        </w:tc>
        <w:tc>
          <w:tcPr>
            <w:tcW w:w="858" w:type="pct"/>
            <w:shd w:val="clear" w:color="auto" w:fill="D9D9D9" w:themeFill="background1" w:themeFillShade="D9"/>
          </w:tcPr>
          <w:p w:rsidRPr="00670B5E" w:rsidR="004A3DCA" w:rsidP="004A3DCA" w:rsidRDefault="004A3DCA" w14:paraId="2BC9054B" w14:textId="77777777"/>
        </w:tc>
        <w:tc>
          <w:tcPr>
            <w:tcW w:w="1874" w:type="pct"/>
            <w:shd w:val="clear" w:color="auto" w:fill="D9D9D9" w:themeFill="background1" w:themeFillShade="D9"/>
          </w:tcPr>
          <w:p w:rsidRPr="00670B5E" w:rsidR="004A3DCA" w:rsidP="004A3DCA" w:rsidRDefault="004A3DCA" w14:paraId="59DCDEB8" w14:textId="77777777">
            <w:r w:rsidRPr="00670B5E">
              <w:t>THANK AND CLOSE</w:t>
            </w:r>
          </w:p>
        </w:tc>
      </w:tr>
    </w:tbl>
    <w:p w:rsidRPr="00670B5E" w:rsidR="004A3DCA" w:rsidP="004A3DCA" w:rsidRDefault="004A3DCA" w14:paraId="39A74FD1"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9"/>
        <w:gridCol w:w="3932"/>
        <w:gridCol w:w="1682"/>
        <w:gridCol w:w="3779"/>
      </w:tblGrid>
      <w:tr w:rsidRPr="00670B5E" w:rsidR="004A3DCA" w14:paraId="7143BF16" w14:textId="77777777">
        <w:tc>
          <w:tcPr>
            <w:tcW w:w="342" w:type="pct"/>
          </w:tcPr>
          <w:p w:rsidRPr="00670B5E" w:rsidR="004A3DCA" w:rsidP="004A3DCA" w:rsidRDefault="004A3DCA" w14:paraId="62ADCAAF" w14:textId="77777777">
            <w:r w:rsidRPr="00670B5E">
              <w:t xml:space="preserve">Q3. </w:t>
            </w:r>
          </w:p>
        </w:tc>
        <w:tc>
          <w:tcPr>
            <w:tcW w:w="4658" w:type="pct"/>
            <w:gridSpan w:val="3"/>
          </w:tcPr>
          <w:p w:rsidRPr="00670B5E" w:rsidR="004A3DCA" w:rsidP="004A3DCA" w:rsidRDefault="004A3DCA" w14:paraId="40457989" w14:textId="77777777">
            <w:r w:rsidRPr="00670B5E">
              <w:t>How old were you on your last birthday?</w:t>
            </w:r>
          </w:p>
          <w:p w:rsidRPr="00670B5E" w:rsidR="004A3DCA" w:rsidP="004A3DCA" w:rsidRDefault="004A3DCA" w14:paraId="44544E11" w14:textId="77777777">
            <w:r w:rsidRPr="00670B5E">
              <w:t>SINGLE CODE ONLY</w:t>
            </w:r>
          </w:p>
        </w:tc>
      </w:tr>
      <w:tr w:rsidRPr="00670B5E" w:rsidR="004A3DCA" w14:paraId="6188FC13" w14:textId="77777777">
        <w:tc>
          <w:tcPr>
            <w:tcW w:w="342" w:type="pct"/>
          </w:tcPr>
          <w:p w:rsidRPr="00670B5E" w:rsidR="004A3DCA" w:rsidP="004A3DCA" w:rsidRDefault="004A3DCA" w14:paraId="4F0691D2" w14:textId="77777777"/>
        </w:tc>
        <w:tc>
          <w:tcPr>
            <w:tcW w:w="1950" w:type="pct"/>
            <w:shd w:val="clear" w:color="auto" w:fill="FFFFFF" w:themeFill="background1"/>
          </w:tcPr>
          <w:p w:rsidRPr="00670B5E" w:rsidR="004A3DCA" w:rsidP="004A3DCA" w:rsidRDefault="004A3DCA" w14:paraId="4A15159B" w14:textId="77777777">
            <w:r w:rsidRPr="00670B5E">
              <w:t>18-24</w:t>
            </w:r>
          </w:p>
        </w:tc>
        <w:tc>
          <w:tcPr>
            <w:tcW w:w="834" w:type="pct"/>
            <w:shd w:val="clear" w:color="auto" w:fill="FFFFFF" w:themeFill="background1"/>
          </w:tcPr>
          <w:p w:rsidRPr="00670B5E" w:rsidR="004A3DCA" w:rsidP="004A3DCA" w:rsidRDefault="004A3DCA" w14:paraId="25EABFDD" w14:textId="77777777"/>
        </w:tc>
        <w:tc>
          <w:tcPr>
            <w:tcW w:w="1874" w:type="pct"/>
            <w:vMerge w:val="restart"/>
            <w:shd w:val="clear" w:color="auto" w:fill="FFFFFF" w:themeFill="background1"/>
            <w:vAlign w:val="center"/>
          </w:tcPr>
          <w:p w:rsidRPr="00670B5E" w:rsidR="004A3DCA" w:rsidP="004A3DCA" w:rsidRDefault="004A3DCA" w14:paraId="39CF51FC" w14:textId="77777777">
            <w:r w:rsidRPr="00670B5E">
              <w:t>RECORD AND CONTINUE TO Q4</w:t>
            </w:r>
          </w:p>
        </w:tc>
      </w:tr>
      <w:tr w:rsidRPr="00670B5E" w:rsidR="004A3DCA" w14:paraId="7ADC3B65" w14:textId="77777777">
        <w:tc>
          <w:tcPr>
            <w:tcW w:w="342" w:type="pct"/>
          </w:tcPr>
          <w:p w:rsidRPr="00670B5E" w:rsidR="004A3DCA" w:rsidP="004A3DCA" w:rsidRDefault="004A3DCA" w14:paraId="5F3B4256" w14:textId="77777777"/>
        </w:tc>
        <w:tc>
          <w:tcPr>
            <w:tcW w:w="1950" w:type="pct"/>
          </w:tcPr>
          <w:p w:rsidRPr="00670B5E" w:rsidR="004A3DCA" w:rsidP="004A3DCA" w:rsidRDefault="004A3DCA" w14:paraId="7F6CCA7C" w14:textId="77777777">
            <w:r w:rsidRPr="00670B5E">
              <w:t>25-34</w:t>
            </w:r>
          </w:p>
        </w:tc>
        <w:tc>
          <w:tcPr>
            <w:tcW w:w="834" w:type="pct"/>
          </w:tcPr>
          <w:p w:rsidRPr="00670B5E" w:rsidR="004A3DCA" w:rsidP="004A3DCA" w:rsidRDefault="004A3DCA" w14:paraId="0BA0F0CF" w14:textId="77777777"/>
        </w:tc>
        <w:tc>
          <w:tcPr>
            <w:tcW w:w="1874" w:type="pct"/>
            <w:vMerge/>
          </w:tcPr>
          <w:p w:rsidRPr="00670B5E" w:rsidR="004A3DCA" w:rsidP="004A3DCA" w:rsidRDefault="004A3DCA" w14:paraId="3842EF1F" w14:textId="77777777"/>
        </w:tc>
      </w:tr>
      <w:tr w:rsidRPr="00670B5E" w:rsidR="004A3DCA" w14:paraId="0FD49885" w14:textId="77777777">
        <w:tc>
          <w:tcPr>
            <w:tcW w:w="342" w:type="pct"/>
          </w:tcPr>
          <w:p w:rsidRPr="00670B5E" w:rsidR="004A3DCA" w:rsidP="004A3DCA" w:rsidRDefault="004A3DCA" w14:paraId="6DDF884D" w14:textId="77777777"/>
        </w:tc>
        <w:tc>
          <w:tcPr>
            <w:tcW w:w="1950" w:type="pct"/>
          </w:tcPr>
          <w:p w:rsidRPr="00670B5E" w:rsidR="004A3DCA" w:rsidP="004A3DCA" w:rsidRDefault="004A3DCA" w14:paraId="337CE07E" w14:textId="2A4BA8D0">
            <w:r w:rsidRPr="00670B5E">
              <w:t>35-44</w:t>
            </w:r>
          </w:p>
        </w:tc>
        <w:tc>
          <w:tcPr>
            <w:tcW w:w="834" w:type="pct"/>
          </w:tcPr>
          <w:p w:rsidRPr="00670B5E" w:rsidR="004A3DCA" w:rsidP="004A3DCA" w:rsidRDefault="004A3DCA" w14:paraId="58BD189D" w14:textId="77777777"/>
        </w:tc>
        <w:tc>
          <w:tcPr>
            <w:tcW w:w="1874" w:type="pct"/>
            <w:vMerge/>
          </w:tcPr>
          <w:p w:rsidRPr="00670B5E" w:rsidR="004A3DCA" w:rsidP="004A3DCA" w:rsidRDefault="004A3DCA" w14:paraId="69662CE1" w14:textId="77777777"/>
        </w:tc>
      </w:tr>
      <w:tr w:rsidRPr="00670B5E" w:rsidR="004A3DCA" w14:paraId="3605DF5D" w14:textId="77777777">
        <w:tc>
          <w:tcPr>
            <w:tcW w:w="342" w:type="pct"/>
          </w:tcPr>
          <w:p w:rsidRPr="00670B5E" w:rsidR="004A3DCA" w:rsidP="004A3DCA" w:rsidRDefault="004A3DCA" w14:paraId="69EBE58E" w14:textId="77777777"/>
        </w:tc>
        <w:tc>
          <w:tcPr>
            <w:tcW w:w="1950" w:type="pct"/>
          </w:tcPr>
          <w:p w:rsidRPr="00670B5E" w:rsidR="004A3DCA" w:rsidP="004A3DCA" w:rsidRDefault="004A3DCA" w14:paraId="19D25E1E" w14:textId="77777777">
            <w:r w:rsidRPr="00670B5E">
              <w:t>45-54</w:t>
            </w:r>
          </w:p>
        </w:tc>
        <w:tc>
          <w:tcPr>
            <w:tcW w:w="834" w:type="pct"/>
          </w:tcPr>
          <w:p w:rsidRPr="00670B5E" w:rsidR="004A3DCA" w:rsidP="004A3DCA" w:rsidRDefault="004A3DCA" w14:paraId="36715D18" w14:textId="77777777"/>
        </w:tc>
        <w:tc>
          <w:tcPr>
            <w:tcW w:w="1874" w:type="pct"/>
            <w:vMerge/>
          </w:tcPr>
          <w:p w:rsidRPr="00670B5E" w:rsidR="004A3DCA" w:rsidP="004A3DCA" w:rsidRDefault="004A3DCA" w14:paraId="360D4466" w14:textId="77777777"/>
        </w:tc>
      </w:tr>
      <w:tr w:rsidRPr="00670B5E" w:rsidR="004A3DCA" w14:paraId="545D9B6F" w14:textId="77777777">
        <w:tc>
          <w:tcPr>
            <w:tcW w:w="342" w:type="pct"/>
          </w:tcPr>
          <w:p w:rsidRPr="00670B5E" w:rsidR="004A3DCA" w:rsidP="004A3DCA" w:rsidRDefault="004A3DCA" w14:paraId="1A56B241" w14:textId="77777777"/>
        </w:tc>
        <w:tc>
          <w:tcPr>
            <w:tcW w:w="1950" w:type="pct"/>
          </w:tcPr>
          <w:p w:rsidRPr="00670B5E" w:rsidR="004A3DCA" w:rsidP="004A3DCA" w:rsidRDefault="004A3DCA" w14:paraId="0B011553" w14:textId="77777777">
            <w:r w:rsidRPr="00670B5E">
              <w:t>55-65</w:t>
            </w:r>
          </w:p>
        </w:tc>
        <w:tc>
          <w:tcPr>
            <w:tcW w:w="834" w:type="pct"/>
          </w:tcPr>
          <w:p w:rsidRPr="00670B5E" w:rsidR="004A3DCA" w:rsidP="004A3DCA" w:rsidRDefault="004A3DCA" w14:paraId="439BBCFC" w14:textId="77777777"/>
        </w:tc>
        <w:tc>
          <w:tcPr>
            <w:tcW w:w="1874" w:type="pct"/>
            <w:vMerge/>
          </w:tcPr>
          <w:p w:rsidRPr="00670B5E" w:rsidR="004A3DCA" w:rsidP="004A3DCA" w:rsidRDefault="004A3DCA" w14:paraId="48ADF35A" w14:textId="77777777"/>
        </w:tc>
      </w:tr>
      <w:tr w:rsidRPr="00670B5E" w:rsidR="004A3DCA" w14:paraId="28A61775" w14:textId="77777777">
        <w:tc>
          <w:tcPr>
            <w:tcW w:w="342" w:type="pct"/>
          </w:tcPr>
          <w:p w:rsidRPr="00670B5E" w:rsidR="004A3DCA" w:rsidP="004A3DCA" w:rsidRDefault="004A3DCA" w14:paraId="2620E610" w14:textId="77777777"/>
        </w:tc>
        <w:tc>
          <w:tcPr>
            <w:tcW w:w="1950" w:type="pct"/>
          </w:tcPr>
          <w:p w:rsidRPr="00670B5E" w:rsidR="004A3DCA" w:rsidP="004A3DCA" w:rsidRDefault="004A3DCA" w14:paraId="5726CD80" w14:textId="77777777">
            <w:r w:rsidRPr="00670B5E">
              <w:t>Over 65</w:t>
            </w:r>
          </w:p>
        </w:tc>
        <w:tc>
          <w:tcPr>
            <w:tcW w:w="834" w:type="pct"/>
          </w:tcPr>
          <w:p w:rsidRPr="00670B5E" w:rsidR="004A3DCA" w:rsidP="004A3DCA" w:rsidRDefault="004A3DCA" w14:paraId="06A6919A" w14:textId="77777777"/>
        </w:tc>
        <w:tc>
          <w:tcPr>
            <w:tcW w:w="1874" w:type="pct"/>
            <w:vMerge/>
          </w:tcPr>
          <w:p w:rsidRPr="00670B5E" w:rsidR="004A3DCA" w:rsidP="004A3DCA" w:rsidRDefault="004A3DCA" w14:paraId="3F2C7C37" w14:textId="77777777"/>
        </w:tc>
      </w:tr>
    </w:tbl>
    <w:p w:rsidRPr="00670B5E" w:rsidR="004A3DCA" w:rsidP="004A3DCA" w:rsidRDefault="004A3DCA" w14:paraId="06DEB64E"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2"/>
        <w:gridCol w:w="3809"/>
        <w:gridCol w:w="1682"/>
        <w:gridCol w:w="3779"/>
      </w:tblGrid>
      <w:tr w:rsidRPr="00670B5E" w:rsidR="004A3DCA" w14:paraId="024C36DC" w14:textId="77777777">
        <w:tc>
          <w:tcPr>
            <w:tcW w:w="403" w:type="pct"/>
          </w:tcPr>
          <w:p w:rsidRPr="00670B5E" w:rsidR="004A3DCA" w:rsidP="004A3DCA" w:rsidRDefault="004A3DCA" w14:paraId="290476CD" w14:textId="77777777">
            <w:r w:rsidRPr="00670B5E">
              <w:t>Q4.</w:t>
            </w:r>
          </w:p>
        </w:tc>
        <w:tc>
          <w:tcPr>
            <w:tcW w:w="4597" w:type="pct"/>
            <w:gridSpan w:val="3"/>
          </w:tcPr>
          <w:p w:rsidRPr="00670B5E" w:rsidR="004A3DCA" w:rsidP="004A3DCA" w:rsidRDefault="004A3DCA" w14:paraId="2B4E4D3F" w14:textId="77777777">
            <w:r w:rsidRPr="00670B5E">
              <w:t>Which of the following describes how you think of yourself?</w:t>
            </w:r>
          </w:p>
          <w:p w:rsidRPr="00670B5E" w:rsidR="004A3DCA" w:rsidP="004A3DCA" w:rsidRDefault="004A3DCA" w14:paraId="75F63B42" w14:textId="77777777">
            <w:r w:rsidRPr="00670B5E">
              <w:t>SINGLE CODE</w:t>
            </w:r>
          </w:p>
        </w:tc>
      </w:tr>
      <w:tr w:rsidRPr="00670B5E" w:rsidR="004A3DCA" w14:paraId="2071C7C3" w14:textId="77777777">
        <w:trPr>
          <w:trHeight w:val="266"/>
        </w:trPr>
        <w:tc>
          <w:tcPr>
            <w:tcW w:w="403" w:type="pct"/>
          </w:tcPr>
          <w:p w:rsidRPr="00670B5E" w:rsidR="004A3DCA" w:rsidP="004A3DCA" w:rsidRDefault="004A3DCA" w14:paraId="40E14E58" w14:textId="77777777"/>
        </w:tc>
        <w:tc>
          <w:tcPr>
            <w:tcW w:w="1889" w:type="pct"/>
          </w:tcPr>
          <w:p w:rsidRPr="00670B5E" w:rsidR="004A3DCA" w:rsidP="004A3DCA" w:rsidRDefault="004A3DCA" w14:paraId="1E875732" w14:textId="77777777">
            <w:r w:rsidRPr="00670B5E">
              <w:t>Man</w:t>
            </w:r>
          </w:p>
        </w:tc>
        <w:tc>
          <w:tcPr>
            <w:tcW w:w="834" w:type="pct"/>
          </w:tcPr>
          <w:p w:rsidRPr="00670B5E" w:rsidR="004A3DCA" w:rsidP="004A3DCA" w:rsidRDefault="004A3DCA" w14:paraId="4928DFBF" w14:textId="77777777"/>
        </w:tc>
        <w:tc>
          <w:tcPr>
            <w:tcW w:w="1874" w:type="pct"/>
            <w:vMerge w:val="restart"/>
            <w:vAlign w:val="center"/>
          </w:tcPr>
          <w:p w:rsidRPr="00670B5E" w:rsidR="004A3DCA" w:rsidP="004A3DCA" w:rsidRDefault="004A3DCA" w14:paraId="401C8046" w14:textId="77777777">
            <w:r w:rsidRPr="00670B5E">
              <w:t>RECORD AND CONTINUE TO Q5</w:t>
            </w:r>
          </w:p>
        </w:tc>
      </w:tr>
      <w:tr w:rsidRPr="00670B5E" w:rsidR="004A3DCA" w14:paraId="4C0CD240" w14:textId="77777777">
        <w:trPr>
          <w:trHeight w:val="266"/>
        </w:trPr>
        <w:tc>
          <w:tcPr>
            <w:tcW w:w="403" w:type="pct"/>
          </w:tcPr>
          <w:p w:rsidRPr="00670B5E" w:rsidR="004A3DCA" w:rsidP="004A3DCA" w:rsidRDefault="004A3DCA" w14:paraId="48093E82" w14:textId="77777777"/>
        </w:tc>
        <w:tc>
          <w:tcPr>
            <w:tcW w:w="1889" w:type="pct"/>
          </w:tcPr>
          <w:p w:rsidRPr="00670B5E" w:rsidR="004A3DCA" w:rsidP="004A3DCA" w:rsidRDefault="004A3DCA" w14:paraId="25AFE3AF" w14:textId="77777777">
            <w:r w:rsidRPr="00670B5E">
              <w:t>Woman</w:t>
            </w:r>
          </w:p>
        </w:tc>
        <w:tc>
          <w:tcPr>
            <w:tcW w:w="834" w:type="pct"/>
          </w:tcPr>
          <w:p w:rsidRPr="00670B5E" w:rsidR="004A3DCA" w:rsidP="004A3DCA" w:rsidRDefault="004A3DCA" w14:paraId="67BE7DF9" w14:textId="77777777"/>
        </w:tc>
        <w:tc>
          <w:tcPr>
            <w:tcW w:w="1874" w:type="pct"/>
            <w:vMerge/>
          </w:tcPr>
          <w:p w:rsidRPr="00670B5E" w:rsidR="004A3DCA" w:rsidP="004A3DCA" w:rsidRDefault="004A3DCA" w14:paraId="11F3ABA7" w14:textId="77777777"/>
        </w:tc>
      </w:tr>
      <w:tr w:rsidRPr="00670B5E" w:rsidR="004A3DCA" w14:paraId="2C1E1CDE" w14:textId="77777777">
        <w:trPr>
          <w:trHeight w:val="266"/>
        </w:trPr>
        <w:tc>
          <w:tcPr>
            <w:tcW w:w="403" w:type="pct"/>
          </w:tcPr>
          <w:p w:rsidRPr="00670B5E" w:rsidR="004A3DCA" w:rsidP="004A3DCA" w:rsidRDefault="004A3DCA" w14:paraId="22EABE03" w14:textId="77777777"/>
        </w:tc>
        <w:tc>
          <w:tcPr>
            <w:tcW w:w="1889" w:type="pct"/>
          </w:tcPr>
          <w:p w:rsidRPr="00670B5E" w:rsidR="004A3DCA" w:rsidP="004A3DCA" w:rsidRDefault="004A3DCA" w14:paraId="22884DFC" w14:textId="77777777">
            <w:r w:rsidRPr="00670B5E">
              <w:t>In another way</w:t>
            </w:r>
          </w:p>
        </w:tc>
        <w:tc>
          <w:tcPr>
            <w:tcW w:w="834" w:type="pct"/>
          </w:tcPr>
          <w:p w:rsidRPr="00670B5E" w:rsidR="004A3DCA" w:rsidP="004A3DCA" w:rsidRDefault="004A3DCA" w14:paraId="62248EAB" w14:textId="77777777"/>
        </w:tc>
        <w:tc>
          <w:tcPr>
            <w:tcW w:w="1874" w:type="pct"/>
            <w:vMerge/>
          </w:tcPr>
          <w:p w:rsidRPr="00670B5E" w:rsidR="004A3DCA" w:rsidP="004A3DCA" w:rsidRDefault="004A3DCA" w14:paraId="2F8212F5" w14:textId="77777777"/>
        </w:tc>
      </w:tr>
      <w:tr w:rsidRPr="00670B5E" w:rsidR="004A3DCA" w14:paraId="0A8A7D73" w14:textId="77777777">
        <w:trPr>
          <w:trHeight w:val="266"/>
        </w:trPr>
        <w:tc>
          <w:tcPr>
            <w:tcW w:w="403" w:type="pct"/>
          </w:tcPr>
          <w:p w:rsidRPr="00670B5E" w:rsidR="004A3DCA" w:rsidP="004A3DCA" w:rsidRDefault="004A3DCA" w14:paraId="1A463EA7" w14:textId="77777777"/>
        </w:tc>
        <w:tc>
          <w:tcPr>
            <w:tcW w:w="1889" w:type="pct"/>
          </w:tcPr>
          <w:p w:rsidRPr="00670B5E" w:rsidR="004A3DCA" w:rsidP="004A3DCA" w:rsidRDefault="004A3DCA" w14:paraId="13DE4385" w14:textId="77777777">
            <w:r w:rsidRPr="00670B5E">
              <w:t>Prefer not to say</w:t>
            </w:r>
          </w:p>
        </w:tc>
        <w:tc>
          <w:tcPr>
            <w:tcW w:w="834" w:type="pct"/>
          </w:tcPr>
          <w:p w:rsidRPr="00670B5E" w:rsidR="004A3DCA" w:rsidP="004A3DCA" w:rsidRDefault="004A3DCA" w14:paraId="50D0F74B" w14:textId="77777777"/>
        </w:tc>
        <w:tc>
          <w:tcPr>
            <w:tcW w:w="1874" w:type="pct"/>
            <w:vMerge/>
          </w:tcPr>
          <w:p w:rsidRPr="00670B5E" w:rsidR="004A3DCA" w:rsidP="004A3DCA" w:rsidRDefault="004A3DCA" w14:paraId="7BABD800" w14:textId="77777777"/>
        </w:tc>
      </w:tr>
    </w:tbl>
    <w:p w:rsidRPr="00670B5E" w:rsidR="004A3DCA" w:rsidP="004A3DCA" w:rsidRDefault="004A3DCA" w14:paraId="7DFB6B95"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8"/>
        <w:gridCol w:w="3886"/>
        <w:gridCol w:w="1518"/>
        <w:gridCol w:w="3990"/>
      </w:tblGrid>
      <w:tr w:rsidRPr="00670B5E" w:rsidR="004A3DCA" w14:paraId="09C28FF8" w14:textId="77777777">
        <w:tc>
          <w:tcPr>
            <w:tcW w:w="341" w:type="pct"/>
          </w:tcPr>
          <w:p w:rsidRPr="00670B5E" w:rsidR="004A3DCA" w:rsidP="004A3DCA" w:rsidRDefault="004A3DCA" w14:paraId="315B25EC" w14:textId="77777777">
            <w:r w:rsidRPr="00670B5E">
              <w:t xml:space="preserve">Q5. </w:t>
            </w:r>
          </w:p>
        </w:tc>
        <w:tc>
          <w:tcPr>
            <w:tcW w:w="4659" w:type="pct"/>
            <w:gridSpan w:val="3"/>
          </w:tcPr>
          <w:p w:rsidRPr="00670B5E" w:rsidR="004A3DCA" w:rsidP="004A3DCA" w:rsidRDefault="004A3DCA" w14:paraId="10CA8CB4" w14:textId="77777777">
            <w:r w:rsidRPr="00670B5E">
              <w:t>Which of the following best describes your current living situation?</w:t>
            </w:r>
          </w:p>
          <w:p w:rsidRPr="00670B5E" w:rsidR="004A3DCA" w:rsidP="004A3DCA" w:rsidRDefault="004A3DCA" w14:paraId="4584912F" w14:textId="77777777">
            <w:r w:rsidRPr="00670B5E">
              <w:t>SINGLE CODE ONLY</w:t>
            </w:r>
          </w:p>
        </w:tc>
      </w:tr>
      <w:tr w:rsidRPr="00670B5E" w:rsidR="004A3DCA" w14:paraId="064E1726" w14:textId="77777777">
        <w:tc>
          <w:tcPr>
            <w:tcW w:w="341" w:type="pct"/>
          </w:tcPr>
          <w:p w:rsidRPr="00670B5E" w:rsidR="004A3DCA" w:rsidP="004A3DCA" w:rsidRDefault="004A3DCA" w14:paraId="0819D30C" w14:textId="77777777"/>
        </w:tc>
        <w:tc>
          <w:tcPr>
            <w:tcW w:w="1927" w:type="pct"/>
          </w:tcPr>
          <w:p w:rsidRPr="00670B5E" w:rsidR="004A3DCA" w:rsidP="004A3DCA" w:rsidRDefault="004A3DCA" w14:paraId="61C21E71" w14:textId="77777777">
            <w:r w:rsidRPr="00670B5E">
              <w:t>I own my home</w:t>
            </w:r>
          </w:p>
        </w:tc>
        <w:tc>
          <w:tcPr>
            <w:tcW w:w="753" w:type="pct"/>
          </w:tcPr>
          <w:p w:rsidRPr="00670B5E" w:rsidR="004A3DCA" w:rsidP="004A3DCA" w:rsidRDefault="004A3DCA" w14:paraId="6F16BFE5" w14:textId="77777777"/>
        </w:tc>
        <w:tc>
          <w:tcPr>
            <w:tcW w:w="1979" w:type="pct"/>
            <w:vAlign w:val="center"/>
          </w:tcPr>
          <w:p w:rsidRPr="00670B5E" w:rsidR="004A3DCA" w:rsidP="004A3DCA" w:rsidRDefault="004A3DCA" w14:paraId="56CCB524" w14:textId="77777777">
            <w:r w:rsidRPr="00670B5E">
              <w:t>RECORD AND CONTINUE TO Q6</w:t>
            </w:r>
          </w:p>
        </w:tc>
      </w:tr>
      <w:tr w:rsidRPr="00670B5E" w:rsidR="004A3DCA" w14:paraId="325AC453" w14:textId="77777777">
        <w:tc>
          <w:tcPr>
            <w:tcW w:w="341" w:type="pct"/>
          </w:tcPr>
          <w:p w:rsidRPr="00670B5E" w:rsidR="004A3DCA" w:rsidP="004A3DCA" w:rsidRDefault="004A3DCA" w14:paraId="7CDAC3F3" w14:textId="77777777"/>
        </w:tc>
        <w:tc>
          <w:tcPr>
            <w:tcW w:w="1927" w:type="pct"/>
            <w:shd w:val="clear" w:color="auto" w:fill="D9D9D9" w:themeFill="background1" w:themeFillShade="D9"/>
          </w:tcPr>
          <w:p w:rsidRPr="00670B5E" w:rsidR="004A3DCA" w:rsidP="004A3DCA" w:rsidRDefault="004A3DCA" w14:paraId="6F9C357D" w14:textId="77777777">
            <w:r w:rsidRPr="00670B5E">
              <w:t>I rent my home</w:t>
            </w:r>
          </w:p>
        </w:tc>
        <w:tc>
          <w:tcPr>
            <w:tcW w:w="753" w:type="pct"/>
            <w:shd w:val="clear" w:color="auto" w:fill="D9D9D9" w:themeFill="background1" w:themeFillShade="D9"/>
          </w:tcPr>
          <w:p w:rsidRPr="00670B5E" w:rsidR="004A3DCA" w:rsidP="004A3DCA" w:rsidRDefault="004A3DCA" w14:paraId="56BCF21F" w14:textId="77777777"/>
        </w:tc>
        <w:tc>
          <w:tcPr>
            <w:tcW w:w="1979" w:type="pct"/>
            <w:shd w:val="clear" w:color="auto" w:fill="D9D9D9" w:themeFill="background1" w:themeFillShade="D9"/>
            <w:vAlign w:val="center"/>
          </w:tcPr>
          <w:p w:rsidRPr="00670B5E" w:rsidR="004A3DCA" w:rsidP="004A3DCA" w:rsidRDefault="004A3DCA" w14:paraId="29A176E4" w14:textId="77777777">
            <w:r w:rsidRPr="00670B5E">
              <w:t>RECORD AND CONTINUE TO Q6</w:t>
            </w:r>
          </w:p>
        </w:tc>
      </w:tr>
      <w:tr w:rsidRPr="00670B5E" w:rsidR="004A3DCA" w14:paraId="2B6A6827" w14:textId="77777777">
        <w:tc>
          <w:tcPr>
            <w:tcW w:w="341" w:type="pct"/>
          </w:tcPr>
          <w:p w:rsidRPr="00670B5E" w:rsidR="004A3DCA" w:rsidP="004A3DCA" w:rsidRDefault="004A3DCA" w14:paraId="5F2A602B" w14:textId="77777777"/>
        </w:tc>
        <w:tc>
          <w:tcPr>
            <w:tcW w:w="1927" w:type="pct"/>
          </w:tcPr>
          <w:p w:rsidRPr="00670B5E" w:rsidR="004A3DCA" w:rsidP="004A3DCA" w:rsidRDefault="004A3DCA" w14:paraId="77B83E6A" w14:textId="77777777">
            <w:r w:rsidRPr="00670B5E">
              <w:t>Other (please specify)</w:t>
            </w:r>
          </w:p>
        </w:tc>
        <w:tc>
          <w:tcPr>
            <w:tcW w:w="753" w:type="pct"/>
          </w:tcPr>
          <w:p w:rsidRPr="00670B5E" w:rsidR="004A3DCA" w:rsidP="004A3DCA" w:rsidRDefault="004A3DCA" w14:paraId="723F5ED1" w14:textId="77777777"/>
        </w:tc>
        <w:tc>
          <w:tcPr>
            <w:tcW w:w="1979" w:type="pct"/>
            <w:vAlign w:val="center"/>
          </w:tcPr>
          <w:p w:rsidRPr="00670B5E" w:rsidR="004A3DCA" w:rsidP="004A3DCA" w:rsidRDefault="004A3DCA" w14:paraId="042570F0" w14:textId="77777777">
            <w:r w:rsidRPr="00670B5E">
              <w:t>RECORD AND CONTINUE TO Q6</w:t>
            </w:r>
          </w:p>
        </w:tc>
      </w:tr>
    </w:tbl>
    <w:p w:rsidRPr="00670B5E" w:rsidR="004A3DCA" w:rsidP="004A3DCA" w:rsidRDefault="004A3DCA" w14:paraId="2C2A6627"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7"/>
        <w:gridCol w:w="5616"/>
        <w:gridCol w:w="3779"/>
      </w:tblGrid>
      <w:tr w:rsidRPr="00670B5E" w:rsidR="004A3DCA" w14:paraId="5AD9C78C" w14:textId="77777777">
        <w:tc>
          <w:tcPr>
            <w:tcW w:w="341" w:type="pct"/>
          </w:tcPr>
          <w:p w:rsidRPr="00670B5E" w:rsidR="004A3DCA" w:rsidP="004A3DCA" w:rsidRDefault="004A3DCA" w14:paraId="719DB2AB" w14:textId="77777777">
            <w:r w:rsidRPr="00670B5E">
              <w:t xml:space="preserve">Q6. </w:t>
            </w:r>
          </w:p>
        </w:tc>
        <w:tc>
          <w:tcPr>
            <w:tcW w:w="4659" w:type="pct"/>
            <w:gridSpan w:val="2"/>
          </w:tcPr>
          <w:p w:rsidRPr="00670B5E" w:rsidR="004A3DCA" w:rsidP="004A3DCA" w:rsidRDefault="004A3DCA" w14:paraId="49DC356B" w14:textId="77777777">
            <w:r w:rsidRPr="00670B5E">
              <w:t>How long have you lived in this building?</w:t>
            </w:r>
          </w:p>
          <w:p w:rsidRPr="00670B5E" w:rsidR="004A3DCA" w:rsidP="004A3DCA" w:rsidRDefault="004A3DCA" w14:paraId="1FFA27E9" w14:textId="77777777">
            <w:r w:rsidRPr="00670B5E">
              <w:t>OPEN ENDED QUESTION</w:t>
            </w:r>
          </w:p>
        </w:tc>
      </w:tr>
      <w:tr w:rsidRPr="00670B5E" w:rsidR="004A3DCA" w14:paraId="0A5C6DAC" w14:textId="77777777">
        <w:tc>
          <w:tcPr>
            <w:tcW w:w="341" w:type="pct"/>
          </w:tcPr>
          <w:p w:rsidRPr="00670B5E" w:rsidR="004A3DCA" w:rsidP="004A3DCA" w:rsidRDefault="004A3DCA" w14:paraId="6FC91EA6" w14:textId="77777777"/>
        </w:tc>
        <w:tc>
          <w:tcPr>
            <w:tcW w:w="2785" w:type="pct"/>
          </w:tcPr>
          <w:p w:rsidRPr="00670B5E" w:rsidR="004A3DCA" w:rsidP="004A3DCA" w:rsidRDefault="004A3DCA" w14:paraId="11A9A983" w14:textId="77777777">
            <w:r w:rsidRPr="00670B5E">
              <w:t>Write in:</w:t>
            </w:r>
          </w:p>
          <w:p w:rsidRPr="00670B5E" w:rsidR="004A3DCA" w:rsidP="004A3DCA" w:rsidRDefault="004A3DCA" w14:paraId="34D8CCF3" w14:textId="77777777"/>
        </w:tc>
        <w:tc>
          <w:tcPr>
            <w:tcW w:w="1874" w:type="pct"/>
          </w:tcPr>
          <w:p w:rsidRPr="00670B5E" w:rsidR="004A3DCA" w:rsidP="004A3DCA" w:rsidRDefault="004A3DCA" w14:paraId="7C3B4F41" w14:textId="77777777">
            <w:r w:rsidRPr="00670B5E">
              <w:t>WRITE IN AND CONTINUE TO Q7</w:t>
            </w:r>
          </w:p>
        </w:tc>
      </w:tr>
    </w:tbl>
    <w:p w:rsidRPr="00670B5E" w:rsidR="004A3DCA" w:rsidP="004A3DCA" w:rsidRDefault="004A3DCA" w14:paraId="16E8191B"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8"/>
        <w:gridCol w:w="3934"/>
        <w:gridCol w:w="1470"/>
        <w:gridCol w:w="3990"/>
      </w:tblGrid>
      <w:tr w:rsidRPr="00670B5E" w:rsidR="004A3DCA" w14:paraId="3CB1BFF1" w14:textId="77777777">
        <w:tc>
          <w:tcPr>
            <w:tcW w:w="341" w:type="pct"/>
          </w:tcPr>
          <w:p w:rsidRPr="00670B5E" w:rsidR="004A3DCA" w:rsidP="004A3DCA" w:rsidRDefault="004A3DCA" w14:paraId="6117EE6F" w14:textId="77777777">
            <w:r w:rsidRPr="00670B5E">
              <w:t xml:space="preserve">Q7. </w:t>
            </w:r>
          </w:p>
        </w:tc>
        <w:tc>
          <w:tcPr>
            <w:tcW w:w="4659" w:type="pct"/>
            <w:gridSpan w:val="3"/>
          </w:tcPr>
          <w:p w:rsidRPr="00670B5E" w:rsidR="004A3DCA" w:rsidP="004A3DCA" w:rsidRDefault="004A3DCA" w14:paraId="6E22F90E" w14:textId="77777777">
            <w:r w:rsidRPr="00670B5E">
              <w:t>When you moved into your current home, was it a new property or had someone lived there before?</w:t>
            </w:r>
          </w:p>
          <w:p w:rsidRPr="00670B5E" w:rsidR="004A3DCA" w:rsidP="004A3DCA" w:rsidRDefault="004A3DCA" w14:paraId="4EB97B08" w14:textId="77777777">
            <w:r w:rsidRPr="00670B5E">
              <w:t>SINGLE CODE ONLY</w:t>
            </w:r>
          </w:p>
        </w:tc>
      </w:tr>
      <w:tr w:rsidRPr="00670B5E" w:rsidR="004A3DCA" w14:paraId="04F7AB98" w14:textId="77777777">
        <w:tc>
          <w:tcPr>
            <w:tcW w:w="341" w:type="pct"/>
          </w:tcPr>
          <w:p w:rsidRPr="00670B5E" w:rsidR="004A3DCA" w:rsidP="004A3DCA" w:rsidRDefault="004A3DCA" w14:paraId="0A1D58D2" w14:textId="77777777"/>
        </w:tc>
        <w:tc>
          <w:tcPr>
            <w:tcW w:w="1951" w:type="pct"/>
          </w:tcPr>
          <w:p w:rsidRPr="00670B5E" w:rsidR="004A3DCA" w:rsidP="004A3DCA" w:rsidRDefault="004A3DCA" w14:paraId="22E522B8" w14:textId="77777777">
            <w:r w:rsidRPr="00670B5E">
              <w:t>It was a new property</w:t>
            </w:r>
          </w:p>
        </w:tc>
        <w:tc>
          <w:tcPr>
            <w:tcW w:w="729" w:type="pct"/>
          </w:tcPr>
          <w:p w:rsidRPr="00670B5E" w:rsidR="004A3DCA" w:rsidP="004A3DCA" w:rsidRDefault="004A3DCA" w14:paraId="4B71A9AF" w14:textId="77777777"/>
        </w:tc>
        <w:tc>
          <w:tcPr>
            <w:tcW w:w="1979" w:type="pct"/>
          </w:tcPr>
          <w:p w:rsidRPr="00670B5E" w:rsidR="004A3DCA" w:rsidP="004A3DCA" w:rsidRDefault="004A3DCA" w14:paraId="62878B4B" w14:textId="77777777">
            <w:r w:rsidRPr="00670B5E">
              <w:t>RECORD AND CONTINUE TO Q8</w:t>
            </w:r>
          </w:p>
        </w:tc>
      </w:tr>
      <w:tr w:rsidRPr="00670B5E" w:rsidR="004A3DCA" w14:paraId="0C631186" w14:textId="77777777">
        <w:tc>
          <w:tcPr>
            <w:tcW w:w="341" w:type="pct"/>
          </w:tcPr>
          <w:p w:rsidRPr="00670B5E" w:rsidR="004A3DCA" w:rsidP="004A3DCA" w:rsidRDefault="004A3DCA" w14:paraId="2C7E968D" w14:textId="77777777"/>
        </w:tc>
        <w:tc>
          <w:tcPr>
            <w:tcW w:w="1951" w:type="pct"/>
            <w:shd w:val="clear" w:color="auto" w:fill="D9D9D9" w:themeFill="background1" w:themeFillShade="D9"/>
          </w:tcPr>
          <w:p w:rsidRPr="00670B5E" w:rsidR="004A3DCA" w:rsidP="004A3DCA" w:rsidRDefault="004A3DCA" w14:paraId="0F6258C5" w14:textId="77777777">
            <w:r w:rsidRPr="00670B5E">
              <w:t>Someone had lived there before</w:t>
            </w:r>
          </w:p>
        </w:tc>
        <w:tc>
          <w:tcPr>
            <w:tcW w:w="729" w:type="pct"/>
            <w:shd w:val="clear" w:color="auto" w:fill="D9D9D9" w:themeFill="background1" w:themeFillShade="D9"/>
          </w:tcPr>
          <w:p w:rsidRPr="00670B5E" w:rsidR="004A3DCA" w:rsidP="004A3DCA" w:rsidRDefault="004A3DCA" w14:paraId="4AF44439" w14:textId="77777777"/>
        </w:tc>
        <w:tc>
          <w:tcPr>
            <w:tcW w:w="1979" w:type="pct"/>
            <w:shd w:val="clear" w:color="auto" w:fill="D9D9D9" w:themeFill="background1" w:themeFillShade="D9"/>
          </w:tcPr>
          <w:p w:rsidRPr="00670B5E" w:rsidR="004A3DCA" w:rsidP="004A3DCA" w:rsidRDefault="004A3DCA" w14:paraId="17EA2390" w14:textId="77777777">
            <w:r w:rsidRPr="00670B5E">
              <w:t>RECORD AND CONTINUE TO Q8</w:t>
            </w:r>
          </w:p>
        </w:tc>
      </w:tr>
      <w:tr w:rsidRPr="00670B5E" w:rsidR="004A3DCA" w14:paraId="334784A0" w14:textId="77777777">
        <w:tc>
          <w:tcPr>
            <w:tcW w:w="341" w:type="pct"/>
          </w:tcPr>
          <w:p w:rsidRPr="00670B5E" w:rsidR="004A3DCA" w:rsidP="004A3DCA" w:rsidRDefault="004A3DCA" w14:paraId="4FA3FCB9" w14:textId="77777777"/>
        </w:tc>
        <w:tc>
          <w:tcPr>
            <w:tcW w:w="1951" w:type="pct"/>
          </w:tcPr>
          <w:p w:rsidRPr="00670B5E" w:rsidR="004A3DCA" w:rsidP="004A3DCA" w:rsidRDefault="004A3DCA" w14:paraId="61232424" w14:textId="77777777">
            <w:r w:rsidRPr="00670B5E">
              <w:t>I don't know</w:t>
            </w:r>
          </w:p>
        </w:tc>
        <w:tc>
          <w:tcPr>
            <w:tcW w:w="729" w:type="pct"/>
          </w:tcPr>
          <w:p w:rsidRPr="00670B5E" w:rsidR="004A3DCA" w:rsidP="004A3DCA" w:rsidRDefault="004A3DCA" w14:paraId="1C2E583D" w14:textId="77777777"/>
        </w:tc>
        <w:tc>
          <w:tcPr>
            <w:tcW w:w="1979" w:type="pct"/>
          </w:tcPr>
          <w:p w:rsidRPr="00670B5E" w:rsidR="004A3DCA" w:rsidP="004A3DCA" w:rsidRDefault="004A3DCA" w14:paraId="38FBE9DD" w14:textId="77777777">
            <w:r w:rsidRPr="00670B5E">
              <w:t>RECORD AND CONTINUE TO Q8</w:t>
            </w:r>
          </w:p>
        </w:tc>
      </w:tr>
    </w:tbl>
    <w:p w:rsidRPr="00670B5E" w:rsidR="004A3DCA" w:rsidP="004A3DCA" w:rsidRDefault="004A3DCA" w14:paraId="59B7B096"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8"/>
        <w:gridCol w:w="5404"/>
        <w:gridCol w:w="3990"/>
      </w:tblGrid>
      <w:tr w:rsidRPr="00670B5E" w:rsidR="004A3DCA" w14:paraId="0A905C3D" w14:textId="77777777">
        <w:tc>
          <w:tcPr>
            <w:tcW w:w="341" w:type="pct"/>
          </w:tcPr>
          <w:p w:rsidRPr="00670B5E" w:rsidR="004A3DCA" w:rsidP="004A3DCA" w:rsidRDefault="004A3DCA" w14:paraId="76FE48C0" w14:textId="77777777">
            <w:r w:rsidRPr="00670B5E">
              <w:t xml:space="preserve">Q8. </w:t>
            </w:r>
          </w:p>
        </w:tc>
        <w:tc>
          <w:tcPr>
            <w:tcW w:w="4659" w:type="pct"/>
            <w:gridSpan w:val="2"/>
          </w:tcPr>
          <w:p w:rsidRPr="00670B5E" w:rsidR="004A3DCA" w:rsidP="004A3DCA" w:rsidRDefault="004A3DCA" w14:paraId="1439DAEC" w14:textId="77777777">
            <w:r w:rsidRPr="00670B5E">
              <w:t>Who, if anyone, do you live with? What are their ages? OPEN ENDED QUESTION</w:t>
            </w:r>
          </w:p>
        </w:tc>
      </w:tr>
      <w:tr w:rsidRPr="00670B5E" w:rsidR="004A3DCA" w14:paraId="02BEE508" w14:textId="77777777">
        <w:tc>
          <w:tcPr>
            <w:tcW w:w="341" w:type="pct"/>
          </w:tcPr>
          <w:p w:rsidRPr="00670B5E" w:rsidR="004A3DCA" w:rsidP="004A3DCA" w:rsidRDefault="004A3DCA" w14:paraId="5F2F5518" w14:textId="77777777"/>
        </w:tc>
        <w:tc>
          <w:tcPr>
            <w:tcW w:w="2680" w:type="pct"/>
          </w:tcPr>
          <w:p w:rsidRPr="00670B5E" w:rsidR="004A3DCA" w:rsidP="004A3DCA" w:rsidRDefault="004A3DCA" w14:paraId="35E057C1" w14:textId="77777777">
            <w:r w:rsidRPr="00670B5E">
              <w:t xml:space="preserve">Write in: </w:t>
            </w:r>
          </w:p>
        </w:tc>
        <w:tc>
          <w:tcPr>
            <w:tcW w:w="1979" w:type="pct"/>
          </w:tcPr>
          <w:p w:rsidRPr="00670B5E" w:rsidR="004A3DCA" w:rsidP="004A3DCA" w:rsidRDefault="004A3DCA" w14:paraId="7A935F60" w14:textId="77777777">
            <w:r w:rsidRPr="00670B5E">
              <w:t>WRITE IN AND CONTINUE TO Q9</w:t>
            </w:r>
          </w:p>
        </w:tc>
      </w:tr>
    </w:tbl>
    <w:p w:rsidRPr="00670B5E" w:rsidR="004A3DCA" w:rsidP="004A3DCA" w:rsidRDefault="004A3DCA" w14:paraId="706520D2"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0"/>
        <w:gridCol w:w="5158"/>
        <w:gridCol w:w="4134"/>
      </w:tblGrid>
      <w:tr w:rsidRPr="00670B5E" w:rsidR="004A3DCA" w14:paraId="4C691A65" w14:textId="77777777">
        <w:trPr>
          <w:trHeight w:val="21"/>
        </w:trPr>
        <w:tc>
          <w:tcPr>
            <w:tcW w:w="392" w:type="pct"/>
          </w:tcPr>
          <w:p w:rsidRPr="00670B5E" w:rsidR="004A3DCA" w:rsidP="004A3DCA" w:rsidRDefault="004A3DCA" w14:paraId="72A90BFA" w14:textId="77777777">
            <w:r w:rsidRPr="00670B5E">
              <w:t>Q9.</w:t>
            </w:r>
          </w:p>
        </w:tc>
        <w:tc>
          <w:tcPr>
            <w:tcW w:w="4608" w:type="pct"/>
            <w:gridSpan w:val="2"/>
          </w:tcPr>
          <w:p w:rsidRPr="00670B5E" w:rsidR="004A3DCA" w:rsidP="004A3DCA" w:rsidRDefault="004A3DCA" w14:paraId="5A3D781F" w14:textId="77777777">
            <w:r w:rsidRPr="00670B5E">
              <w:t>What kind of heating/cooling and hot water system does your home have?</w:t>
            </w:r>
          </w:p>
          <w:p w:rsidRPr="00670B5E" w:rsidR="004A3DCA" w:rsidP="004A3DCA" w:rsidRDefault="004A3DCA" w14:paraId="0336124F" w14:textId="77777777">
            <w:r w:rsidRPr="00670B5E">
              <w:t>OPEN ENDED QUESTION</w:t>
            </w:r>
          </w:p>
        </w:tc>
      </w:tr>
      <w:tr w:rsidRPr="00670B5E" w:rsidR="004A3DCA" w14:paraId="01F5925F" w14:textId="77777777">
        <w:trPr>
          <w:trHeight w:val="21"/>
        </w:trPr>
        <w:tc>
          <w:tcPr>
            <w:tcW w:w="392" w:type="pct"/>
          </w:tcPr>
          <w:p w:rsidRPr="00670B5E" w:rsidR="004A3DCA" w:rsidP="004A3DCA" w:rsidRDefault="004A3DCA" w14:paraId="77266949" w14:textId="77777777"/>
        </w:tc>
        <w:tc>
          <w:tcPr>
            <w:tcW w:w="2558" w:type="pct"/>
            <w:vAlign w:val="center"/>
          </w:tcPr>
          <w:p w:rsidRPr="00670B5E" w:rsidR="004A3DCA" w:rsidP="004A3DCA" w:rsidRDefault="004A3DCA" w14:paraId="17A20923" w14:textId="77777777">
            <w:r w:rsidRPr="00670B5E">
              <w:t>Write in:</w:t>
            </w:r>
          </w:p>
        </w:tc>
        <w:tc>
          <w:tcPr>
            <w:tcW w:w="2050" w:type="pct"/>
            <w:vAlign w:val="center"/>
          </w:tcPr>
          <w:p w:rsidRPr="00670B5E" w:rsidR="004A3DCA" w:rsidP="004A3DCA" w:rsidRDefault="004A3DCA" w14:paraId="3E4541AE" w14:textId="77777777">
            <w:r w:rsidRPr="00670B5E">
              <w:t>WRITE IN AND CONTINUE TO Q10</w:t>
            </w:r>
          </w:p>
        </w:tc>
      </w:tr>
    </w:tbl>
    <w:p w:rsidRPr="00670B5E" w:rsidR="004A3DCA" w:rsidP="004A3DCA" w:rsidRDefault="004A3DCA" w14:paraId="44FCF80A"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0"/>
        <w:gridCol w:w="3829"/>
        <w:gridCol w:w="1188"/>
        <w:gridCol w:w="4275"/>
      </w:tblGrid>
      <w:tr w:rsidRPr="00670B5E" w:rsidR="004A3DCA" w14:paraId="43AC4E17" w14:textId="77777777">
        <w:trPr>
          <w:trHeight w:val="21"/>
        </w:trPr>
        <w:tc>
          <w:tcPr>
            <w:tcW w:w="392" w:type="pct"/>
          </w:tcPr>
          <w:p w:rsidRPr="00670B5E" w:rsidR="004A3DCA" w:rsidP="004A3DCA" w:rsidRDefault="004A3DCA" w14:paraId="37C473F3" w14:textId="77777777">
            <w:r w:rsidRPr="00670B5E">
              <w:t>Q10.</w:t>
            </w:r>
          </w:p>
        </w:tc>
        <w:tc>
          <w:tcPr>
            <w:tcW w:w="4608" w:type="pct"/>
            <w:gridSpan w:val="3"/>
          </w:tcPr>
          <w:p w:rsidRPr="00670B5E" w:rsidR="004A3DCA" w:rsidP="004A3DCA" w:rsidRDefault="004A3DCA" w14:paraId="06A0F35E" w14:textId="77777777">
            <w:r w:rsidRPr="00670B5E">
              <w:t>Had you heard about green buildings before we invited you to take part in this research?</w:t>
            </w:r>
          </w:p>
          <w:p w:rsidRPr="00670B5E" w:rsidR="004A3DCA" w:rsidP="004A3DCA" w:rsidRDefault="004A3DCA" w14:paraId="67A51891" w14:textId="77777777">
            <w:r w:rsidRPr="00670B5E">
              <w:t>SINGLE CODE</w:t>
            </w:r>
          </w:p>
        </w:tc>
      </w:tr>
      <w:tr w:rsidRPr="00670B5E" w:rsidR="004A3DCA" w14:paraId="022B383F" w14:textId="77777777">
        <w:trPr>
          <w:trHeight w:val="21"/>
        </w:trPr>
        <w:tc>
          <w:tcPr>
            <w:tcW w:w="392" w:type="pct"/>
          </w:tcPr>
          <w:p w:rsidRPr="00670B5E" w:rsidR="004A3DCA" w:rsidP="004A3DCA" w:rsidRDefault="004A3DCA" w14:paraId="443C92E9" w14:textId="77777777"/>
        </w:tc>
        <w:tc>
          <w:tcPr>
            <w:tcW w:w="1899" w:type="pct"/>
            <w:vAlign w:val="center"/>
          </w:tcPr>
          <w:p w:rsidRPr="00670B5E" w:rsidR="004A3DCA" w:rsidP="004A3DCA" w:rsidRDefault="004A3DCA" w14:paraId="62DCC437" w14:textId="77777777">
            <w:r w:rsidRPr="00670B5E">
              <w:t>Yes</w:t>
            </w:r>
          </w:p>
        </w:tc>
        <w:tc>
          <w:tcPr>
            <w:tcW w:w="589" w:type="pct"/>
            <w:vAlign w:val="center"/>
          </w:tcPr>
          <w:p w:rsidRPr="00670B5E" w:rsidR="004A3DCA" w:rsidP="004A3DCA" w:rsidRDefault="004A3DCA" w14:paraId="4A606E70" w14:textId="77777777"/>
        </w:tc>
        <w:tc>
          <w:tcPr>
            <w:tcW w:w="2120" w:type="pct"/>
            <w:vAlign w:val="center"/>
          </w:tcPr>
          <w:p w:rsidRPr="00670B5E" w:rsidR="004A3DCA" w:rsidP="004A3DCA" w:rsidRDefault="004A3DCA" w14:paraId="70798D36" w14:textId="77777777">
            <w:r w:rsidRPr="00670B5E">
              <w:t>RECORD AND CONTINUE TO Q10b</w:t>
            </w:r>
          </w:p>
        </w:tc>
      </w:tr>
      <w:tr w:rsidRPr="00670B5E" w:rsidR="004A3DCA" w14:paraId="719819E8" w14:textId="77777777">
        <w:trPr>
          <w:trHeight w:val="21"/>
        </w:trPr>
        <w:tc>
          <w:tcPr>
            <w:tcW w:w="392" w:type="pct"/>
          </w:tcPr>
          <w:p w:rsidRPr="00670B5E" w:rsidR="004A3DCA" w:rsidP="004A3DCA" w:rsidRDefault="004A3DCA" w14:paraId="4F198474" w14:textId="77777777"/>
        </w:tc>
        <w:tc>
          <w:tcPr>
            <w:tcW w:w="1899" w:type="pct"/>
            <w:shd w:val="clear" w:color="auto" w:fill="BFBFBF" w:themeFill="background1" w:themeFillShade="BF"/>
            <w:vAlign w:val="center"/>
          </w:tcPr>
          <w:p w:rsidRPr="00670B5E" w:rsidR="004A3DCA" w:rsidP="004A3DCA" w:rsidRDefault="004A3DCA" w14:paraId="20FB3F7F" w14:textId="77777777">
            <w:r w:rsidRPr="00670B5E">
              <w:t>No</w:t>
            </w:r>
          </w:p>
        </w:tc>
        <w:tc>
          <w:tcPr>
            <w:tcW w:w="589" w:type="pct"/>
            <w:shd w:val="clear" w:color="auto" w:fill="BFBFBF" w:themeFill="background1" w:themeFillShade="BF"/>
            <w:vAlign w:val="center"/>
          </w:tcPr>
          <w:p w:rsidRPr="00670B5E" w:rsidR="004A3DCA" w:rsidP="004A3DCA" w:rsidRDefault="004A3DCA" w14:paraId="61BF9E16" w14:textId="77777777"/>
        </w:tc>
        <w:tc>
          <w:tcPr>
            <w:tcW w:w="2120" w:type="pct"/>
            <w:shd w:val="clear" w:color="auto" w:fill="BFBFBF" w:themeFill="background1" w:themeFillShade="BF"/>
            <w:vAlign w:val="center"/>
          </w:tcPr>
          <w:p w:rsidRPr="00670B5E" w:rsidR="004A3DCA" w:rsidP="004A3DCA" w:rsidRDefault="004A3DCA" w14:paraId="0F209F9E" w14:textId="77777777">
            <w:r w:rsidRPr="00670B5E">
              <w:t>RECORD AND CONTINUE TO Q11</w:t>
            </w:r>
          </w:p>
        </w:tc>
      </w:tr>
    </w:tbl>
    <w:p w:rsidRPr="00670B5E" w:rsidR="004A3DCA" w:rsidP="004A3DCA" w:rsidRDefault="004A3DCA" w14:paraId="7326CB3F"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70"/>
        <w:gridCol w:w="3802"/>
        <w:gridCol w:w="1135"/>
        <w:gridCol w:w="4275"/>
      </w:tblGrid>
      <w:tr w:rsidRPr="00670B5E" w:rsidR="004A3DCA" w14:paraId="583FA2EA" w14:textId="77777777">
        <w:trPr>
          <w:trHeight w:val="21"/>
        </w:trPr>
        <w:tc>
          <w:tcPr>
            <w:tcW w:w="431" w:type="pct"/>
          </w:tcPr>
          <w:p w:rsidRPr="00670B5E" w:rsidR="004A3DCA" w:rsidP="004A3DCA" w:rsidRDefault="004A3DCA" w14:paraId="3250145E" w14:textId="77777777">
            <w:r w:rsidRPr="00670B5E">
              <w:t>Q10b.</w:t>
            </w:r>
          </w:p>
        </w:tc>
        <w:tc>
          <w:tcPr>
            <w:tcW w:w="4569" w:type="pct"/>
            <w:gridSpan w:val="3"/>
          </w:tcPr>
          <w:p w:rsidRPr="00670B5E" w:rsidR="004A3DCA" w:rsidP="004A3DCA" w:rsidRDefault="004A3DCA" w14:paraId="452A23F4" w14:textId="77777777">
            <w:r w:rsidRPr="00670B5E">
              <w:t>Are you aware that this building is certified as green/energy efficient/environmentally friendly?</w:t>
            </w:r>
          </w:p>
          <w:p w:rsidRPr="00670B5E" w:rsidR="004A3DCA" w:rsidP="004A3DCA" w:rsidRDefault="004A3DCA" w14:paraId="7CB21E41" w14:textId="77777777">
            <w:r w:rsidRPr="00670B5E">
              <w:t>SINGLE CODE</w:t>
            </w:r>
          </w:p>
        </w:tc>
      </w:tr>
      <w:tr w:rsidRPr="00670B5E" w:rsidR="004A3DCA" w14:paraId="5777CDFC" w14:textId="77777777">
        <w:trPr>
          <w:trHeight w:val="21"/>
        </w:trPr>
        <w:tc>
          <w:tcPr>
            <w:tcW w:w="431" w:type="pct"/>
          </w:tcPr>
          <w:p w:rsidRPr="00670B5E" w:rsidR="004A3DCA" w:rsidP="004A3DCA" w:rsidRDefault="004A3DCA" w14:paraId="1C59DC3A" w14:textId="77777777"/>
        </w:tc>
        <w:tc>
          <w:tcPr>
            <w:tcW w:w="1886" w:type="pct"/>
            <w:vAlign w:val="center"/>
          </w:tcPr>
          <w:p w:rsidRPr="00670B5E" w:rsidR="004A3DCA" w:rsidP="004A3DCA" w:rsidRDefault="004A3DCA" w14:paraId="3E626228" w14:textId="77777777">
            <w:r w:rsidRPr="00670B5E">
              <w:t>Yes</w:t>
            </w:r>
          </w:p>
        </w:tc>
        <w:tc>
          <w:tcPr>
            <w:tcW w:w="563" w:type="pct"/>
            <w:vAlign w:val="center"/>
          </w:tcPr>
          <w:p w:rsidRPr="00670B5E" w:rsidR="004A3DCA" w:rsidP="004A3DCA" w:rsidRDefault="004A3DCA" w14:paraId="5F5C5E23" w14:textId="77777777"/>
        </w:tc>
        <w:tc>
          <w:tcPr>
            <w:tcW w:w="2120" w:type="pct"/>
            <w:vAlign w:val="center"/>
          </w:tcPr>
          <w:p w:rsidRPr="00670B5E" w:rsidR="004A3DCA" w:rsidP="004A3DCA" w:rsidRDefault="004A3DCA" w14:paraId="75945B19" w14:textId="77777777">
            <w:r w:rsidRPr="00670B5E">
              <w:t>RECORD AND CONTINUE TO Q10c</w:t>
            </w:r>
          </w:p>
        </w:tc>
      </w:tr>
      <w:tr w:rsidRPr="00670B5E" w:rsidR="004A3DCA" w14:paraId="76695654" w14:textId="77777777">
        <w:trPr>
          <w:trHeight w:val="21"/>
        </w:trPr>
        <w:tc>
          <w:tcPr>
            <w:tcW w:w="431" w:type="pct"/>
          </w:tcPr>
          <w:p w:rsidRPr="00670B5E" w:rsidR="004A3DCA" w:rsidP="004A3DCA" w:rsidRDefault="004A3DCA" w14:paraId="2A2618C9" w14:textId="77777777"/>
        </w:tc>
        <w:tc>
          <w:tcPr>
            <w:tcW w:w="1886" w:type="pct"/>
            <w:shd w:val="clear" w:color="auto" w:fill="BFBFBF" w:themeFill="background1" w:themeFillShade="BF"/>
            <w:vAlign w:val="center"/>
          </w:tcPr>
          <w:p w:rsidRPr="00670B5E" w:rsidR="004A3DCA" w:rsidP="004A3DCA" w:rsidRDefault="004A3DCA" w14:paraId="1291A180" w14:textId="77777777">
            <w:r w:rsidRPr="00670B5E">
              <w:t>No</w:t>
            </w:r>
          </w:p>
        </w:tc>
        <w:tc>
          <w:tcPr>
            <w:tcW w:w="563" w:type="pct"/>
            <w:shd w:val="clear" w:color="auto" w:fill="BFBFBF" w:themeFill="background1" w:themeFillShade="BF"/>
            <w:vAlign w:val="center"/>
          </w:tcPr>
          <w:p w:rsidRPr="00670B5E" w:rsidR="004A3DCA" w:rsidP="004A3DCA" w:rsidRDefault="004A3DCA" w14:paraId="77ED741A" w14:textId="77777777"/>
        </w:tc>
        <w:tc>
          <w:tcPr>
            <w:tcW w:w="2120" w:type="pct"/>
            <w:shd w:val="clear" w:color="auto" w:fill="BFBFBF" w:themeFill="background1" w:themeFillShade="BF"/>
            <w:vAlign w:val="center"/>
          </w:tcPr>
          <w:p w:rsidRPr="00670B5E" w:rsidR="004A3DCA" w:rsidP="004A3DCA" w:rsidRDefault="004A3DCA" w14:paraId="6B8C0A05" w14:textId="77777777">
            <w:r w:rsidRPr="00670B5E">
              <w:t>RECORD AND CONTINUE TO Q11</w:t>
            </w:r>
          </w:p>
        </w:tc>
      </w:tr>
    </w:tbl>
    <w:p w:rsidRPr="00670B5E" w:rsidR="004A3DCA" w:rsidP="004A3DCA" w:rsidRDefault="004A3DCA" w14:paraId="4221BFBD"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7"/>
        <w:gridCol w:w="3807"/>
        <w:gridCol w:w="1143"/>
        <w:gridCol w:w="4275"/>
      </w:tblGrid>
      <w:tr w:rsidRPr="00670B5E" w:rsidR="004A3DCA" w14:paraId="30E9C1E0" w14:textId="77777777">
        <w:trPr>
          <w:trHeight w:val="21"/>
        </w:trPr>
        <w:tc>
          <w:tcPr>
            <w:tcW w:w="425" w:type="pct"/>
          </w:tcPr>
          <w:p w:rsidRPr="00670B5E" w:rsidR="004A3DCA" w:rsidP="004A3DCA" w:rsidRDefault="004A3DCA" w14:paraId="23C58CCE" w14:textId="77777777">
            <w:r w:rsidRPr="00670B5E">
              <w:t>Q10c.</w:t>
            </w:r>
          </w:p>
        </w:tc>
        <w:tc>
          <w:tcPr>
            <w:tcW w:w="4575" w:type="pct"/>
            <w:gridSpan w:val="3"/>
          </w:tcPr>
          <w:p w:rsidRPr="00670B5E" w:rsidR="004A3DCA" w:rsidP="004A3DCA" w:rsidRDefault="004A3DCA" w14:paraId="6CB777D3" w14:textId="77777777">
            <w:r w:rsidRPr="00670B5E">
              <w:t>Are you aware of what makes this building green/environmentally friendly/energy efficient?</w:t>
            </w:r>
          </w:p>
          <w:p w:rsidRPr="00670B5E" w:rsidR="004A3DCA" w:rsidP="004A3DCA" w:rsidRDefault="004A3DCA" w14:paraId="557CD44F" w14:textId="77777777">
            <w:r w:rsidRPr="00670B5E">
              <w:t>SINGLE CODE</w:t>
            </w:r>
          </w:p>
        </w:tc>
      </w:tr>
      <w:tr w:rsidRPr="00670B5E" w:rsidR="004A3DCA" w14:paraId="5D33F62F" w14:textId="77777777">
        <w:trPr>
          <w:trHeight w:val="21"/>
        </w:trPr>
        <w:tc>
          <w:tcPr>
            <w:tcW w:w="425" w:type="pct"/>
          </w:tcPr>
          <w:p w:rsidRPr="00670B5E" w:rsidR="004A3DCA" w:rsidP="004A3DCA" w:rsidRDefault="004A3DCA" w14:paraId="12BF8CCA" w14:textId="77777777"/>
        </w:tc>
        <w:tc>
          <w:tcPr>
            <w:tcW w:w="1888" w:type="pct"/>
            <w:vAlign w:val="center"/>
          </w:tcPr>
          <w:p w:rsidRPr="00670B5E" w:rsidR="004A3DCA" w:rsidP="004A3DCA" w:rsidRDefault="004A3DCA" w14:paraId="5988CFC3" w14:textId="77777777">
            <w:r w:rsidRPr="00670B5E">
              <w:t>Yes</w:t>
            </w:r>
          </w:p>
        </w:tc>
        <w:tc>
          <w:tcPr>
            <w:tcW w:w="567" w:type="pct"/>
            <w:vAlign w:val="center"/>
          </w:tcPr>
          <w:p w:rsidRPr="00670B5E" w:rsidR="004A3DCA" w:rsidP="004A3DCA" w:rsidRDefault="004A3DCA" w14:paraId="70975663" w14:textId="77777777"/>
        </w:tc>
        <w:tc>
          <w:tcPr>
            <w:tcW w:w="2120" w:type="pct"/>
            <w:vAlign w:val="center"/>
          </w:tcPr>
          <w:p w:rsidRPr="00670B5E" w:rsidR="004A3DCA" w:rsidP="004A3DCA" w:rsidRDefault="004A3DCA" w14:paraId="78D9F90A" w14:textId="77777777">
            <w:r w:rsidRPr="00670B5E">
              <w:t>RECORD AND CONTINUE TO Q10d</w:t>
            </w:r>
          </w:p>
        </w:tc>
      </w:tr>
      <w:tr w:rsidRPr="00670B5E" w:rsidR="004A3DCA" w14:paraId="2B8B32AE" w14:textId="77777777">
        <w:trPr>
          <w:trHeight w:val="21"/>
        </w:trPr>
        <w:tc>
          <w:tcPr>
            <w:tcW w:w="425" w:type="pct"/>
          </w:tcPr>
          <w:p w:rsidRPr="00670B5E" w:rsidR="004A3DCA" w:rsidP="004A3DCA" w:rsidRDefault="004A3DCA" w14:paraId="2D78452A" w14:textId="77777777"/>
        </w:tc>
        <w:tc>
          <w:tcPr>
            <w:tcW w:w="1888" w:type="pct"/>
            <w:shd w:val="clear" w:color="auto" w:fill="BFBFBF" w:themeFill="background1" w:themeFillShade="BF"/>
            <w:vAlign w:val="center"/>
          </w:tcPr>
          <w:p w:rsidRPr="00670B5E" w:rsidR="004A3DCA" w:rsidP="004A3DCA" w:rsidRDefault="004A3DCA" w14:paraId="7A0218CC" w14:textId="77777777">
            <w:r w:rsidRPr="00670B5E">
              <w:t>No</w:t>
            </w:r>
          </w:p>
        </w:tc>
        <w:tc>
          <w:tcPr>
            <w:tcW w:w="567" w:type="pct"/>
            <w:shd w:val="clear" w:color="auto" w:fill="BFBFBF" w:themeFill="background1" w:themeFillShade="BF"/>
            <w:vAlign w:val="center"/>
          </w:tcPr>
          <w:p w:rsidRPr="00670B5E" w:rsidR="004A3DCA" w:rsidP="004A3DCA" w:rsidRDefault="004A3DCA" w14:paraId="3D7E4152" w14:textId="77777777"/>
        </w:tc>
        <w:tc>
          <w:tcPr>
            <w:tcW w:w="2120" w:type="pct"/>
            <w:shd w:val="clear" w:color="auto" w:fill="BFBFBF" w:themeFill="background1" w:themeFillShade="BF"/>
            <w:vAlign w:val="center"/>
          </w:tcPr>
          <w:p w:rsidRPr="00670B5E" w:rsidR="004A3DCA" w:rsidP="004A3DCA" w:rsidRDefault="004A3DCA" w14:paraId="2F9CC054" w14:textId="77777777">
            <w:r w:rsidRPr="00670B5E">
              <w:t>RECORD AND CONTINUE TO Q11</w:t>
            </w:r>
          </w:p>
        </w:tc>
      </w:tr>
    </w:tbl>
    <w:p w:rsidRPr="00670B5E" w:rsidR="004A3DCA" w:rsidP="004A3DCA" w:rsidRDefault="004A3DCA" w14:paraId="162400B9"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70"/>
        <w:gridCol w:w="4935"/>
        <w:gridCol w:w="4277"/>
      </w:tblGrid>
      <w:tr w:rsidRPr="00670B5E" w:rsidR="004A3DCA" w14:paraId="21F9874C" w14:textId="77777777">
        <w:trPr>
          <w:trHeight w:val="21"/>
        </w:trPr>
        <w:tc>
          <w:tcPr>
            <w:tcW w:w="431" w:type="pct"/>
          </w:tcPr>
          <w:p w:rsidRPr="00670B5E" w:rsidR="004A3DCA" w:rsidP="004A3DCA" w:rsidRDefault="004A3DCA" w14:paraId="7E3C85EE" w14:textId="77777777">
            <w:r w:rsidRPr="00670B5E">
              <w:t>Q10d.</w:t>
            </w:r>
          </w:p>
        </w:tc>
        <w:tc>
          <w:tcPr>
            <w:tcW w:w="4569" w:type="pct"/>
            <w:gridSpan w:val="2"/>
          </w:tcPr>
          <w:p w:rsidRPr="00670B5E" w:rsidR="004A3DCA" w:rsidP="004A3DCA" w:rsidRDefault="004A3DCA" w14:paraId="72EAFBA9" w14:textId="77777777">
            <w:r w:rsidRPr="00670B5E">
              <w:t>What are the green or energy/water efficiency features of the building? (For example, solar panels, energy efficient appliances, lighting, water usage, heating/cooling features)</w:t>
            </w:r>
          </w:p>
          <w:p w:rsidRPr="00670B5E" w:rsidR="004A3DCA" w:rsidP="004A3DCA" w:rsidRDefault="004A3DCA" w14:paraId="3BC57A81" w14:textId="77777777">
            <w:r w:rsidRPr="00670B5E">
              <w:t>OPEN ENDED QUESTION</w:t>
            </w:r>
          </w:p>
        </w:tc>
      </w:tr>
      <w:tr w:rsidRPr="00670B5E" w:rsidR="004A3DCA" w14:paraId="0BA1B54E" w14:textId="77777777">
        <w:trPr>
          <w:trHeight w:val="21"/>
        </w:trPr>
        <w:tc>
          <w:tcPr>
            <w:tcW w:w="431" w:type="pct"/>
          </w:tcPr>
          <w:p w:rsidRPr="00670B5E" w:rsidR="004A3DCA" w:rsidP="004A3DCA" w:rsidRDefault="004A3DCA" w14:paraId="7CC83FAE" w14:textId="77777777"/>
        </w:tc>
        <w:tc>
          <w:tcPr>
            <w:tcW w:w="2448" w:type="pct"/>
            <w:vAlign w:val="center"/>
          </w:tcPr>
          <w:p w:rsidRPr="00670B5E" w:rsidR="004A3DCA" w:rsidP="004A3DCA" w:rsidRDefault="004A3DCA" w14:paraId="293FE495" w14:textId="77777777">
            <w:r w:rsidRPr="00670B5E">
              <w:t>Write in:</w:t>
            </w:r>
          </w:p>
          <w:p w:rsidRPr="00670B5E" w:rsidR="004A3DCA" w:rsidP="004A3DCA" w:rsidRDefault="004A3DCA" w14:paraId="1330F10A" w14:textId="77777777"/>
        </w:tc>
        <w:tc>
          <w:tcPr>
            <w:tcW w:w="2120" w:type="pct"/>
            <w:vAlign w:val="center"/>
          </w:tcPr>
          <w:p w:rsidRPr="00670B5E" w:rsidR="004A3DCA" w:rsidP="004A3DCA" w:rsidRDefault="004A3DCA" w14:paraId="579BB5FE" w14:textId="77777777">
            <w:r w:rsidRPr="00670B5E">
              <w:t>WRITE IN AND CONTINUE TO Q11</w:t>
            </w:r>
          </w:p>
        </w:tc>
      </w:tr>
    </w:tbl>
    <w:p w:rsidRPr="00670B5E" w:rsidR="004A3DCA" w:rsidP="004A3DCA" w:rsidRDefault="004A3DCA" w14:paraId="55B5379E"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37"/>
        <w:gridCol w:w="9345"/>
      </w:tblGrid>
      <w:tr w:rsidRPr="00670B5E" w:rsidR="004A3DCA" w14:paraId="5ABC168E" w14:textId="77777777">
        <w:tc>
          <w:tcPr>
            <w:tcW w:w="358" w:type="pct"/>
          </w:tcPr>
          <w:p w:rsidRPr="00670B5E" w:rsidR="004A3DCA" w:rsidP="004A3DCA" w:rsidRDefault="004A3DCA" w14:paraId="242390C7" w14:textId="77777777">
            <w:r w:rsidRPr="00670B5E">
              <w:t xml:space="preserve">Q11. </w:t>
            </w:r>
          </w:p>
        </w:tc>
        <w:tc>
          <w:tcPr>
            <w:tcW w:w="4642" w:type="pct"/>
          </w:tcPr>
          <w:p w:rsidRPr="00670B5E" w:rsidR="004A3DCA" w:rsidP="004A3DCA" w:rsidRDefault="004A3DCA" w14:paraId="0375D6BF" w14:textId="77777777">
            <w:r w:rsidRPr="00670B5E">
              <w:t>CHECK ACCESSIBILITY REQUIREMENTS: We would like to make sure that your participation is as comfortable as possible.  Please can I check, do you have any accessibility requirements for participation in the focus group?</w:t>
            </w:r>
          </w:p>
        </w:tc>
      </w:tr>
      <w:tr w:rsidRPr="00670B5E" w:rsidR="004A3DCA" w14:paraId="1889CE0A" w14:textId="77777777">
        <w:tc>
          <w:tcPr>
            <w:tcW w:w="358" w:type="pct"/>
          </w:tcPr>
          <w:p w:rsidRPr="00670B5E" w:rsidR="004A3DCA" w:rsidP="004A3DCA" w:rsidRDefault="004A3DCA" w14:paraId="7CBA3620" w14:textId="77777777"/>
        </w:tc>
        <w:tc>
          <w:tcPr>
            <w:tcW w:w="4642" w:type="pct"/>
          </w:tcPr>
          <w:p w:rsidRPr="00670B5E" w:rsidR="004A3DCA" w:rsidP="004A3DCA" w:rsidRDefault="004A3DCA" w14:paraId="0EBB6316" w14:textId="77777777">
            <w:r w:rsidRPr="00670B5E">
              <w:t>WRITE IN:</w:t>
            </w:r>
          </w:p>
          <w:p w:rsidRPr="00670B5E" w:rsidR="004A3DCA" w:rsidP="004A3DCA" w:rsidRDefault="004A3DCA" w14:paraId="45D50767" w14:textId="77777777"/>
        </w:tc>
      </w:tr>
    </w:tbl>
    <w:p w:rsidRPr="00670B5E" w:rsidR="004A3DCA" w:rsidP="004A3DCA" w:rsidRDefault="004A3DCA" w14:paraId="79B22461"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37"/>
        <w:gridCol w:w="3915"/>
        <w:gridCol w:w="1665"/>
        <w:gridCol w:w="3765"/>
      </w:tblGrid>
      <w:tr w:rsidRPr="00670B5E" w:rsidR="004A3DCA" w14:paraId="371710CE" w14:textId="77777777">
        <w:tc>
          <w:tcPr>
            <w:tcW w:w="341" w:type="pct"/>
          </w:tcPr>
          <w:p w:rsidRPr="00670B5E" w:rsidR="004A3DCA" w:rsidP="004A3DCA" w:rsidRDefault="004A3DCA" w14:paraId="422A99C5" w14:textId="77777777">
            <w:r w:rsidRPr="00670B5E">
              <w:t xml:space="preserve">Q12. </w:t>
            </w:r>
          </w:p>
        </w:tc>
        <w:tc>
          <w:tcPr>
            <w:tcW w:w="4659" w:type="pct"/>
            <w:gridSpan w:val="3"/>
          </w:tcPr>
          <w:p w:rsidRPr="00670B5E" w:rsidR="004A3DCA" w:rsidP="004A3DCA" w:rsidRDefault="004A3DCA" w14:paraId="7759F035" w14:textId="77777777">
            <w:r w:rsidRPr="00670B5E">
              <w:t>Ipsos may contact you again by email or telephone after the research interview has taken place to invite you to take part in follow-up research on this topic. You do not need to say now whether you would take part in this, just whether you would be happy for Ipsos to contact you about it. Are you happy to agree to be re-contacted by Ipsos on this basis?</w:t>
            </w:r>
          </w:p>
          <w:p w:rsidRPr="00670B5E" w:rsidR="004A3DCA" w:rsidP="004A3DCA" w:rsidRDefault="004A3DCA" w14:paraId="506112B2" w14:textId="77777777">
            <w:r w:rsidRPr="00670B5E">
              <w:t>SINGLE CODE ONLY</w:t>
            </w:r>
          </w:p>
        </w:tc>
      </w:tr>
      <w:tr w:rsidRPr="00670B5E" w:rsidR="004A3DCA" w14:paraId="681C040E" w14:textId="77777777">
        <w:tc>
          <w:tcPr>
            <w:tcW w:w="341" w:type="pct"/>
          </w:tcPr>
          <w:p w:rsidRPr="00670B5E" w:rsidR="004A3DCA" w:rsidP="004A3DCA" w:rsidRDefault="004A3DCA" w14:paraId="0AEC7605" w14:textId="77777777"/>
        </w:tc>
        <w:tc>
          <w:tcPr>
            <w:tcW w:w="1950" w:type="pct"/>
          </w:tcPr>
          <w:p w:rsidRPr="00670B5E" w:rsidR="004A3DCA" w:rsidP="004A3DCA" w:rsidRDefault="004A3DCA" w14:paraId="2C7866B9" w14:textId="77777777">
            <w:r w:rsidRPr="00670B5E">
              <w:t>Yes</w:t>
            </w:r>
          </w:p>
        </w:tc>
        <w:tc>
          <w:tcPr>
            <w:tcW w:w="834" w:type="pct"/>
          </w:tcPr>
          <w:p w:rsidRPr="00670B5E" w:rsidR="004A3DCA" w:rsidP="004A3DCA" w:rsidRDefault="004A3DCA" w14:paraId="220996EF" w14:textId="77777777"/>
        </w:tc>
        <w:tc>
          <w:tcPr>
            <w:tcW w:w="1875" w:type="pct"/>
          </w:tcPr>
          <w:p w:rsidRPr="00670B5E" w:rsidR="004A3DCA" w:rsidP="004A3DCA" w:rsidRDefault="004A3DCA" w14:paraId="64F00C7D" w14:textId="77777777">
            <w:r w:rsidRPr="00670B5E">
              <w:t>THANK AND CLOSE</w:t>
            </w:r>
          </w:p>
        </w:tc>
      </w:tr>
      <w:tr w:rsidRPr="00670B5E" w:rsidR="004A3DCA" w14:paraId="7A28E6C5" w14:textId="77777777">
        <w:tc>
          <w:tcPr>
            <w:tcW w:w="341" w:type="pct"/>
          </w:tcPr>
          <w:p w:rsidRPr="00670B5E" w:rsidR="004A3DCA" w:rsidP="004A3DCA" w:rsidRDefault="004A3DCA" w14:paraId="15D47577" w14:textId="77777777"/>
        </w:tc>
        <w:tc>
          <w:tcPr>
            <w:tcW w:w="1950" w:type="pct"/>
            <w:shd w:val="clear" w:color="auto" w:fill="D9D9D9" w:themeFill="background1" w:themeFillShade="D9"/>
          </w:tcPr>
          <w:p w:rsidRPr="00670B5E" w:rsidR="004A3DCA" w:rsidP="004A3DCA" w:rsidRDefault="004A3DCA" w14:paraId="12AB0AAF" w14:textId="77777777">
            <w:r w:rsidRPr="00670B5E">
              <w:t>No</w:t>
            </w:r>
          </w:p>
        </w:tc>
        <w:tc>
          <w:tcPr>
            <w:tcW w:w="834" w:type="pct"/>
            <w:shd w:val="clear" w:color="auto" w:fill="D9D9D9" w:themeFill="background1" w:themeFillShade="D9"/>
          </w:tcPr>
          <w:p w:rsidRPr="00670B5E" w:rsidR="004A3DCA" w:rsidP="004A3DCA" w:rsidRDefault="004A3DCA" w14:paraId="46C594BF" w14:textId="77777777"/>
        </w:tc>
        <w:tc>
          <w:tcPr>
            <w:tcW w:w="1875" w:type="pct"/>
            <w:shd w:val="clear" w:color="auto" w:fill="D9D9D9" w:themeFill="background1" w:themeFillShade="D9"/>
          </w:tcPr>
          <w:p w:rsidRPr="00670B5E" w:rsidR="004A3DCA" w:rsidP="004A3DCA" w:rsidRDefault="004A3DCA" w14:paraId="24E82D91" w14:textId="77777777">
            <w:r w:rsidRPr="00670B5E">
              <w:t>THANK AND CLOSE</w:t>
            </w:r>
          </w:p>
        </w:tc>
      </w:tr>
    </w:tbl>
    <w:p w:rsidRPr="00670B5E" w:rsidR="004A3DCA" w:rsidP="004A3DCA" w:rsidRDefault="004A3DCA" w14:paraId="0E29FE45" w14:textId="77777777"/>
    <w:p w:rsidRPr="00670B5E" w:rsidR="004A3DCA" w:rsidP="004A3DCA" w:rsidRDefault="004A3DCA" w14:paraId="7C0C435A" w14:textId="77777777">
      <w:pPr>
        <w:rPr>
          <w:rStyle w:val="Boldtext"/>
        </w:rPr>
      </w:pPr>
      <w:r w:rsidRPr="00670B5E">
        <w:rPr>
          <w:rStyle w:val="Boldtext"/>
        </w:rPr>
        <w:t>Information needed from developers</w:t>
      </w:r>
    </w:p>
    <w:p w:rsidRPr="00670B5E" w:rsidR="004A3DCA" w:rsidP="004A3DCA" w:rsidRDefault="004A3DCA" w14:paraId="7D80CCED" w14:textId="77777777">
      <w:r w:rsidRPr="00670B5E">
        <w:t>Where the recruitment is made through developers, please collect the following information on the buildings where participants to the focus group live: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1"/>
        <w:gridCol w:w="5321"/>
      </w:tblGrid>
      <w:tr w:rsidRPr="00670B5E" w:rsidR="004A3DCA" w14:paraId="07A59FE4" w14:textId="77777777">
        <w:tc>
          <w:tcPr>
            <w:tcW w:w="2361" w:type="pct"/>
          </w:tcPr>
          <w:p w:rsidRPr="00670B5E" w:rsidR="004A3DCA" w:rsidP="004A3DCA" w:rsidRDefault="004A3DCA" w14:paraId="51429C67" w14:textId="77777777">
            <w:r w:rsidRPr="00670B5E">
              <w:t>Location of the building</w:t>
            </w:r>
          </w:p>
        </w:tc>
        <w:tc>
          <w:tcPr>
            <w:tcW w:w="2639" w:type="pct"/>
          </w:tcPr>
          <w:p w:rsidRPr="00670B5E" w:rsidR="004A3DCA" w:rsidP="004A3DCA" w:rsidRDefault="004A3DCA" w14:paraId="03770273" w14:textId="77777777"/>
        </w:tc>
      </w:tr>
      <w:tr w:rsidRPr="00670B5E" w:rsidR="004A3DCA" w14:paraId="58F42886" w14:textId="77777777">
        <w:tc>
          <w:tcPr>
            <w:tcW w:w="2361" w:type="pct"/>
          </w:tcPr>
          <w:p w:rsidRPr="00670B5E" w:rsidR="004A3DCA" w:rsidP="004A3DCA" w:rsidRDefault="004A3DCA" w14:paraId="77F3A473" w14:textId="77777777">
            <w:r w:rsidRPr="00670B5E">
              <w:t>Type of building (apartments, single family houses, etc)</w:t>
            </w:r>
          </w:p>
        </w:tc>
        <w:tc>
          <w:tcPr>
            <w:tcW w:w="2639" w:type="pct"/>
          </w:tcPr>
          <w:p w:rsidRPr="00670B5E" w:rsidR="004A3DCA" w:rsidP="004A3DCA" w:rsidRDefault="004A3DCA" w14:paraId="58F8B993" w14:textId="77777777"/>
        </w:tc>
      </w:tr>
      <w:tr w:rsidRPr="00670B5E" w:rsidR="004A3DCA" w14:paraId="26288C4A" w14:textId="77777777">
        <w:tc>
          <w:tcPr>
            <w:tcW w:w="2361" w:type="pct"/>
          </w:tcPr>
          <w:p w:rsidRPr="00670B5E" w:rsidR="004A3DCA" w:rsidP="004A3DCA" w:rsidRDefault="004A3DCA" w14:paraId="29C37AA4" w14:textId="77777777">
            <w:r w:rsidRPr="00670B5E">
              <w:t>Type of certification (Level 1 EDGE; Level 2 EDGE Advanced, etc.)</w:t>
            </w:r>
          </w:p>
        </w:tc>
        <w:tc>
          <w:tcPr>
            <w:tcW w:w="2639" w:type="pct"/>
          </w:tcPr>
          <w:p w:rsidRPr="00670B5E" w:rsidR="004A3DCA" w:rsidP="004A3DCA" w:rsidRDefault="004A3DCA" w14:paraId="4B44B6E0" w14:textId="77777777"/>
        </w:tc>
      </w:tr>
      <w:tr w:rsidRPr="00670B5E" w:rsidR="004A3DCA" w14:paraId="73B8BA23" w14:textId="77777777">
        <w:tc>
          <w:tcPr>
            <w:tcW w:w="2361" w:type="pct"/>
          </w:tcPr>
          <w:p w:rsidRPr="00670B5E" w:rsidR="004A3DCA" w:rsidP="004A3DCA" w:rsidRDefault="004A3DCA" w14:paraId="7C9AAF59" w14:textId="77777777">
            <w:r w:rsidRPr="00670B5E">
              <w:t>Features of green certified building (e.g. renewable energy, water efficiency features, air quality, temperature control, construction materials)</w:t>
            </w:r>
          </w:p>
        </w:tc>
        <w:tc>
          <w:tcPr>
            <w:tcW w:w="2639" w:type="pct"/>
          </w:tcPr>
          <w:p w:rsidRPr="00670B5E" w:rsidR="004A3DCA" w:rsidP="004A3DCA" w:rsidRDefault="004A3DCA" w14:paraId="5545D993" w14:textId="77777777"/>
        </w:tc>
      </w:tr>
      <w:tr w:rsidRPr="00670B5E" w:rsidR="004A3DCA" w14:paraId="2FC94519" w14:textId="77777777">
        <w:tc>
          <w:tcPr>
            <w:tcW w:w="2361" w:type="pct"/>
          </w:tcPr>
          <w:p w:rsidRPr="00670B5E" w:rsidR="004A3DCA" w:rsidP="004A3DCA" w:rsidRDefault="004A3DCA" w14:paraId="10C9B379" w14:textId="77777777">
            <w:r w:rsidRPr="00670B5E">
              <w:t>Social housing/affordable housing (Y/N)</w:t>
            </w:r>
          </w:p>
        </w:tc>
        <w:tc>
          <w:tcPr>
            <w:tcW w:w="2639" w:type="pct"/>
          </w:tcPr>
          <w:p w:rsidRPr="00670B5E" w:rsidR="004A3DCA" w:rsidP="004A3DCA" w:rsidRDefault="004A3DCA" w14:paraId="24F6EC05" w14:textId="77777777"/>
        </w:tc>
      </w:tr>
    </w:tbl>
    <w:p w:rsidRPr="00670B5E" w:rsidR="004A3DCA" w:rsidP="004A3DCA" w:rsidRDefault="004A3DCA" w14:paraId="576C9C48" w14:textId="77777777"/>
    <w:p w:rsidRPr="00670B5E" w:rsidR="004A3DCA" w:rsidP="004A3DCA" w:rsidRDefault="004A3DCA" w14:paraId="7CB46BF1" w14:textId="77777777">
      <w:pPr>
        <w:rPr>
          <w:rStyle w:val="Boldtext"/>
        </w:rPr>
      </w:pPr>
      <w:r w:rsidRPr="00670B5E">
        <w:rPr>
          <w:rStyle w:val="Boldtext"/>
        </w:rPr>
        <w:t xml:space="preserve">Residents focus group guide </w:t>
      </w:r>
    </w:p>
    <w:p w:rsidRPr="00670B5E" w:rsidR="004A3DCA" w:rsidP="004A3DCA" w:rsidRDefault="004A3DCA" w14:paraId="309DEB12" w14:textId="77777777">
      <w:r w:rsidRPr="00670B5E">
        <w:t xml:space="preserve">This is a guide to the first focus group with residents of buildings that have been certified as green with the IFC Excellence in Design for Greater Efficiencies (EDGE) certification. It is to be completed with a group of residents (property owners or tenants) living in the </w:t>
      </w:r>
      <w:proofErr w:type="gramStart"/>
      <w:r w:rsidRPr="00670B5E">
        <w:t>building, and</w:t>
      </w:r>
      <w:proofErr w:type="gramEnd"/>
      <w:r w:rsidRPr="00670B5E">
        <w:t xml:space="preserve"> will be conducted between July and August 2024. We anticipate that this will take around 1.5 hours in total including introductions. </w:t>
      </w:r>
    </w:p>
    <w:p w:rsidRPr="00670B5E" w:rsidR="004A3DCA" w:rsidP="004A3DCA" w:rsidRDefault="004A3DCA" w14:paraId="354FE862" w14:textId="77777777">
      <w:r w:rsidRPr="00670B5E">
        <w:t>Consent should be gained at the outset, obtained and recorded at the beginning of the session. The session should begin with a brief introduction to the researchers and the evaluation and time for Q&amp;A before going into the questions.</w:t>
      </w:r>
    </w:p>
    <w:p w:rsidRPr="00670B5E" w:rsidR="004A3DCA" w:rsidP="004A3DCA" w:rsidRDefault="00DD3244" w14:paraId="5592BF15" w14:textId="3397F606">
      <w:pPr>
        <w:rPr>
          <w:rStyle w:val="Boldtext"/>
        </w:rPr>
      </w:pPr>
      <w:r w:rsidRPr="00DD3244">
        <w:rPr>
          <w:rStyle w:val="Boldtext"/>
        </w:rPr>
        <w:t xml:space="preserve">Topic </w:t>
      </w:r>
      <w:r w:rsidRPr="00670B5E" w:rsidR="004A3DCA">
        <w:rPr>
          <w:rStyle w:val="Boldtext"/>
        </w:rPr>
        <w:t>guide</w:t>
      </w:r>
    </w:p>
    <w:p w:rsidRPr="00670B5E" w:rsidR="004A3DCA" w:rsidP="004A3DCA" w:rsidRDefault="004A3DCA" w14:paraId="79B96D67" w14:textId="77777777">
      <w:r w:rsidRPr="00670B5E">
        <w:t>Key: Main text or questions to read out; Prompts; Notes to facilitator</w:t>
      </w:r>
    </w:p>
    <w:tbl>
      <w:tblPr>
        <w:tblStyle w:val="TableGrid"/>
        <w:tblW w:w="10343" w:type="dxa"/>
        <w:tblLayout w:type="fixed"/>
        <w:tblLook w:val="04A0" w:firstRow="1" w:lastRow="0" w:firstColumn="1" w:lastColumn="0" w:noHBand="0" w:noVBand="1"/>
      </w:tblPr>
      <w:tblGrid>
        <w:gridCol w:w="7650"/>
        <w:gridCol w:w="2693"/>
      </w:tblGrid>
      <w:tr w:rsidRPr="00670B5E" w:rsidR="004A3DCA" w14:paraId="3627A58C" w14:textId="77777777">
        <w:trPr>
          <w:trHeight w:val="283"/>
        </w:trPr>
        <w:tc>
          <w:tcPr>
            <w:tcW w:w="7650" w:type="dxa"/>
            <w:shd w:val="clear" w:color="auto" w:fill="ACB9CA" w:themeFill="text2" w:themeFillTint="66"/>
          </w:tcPr>
          <w:p w:rsidRPr="00670B5E" w:rsidR="004A3DCA" w:rsidP="004A3DCA" w:rsidRDefault="004A3DCA" w14:paraId="59A71462" w14:textId="77777777">
            <w:r w:rsidRPr="00670B5E">
              <w:t xml:space="preserve">1. Introduction </w:t>
            </w:r>
          </w:p>
        </w:tc>
        <w:tc>
          <w:tcPr>
            <w:tcW w:w="2693" w:type="dxa"/>
            <w:shd w:val="clear" w:color="auto" w:fill="ACB9CA" w:themeFill="text2" w:themeFillTint="66"/>
          </w:tcPr>
          <w:p w:rsidRPr="00670B5E" w:rsidR="004A3DCA" w:rsidP="004A3DCA" w:rsidRDefault="004A3DCA" w14:paraId="79C5D920" w14:textId="77777777">
            <w:r w:rsidRPr="00670B5E">
              <w:t>Timings and notes</w:t>
            </w:r>
          </w:p>
        </w:tc>
      </w:tr>
      <w:tr w:rsidRPr="00670B5E" w:rsidR="004A3DCA" w14:paraId="26824C44" w14:textId="77777777">
        <w:trPr>
          <w:trHeight w:val="557"/>
        </w:trPr>
        <w:tc>
          <w:tcPr>
            <w:tcW w:w="7650" w:type="dxa"/>
          </w:tcPr>
          <w:p w:rsidRPr="004A3DCA" w:rsidR="004A3DCA" w:rsidP="004A3DCA" w:rsidRDefault="004A3DCA" w14:paraId="2A06CEB1" w14:textId="77777777">
            <w:r w:rsidRPr="00670B5E">
              <w:t xml:space="preserve">Researcher to introduce self </w:t>
            </w:r>
            <w:r w:rsidRPr="004A3DCA">
              <w:t>and the project – if haven’t done so already.</w:t>
            </w:r>
          </w:p>
          <w:p w:rsidRPr="004A3DCA" w:rsidR="004A3DCA" w:rsidP="004A3DCA" w:rsidRDefault="004A3DCA" w14:paraId="6234262E" w14:textId="77777777">
            <w:r w:rsidRPr="00670B5E">
              <w:t>Thank you for</w:t>
            </w:r>
            <w:r w:rsidRPr="004A3DCA">
              <w:t xml:space="preserve"> speaking with us today so we can hear your thoughts and views about living in a green certified building. I work for Ipsos, a global research company that specializes in social research and evaluation. This group is part of a research project about green certified buildings. We’re talking to residents like you to understand your experiences of living in a green certified building. This will take about 1.5 hours. </w:t>
            </w:r>
            <w:r w:rsidRPr="004A3DCA">
              <w:br/>
            </w:r>
          </w:p>
          <w:p w:rsidRPr="004A3DCA" w:rsidR="004A3DCA" w:rsidP="004A3DCA" w:rsidRDefault="004A3DCA" w14:paraId="05A9904D" w14:textId="77777777">
            <w:r w:rsidRPr="00670B5E">
              <w:t>Set the tone:</w:t>
            </w:r>
            <w:r w:rsidRPr="004A3DCA">
              <w:t xml:space="preserve"> This is an open, informal discussion. There are no right or wrong answers. We want to hear everyone's opinions and </w:t>
            </w:r>
            <w:r w:rsidRPr="004A3DCA">
              <w:t>experiences. Emphasize that this is a group discussion and encourage participants to build on each other's comments.</w:t>
            </w:r>
          </w:p>
          <w:p w:rsidRPr="004A3DCA" w:rsidR="004A3DCA" w:rsidP="004A3DCA" w:rsidRDefault="004A3DCA" w14:paraId="5511886D" w14:textId="77777777">
            <w:r w:rsidRPr="00670B5E">
              <w:t>Confidentiality:</w:t>
            </w:r>
            <w:r w:rsidRPr="004A3DCA">
              <w:t xml:space="preserve"> Everything you share will be kept confidential and will only be used for this project. We won’t use your name in our reports, and your feedback will be combined with responses from other residents. </w:t>
            </w:r>
          </w:p>
          <w:p w:rsidRPr="004A3DCA" w:rsidR="004A3DCA" w:rsidP="004A3DCA" w:rsidRDefault="004A3DCA" w14:paraId="1CABAF1E" w14:textId="77777777">
            <w:r w:rsidRPr="00670B5E">
              <w:t>Consent:</w:t>
            </w:r>
            <w:r w:rsidRPr="004A3DCA">
              <w:t xml:space="preserve"> We will be talking about your experience of living in this building, and your views about the pros and cons of living here. It’s voluntary and confidential. You can choose to stop at any time or skip any questions you don’t feel comfortable answering. Do you have any questions before we start?</w:t>
            </w:r>
          </w:p>
          <w:p w:rsidRPr="004A3DCA" w:rsidR="004A3DCA" w:rsidP="004A3DCA" w:rsidRDefault="004A3DCA" w14:paraId="0169CC7F" w14:textId="77777777">
            <w:r w:rsidRPr="00670B5E">
              <w:t xml:space="preserve">Reassure the </w:t>
            </w:r>
            <w:r w:rsidRPr="004A3DCA">
              <w:t xml:space="preserve">participants that they don’t have to answer anything if they don’t want to, and they do not need to give a reason why. No right or wrong answers. </w:t>
            </w:r>
          </w:p>
          <w:p w:rsidRPr="004A3DCA" w:rsidR="004A3DCA" w:rsidP="004A3DCA" w:rsidRDefault="004A3DCA" w14:paraId="52D6D943" w14:textId="77777777">
            <w:r w:rsidRPr="00670B5E">
              <w:t xml:space="preserve">With your permission, we will record the discussion to make sure we capture everything accurately. </w:t>
            </w:r>
            <w:r w:rsidRPr="004A3DCA">
              <w:t>Get verbal consent and ask permission to record if you feel it is appropriate - don’t feel you should if the participants may not be comfortable. If participants do not consent to recording, please take detailed notes.</w:t>
            </w:r>
          </w:p>
        </w:tc>
        <w:tc>
          <w:tcPr>
            <w:tcW w:w="2693" w:type="dxa"/>
          </w:tcPr>
          <w:p w:rsidRPr="00670B5E" w:rsidR="004A3DCA" w:rsidP="004A3DCA" w:rsidRDefault="004A3DCA" w14:paraId="1759B0DE" w14:textId="77777777">
            <w:r w:rsidRPr="00670B5E">
              <w:t xml:space="preserve">10 minutes </w:t>
            </w:r>
          </w:p>
          <w:p w:rsidRPr="00670B5E" w:rsidR="004A3DCA" w:rsidP="004A3DCA" w:rsidRDefault="004A3DCA" w14:paraId="66E2E533" w14:textId="77777777">
            <w:r w:rsidRPr="00670B5E">
              <w:t>Researchers will need to introduce themselves and fully explain the research process. Take care to check that participants understand fully what you are explaining to them.</w:t>
            </w:r>
          </w:p>
          <w:p w:rsidRPr="00670B5E" w:rsidR="004A3DCA" w:rsidP="004A3DCA" w:rsidRDefault="004A3DCA" w14:paraId="297FCA58" w14:textId="77777777">
            <w:r w:rsidRPr="00670B5E">
              <w:t xml:space="preserve">Obtain verbal consent and record this on the </w:t>
            </w:r>
            <w:r w:rsidRPr="00670B5E">
              <w:t>sign-in sheet and get permission to record.</w:t>
            </w:r>
          </w:p>
        </w:tc>
      </w:tr>
      <w:tr w:rsidRPr="00670B5E" w:rsidR="004A3DCA" w14:paraId="1E102948" w14:textId="77777777">
        <w:trPr>
          <w:trHeight w:val="340"/>
        </w:trPr>
        <w:tc>
          <w:tcPr>
            <w:tcW w:w="7650" w:type="dxa"/>
            <w:shd w:val="clear" w:color="auto" w:fill="ACB9CA" w:themeFill="text2" w:themeFillTint="66"/>
            <w:vAlign w:val="center"/>
          </w:tcPr>
          <w:p w:rsidRPr="00670B5E" w:rsidR="004A3DCA" w:rsidP="004A3DCA" w:rsidRDefault="004A3DCA" w14:paraId="6FB48C51" w14:textId="77777777">
            <w:r w:rsidRPr="00670B5E">
              <w:t xml:space="preserve">1. Warm-up questions </w:t>
            </w:r>
          </w:p>
        </w:tc>
        <w:tc>
          <w:tcPr>
            <w:tcW w:w="2693" w:type="dxa"/>
            <w:shd w:val="clear" w:color="auto" w:fill="ACB9CA" w:themeFill="text2" w:themeFillTint="66"/>
            <w:vAlign w:val="center"/>
          </w:tcPr>
          <w:p w:rsidRPr="00670B5E" w:rsidR="004A3DCA" w:rsidP="004A3DCA" w:rsidRDefault="004A3DCA" w14:paraId="7C77E16E" w14:textId="77777777"/>
        </w:tc>
      </w:tr>
      <w:tr w:rsidRPr="00670B5E" w:rsidR="004A3DCA" w14:paraId="01440F0D" w14:textId="77777777">
        <w:trPr>
          <w:trHeight w:val="1125"/>
        </w:trPr>
        <w:tc>
          <w:tcPr>
            <w:tcW w:w="7650" w:type="dxa"/>
          </w:tcPr>
          <w:p w:rsidRPr="00670B5E" w:rsidR="004A3DCA" w:rsidP="004A3DCA" w:rsidRDefault="004A3DCA" w14:paraId="6D0C6D6B" w14:textId="77777777">
            <w:r w:rsidRPr="00670B5E">
              <w:t>Introductions</w:t>
            </w:r>
          </w:p>
          <w:p w:rsidRPr="00670B5E" w:rsidR="004A3DCA" w:rsidP="004A3DCA" w:rsidRDefault="004A3DCA" w14:paraId="10CE9FE7" w14:textId="77777777">
            <w:r w:rsidRPr="00670B5E">
              <w:t>Let's start with a brief introduction. Please tell us your name, how long you've been living in this building, and one thing you like about your local area. After you share, please pass it on to someone else in the group.</w:t>
            </w:r>
            <w:r w:rsidRPr="00670B5E">
              <w:br/>
            </w:r>
          </w:p>
          <w:p w:rsidRPr="00670B5E" w:rsidR="004A3DCA" w:rsidP="004A3DCA" w:rsidRDefault="004A3DCA" w14:paraId="61D92879" w14:textId="77777777">
            <w:r w:rsidRPr="00670B5E">
              <w:t>Note to facilitator: option to split the group into pairs for introductions. In pairs, find out the other person’s first name, one thing they like about the area, one thing that could be better, then come to introduce that person to the group.</w:t>
            </w:r>
          </w:p>
        </w:tc>
        <w:tc>
          <w:tcPr>
            <w:tcW w:w="2693" w:type="dxa"/>
          </w:tcPr>
          <w:p w:rsidRPr="00670B5E" w:rsidR="004A3DCA" w:rsidP="004A3DCA" w:rsidRDefault="004A3DCA" w14:paraId="62F295B4" w14:textId="77777777">
            <w:r w:rsidRPr="00670B5E">
              <w:t>10 minutes</w:t>
            </w:r>
          </w:p>
          <w:p w:rsidRPr="00670B5E" w:rsidR="004A3DCA" w:rsidP="004A3DCA" w:rsidRDefault="004A3DCA" w14:paraId="0F65FBE0" w14:textId="77777777">
            <w:r w:rsidRPr="00670B5E">
              <w:t xml:space="preserve">In this section, try to build a rapport with the group and ask them about their lives and interests. </w:t>
            </w:r>
          </w:p>
          <w:p w:rsidRPr="00670B5E" w:rsidR="004A3DCA" w:rsidP="004A3DCA" w:rsidRDefault="004A3DCA" w14:paraId="567C7FEA" w14:textId="77777777"/>
        </w:tc>
      </w:tr>
      <w:tr w:rsidRPr="00670B5E" w:rsidR="004A3DCA" w14:paraId="51F31795" w14:textId="77777777">
        <w:trPr>
          <w:trHeight w:val="395"/>
        </w:trPr>
        <w:tc>
          <w:tcPr>
            <w:tcW w:w="7650" w:type="dxa"/>
            <w:shd w:val="clear" w:color="auto" w:fill="ACB9CA" w:themeFill="text2" w:themeFillTint="66"/>
            <w:vAlign w:val="center"/>
          </w:tcPr>
          <w:p w:rsidRPr="00670B5E" w:rsidR="004A3DCA" w:rsidP="004A3DCA" w:rsidRDefault="004A3DCA" w14:paraId="2B020D70" w14:textId="77777777">
            <w:r w:rsidRPr="00670B5E">
              <w:t>2. Living in a green building – benefits and drawbacks</w:t>
            </w:r>
          </w:p>
        </w:tc>
        <w:tc>
          <w:tcPr>
            <w:tcW w:w="2693" w:type="dxa"/>
            <w:shd w:val="clear" w:color="auto" w:fill="ACB9CA" w:themeFill="text2" w:themeFillTint="66"/>
          </w:tcPr>
          <w:p w:rsidRPr="00670B5E" w:rsidR="004A3DCA" w:rsidP="004A3DCA" w:rsidRDefault="004A3DCA" w14:paraId="08CA3F82" w14:textId="77777777"/>
        </w:tc>
      </w:tr>
      <w:tr w:rsidRPr="00670B5E" w:rsidR="004A3DCA" w14:paraId="3C31FEF9" w14:textId="77777777">
        <w:trPr>
          <w:trHeight w:val="395"/>
        </w:trPr>
        <w:tc>
          <w:tcPr>
            <w:tcW w:w="7650" w:type="dxa"/>
            <w:vAlign w:val="center"/>
          </w:tcPr>
          <w:p w:rsidRPr="00670B5E" w:rsidR="004A3DCA" w:rsidP="004A3DCA" w:rsidRDefault="004A3DCA" w14:paraId="75DC9DE8" w14:textId="77777777">
            <w:r w:rsidRPr="00670B5E">
              <w:t>In this first session, we are going to discuss more about your home – well, the building you live in – and what you like and dislike about it.</w:t>
            </w:r>
          </w:p>
          <w:p w:rsidRPr="00670B5E" w:rsidR="004A3DCA" w:rsidP="004A3DCA" w:rsidRDefault="004A3DCA" w14:paraId="2BA2CFA8" w14:textId="77777777">
            <w:r w:rsidRPr="00670B5E">
              <w:t xml:space="preserve">Note to facilitator: if the group is large and/or to encourage quieter people to speak, consider breaking participants into pairs or small groups to discuss questions in sections 2 and 3 before sharing with </w:t>
            </w:r>
            <w:r w:rsidRPr="00670B5E">
              <w:t>the larger group. This can make quieter participants more comfortable speaking up.</w:t>
            </w:r>
          </w:p>
          <w:p w:rsidRPr="00670B5E" w:rsidR="004A3DCA" w:rsidP="004A3DCA" w:rsidRDefault="004A3DCA" w14:paraId="20053BF8" w14:textId="77777777">
            <w:r w:rsidRPr="00670B5E">
              <w:t>2A. Main question: What do you like the most about the property you live in? What could be better? Discuss as whole group or in smaller groups.</w:t>
            </w:r>
          </w:p>
          <w:p w:rsidRPr="00670B5E" w:rsidR="004A3DCA" w:rsidP="004A3DCA" w:rsidRDefault="004A3DCA" w14:paraId="03DA6E11" w14:textId="77777777">
            <w:r w:rsidRPr="00670B5E">
              <w:t xml:space="preserve">2B. Word association exercise: What do you think about when you hear the term “green building”? What is a green building? What makes it green? Encourage people in the group to list things that come to mind and note them down (on paper or flipchart). If needed read out what came out from the brainstorming. </w:t>
            </w:r>
          </w:p>
          <w:p w:rsidRPr="00670B5E" w:rsidR="004A3DCA" w:rsidP="004A3DCA" w:rsidRDefault="004A3DCA" w14:paraId="6DBD34E6" w14:textId="77777777">
            <w:r w:rsidRPr="00670B5E">
              <w:t>2C. Main question: What do you think is the best thing about living in a green building? What are some of the positive things about it compared to a building that might not be classified as ‘green’? Note for facilitator: some people might know that they live in a green certified building. It is important to make the conversation inclusive for everyone regardless of their knowledge of green buildings – prompts can help ask more general questions about the building.</w:t>
            </w:r>
          </w:p>
          <w:p w:rsidRPr="00670B5E" w:rsidR="004A3DCA" w:rsidP="004A3DCA" w:rsidRDefault="004A3DCA" w14:paraId="0EA35AA3" w14:textId="77777777">
            <w:r w:rsidRPr="00670B5E">
              <w:t>SPONTANEOUS ANSWERS, THEN PROMPT</w:t>
            </w:r>
          </w:p>
          <w:p w:rsidRPr="00670B5E" w:rsidR="004A3DCA" w:rsidP="004A3DCA" w:rsidRDefault="004A3DCA" w14:paraId="2BD8D517" w14:textId="77777777">
            <w:r w:rsidRPr="00670B5E">
              <w:t>Do you think being in a green building brings any changes to how much you spend on utilities – i.e. energy, water?</w:t>
            </w:r>
          </w:p>
          <w:p w:rsidRPr="00670B5E" w:rsidR="004A3DCA" w:rsidP="004A3DCA" w:rsidRDefault="004A3DCA" w14:paraId="38739DD6" w14:textId="77777777">
            <w:r w:rsidRPr="00670B5E">
              <w:t>Has it changed at all how you use water and energy compared to before you lived there?</w:t>
            </w:r>
          </w:p>
          <w:p w:rsidRPr="00670B5E" w:rsidR="004A3DCA" w:rsidP="004A3DCA" w:rsidRDefault="004A3DCA" w14:paraId="467AE359" w14:textId="77777777">
            <w:r w:rsidRPr="00670B5E">
              <w:t>What do you think about the temperature of the house?</w:t>
            </w:r>
          </w:p>
          <w:p w:rsidRPr="00670B5E" w:rsidR="004A3DCA" w:rsidP="004A3DCA" w:rsidRDefault="004A3DCA" w14:paraId="7370A78B" w14:textId="77777777">
            <w:r w:rsidRPr="00670B5E">
              <w:t>What do you think about the air in your house?</w:t>
            </w:r>
          </w:p>
          <w:p w:rsidRPr="00670B5E" w:rsidR="004A3DCA" w:rsidP="004A3DCA" w:rsidRDefault="004A3DCA" w14:paraId="43D87402" w14:textId="77777777">
            <w:r w:rsidRPr="00670B5E">
              <w:t>What do you think about how it looks – the ‘aesthetics’</w:t>
            </w:r>
          </w:p>
          <w:p w:rsidRPr="00670B5E" w:rsidR="004A3DCA" w:rsidP="004A3DCA" w:rsidRDefault="004A3DCA" w14:paraId="61E75BF2" w14:textId="77777777">
            <w:r w:rsidRPr="00670B5E">
              <w:t>How about the cost of maintenance - have you seen any difference there?</w:t>
            </w:r>
          </w:p>
          <w:p w:rsidRPr="00670B5E" w:rsidR="004A3DCA" w:rsidP="004A3DCA" w:rsidRDefault="004A3DCA" w14:paraId="03BF5059" w14:textId="77777777">
            <w:r w:rsidRPr="00670B5E">
              <w:t xml:space="preserve">And on property value – have any of you had your building priced since moving in? </w:t>
            </w:r>
          </w:p>
          <w:p w:rsidRPr="00670B5E" w:rsidR="004A3DCA" w:rsidP="004A3DCA" w:rsidRDefault="004A3DCA" w14:paraId="5D7A1C5B" w14:textId="77777777">
            <w:r w:rsidRPr="00670B5E">
              <w:t>What about the wider local area and for the environment – what difference do you think your building has made there, if anything [further prompt – what about property prices in general in the area, the aesthetics of the local area]</w:t>
            </w:r>
          </w:p>
          <w:p w:rsidRPr="00670B5E" w:rsidR="004A3DCA" w:rsidP="004A3DCA" w:rsidRDefault="004A3DCA" w14:paraId="309EA77A" w14:textId="77777777">
            <w:r w:rsidRPr="00670B5E">
              <w:t>Once some benefits have been listed, ask: Which of the benefits we discussed are most important for you?</w:t>
            </w:r>
          </w:p>
          <w:p w:rsidRPr="00670B5E" w:rsidR="004A3DCA" w:rsidP="004A3DCA" w:rsidRDefault="004A3DCA" w14:paraId="518BB3AF" w14:textId="77777777">
            <w:r w:rsidRPr="00670B5E">
              <w:t xml:space="preserve">To encourage discussion (if needed at different points): </w:t>
            </w:r>
          </w:p>
          <w:p w:rsidRPr="00670B5E" w:rsidR="004A3DCA" w:rsidP="004A3DCA" w:rsidRDefault="004A3DCA" w14:paraId="77791B89" w14:textId="77777777">
            <w:r w:rsidRPr="00670B5E">
              <w:t xml:space="preserve">Can you give me some examples to help us visualise what you’re saying? </w:t>
            </w:r>
          </w:p>
          <w:p w:rsidRPr="00670B5E" w:rsidR="004A3DCA" w:rsidP="004A3DCA" w:rsidRDefault="004A3DCA" w14:paraId="7C22443D" w14:textId="77777777">
            <w:r w:rsidRPr="00670B5E">
              <w:t>Can someone else in the group share if they have noticed similar benefits?</w:t>
            </w:r>
          </w:p>
          <w:p w:rsidRPr="00670B5E" w:rsidR="004A3DCA" w:rsidP="004A3DCA" w:rsidRDefault="004A3DCA" w14:paraId="49A0C089" w14:textId="77777777">
            <w:r w:rsidRPr="00670B5E">
              <w:t>How does this building compare to other places you have lived before? Can anyone else share their experiences?</w:t>
            </w:r>
          </w:p>
          <w:p w:rsidRPr="00670B5E" w:rsidR="004A3DCA" w:rsidP="004A3DCA" w:rsidRDefault="004A3DCA" w14:paraId="370722A9" w14:textId="77777777">
            <w:r w:rsidRPr="00670B5E">
              <w:t>2D. Main question: And what do you think are the drawbacks of living in a green building?</w:t>
            </w:r>
          </w:p>
          <w:p w:rsidRPr="00670B5E" w:rsidR="004A3DCA" w:rsidP="004A3DCA" w:rsidRDefault="004A3DCA" w14:paraId="27C96D89" w14:textId="77777777">
            <w:r w:rsidRPr="00670B5E">
              <w:t xml:space="preserve">SPONTANEOUS ANSWERS, THEN PROMPTS: these will depend upon what has been said in the previous sub-session, but explore similar themes / outcome areas, plus: </w:t>
            </w:r>
          </w:p>
          <w:p w:rsidRPr="00670B5E" w:rsidR="004A3DCA" w:rsidP="004A3DCA" w:rsidRDefault="004A3DCA" w14:paraId="757BE6D3" w14:textId="77777777">
            <w:r w:rsidRPr="00670B5E">
              <w:t>Have you felt able to use all appliances and equipment?</w:t>
            </w:r>
          </w:p>
          <w:p w:rsidRPr="00670B5E" w:rsidR="004A3DCA" w:rsidP="004A3DCA" w:rsidRDefault="004A3DCA" w14:paraId="2D53267D" w14:textId="77777777">
            <w:r w:rsidRPr="00670B5E">
              <w:t>Have you had any issues with appliances not working properly or difficulty controlling the temperature?</w:t>
            </w:r>
          </w:p>
          <w:p w:rsidRPr="00670B5E" w:rsidR="004A3DCA" w:rsidP="004A3DCA" w:rsidRDefault="004A3DCA" w14:paraId="69F84A5F" w14:textId="77777777">
            <w:r w:rsidRPr="00670B5E">
              <w:t>Are there any appliances that you have replaced? Or that you would like to replace?</w:t>
            </w:r>
          </w:p>
          <w:p w:rsidRPr="00670B5E" w:rsidR="004A3DCA" w:rsidP="004A3DCA" w:rsidRDefault="004A3DCA" w14:paraId="754A0ADB" w14:textId="77777777">
            <w:r w:rsidRPr="00670B5E">
              <w:t>Once some disadvantages/drawbacks have been listed, ask: Which of these are most challenging/problematic for you?</w:t>
            </w:r>
          </w:p>
          <w:p w:rsidRPr="00670B5E" w:rsidR="004A3DCA" w:rsidP="004A3DCA" w:rsidRDefault="004A3DCA" w14:paraId="348F666D" w14:textId="77777777">
            <w:r w:rsidRPr="00670B5E">
              <w:t xml:space="preserve">To encourage discussion: </w:t>
            </w:r>
          </w:p>
          <w:p w:rsidRPr="00670B5E" w:rsidR="004A3DCA" w:rsidP="004A3DCA" w:rsidRDefault="004A3DCA" w14:paraId="7C59289A" w14:textId="77777777">
            <w:r w:rsidRPr="00670B5E">
              <w:t>Are there any aspects that you find challenging or inconvenient?</w:t>
            </w:r>
          </w:p>
          <w:p w:rsidRPr="00670B5E" w:rsidR="004A3DCA" w:rsidP="004A3DCA" w:rsidRDefault="004A3DCA" w14:paraId="0377A751" w14:textId="77777777">
            <w:r w:rsidRPr="00670B5E">
              <w:t xml:space="preserve">What would you change or improve if you could? </w:t>
            </w:r>
          </w:p>
          <w:p w:rsidRPr="00670B5E" w:rsidR="004A3DCA" w:rsidP="004A3DCA" w:rsidRDefault="004A3DCA" w14:paraId="205A7C36" w14:textId="77777777">
            <w:r w:rsidRPr="00670B5E">
              <w:t xml:space="preserve">Has anyone else in the group faced similar challenges? </w:t>
            </w:r>
          </w:p>
          <w:p w:rsidRPr="00670B5E" w:rsidR="004A3DCA" w:rsidP="004A3DCA" w:rsidRDefault="004A3DCA" w14:paraId="4A5BD66B" w14:textId="77777777">
            <w:r w:rsidRPr="00670B5E">
              <w:t>Has anyone else found a solution?</w:t>
            </w:r>
          </w:p>
        </w:tc>
        <w:tc>
          <w:tcPr>
            <w:tcW w:w="2693" w:type="dxa"/>
          </w:tcPr>
          <w:p w:rsidRPr="00670B5E" w:rsidR="004A3DCA" w:rsidP="004A3DCA" w:rsidRDefault="004A3DCA" w14:paraId="403DA68E" w14:textId="77777777">
            <w:r w:rsidRPr="00670B5E">
              <w:t xml:space="preserve">40 minutes </w:t>
            </w:r>
          </w:p>
          <w:p w:rsidRPr="00670B5E" w:rsidR="004A3DCA" w:rsidP="004A3DCA" w:rsidRDefault="004A3DCA" w14:paraId="182B6DB4" w14:textId="77777777">
            <w:r w:rsidRPr="00670B5E">
              <w:t xml:space="preserve">This section explores what residents think and feel about living in a green building, its </w:t>
            </w:r>
            <w:r w:rsidRPr="00670B5E">
              <w:t>benefits and disadvantages. The initial session allows people to brainstorm what they know about green buildings (we might expect them to say things like: ‘it’s because of the materials it what built with’, ‘it’s because it has solar panels’, ‘it’s because it has a certificate to say it is green’, ‘it is because of the company that built it’). This will help to contextualise any later data they give us, and also to potentially generate a really interesting discussion between attendees – with each triggering ideas in the other – about their perceptions of green buildings and experiences of them. Try to get specific examples about the pros and cons of living in the building and encourage discussion among participants.</w:t>
            </w:r>
          </w:p>
          <w:p w:rsidRPr="00670B5E" w:rsidR="004A3DCA" w:rsidP="004A3DCA" w:rsidRDefault="004A3DCA" w14:paraId="551C5D3E" w14:textId="77777777"/>
        </w:tc>
      </w:tr>
      <w:tr w:rsidRPr="00670B5E" w:rsidR="004A3DCA" w14:paraId="0B4C2612" w14:textId="77777777">
        <w:trPr>
          <w:trHeight w:val="340"/>
        </w:trPr>
        <w:tc>
          <w:tcPr>
            <w:tcW w:w="7650" w:type="dxa"/>
            <w:shd w:val="clear" w:color="auto" w:fill="ACB9CA" w:themeFill="text2" w:themeFillTint="66"/>
            <w:vAlign w:val="center"/>
          </w:tcPr>
          <w:p w:rsidRPr="00670B5E" w:rsidR="004A3DCA" w:rsidP="004A3DCA" w:rsidRDefault="004A3DCA" w14:paraId="650F5C10" w14:textId="77777777">
            <w:r w:rsidRPr="00670B5E">
              <w:t>3. Implications for gender equality, disabilities, and social inclusion</w:t>
            </w:r>
          </w:p>
        </w:tc>
        <w:tc>
          <w:tcPr>
            <w:tcW w:w="2693" w:type="dxa"/>
            <w:shd w:val="clear" w:color="auto" w:fill="ACB9CA" w:themeFill="text2" w:themeFillTint="66"/>
            <w:vAlign w:val="center"/>
          </w:tcPr>
          <w:p w:rsidRPr="00670B5E" w:rsidR="004A3DCA" w:rsidP="004A3DCA" w:rsidRDefault="004A3DCA" w14:paraId="194BC834" w14:textId="77777777"/>
        </w:tc>
      </w:tr>
      <w:tr w:rsidRPr="00670B5E" w:rsidR="004A3DCA" w14:paraId="344C4681" w14:textId="77777777">
        <w:trPr>
          <w:trHeight w:val="340"/>
        </w:trPr>
        <w:tc>
          <w:tcPr>
            <w:tcW w:w="7650" w:type="dxa"/>
            <w:vAlign w:val="center"/>
          </w:tcPr>
          <w:p w:rsidRPr="00670B5E" w:rsidR="004A3DCA" w:rsidP="004A3DCA" w:rsidRDefault="004A3DCA" w14:paraId="035D3657" w14:textId="77777777">
            <w:r w:rsidRPr="00670B5E">
              <w:t xml:space="preserve">Let’s discuss how living in this building affects different aspects of your life and the community. </w:t>
            </w:r>
          </w:p>
          <w:p w:rsidRPr="00670B5E" w:rsidR="004A3DCA" w:rsidP="004A3DCA" w:rsidRDefault="004A3DCA" w14:paraId="29FA6B1E" w14:textId="77777777">
            <w:r w:rsidRPr="00670B5E">
              <w:t>3A. Projective exercise: In groups, imagine that you had to tell someone else about living in your building. What would you tell them about:</w:t>
            </w:r>
          </w:p>
          <w:p w:rsidRPr="00670B5E" w:rsidR="004A3DCA" w:rsidP="004A3DCA" w:rsidRDefault="004A3DCA" w14:paraId="06EC2AA1" w14:textId="77777777">
            <w:r w:rsidRPr="00670B5E">
              <w:t>The location and neighbourhood of this building</w:t>
            </w:r>
          </w:p>
          <w:p w:rsidRPr="00670B5E" w:rsidR="004A3DCA" w:rsidP="004A3DCA" w:rsidRDefault="004A3DCA" w14:paraId="2D2C15F7" w14:textId="77777777">
            <w:r w:rsidRPr="00670B5E">
              <w:t>PROMPT: Is it convenient for work, shopping, schools, etc.? Do you feel it is a safe area? Can you give examples of how the location affects your daily life?</w:t>
            </w:r>
          </w:p>
          <w:p w:rsidRPr="00670B5E" w:rsidR="004A3DCA" w:rsidP="004A3DCA" w:rsidRDefault="004A3DCA" w14:paraId="0F537668" w14:textId="77777777">
            <w:r w:rsidRPr="00670B5E">
              <w:t>The cost of living here (if relevant, compared to other places where you have lived before)</w:t>
            </w:r>
          </w:p>
          <w:p w:rsidRPr="00670B5E" w:rsidR="004A3DCA" w:rsidP="004A3DCA" w:rsidRDefault="004A3DCA" w14:paraId="0FF226D0" w14:textId="77777777">
            <w:r w:rsidRPr="00670B5E">
              <w:t xml:space="preserve">How accessible is this building for people with disabilities </w:t>
            </w:r>
          </w:p>
          <w:p w:rsidRPr="00670B5E" w:rsidR="004A3DCA" w:rsidP="004A3DCA" w:rsidRDefault="004A3DCA" w14:paraId="57C7A16C" w14:textId="77777777">
            <w:r w:rsidRPr="00670B5E">
              <w:t>PROMPT: Are there ramps, elevators, or other features that make it easier to navigate?</w:t>
            </w:r>
          </w:p>
          <w:p w:rsidRPr="00670B5E" w:rsidR="004A3DCA" w:rsidP="004A3DCA" w:rsidRDefault="004A3DCA" w14:paraId="20889E5A" w14:textId="77777777">
            <w:r w:rsidRPr="00670B5E">
              <w:t>If there is any space in your building that encourages neighbours to interact</w:t>
            </w:r>
          </w:p>
          <w:p w:rsidRPr="00670B5E" w:rsidR="004A3DCA" w:rsidP="004A3DCA" w:rsidRDefault="004A3DCA" w14:paraId="342FAEAC" w14:textId="77777777">
            <w:r w:rsidRPr="00670B5E">
              <w:t>PROMPT: Are there communal spaces where residents spend time together?</w:t>
            </w:r>
          </w:p>
          <w:p w:rsidRPr="00670B5E" w:rsidR="004A3DCA" w:rsidP="004A3DCA" w:rsidRDefault="004A3DCA" w14:paraId="244CDD5E" w14:textId="77777777">
            <w:r w:rsidRPr="00670B5E">
              <w:t>Note to facilitators: option to split into two groups and each discuss a different topic, then come together to exchange what was discussed.</w:t>
            </w:r>
          </w:p>
          <w:p w:rsidRPr="00670B5E" w:rsidR="004A3DCA" w:rsidP="004A3DCA" w:rsidRDefault="004A3DCA" w14:paraId="33D533AB" w14:textId="77777777">
            <w:r w:rsidRPr="00670B5E">
              <w:t xml:space="preserve">To encourage discussion: </w:t>
            </w:r>
          </w:p>
          <w:p w:rsidRPr="00670B5E" w:rsidR="004A3DCA" w:rsidP="004A3DCA" w:rsidRDefault="004A3DCA" w14:paraId="152BFCC4" w14:textId="77777777">
            <w:r w:rsidRPr="00670B5E">
              <w:t xml:space="preserve">Can someone share an example of this for their building? </w:t>
            </w:r>
          </w:p>
          <w:p w:rsidRPr="00670B5E" w:rsidR="004A3DCA" w:rsidP="004A3DCA" w:rsidRDefault="004A3DCA" w14:paraId="538CB648" w14:textId="77777777">
            <w:r w:rsidRPr="00670B5E">
              <w:t>Do others agree or disagree?</w:t>
            </w:r>
          </w:p>
          <w:p w:rsidRPr="00670B5E" w:rsidR="004A3DCA" w:rsidP="004A3DCA" w:rsidRDefault="004A3DCA" w14:paraId="5839C225" w14:textId="77777777">
            <w:r w:rsidRPr="00670B5E">
              <w:t>Do others have similar/different experiences?</w:t>
            </w:r>
          </w:p>
          <w:p w:rsidRPr="00670B5E" w:rsidR="004A3DCA" w:rsidP="004A3DCA" w:rsidRDefault="004A3DCA" w14:paraId="3AD9E50D" w14:textId="77777777">
            <w:r w:rsidRPr="00670B5E">
              <w:t>3B. Main question: What 3 things would you tell someone that might encourage them to live in a green building? What 3 thinks would you warn them about?</w:t>
            </w:r>
          </w:p>
        </w:tc>
        <w:tc>
          <w:tcPr>
            <w:tcW w:w="2693" w:type="dxa"/>
            <w:vAlign w:val="center"/>
          </w:tcPr>
          <w:p w:rsidRPr="00670B5E" w:rsidR="004A3DCA" w:rsidP="004A3DCA" w:rsidRDefault="004A3DCA" w14:paraId="5434F4DE" w14:textId="77777777">
            <w:r w:rsidRPr="00670B5E">
              <w:t>25 minutes</w:t>
            </w:r>
          </w:p>
          <w:p w:rsidRPr="00670B5E" w:rsidR="004A3DCA" w:rsidP="004A3DCA" w:rsidRDefault="004A3DCA" w14:paraId="0EA2DDFD" w14:textId="77777777">
            <w:r w:rsidRPr="00670B5E">
              <w:t xml:space="preserve">In this section, participants should discuss wider aspects </w:t>
            </w:r>
            <w:r w:rsidRPr="00670B5E">
              <w:t>of living in the area, to understand the implications of living in a green building for social inclusion, gender equality, and disabilities.</w:t>
            </w:r>
          </w:p>
          <w:p w:rsidRPr="00670B5E" w:rsidR="004A3DCA" w:rsidP="004A3DCA" w:rsidRDefault="004A3DCA" w14:paraId="192AF79F" w14:textId="77777777"/>
          <w:p w:rsidRPr="00670B5E" w:rsidR="004A3DCA" w:rsidP="004A3DCA" w:rsidRDefault="004A3DCA" w14:paraId="206A57E5" w14:textId="77777777"/>
          <w:p w:rsidRPr="00670B5E" w:rsidR="004A3DCA" w:rsidP="004A3DCA" w:rsidRDefault="004A3DCA" w14:paraId="2ABAAA75" w14:textId="77777777"/>
          <w:p w:rsidRPr="00670B5E" w:rsidR="004A3DCA" w:rsidP="004A3DCA" w:rsidRDefault="004A3DCA" w14:paraId="562A222B" w14:textId="77777777"/>
          <w:p w:rsidRPr="00670B5E" w:rsidR="004A3DCA" w:rsidP="004A3DCA" w:rsidRDefault="004A3DCA" w14:paraId="296DB965" w14:textId="77777777"/>
          <w:p w:rsidRPr="00670B5E" w:rsidR="004A3DCA" w:rsidP="004A3DCA" w:rsidRDefault="004A3DCA" w14:paraId="716E0F23" w14:textId="77777777"/>
          <w:p w:rsidRPr="00670B5E" w:rsidR="004A3DCA" w:rsidP="004A3DCA" w:rsidRDefault="004A3DCA" w14:paraId="26479B71" w14:textId="77777777"/>
          <w:p w:rsidRPr="00670B5E" w:rsidR="004A3DCA" w:rsidP="004A3DCA" w:rsidRDefault="004A3DCA" w14:paraId="2422FCEB" w14:textId="77777777"/>
          <w:p w:rsidRPr="00670B5E" w:rsidR="004A3DCA" w:rsidP="004A3DCA" w:rsidRDefault="004A3DCA" w14:paraId="6D4D860E" w14:textId="77777777"/>
          <w:p w:rsidRPr="00670B5E" w:rsidR="004A3DCA" w:rsidP="004A3DCA" w:rsidRDefault="004A3DCA" w14:paraId="521CBA40" w14:textId="77777777"/>
          <w:p w:rsidRPr="00670B5E" w:rsidR="004A3DCA" w:rsidP="004A3DCA" w:rsidRDefault="004A3DCA" w14:paraId="33220A22" w14:textId="77777777"/>
          <w:p w:rsidRPr="00670B5E" w:rsidR="004A3DCA" w:rsidP="004A3DCA" w:rsidRDefault="004A3DCA" w14:paraId="3BEB8EDF" w14:textId="77777777"/>
          <w:p w:rsidRPr="00670B5E" w:rsidR="004A3DCA" w:rsidP="004A3DCA" w:rsidRDefault="004A3DCA" w14:paraId="56D4D6A7" w14:textId="77777777"/>
          <w:p w:rsidRPr="00670B5E" w:rsidR="004A3DCA" w:rsidP="004A3DCA" w:rsidRDefault="004A3DCA" w14:paraId="3E3BB61C" w14:textId="77777777"/>
          <w:p w:rsidRPr="00670B5E" w:rsidR="004A3DCA" w:rsidP="004A3DCA" w:rsidRDefault="004A3DCA" w14:paraId="13C62A2A" w14:textId="77777777"/>
        </w:tc>
      </w:tr>
      <w:tr w:rsidRPr="00670B5E" w:rsidR="004A3DCA" w14:paraId="17257F0A" w14:textId="77777777">
        <w:trPr>
          <w:trHeight w:val="340"/>
        </w:trPr>
        <w:tc>
          <w:tcPr>
            <w:tcW w:w="7650" w:type="dxa"/>
            <w:shd w:val="clear" w:color="auto" w:fill="ACB9CA" w:themeFill="text2" w:themeFillTint="66"/>
            <w:vAlign w:val="center"/>
          </w:tcPr>
          <w:p w:rsidRPr="00670B5E" w:rsidR="004A3DCA" w:rsidP="004A3DCA" w:rsidRDefault="004A3DCA" w14:paraId="6D399402" w14:textId="77777777">
            <w:r w:rsidRPr="00670B5E">
              <w:t>5. Warm down and close</w:t>
            </w:r>
          </w:p>
        </w:tc>
        <w:tc>
          <w:tcPr>
            <w:tcW w:w="2693" w:type="dxa"/>
            <w:shd w:val="clear" w:color="auto" w:fill="ACB9CA" w:themeFill="text2" w:themeFillTint="66"/>
            <w:vAlign w:val="center"/>
          </w:tcPr>
          <w:p w:rsidRPr="00670B5E" w:rsidR="004A3DCA" w:rsidP="004A3DCA" w:rsidRDefault="004A3DCA" w14:paraId="54F00610" w14:textId="77777777"/>
        </w:tc>
      </w:tr>
      <w:tr w:rsidRPr="00670B5E" w:rsidR="004A3DCA" w14:paraId="52B7BEE7" w14:textId="77777777">
        <w:trPr>
          <w:trHeight w:val="1134"/>
        </w:trPr>
        <w:tc>
          <w:tcPr>
            <w:tcW w:w="7650" w:type="dxa"/>
          </w:tcPr>
          <w:p w:rsidRPr="00670B5E" w:rsidR="004A3DCA" w:rsidP="004A3DCA" w:rsidRDefault="004A3DCA" w14:paraId="14875357" w14:textId="77777777">
            <w:r w:rsidRPr="00670B5E">
              <w:t>Given all the things we’ve discussed, is there anything that we haven’t covered that you feel might be important?</w:t>
            </w:r>
          </w:p>
          <w:p w:rsidRPr="00670B5E" w:rsidR="004A3DCA" w:rsidP="004A3DCA" w:rsidRDefault="004A3DCA" w14:paraId="2694E6A1" w14:textId="77777777">
            <w:r w:rsidRPr="00670B5E">
              <w:t>Thank participants and close interview.</w:t>
            </w:r>
          </w:p>
        </w:tc>
        <w:tc>
          <w:tcPr>
            <w:tcW w:w="2693" w:type="dxa"/>
          </w:tcPr>
          <w:p w:rsidRPr="00670B5E" w:rsidR="004A3DCA" w:rsidP="004A3DCA" w:rsidRDefault="004A3DCA" w14:paraId="396086E8" w14:textId="77777777">
            <w:r w:rsidRPr="00670B5E">
              <w:t>5 mins</w:t>
            </w:r>
          </w:p>
          <w:p w:rsidRPr="00670B5E" w:rsidR="004A3DCA" w:rsidP="004A3DCA" w:rsidRDefault="004A3DCA" w14:paraId="472432A5" w14:textId="77777777">
            <w:r w:rsidRPr="00670B5E">
              <w:t>Close the group and thank them for their time.</w:t>
            </w:r>
          </w:p>
        </w:tc>
      </w:tr>
    </w:tbl>
    <w:p w:rsidRPr="004A3DCA" w:rsidR="004A3DCA" w:rsidP="004A3DCA" w:rsidRDefault="004A3DCA" w14:paraId="6E239163" w14:textId="77777777">
      <w:r>
        <w:br w:type="page"/>
      </w:r>
    </w:p>
    <w:p w:rsidR="004A3DCA" w:rsidP="00EA1E4E" w:rsidRDefault="00EA1E4E" w14:paraId="053AEBD9" w14:textId="391EACEE">
      <w:pPr>
        <w:pStyle w:val="Heading2"/>
      </w:pPr>
      <w:bookmarkStart w:name="_Toc179474018" w:id="162"/>
      <w:bookmarkStart w:name="_Toc181883602" w:id="163"/>
      <w:bookmarkStart w:name="_Toc188870886" w:id="164"/>
      <w:bookmarkStart w:name="_Toc207790225" w:id="165"/>
      <w:r>
        <w:t>Qualitative interviews a</w:t>
      </w:r>
      <w:r w:rsidR="004A3DCA">
        <w:t xml:space="preserve">nalysis </w:t>
      </w:r>
      <w:r w:rsidR="00A4588C">
        <w:t>g</w:t>
      </w:r>
      <w:r w:rsidR="004A3DCA">
        <w:t>rid</w:t>
      </w:r>
      <w:bookmarkEnd w:id="162"/>
      <w:bookmarkEnd w:id="163"/>
      <w:bookmarkEnd w:id="164"/>
      <w:bookmarkEnd w:id="165"/>
      <w:r w:rsidR="004A3DCA">
        <w:t xml:space="preserve"> </w:t>
      </w:r>
    </w:p>
    <w:p w:rsidR="004A3DCA" w:rsidP="00EA1E4E" w:rsidRDefault="004A3DCA" w14:paraId="40768C85" w14:textId="77777777">
      <w:pPr>
        <w:pStyle w:val="Heading3"/>
      </w:pPr>
      <w:bookmarkStart w:name="_Toc179468569" w:id="166"/>
      <w:bookmarkStart w:name="_Toc179474019" w:id="167"/>
      <w:bookmarkStart w:name="_Toc181883603" w:id="168"/>
      <w:bookmarkStart w:name="_Toc188870887" w:id="169"/>
      <w:bookmarkStart w:name="_Toc207790226" w:id="170"/>
      <w:r>
        <w:t>Programme Stakeholders (T0)</w:t>
      </w:r>
      <w:bookmarkEnd w:id="166"/>
      <w:bookmarkEnd w:id="167"/>
      <w:bookmarkEnd w:id="168"/>
      <w:bookmarkEnd w:id="169"/>
      <w:bookmarkEnd w:id="170"/>
    </w:p>
    <w:p w:rsidRPr="00E13638" w:rsidR="006F5E42" w:rsidP="00E13638" w:rsidRDefault="006F5E42" w14:paraId="17679E96" w14:textId="741ECCEA">
      <w:pPr>
        <w:rPr>
          <w:b/>
          <w:bCs/>
        </w:rPr>
      </w:pPr>
      <w:r>
        <w:rPr>
          <w:b/>
          <w:bCs/>
        </w:rPr>
        <w:t>Table 14. Programme stakeholders analysis grid</w:t>
      </w:r>
    </w:p>
    <w:tbl>
      <w:tblPr>
        <w:tblStyle w:val="TableGrid"/>
        <w:tblW w:w="0" w:type="auto"/>
        <w:tblLayout w:type="fixed"/>
        <w:tblLook w:val="0480" w:firstRow="0" w:lastRow="0" w:firstColumn="1" w:lastColumn="0" w:noHBand="0" w:noVBand="1"/>
      </w:tblPr>
      <w:tblGrid>
        <w:gridCol w:w="2405"/>
        <w:gridCol w:w="2126"/>
        <w:gridCol w:w="5551"/>
      </w:tblGrid>
      <w:tr w:rsidRPr="000C0884" w:rsidR="003401BB" w:rsidTr="003401BB" w14:paraId="4DE3CAF2" w14:textId="77777777">
        <w:trPr>
          <w:trHeight w:val="510"/>
        </w:trPr>
        <w:tc>
          <w:tcPr>
            <w:tcW w:w="4531" w:type="dxa"/>
            <w:gridSpan w:val="2"/>
            <w:vMerge w:val="restart"/>
            <w:noWrap/>
            <w:hideMark/>
          </w:tcPr>
          <w:p w:rsidRPr="004A3DCA" w:rsidR="004A3DCA" w:rsidP="00846E1B" w:rsidRDefault="004A3DCA" w14:paraId="1EF995FF" w14:textId="77777777">
            <w:r w:rsidRPr="004A3DCA">
              <w:t>Interview information</w:t>
            </w:r>
          </w:p>
        </w:tc>
        <w:tc>
          <w:tcPr>
            <w:tcW w:w="5551" w:type="dxa"/>
            <w:hideMark/>
          </w:tcPr>
          <w:p w:rsidRPr="004A3DCA" w:rsidR="004A3DCA" w:rsidP="00846E1B" w:rsidRDefault="004A3DCA" w14:paraId="67FC1CA5" w14:textId="77777777">
            <w:r w:rsidRPr="004A3DCA">
              <w:t>Interview ID</w:t>
            </w:r>
          </w:p>
        </w:tc>
      </w:tr>
      <w:tr w:rsidRPr="000C0884" w:rsidR="003401BB" w:rsidTr="003401BB" w14:paraId="26B6E8B8" w14:textId="77777777">
        <w:trPr>
          <w:trHeight w:val="510"/>
        </w:trPr>
        <w:tc>
          <w:tcPr>
            <w:tcW w:w="4531" w:type="dxa"/>
            <w:gridSpan w:val="2"/>
            <w:vMerge/>
            <w:hideMark/>
          </w:tcPr>
          <w:p w:rsidRPr="004A3DCA" w:rsidR="004A3DCA" w:rsidP="00846E1B" w:rsidRDefault="004A3DCA" w14:paraId="36ED7A0F" w14:textId="77777777"/>
        </w:tc>
        <w:tc>
          <w:tcPr>
            <w:tcW w:w="5551" w:type="dxa"/>
            <w:hideMark/>
          </w:tcPr>
          <w:p w:rsidRPr="004A3DCA" w:rsidR="004A3DCA" w:rsidP="00846E1B" w:rsidRDefault="004A3DCA" w14:paraId="4F706A9D" w14:textId="77777777">
            <w:r w:rsidRPr="004A3DCA">
              <w:t>Interviewer</w:t>
            </w:r>
          </w:p>
        </w:tc>
      </w:tr>
      <w:tr w:rsidRPr="000C0884" w:rsidR="003401BB" w:rsidTr="003401BB" w14:paraId="78DF19CA" w14:textId="77777777">
        <w:trPr>
          <w:trHeight w:val="79"/>
        </w:trPr>
        <w:tc>
          <w:tcPr>
            <w:tcW w:w="4531" w:type="dxa"/>
            <w:gridSpan w:val="2"/>
            <w:vMerge/>
            <w:hideMark/>
          </w:tcPr>
          <w:p w:rsidRPr="004A3DCA" w:rsidR="004A3DCA" w:rsidP="00846E1B" w:rsidRDefault="004A3DCA" w14:paraId="520AB2F5" w14:textId="77777777"/>
        </w:tc>
        <w:tc>
          <w:tcPr>
            <w:tcW w:w="5551" w:type="dxa"/>
            <w:hideMark/>
          </w:tcPr>
          <w:p w:rsidRPr="004A3DCA" w:rsidR="004A3DCA" w:rsidP="00846E1B" w:rsidRDefault="004A3DCA" w14:paraId="7F805238" w14:textId="77777777">
            <w:r w:rsidRPr="004A3DCA">
              <w:t>Link to notes or transcript</w:t>
            </w:r>
          </w:p>
        </w:tc>
      </w:tr>
      <w:tr w:rsidRPr="000C0884" w:rsidR="003401BB" w:rsidTr="003401BB" w14:paraId="47476FD2" w14:textId="77777777">
        <w:trPr>
          <w:trHeight w:val="510"/>
        </w:trPr>
        <w:tc>
          <w:tcPr>
            <w:tcW w:w="4531" w:type="dxa"/>
            <w:gridSpan w:val="2"/>
            <w:vMerge/>
            <w:hideMark/>
          </w:tcPr>
          <w:p w:rsidRPr="004A3DCA" w:rsidR="004A3DCA" w:rsidP="00846E1B" w:rsidRDefault="004A3DCA" w14:paraId="21ED4682" w14:textId="77777777"/>
        </w:tc>
        <w:tc>
          <w:tcPr>
            <w:tcW w:w="5551" w:type="dxa"/>
            <w:hideMark/>
          </w:tcPr>
          <w:p w:rsidRPr="004A3DCA" w:rsidR="004A3DCA" w:rsidP="00846E1B" w:rsidRDefault="004A3DCA" w14:paraId="26B6A0E6" w14:textId="77777777">
            <w:r w:rsidRPr="004A3DCA">
              <w:t>Organisation</w:t>
            </w:r>
          </w:p>
        </w:tc>
      </w:tr>
      <w:tr w:rsidRPr="000C0884" w:rsidR="003401BB" w:rsidTr="003401BB" w14:paraId="7825C650" w14:textId="77777777">
        <w:trPr>
          <w:trHeight w:val="154"/>
        </w:trPr>
        <w:tc>
          <w:tcPr>
            <w:tcW w:w="4531" w:type="dxa"/>
            <w:gridSpan w:val="2"/>
            <w:vMerge/>
            <w:hideMark/>
          </w:tcPr>
          <w:p w:rsidRPr="004A3DCA" w:rsidR="004A3DCA" w:rsidP="00846E1B" w:rsidRDefault="004A3DCA" w14:paraId="1A99A415" w14:textId="77777777"/>
        </w:tc>
        <w:tc>
          <w:tcPr>
            <w:tcW w:w="5551" w:type="dxa"/>
            <w:hideMark/>
          </w:tcPr>
          <w:p w:rsidRPr="004A3DCA" w:rsidR="004A3DCA" w:rsidP="00846E1B" w:rsidRDefault="004A3DCA" w14:paraId="13387679" w14:textId="77777777">
            <w:r w:rsidRPr="004A3DCA">
              <w:t>Brief role description, role changes</w:t>
            </w:r>
          </w:p>
        </w:tc>
      </w:tr>
      <w:tr w:rsidRPr="000C0884" w:rsidR="003401BB" w:rsidTr="003401BB" w14:paraId="7ABA279A" w14:textId="77777777">
        <w:trPr>
          <w:trHeight w:val="113"/>
        </w:trPr>
        <w:tc>
          <w:tcPr>
            <w:tcW w:w="4531" w:type="dxa"/>
            <w:gridSpan w:val="2"/>
            <w:hideMark/>
          </w:tcPr>
          <w:p w:rsidRPr="004A3DCA" w:rsidR="004A3DCA" w:rsidP="00846E1B" w:rsidRDefault="004A3DCA" w14:paraId="5C35DA68" w14:textId="77777777">
            <w:r w:rsidRPr="004A3DCA">
              <w:t>Evaluation questions</w:t>
            </w:r>
          </w:p>
        </w:tc>
        <w:tc>
          <w:tcPr>
            <w:tcW w:w="5551" w:type="dxa"/>
            <w:hideMark/>
          </w:tcPr>
          <w:p w:rsidRPr="004A3DCA" w:rsidR="004A3DCA" w:rsidP="00846E1B" w:rsidRDefault="004A3DCA" w14:paraId="19089EA0" w14:textId="67C62270">
            <w:r w:rsidRPr="004A3DCA">
              <w:t>Lines of enquiry/topic guide questions - Programme-level</w:t>
            </w:r>
          </w:p>
        </w:tc>
      </w:tr>
      <w:tr w:rsidRPr="000C0884" w:rsidR="003401BB" w:rsidTr="003401BB" w14:paraId="38684ED6" w14:textId="77777777">
        <w:trPr>
          <w:trHeight w:val="495"/>
        </w:trPr>
        <w:tc>
          <w:tcPr>
            <w:tcW w:w="4531" w:type="dxa"/>
            <w:gridSpan w:val="2"/>
            <w:noWrap/>
            <w:hideMark/>
          </w:tcPr>
          <w:p w:rsidRPr="004A3DCA" w:rsidR="00846E1B" w:rsidP="00846E1B" w:rsidRDefault="00846E1B" w14:paraId="37BD13AC" w14:textId="3DF4E684">
            <w:r w:rsidRPr="004A3DCA">
              <w:t>Background</w:t>
            </w:r>
            <w:r>
              <w:t xml:space="preserve"> &amp; MAGC delivery</w:t>
            </w:r>
          </w:p>
        </w:tc>
        <w:tc>
          <w:tcPr>
            <w:tcW w:w="5551" w:type="dxa"/>
            <w:hideMark/>
          </w:tcPr>
          <w:p w:rsidRPr="004A3DCA" w:rsidR="00846E1B" w:rsidP="00846E1B" w:rsidRDefault="00846E1B" w14:paraId="6BA8739D" w14:textId="77777777">
            <w:r w:rsidRPr="004A3DCA">
              <w:t>Extent to which MAGC activities have been carried out effectively, aligning with expectations, and any challenges encountered</w:t>
            </w:r>
          </w:p>
        </w:tc>
      </w:tr>
      <w:tr w:rsidRPr="000C0884" w:rsidR="00846E1B" w:rsidTr="003401BB" w14:paraId="7B69C4A6" w14:textId="77777777">
        <w:trPr>
          <w:trHeight w:val="780"/>
        </w:trPr>
        <w:tc>
          <w:tcPr>
            <w:tcW w:w="2405" w:type="dxa"/>
            <w:vMerge w:val="restart"/>
            <w:hideMark/>
          </w:tcPr>
          <w:p w:rsidRPr="004A3DCA" w:rsidR="004A3DCA" w:rsidP="00846E1B" w:rsidRDefault="004A3DCA" w14:paraId="14A54AE0" w14:textId="77777777">
            <w:r w:rsidRPr="004A3DCA">
              <w:t xml:space="preserve">4. To what extent has MAGC achieved early outcomes as anticipated for the following components?  </w:t>
            </w:r>
            <w:r w:rsidRPr="004A3DCA">
              <w:br/>
            </w:r>
            <w:r w:rsidRPr="004A3DCA">
              <w:br/>
            </w:r>
            <w:r w:rsidRPr="004A3DCA">
              <w:t>4a; Investment and Advisory services, 4b; Capacity building, 4c; EDGE Green Building Certification</w:t>
            </w:r>
          </w:p>
        </w:tc>
        <w:tc>
          <w:tcPr>
            <w:tcW w:w="2126" w:type="dxa"/>
            <w:vMerge w:val="restart"/>
            <w:noWrap/>
            <w:hideMark/>
          </w:tcPr>
          <w:p w:rsidRPr="004A3DCA" w:rsidR="004A3DCA" w:rsidP="00846E1B" w:rsidRDefault="004A3DCA" w14:paraId="243632C4" w14:textId="4810FAE9">
            <w:r w:rsidRPr="004A3DCA">
              <w:t> </w:t>
            </w:r>
            <w:r w:rsidR="00846E1B">
              <w:t>General</w:t>
            </w:r>
          </w:p>
        </w:tc>
        <w:tc>
          <w:tcPr>
            <w:tcW w:w="5551" w:type="dxa"/>
            <w:hideMark/>
          </w:tcPr>
          <w:p w:rsidRPr="004A3DCA" w:rsidR="004A3DCA" w:rsidP="00846E1B" w:rsidRDefault="004A3DCA" w14:paraId="4E46564E" w14:textId="77777777">
            <w:r w:rsidRPr="004A3DCA">
              <w:t>Realisation of MAGC benefits, expected and unexpected, and alignment with expectations</w:t>
            </w:r>
          </w:p>
        </w:tc>
      </w:tr>
      <w:tr w:rsidRPr="000C0884" w:rsidR="00A4588C" w:rsidTr="003401BB" w14:paraId="7C19B5FB" w14:textId="77777777">
        <w:trPr>
          <w:trHeight w:val="780"/>
        </w:trPr>
        <w:tc>
          <w:tcPr>
            <w:tcW w:w="2405" w:type="dxa"/>
            <w:vMerge/>
            <w:hideMark/>
          </w:tcPr>
          <w:p w:rsidRPr="004A3DCA" w:rsidR="004A3DCA" w:rsidP="00846E1B" w:rsidRDefault="004A3DCA" w14:paraId="23AA1E1A" w14:textId="77777777"/>
        </w:tc>
        <w:tc>
          <w:tcPr>
            <w:tcW w:w="2126" w:type="dxa"/>
            <w:vMerge/>
            <w:hideMark/>
          </w:tcPr>
          <w:p w:rsidRPr="004A3DCA" w:rsidR="004A3DCA" w:rsidP="00846E1B" w:rsidRDefault="004A3DCA" w14:paraId="5051806B" w14:textId="77777777"/>
        </w:tc>
        <w:tc>
          <w:tcPr>
            <w:tcW w:w="5551" w:type="dxa"/>
            <w:hideMark/>
          </w:tcPr>
          <w:p w:rsidRPr="004A3DCA" w:rsidR="004A3DCA" w:rsidP="00846E1B" w:rsidRDefault="004A3DCA" w14:paraId="61B872D1" w14:textId="77777777">
            <w:r w:rsidRPr="004A3DCA">
              <w:t>MAGC position into the wider landscape of international climate finance initiatives</w:t>
            </w:r>
          </w:p>
        </w:tc>
      </w:tr>
      <w:tr w:rsidRPr="000C0884" w:rsidR="00A4588C" w:rsidTr="003401BB" w14:paraId="59233BEB" w14:textId="77777777">
        <w:trPr>
          <w:trHeight w:val="780"/>
        </w:trPr>
        <w:tc>
          <w:tcPr>
            <w:tcW w:w="2405" w:type="dxa"/>
            <w:vMerge/>
            <w:hideMark/>
          </w:tcPr>
          <w:p w:rsidRPr="004A3DCA" w:rsidR="004A3DCA" w:rsidP="00846E1B" w:rsidRDefault="004A3DCA" w14:paraId="01675A45" w14:textId="77777777"/>
        </w:tc>
        <w:tc>
          <w:tcPr>
            <w:tcW w:w="2126" w:type="dxa"/>
            <w:vMerge/>
            <w:hideMark/>
          </w:tcPr>
          <w:p w:rsidRPr="004A3DCA" w:rsidR="004A3DCA" w:rsidP="00846E1B" w:rsidRDefault="004A3DCA" w14:paraId="74FEB4BF" w14:textId="77777777"/>
        </w:tc>
        <w:tc>
          <w:tcPr>
            <w:tcW w:w="5551" w:type="dxa"/>
            <w:hideMark/>
          </w:tcPr>
          <w:p w:rsidRPr="004A3DCA" w:rsidR="004A3DCA" w:rsidP="00846E1B" w:rsidRDefault="004A3DCA" w14:paraId="6A68FF9E" w14:textId="77777777">
            <w:r w:rsidRPr="004A3DCA">
              <w:t xml:space="preserve"> (If relevant) Challenges or opportunities observed across the various programmes they work on</w:t>
            </w:r>
          </w:p>
        </w:tc>
      </w:tr>
      <w:tr w:rsidRPr="000C0884" w:rsidR="00A4588C" w:rsidTr="003401BB" w14:paraId="466EE095" w14:textId="77777777">
        <w:trPr>
          <w:trHeight w:val="780"/>
        </w:trPr>
        <w:tc>
          <w:tcPr>
            <w:tcW w:w="2405" w:type="dxa"/>
            <w:vMerge/>
            <w:hideMark/>
          </w:tcPr>
          <w:p w:rsidRPr="004A3DCA" w:rsidR="004A3DCA" w:rsidP="00846E1B" w:rsidRDefault="004A3DCA" w14:paraId="37BE9950" w14:textId="77777777"/>
        </w:tc>
        <w:tc>
          <w:tcPr>
            <w:tcW w:w="2126" w:type="dxa"/>
            <w:vMerge/>
            <w:hideMark/>
          </w:tcPr>
          <w:p w:rsidRPr="004A3DCA" w:rsidR="004A3DCA" w:rsidP="00846E1B" w:rsidRDefault="004A3DCA" w14:paraId="260C5DF7" w14:textId="77777777"/>
        </w:tc>
        <w:tc>
          <w:tcPr>
            <w:tcW w:w="5551" w:type="dxa"/>
            <w:hideMark/>
          </w:tcPr>
          <w:p w:rsidRPr="004A3DCA" w:rsidR="004A3DCA" w:rsidP="00846E1B" w:rsidRDefault="004A3DCA" w14:paraId="437DA6A5" w14:textId="12F2AD6F">
            <w:r w:rsidRPr="004A3DCA">
              <w:t xml:space="preserve">Key factors that contributing </w:t>
            </w:r>
            <w:r w:rsidRPr="004A3DCA" w:rsidR="00846E1B">
              <w:t>to success</w:t>
            </w:r>
            <w:r w:rsidRPr="004A3DCA">
              <w:t xml:space="preserve"> of green construction programmes like MAGC</w:t>
            </w:r>
          </w:p>
        </w:tc>
      </w:tr>
      <w:tr w:rsidRPr="000C0884" w:rsidR="00A4588C" w:rsidTr="003401BB" w14:paraId="30A4A514" w14:textId="77777777">
        <w:trPr>
          <w:trHeight w:val="1290"/>
        </w:trPr>
        <w:tc>
          <w:tcPr>
            <w:tcW w:w="2405" w:type="dxa"/>
            <w:vMerge/>
            <w:hideMark/>
          </w:tcPr>
          <w:p w:rsidRPr="004A3DCA" w:rsidR="004A3DCA" w:rsidP="00846E1B" w:rsidRDefault="004A3DCA" w14:paraId="26AA8966" w14:textId="77777777"/>
        </w:tc>
        <w:tc>
          <w:tcPr>
            <w:tcW w:w="2126" w:type="dxa"/>
            <w:vMerge w:val="restart"/>
            <w:noWrap/>
            <w:hideMark/>
          </w:tcPr>
          <w:p w:rsidRPr="004A3DCA" w:rsidR="004A3DCA" w:rsidP="00846E1B" w:rsidRDefault="004A3DCA" w14:paraId="7765DCA7" w14:textId="77777777">
            <w:r w:rsidRPr="004A3DCA">
              <w:t>Component 1</w:t>
            </w:r>
          </w:p>
        </w:tc>
        <w:tc>
          <w:tcPr>
            <w:tcW w:w="5551" w:type="dxa"/>
            <w:hideMark/>
          </w:tcPr>
          <w:p w:rsidRPr="004A3DCA" w:rsidR="004A3DCA" w:rsidP="00846E1B" w:rsidRDefault="004A3DCA" w14:paraId="19CEE144" w14:textId="77777777">
            <w:r w:rsidRPr="004A3DCA">
              <w:t>Successful investments: what makes an investment successful, example of successful/less successful investments (and why that was)</w:t>
            </w:r>
          </w:p>
        </w:tc>
      </w:tr>
      <w:tr w:rsidRPr="000C0884" w:rsidR="00A4588C" w:rsidTr="003401BB" w14:paraId="79012670" w14:textId="77777777">
        <w:trPr>
          <w:trHeight w:val="525"/>
        </w:trPr>
        <w:tc>
          <w:tcPr>
            <w:tcW w:w="2405" w:type="dxa"/>
            <w:vMerge/>
            <w:hideMark/>
          </w:tcPr>
          <w:p w:rsidRPr="004A3DCA" w:rsidR="004A3DCA" w:rsidP="00846E1B" w:rsidRDefault="004A3DCA" w14:paraId="375DACA9" w14:textId="77777777"/>
        </w:tc>
        <w:tc>
          <w:tcPr>
            <w:tcW w:w="2126" w:type="dxa"/>
            <w:vMerge/>
            <w:hideMark/>
          </w:tcPr>
          <w:p w:rsidRPr="004A3DCA" w:rsidR="004A3DCA" w:rsidP="00846E1B" w:rsidRDefault="004A3DCA" w14:paraId="1FB5924F" w14:textId="77777777"/>
        </w:tc>
        <w:tc>
          <w:tcPr>
            <w:tcW w:w="5551" w:type="dxa"/>
            <w:hideMark/>
          </w:tcPr>
          <w:p w:rsidRPr="004A3DCA" w:rsidR="004A3DCA" w:rsidP="00846E1B" w:rsidRDefault="004A3DCA" w14:paraId="13BA9C0C" w14:textId="77777777">
            <w:r w:rsidRPr="004A3DCA">
              <w:t>Types of buildings constructed with MAGC support</w:t>
            </w:r>
          </w:p>
        </w:tc>
      </w:tr>
      <w:tr w:rsidRPr="000C0884" w:rsidR="00A4588C" w:rsidTr="003401BB" w14:paraId="57FC739F" w14:textId="77777777">
        <w:trPr>
          <w:trHeight w:val="1035"/>
        </w:trPr>
        <w:tc>
          <w:tcPr>
            <w:tcW w:w="2405" w:type="dxa"/>
            <w:vMerge/>
            <w:hideMark/>
          </w:tcPr>
          <w:p w:rsidRPr="004A3DCA" w:rsidR="004A3DCA" w:rsidP="00846E1B" w:rsidRDefault="004A3DCA" w14:paraId="3C2C8BBA" w14:textId="77777777"/>
        </w:tc>
        <w:tc>
          <w:tcPr>
            <w:tcW w:w="2126" w:type="dxa"/>
            <w:vMerge/>
            <w:hideMark/>
          </w:tcPr>
          <w:p w:rsidRPr="004A3DCA" w:rsidR="004A3DCA" w:rsidP="00846E1B" w:rsidRDefault="004A3DCA" w14:paraId="13F92DEC" w14:textId="77777777"/>
        </w:tc>
        <w:tc>
          <w:tcPr>
            <w:tcW w:w="5551" w:type="dxa"/>
            <w:hideMark/>
          </w:tcPr>
          <w:p w:rsidRPr="004A3DCA" w:rsidR="004A3DCA" w:rsidP="00846E1B" w:rsidRDefault="004A3DCA" w14:paraId="596377EC" w14:textId="77777777">
            <w:r w:rsidRPr="004A3DCA">
              <w:t>Ways component 1 has addressed barriers to investments for FIs, inc. increasing capacity to assess GC risks</w:t>
            </w:r>
          </w:p>
        </w:tc>
      </w:tr>
      <w:tr w:rsidRPr="000C0884" w:rsidR="00A4588C" w:rsidTr="003401BB" w14:paraId="4832C4E0" w14:textId="77777777">
        <w:trPr>
          <w:trHeight w:val="1035"/>
        </w:trPr>
        <w:tc>
          <w:tcPr>
            <w:tcW w:w="2405" w:type="dxa"/>
            <w:vMerge/>
            <w:hideMark/>
          </w:tcPr>
          <w:p w:rsidRPr="004A3DCA" w:rsidR="004A3DCA" w:rsidP="00846E1B" w:rsidRDefault="004A3DCA" w14:paraId="0AEC8144" w14:textId="77777777"/>
        </w:tc>
        <w:tc>
          <w:tcPr>
            <w:tcW w:w="2126" w:type="dxa"/>
            <w:vMerge w:val="restart"/>
            <w:noWrap/>
            <w:hideMark/>
          </w:tcPr>
          <w:p w:rsidRPr="004A3DCA" w:rsidR="004A3DCA" w:rsidP="00846E1B" w:rsidRDefault="004A3DCA" w14:paraId="2E27D3C3" w14:textId="77777777">
            <w:r w:rsidRPr="004A3DCA">
              <w:t>Component 2</w:t>
            </w:r>
          </w:p>
        </w:tc>
        <w:tc>
          <w:tcPr>
            <w:tcW w:w="5551" w:type="dxa"/>
            <w:hideMark/>
          </w:tcPr>
          <w:p w:rsidRPr="004A3DCA" w:rsidR="004A3DCA" w:rsidP="00846E1B" w:rsidRDefault="004A3DCA" w14:paraId="48F3B34F" w14:textId="77777777">
            <w:r w:rsidRPr="004A3DCA">
              <w:t>What types of stakeholders have so far received technical assistance? Inc. examples of specific events/trainings/seminars</w:t>
            </w:r>
          </w:p>
        </w:tc>
      </w:tr>
      <w:tr w:rsidRPr="000C0884" w:rsidR="00A4588C" w:rsidTr="003401BB" w14:paraId="3BAA6C0B" w14:textId="77777777">
        <w:trPr>
          <w:trHeight w:val="1290"/>
        </w:trPr>
        <w:tc>
          <w:tcPr>
            <w:tcW w:w="2405" w:type="dxa"/>
            <w:vMerge/>
            <w:hideMark/>
          </w:tcPr>
          <w:p w:rsidRPr="004A3DCA" w:rsidR="004A3DCA" w:rsidP="00846E1B" w:rsidRDefault="004A3DCA" w14:paraId="5EB7A3C8" w14:textId="77777777"/>
        </w:tc>
        <w:tc>
          <w:tcPr>
            <w:tcW w:w="2126" w:type="dxa"/>
            <w:vMerge/>
            <w:hideMark/>
          </w:tcPr>
          <w:p w:rsidRPr="004A3DCA" w:rsidR="004A3DCA" w:rsidP="00846E1B" w:rsidRDefault="004A3DCA" w14:paraId="46132AC3" w14:textId="77777777"/>
        </w:tc>
        <w:tc>
          <w:tcPr>
            <w:tcW w:w="5551" w:type="dxa"/>
            <w:hideMark/>
          </w:tcPr>
          <w:p w:rsidRPr="004A3DCA" w:rsidR="004A3DCA" w:rsidP="00846E1B" w:rsidRDefault="004A3DCA" w14:paraId="685C6563" w14:textId="77777777">
            <w:r w:rsidRPr="004A3DCA">
              <w:t>What were the results to date of MAGC activities on the regulatory environment/ framework? Inc. examples of policies introduced, building codes</w:t>
            </w:r>
          </w:p>
        </w:tc>
      </w:tr>
      <w:tr w:rsidRPr="000C0884" w:rsidR="00A4588C" w:rsidTr="003401BB" w14:paraId="165E6A3B" w14:textId="77777777">
        <w:trPr>
          <w:trHeight w:val="780"/>
        </w:trPr>
        <w:tc>
          <w:tcPr>
            <w:tcW w:w="2405" w:type="dxa"/>
            <w:vMerge/>
            <w:hideMark/>
          </w:tcPr>
          <w:p w:rsidRPr="004A3DCA" w:rsidR="004A3DCA" w:rsidP="00846E1B" w:rsidRDefault="004A3DCA" w14:paraId="13FFBD1D" w14:textId="77777777"/>
        </w:tc>
        <w:tc>
          <w:tcPr>
            <w:tcW w:w="2126" w:type="dxa"/>
            <w:vMerge w:val="restart"/>
            <w:noWrap/>
            <w:hideMark/>
          </w:tcPr>
          <w:p w:rsidRPr="004A3DCA" w:rsidR="004A3DCA" w:rsidP="00846E1B" w:rsidRDefault="004A3DCA" w14:paraId="5506B037" w14:textId="77777777">
            <w:r w:rsidRPr="004A3DCA">
              <w:t>Component 3</w:t>
            </w:r>
          </w:p>
        </w:tc>
        <w:tc>
          <w:tcPr>
            <w:tcW w:w="5551" w:type="dxa"/>
            <w:hideMark/>
          </w:tcPr>
          <w:p w:rsidRPr="004A3DCA" w:rsidR="004A3DCA" w:rsidP="00846E1B" w:rsidRDefault="004A3DCA" w14:paraId="7CA30E09" w14:textId="77777777">
            <w:r w:rsidRPr="004A3DCA">
              <w:t>Description of EDGE maintenance, operation, and improvements</w:t>
            </w:r>
          </w:p>
        </w:tc>
      </w:tr>
      <w:tr w:rsidRPr="000C0884" w:rsidR="00A4588C" w:rsidTr="003401BB" w14:paraId="19386BEF" w14:textId="77777777">
        <w:trPr>
          <w:trHeight w:val="525"/>
        </w:trPr>
        <w:tc>
          <w:tcPr>
            <w:tcW w:w="2405" w:type="dxa"/>
            <w:vMerge/>
            <w:hideMark/>
          </w:tcPr>
          <w:p w:rsidRPr="004A3DCA" w:rsidR="004A3DCA" w:rsidP="00846E1B" w:rsidRDefault="004A3DCA" w14:paraId="3F1E0FC2" w14:textId="77777777"/>
        </w:tc>
        <w:tc>
          <w:tcPr>
            <w:tcW w:w="2126" w:type="dxa"/>
            <w:vMerge/>
            <w:hideMark/>
          </w:tcPr>
          <w:p w:rsidRPr="004A3DCA" w:rsidR="004A3DCA" w:rsidP="00846E1B" w:rsidRDefault="004A3DCA" w14:paraId="7F4F5366" w14:textId="77777777"/>
        </w:tc>
        <w:tc>
          <w:tcPr>
            <w:tcW w:w="5551" w:type="dxa"/>
            <w:hideMark/>
          </w:tcPr>
          <w:p w:rsidRPr="004A3DCA" w:rsidR="004A3DCA" w:rsidP="00846E1B" w:rsidRDefault="004A3DCA" w14:paraId="213F6CAA" w14:textId="77777777">
            <w:r w:rsidRPr="004A3DCA">
              <w:t>Key achievements of MAGC on EDGE, key challenges</w:t>
            </w:r>
          </w:p>
        </w:tc>
      </w:tr>
      <w:tr w:rsidRPr="000C0884" w:rsidR="00A4588C" w:rsidTr="003401BB" w14:paraId="3DD7A5F7" w14:textId="77777777">
        <w:trPr>
          <w:trHeight w:val="525"/>
        </w:trPr>
        <w:tc>
          <w:tcPr>
            <w:tcW w:w="2405" w:type="dxa"/>
            <w:vMerge/>
            <w:hideMark/>
          </w:tcPr>
          <w:p w:rsidRPr="004A3DCA" w:rsidR="004A3DCA" w:rsidP="00846E1B" w:rsidRDefault="004A3DCA" w14:paraId="24916FD1" w14:textId="77777777"/>
        </w:tc>
        <w:tc>
          <w:tcPr>
            <w:tcW w:w="2126" w:type="dxa"/>
            <w:vMerge/>
            <w:hideMark/>
          </w:tcPr>
          <w:p w:rsidRPr="004A3DCA" w:rsidR="004A3DCA" w:rsidP="00846E1B" w:rsidRDefault="004A3DCA" w14:paraId="7A7B5D0B" w14:textId="77777777"/>
        </w:tc>
        <w:tc>
          <w:tcPr>
            <w:tcW w:w="5551" w:type="dxa"/>
            <w:hideMark/>
          </w:tcPr>
          <w:p w:rsidRPr="004A3DCA" w:rsidR="004A3DCA" w:rsidP="00846E1B" w:rsidRDefault="004A3DCA" w14:paraId="69AD7112" w14:textId="77777777">
            <w:r w:rsidRPr="004A3DCA">
              <w:t>Contribution of MAGC to uptake of EDGE or other certifications</w:t>
            </w:r>
          </w:p>
        </w:tc>
      </w:tr>
      <w:tr w:rsidRPr="000C0884" w:rsidR="00A4588C" w:rsidTr="003401BB" w14:paraId="2A3BE3E2" w14:textId="77777777">
        <w:trPr>
          <w:trHeight w:val="1035"/>
        </w:trPr>
        <w:tc>
          <w:tcPr>
            <w:tcW w:w="2405" w:type="dxa"/>
            <w:vMerge/>
            <w:hideMark/>
          </w:tcPr>
          <w:p w:rsidRPr="004A3DCA" w:rsidR="004A3DCA" w:rsidP="00846E1B" w:rsidRDefault="004A3DCA" w14:paraId="1506DA30" w14:textId="77777777"/>
        </w:tc>
        <w:tc>
          <w:tcPr>
            <w:tcW w:w="2126" w:type="dxa"/>
            <w:vMerge w:val="restart"/>
            <w:noWrap/>
            <w:hideMark/>
          </w:tcPr>
          <w:p w:rsidRPr="004A3DCA" w:rsidR="004A3DCA" w:rsidP="00846E1B" w:rsidRDefault="004A3DCA" w14:paraId="42ED14AA" w14:textId="77777777">
            <w:r w:rsidRPr="004A3DCA">
              <w:t>Component 4</w:t>
            </w:r>
          </w:p>
        </w:tc>
        <w:tc>
          <w:tcPr>
            <w:tcW w:w="5551" w:type="dxa"/>
            <w:hideMark/>
          </w:tcPr>
          <w:p w:rsidRPr="004A3DCA" w:rsidR="004A3DCA" w:rsidP="00846E1B" w:rsidRDefault="004A3DCA" w14:paraId="1C3EA490" w14:textId="77777777">
            <w:r w:rsidRPr="004A3DCA">
              <w:t>Examples of using the evidence generated (stakeholder assessments, market baseline assessments)</w:t>
            </w:r>
          </w:p>
        </w:tc>
      </w:tr>
      <w:tr w:rsidRPr="000C0884" w:rsidR="00A4588C" w:rsidTr="003401BB" w14:paraId="4ABBE077" w14:textId="77777777">
        <w:trPr>
          <w:trHeight w:val="780"/>
        </w:trPr>
        <w:tc>
          <w:tcPr>
            <w:tcW w:w="2405" w:type="dxa"/>
            <w:vMerge/>
            <w:hideMark/>
          </w:tcPr>
          <w:p w:rsidRPr="004A3DCA" w:rsidR="004A3DCA" w:rsidP="00846E1B" w:rsidRDefault="004A3DCA" w14:paraId="56A21816" w14:textId="77777777"/>
        </w:tc>
        <w:tc>
          <w:tcPr>
            <w:tcW w:w="2126" w:type="dxa"/>
            <w:vMerge/>
            <w:hideMark/>
          </w:tcPr>
          <w:p w:rsidRPr="004A3DCA" w:rsidR="004A3DCA" w:rsidP="00846E1B" w:rsidRDefault="004A3DCA" w14:paraId="2382ECAB" w14:textId="77777777"/>
        </w:tc>
        <w:tc>
          <w:tcPr>
            <w:tcW w:w="5551" w:type="dxa"/>
            <w:hideMark/>
          </w:tcPr>
          <w:p w:rsidRPr="004A3DCA" w:rsidR="004A3DCA" w:rsidP="00846E1B" w:rsidRDefault="004A3DCA" w14:paraId="70BE2C71" w14:textId="77777777">
            <w:r w:rsidRPr="004A3DCA">
              <w:t>Examples of how evidence can motivate the uptake of green construction</w:t>
            </w:r>
          </w:p>
        </w:tc>
      </w:tr>
      <w:tr w:rsidRPr="000C0884" w:rsidR="00A4588C" w:rsidTr="003401BB" w14:paraId="28D9B0D6" w14:textId="77777777">
        <w:trPr>
          <w:trHeight w:val="1035"/>
        </w:trPr>
        <w:tc>
          <w:tcPr>
            <w:tcW w:w="2405" w:type="dxa"/>
            <w:vMerge w:val="restart"/>
            <w:noWrap/>
            <w:hideMark/>
          </w:tcPr>
          <w:p w:rsidRPr="004A3DCA" w:rsidR="00846E1B" w:rsidP="00846E1B" w:rsidRDefault="00846E1B" w14:paraId="249F00FC" w14:textId="77777777">
            <w:r w:rsidRPr="004A3DCA">
              <w:t>5. To what extent is impact/ transformational change likely to be achieved?</w:t>
            </w:r>
          </w:p>
        </w:tc>
        <w:tc>
          <w:tcPr>
            <w:tcW w:w="2126" w:type="dxa"/>
            <w:vMerge w:val="restart"/>
            <w:noWrap/>
            <w:hideMark/>
          </w:tcPr>
          <w:p w:rsidRPr="004A3DCA" w:rsidR="00846E1B" w:rsidP="00846E1B" w:rsidRDefault="00846E1B" w14:paraId="02F58F87" w14:textId="5AD9A1C9">
            <w:r>
              <w:t>General</w:t>
            </w:r>
          </w:p>
        </w:tc>
        <w:tc>
          <w:tcPr>
            <w:tcW w:w="5551" w:type="dxa"/>
            <w:hideMark/>
          </w:tcPr>
          <w:p w:rsidRPr="004A3DCA" w:rsidR="00846E1B" w:rsidP="00846E1B" w:rsidRDefault="00846E1B" w14:paraId="218FE890" w14:textId="77777777">
            <w:r w:rsidRPr="004A3DCA">
              <w:t>Most useful indicators or metrics to assess signs of transformational impact of MAGC on green construction</w:t>
            </w:r>
          </w:p>
        </w:tc>
      </w:tr>
      <w:tr w:rsidRPr="000C0884" w:rsidR="00A4588C" w:rsidTr="003401BB" w14:paraId="30A42897" w14:textId="77777777">
        <w:trPr>
          <w:trHeight w:val="780"/>
        </w:trPr>
        <w:tc>
          <w:tcPr>
            <w:tcW w:w="2405" w:type="dxa"/>
            <w:vMerge/>
            <w:hideMark/>
          </w:tcPr>
          <w:p w:rsidRPr="004A3DCA" w:rsidR="00846E1B" w:rsidP="00846E1B" w:rsidRDefault="00846E1B" w14:paraId="4261C806" w14:textId="77777777"/>
        </w:tc>
        <w:tc>
          <w:tcPr>
            <w:tcW w:w="2126" w:type="dxa"/>
            <w:vMerge/>
            <w:noWrap/>
            <w:hideMark/>
          </w:tcPr>
          <w:p w:rsidRPr="004A3DCA" w:rsidR="00846E1B" w:rsidP="00846E1B" w:rsidRDefault="00846E1B" w14:paraId="3C43768E" w14:textId="06D9FF9C"/>
        </w:tc>
        <w:tc>
          <w:tcPr>
            <w:tcW w:w="5551" w:type="dxa"/>
            <w:hideMark/>
          </w:tcPr>
          <w:p w:rsidRPr="004A3DCA" w:rsidR="00846E1B" w:rsidP="00846E1B" w:rsidRDefault="00846E1B" w14:paraId="03280067" w14:textId="77777777">
            <w:r w:rsidRPr="004A3DCA">
              <w:t>Evidence of early signs that the MAGC can contribute to transformational change</w:t>
            </w:r>
          </w:p>
        </w:tc>
      </w:tr>
      <w:tr w:rsidRPr="000C0884" w:rsidR="00A4588C" w:rsidTr="003401BB" w14:paraId="5DAFDB35" w14:textId="77777777">
        <w:trPr>
          <w:trHeight w:val="525"/>
        </w:trPr>
        <w:tc>
          <w:tcPr>
            <w:tcW w:w="2405" w:type="dxa"/>
            <w:vMerge/>
            <w:hideMark/>
          </w:tcPr>
          <w:p w:rsidRPr="004A3DCA" w:rsidR="004A3DCA" w:rsidP="00846E1B" w:rsidRDefault="004A3DCA" w14:paraId="24B5F30A" w14:textId="77777777"/>
        </w:tc>
        <w:tc>
          <w:tcPr>
            <w:tcW w:w="2126" w:type="dxa"/>
            <w:vMerge w:val="restart"/>
            <w:noWrap/>
            <w:hideMark/>
          </w:tcPr>
          <w:p w:rsidRPr="004A3DCA" w:rsidR="004A3DCA" w:rsidP="00846E1B" w:rsidRDefault="004A3DCA" w14:paraId="73398A5D" w14:textId="3709249B">
            <w:r w:rsidRPr="004A3DCA">
              <w:t xml:space="preserve">Capacity and capability </w:t>
            </w:r>
          </w:p>
        </w:tc>
        <w:tc>
          <w:tcPr>
            <w:tcW w:w="5551" w:type="dxa"/>
            <w:hideMark/>
          </w:tcPr>
          <w:p w:rsidRPr="004A3DCA" w:rsidR="004A3DCA" w:rsidP="00846E1B" w:rsidRDefault="004A3DCA" w14:paraId="017E19C9" w14:textId="77777777">
            <w:r w:rsidRPr="004A3DCA">
              <w:t>Effects of advisory services on FIs capacity and capabilities</w:t>
            </w:r>
          </w:p>
        </w:tc>
      </w:tr>
      <w:tr w:rsidRPr="000C0884" w:rsidR="00A4588C" w:rsidTr="003401BB" w14:paraId="237FB724" w14:textId="77777777">
        <w:trPr>
          <w:trHeight w:val="1545"/>
        </w:trPr>
        <w:tc>
          <w:tcPr>
            <w:tcW w:w="2405" w:type="dxa"/>
            <w:vMerge w:val="restart"/>
            <w:noWrap/>
            <w:hideMark/>
          </w:tcPr>
          <w:p w:rsidRPr="004A3DCA" w:rsidR="004A3DCA" w:rsidP="00846E1B" w:rsidRDefault="004A3DCA" w14:paraId="3E795A05" w14:textId="77777777">
            <w:r w:rsidRPr="004A3DCA">
              <w:t>(21e) How does the programme ensure the quality and impact of the advisory services provided to financial intermediaries?</w:t>
            </w:r>
          </w:p>
        </w:tc>
        <w:tc>
          <w:tcPr>
            <w:tcW w:w="2126" w:type="dxa"/>
            <w:vMerge/>
            <w:hideMark/>
          </w:tcPr>
          <w:p w:rsidRPr="004A3DCA" w:rsidR="004A3DCA" w:rsidP="00846E1B" w:rsidRDefault="004A3DCA" w14:paraId="507F47FC" w14:textId="77777777"/>
        </w:tc>
        <w:tc>
          <w:tcPr>
            <w:tcW w:w="5551" w:type="dxa"/>
            <w:hideMark/>
          </w:tcPr>
          <w:p w:rsidRPr="004A3DCA" w:rsidR="004A3DCA" w:rsidP="00846E1B" w:rsidRDefault="004A3DCA" w14:paraId="3DF9640A" w14:textId="77777777">
            <w:r w:rsidRPr="004A3DCA">
              <w:t>Effects of capacity building (workshops, trainings, seminars, conferences, EDGE training) &amp; their influence on stakeholders' understanding and approach to green construction</w:t>
            </w:r>
          </w:p>
        </w:tc>
      </w:tr>
      <w:tr w:rsidRPr="000C0884" w:rsidR="00A4588C" w:rsidTr="003401BB" w14:paraId="150EE3D4" w14:textId="77777777">
        <w:trPr>
          <w:trHeight w:val="780"/>
        </w:trPr>
        <w:tc>
          <w:tcPr>
            <w:tcW w:w="2405" w:type="dxa"/>
            <w:vMerge/>
            <w:hideMark/>
          </w:tcPr>
          <w:p w:rsidRPr="004A3DCA" w:rsidR="004A3DCA" w:rsidP="00846E1B" w:rsidRDefault="004A3DCA" w14:paraId="75A19BF1" w14:textId="77777777"/>
        </w:tc>
        <w:tc>
          <w:tcPr>
            <w:tcW w:w="2126" w:type="dxa"/>
            <w:vMerge/>
            <w:hideMark/>
          </w:tcPr>
          <w:p w:rsidRPr="004A3DCA" w:rsidR="004A3DCA" w:rsidP="00846E1B" w:rsidRDefault="004A3DCA" w14:paraId="53E871C6" w14:textId="77777777"/>
        </w:tc>
        <w:tc>
          <w:tcPr>
            <w:tcW w:w="5551" w:type="dxa"/>
            <w:hideMark/>
          </w:tcPr>
          <w:p w:rsidRPr="004A3DCA" w:rsidR="004A3DCA" w:rsidP="00846E1B" w:rsidRDefault="004A3DCA" w14:paraId="17619146" w14:textId="77777777">
            <w:r w:rsidRPr="004A3DCA">
              <w:t>Challenges experienced when delivering support &amp; ensuring quality of services offered</w:t>
            </w:r>
          </w:p>
        </w:tc>
      </w:tr>
      <w:tr w:rsidRPr="000C0884" w:rsidR="00A4588C" w:rsidTr="003401BB" w14:paraId="49624754" w14:textId="77777777">
        <w:trPr>
          <w:trHeight w:val="525"/>
        </w:trPr>
        <w:tc>
          <w:tcPr>
            <w:tcW w:w="2405" w:type="dxa"/>
            <w:vMerge/>
            <w:hideMark/>
          </w:tcPr>
          <w:p w:rsidRPr="004A3DCA" w:rsidR="004A3DCA" w:rsidP="00846E1B" w:rsidRDefault="004A3DCA" w14:paraId="7746F4BC" w14:textId="77777777"/>
        </w:tc>
        <w:tc>
          <w:tcPr>
            <w:tcW w:w="2126" w:type="dxa"/>
            <w:vMerge/>
            <w:hideMark/>
          </w:tcPr>
          <w:p w:rsidRPr="004A3DCA" w:rsidR="004A3DCA" w:rsidP="00846E1B" w:rsidRDefault="004A3DCA" w14:paraId="7827BD64" w14:textId="77777777"/>
        </w:tc>
        <w:tc>
          <w:tcPr>
            <w:tcW w:w="5551" w:type="dxa"/>
            <w:hideMark/>
          </w:tcPr>
          <w:p w:rsidRPr="004A3DCA" w:rsidR="004A3DCA" w:rsidP="00846E1B" w:rsidRDefault="004A3DCA" w14:paraId="27999127" w14:textId="77777777">
            <w:r w:rsidRPr="004A3DCA">
              <w:t>No. of EDGE users &amp; indication of success of MAGC</w:t>
            </w:r>
          </w:p>
        </w:tc>
      </w:tr>
      <w:tr w:rsidRPr="000C0884" w:rsidR="00A4588C" w:rsidTr="003401BB" w14:paraId="0093D4BB" w14:textId="77777777">
        <w:trPr>
          <w:trHeight w:val="525"/>
        </w:trPr>
        <w:tc>
          <w:tcPr>
            <w:tcW w:w="2405" w:type="dxa"/>
            <w:vMerge/>
            <w:hideMark/>
          </w:tcPr>
          <w:p w:rsidRPr="004A3DCA" w:rsidR="004A3DCA" w:rsidP="00846E1B" w:rsidRDefault="004A3DCA" w14:paraId="5A574A44" w14:textId="77777777"/>
        </w:tc>
        <w:tc>
          <w:tcPr>
            <w:tcW w:w="2126" w:type="dxa"/>
            <w:vMerge w:val="restart"/>
            <w:hideMark/>
          </w:tcPr>
          <w:p w:rsidRPr="004A3DCA" w:rsidR="004A3DCA" w:rsidP="00846E1B" w:rsidRDefault="004A3DCA" w14:paraId="61C8E9FE" w14:textId="77777777">
            <w:r w:rsidRPr="004A3DCA">
              <w:t>Innovation</w:t>
            </w:r>
          </w:p>
        </w:tc>
        <w:tc>
          <w:tcPr>
            <w:tcW w:w="5551" w:type="dxa"/>
            <w:hideMark/>
          </w:tcPr>
          <w:p w:rsidRPr="004A3DCA" w:rsidR="004A3DCA" w:rsidP="00846E1B" w:rsidRDefault="004A3DCA" w14:paraId="73C5A690" w14:textId="77777777">
            <w:r w:rsidRPr="004A3DCA">
              <w:t>Effects of EDGE and CAFI tool improvements - inc. examples</w:t>
            </w:r>
          </w:p>
        </w:tc>
      </w:tr>
      <w:tr w:rsidRPr="000C0884" w:rsidR="00A4588C" w:rsidTr="003401BB" w14:paraId="4D1CA8FC" w14:textId="77777777">
        <w:trPr>
          <w:trHeight w:val="780"/>
        </w:trPr>
        <w:tc>
          <w:tcPr>
            <w:tcW w:w="2405" w:type="dxa"/>
            <w:vMerge/>
            <w:hideMark/>
          </w:tcPr>
          <w:p w:rsidRPr="004A3DCA" w:rsidR="004A3DCA" w:rsidP="00846E1B" w:rsidRDefault="004A3DCA" w14:paraId="4254CB7F" w14:textId="77777777"/>
        </w:tc>
        <w:tc>
          <w:tcPr>
            <w:tcW w:w="2126" w:type="dxa"/>
            <w:vMerge/>
            <w:hideMark/>
          </w:tcPr>
          <w:p w:rsidRPr="004A3DCA" w:rsidR="004A3DCA" w:rsidP="00846E1B" w:rsidRDefault="004A3DCA" w14:paraId="4A0F9E81" w14:textId="77777777"/>
        </w:tc>
        <w:tc>
          <w:tcPr>
            <w:tcW w:w="5551" w:type="dxa"/>
            <w:hideMark/>
          </w:tcPr>
          <w:p w:rsidRPr="004A3DCA" w:rsidR="004A3DCA" w:rsidP="00846E1B" w:rsidRDefault="004A3DCA" w14:paraId="54409839" w14:textId="6EF85627">
            <w:r w:rsidRPr="004A3DCA">
              <w:t>Extent to which EDGE and CAFI tools represent an innovation in GC</w:t>
            </w:r>
          </w:p>
        </w:tc>
      </w:tr>
      <w:tr w:rsidRPr="000C0884" w:rsidR="00A4588C" w:rsidTr="003401BB" w14:paraId="5B78183F" w14:textId="77777777">
        <w:trPr>
          <w:trHeight w:val="525"/>
        </w:trPr>
        <w:tc>
          <w:tcPr>
            <w:tcW w:w="2405" w:type="dxa"/>
            <w:vMerge/>
            <w:hideMark/>
          </w:tcPr>
          <w:p w:rsidRPr="004A3DCA" w:rsidR="004A3DCA" w:rsidP="00846E1B" w:rsidRDefault="004A3DCA" w14:paraId="5F8BA310" w14:textId="77777777"/>
        </w:tc>
        <w:tc>
          <w:tcPr>
            <w:tcW w:w="2126" w:type="dxa"/>
            <w:vMerge/>
            <w:hideMark/>
          </w:tcPr>
          <w:p w:rsidRPr="004A3DCA" w:rsidR="004A3DCA" w:rsidP="00846E1B" w:rsidRDefault="004A3DCA" w14:paraId="0AFB7CA6" w14:textId="77777777"/>
        </w:tc>
        <w:tc>
          <w:tcPr>
            <w:tcW w:w="5551" w:type="dxa"/>
            <w:hideMark/>
          </w:tcPr>
          <w:p w:rsidRPr="004A3DCA" w:rsidR="004A3DCA" w:rsidP="00846E1B" w:rsidRDefault="004A3DCA" w14:paraId="6CE9ABFE" w14:textId="5D94623E">
            <w:r w:rsidRPr="004A3DCA">
              <w:t>EDGE &amp; CAFI: examples of how the tools are effectively utilised</w:t>
            </w:r>
          </w:p>
        </w:tc>
      </w:tr>
      <w:tr w:rsidRPr="000C0884" w:rsidR="00A4588C" w:rsidTr="003401BB" w14:paraId="4154AB1D" w14:textId="77777777">
        <w:trPr>
          <w:trHeight w:val="780"/>
        </w:trPr>
        <w:tc>
          <w:tcPr>
            <w:tcW w:w="2405" w:type="dxa"/>
            <w:vMerge/>
            <w:hideMark/>
          </w:tcPr>
          <w:p w:rsidRPr="004A3DCA" w:rsidR="004A3DCA" w:rsidP="00846E1B" w:rsidRDefault="004A3DCA" w14:paraId="29471529" w14:textId="77777777"/>
        </w:tc>
        <w:tc>
          <w:tcPr>
            <w:tcW w:w="2126" w:type="dxa"/>
            <w:vMerge/>
            <w:hideMark/>
          </w:tcPr>
          <w:p w:rsidRPr="004A3DCA" w:rsidR="004A3DCA" w:rsidP="00846E1B" w:rsidRDefault="004A3DCA" w14:paraId="27038B6E" w14:textId="77777777"/>
        </w:tc>
        <w:tc>
          <w:tcPr>
            <w:tcW w:w="5551" w:type="dxa"/>
            <w:hideMark/>
          </w:tcPr>
          <w:p w:rsidRPr="004A3DCA" w:rsidR="004A3DCA" w:rsidP="00846E1B" w:rsidRDefault="004A3DCA" w14:paraId="4E08C404" w14:textId="2089CEED">
            <w:r w:rsidRPr="004A3DCA">
              <w:t>Future improvements are planned for the EDGE and CAFI tools</w:t>
            </w:r>
          </w:p>
        </w:tc>
      </w:tr>
      <w:tr w:rsidRPr="000C0884" w:rsidR="00A4588C" w:rsidTr="003401BB" w14:paraId="6EAAF7BF" w14:textId="77777777">
        <w:trPr>
          <w:trHeight w:val="780"/>
        </w:trPr>
        <w:tc>
          <w:tcPr>
            <w:tcW w:w="2405" w:type="dxa"/>
            <w:vMerge/>
            <w:hideMark/>
          </w:tcPr>
          <w:p w:rsidRPr="004A3DCA" w:rsidR="004A3DCA" w:rsidP="00846E1B" w:rsidRDefault="004A3DCA" w14:paraId="68355352" w14:textId="77777777"/>
        </w:tc>
        <w:tc>
          <w:tcPr>
            <w:tcW w:w="2126" w:type="dxa"/>
            <w:vMerge w:val="restart"/>
            <w:noWrap/>
            <w:hideMark/>
          </w:tcPr>
          <w:p w:rsidRPr="004A3DCA" w:rsidR="004A3DCA" w:rsidP="00846E1B" w:rsidRDefault="004A3DCA" w14:paraId="60CA5E2F" w14:textId="77777777">
            <w:r w:rsidRPr="004A3DCA">
              <w:t>Leverage/creating incentives for others to act</w:t>
            </w:r>
          </w:p>
        </w:tc>
        <w:tc>
          <w:tcPr>
            <w:tcW w:w="5551" w:type="dxa"/>
            <w:hideMark/>
          </w:tcPr>
          <w:p w:rsidRPr="004A3DCA" w:rsidR="004A3DCA" w:rsidP="00846E1B" w:rsidRDefault="004A3DCA" w14:paraId="4E8C1268" w14:textId="1EB216BB">
            <w:r w:rsidRPr="004A3DCA">
              <w:t>Extent to which MAGC encourages replication of finance for green building project costs</w:t>
            </w:r>
          </w:p>
        </w:tc>
      </w:tr>
      <w:tr w:rsidRPr="000C0884" w:rsidR="00A4588C" w:rsidTr="003401BB" w14:paraId="784A742B" w14:textId="77777777">
        <w:trPr>
          <w:trHeight w:val="1290"/>
        </w:trPr>
        <w:tc>
          <w:tcPr>
            <w:tcW w:w="2405" w:type="dxa"/>
            <w:vMerge/>
            <w:hideMark/>
          </w:tcPr>
          <w:p w:rsidRPr="004A3DCA" w:rsidR="004A3DCA" w:rsidP="00846E1B" w:rsidRDefault="004A3DCA" w14:paraId="2FEF3DAB" w14:textId="77777777"/>
        </w:tc>
        <w:tc>
          <w:tcPr>
            <w:tcW w:w="2126" w:type="dxa"/>
            <w:vMerge/>
            <w:hideMark/>
          </w:tcPr>
          <w:p w:rsidRPr="004A3DCA" w:rsidR="004A3DCA" w:rsidP="00846E1B" w:rsidRDefault="004A3DCA" w14:paraId="081D9687" w14:textId="77777777"/>
        </w:tc>
        <w:tc>
          <w:tcPr>
            <w:tcW w:w="5551" w:type="dxa"/>
            <w:hideMark/>
          </w:tcPr>
          <w:p w:rsidRPr="004A3DCA" w:rsidR="004A3DCA" w:rsidP="00846E1B" w:rsidRDefault="004A3DCA" w14:paraId="72245E81" w14:textId="311ED83B">
            <w:r w:rsidRPr="004A3DCA">
              <w:t>Effects on FIs that have committed to MAGC blended finance (in terms of activities, decisions, and understanding of green buildings) - inc. examples</w:t>
            </w:r>
          </w:p>
        </w:tc>
      </w:tr>
      <w:tr w:rsidRPr="000C0884" w:rsidR="00A4588C" w:rsidTr="003401BB" w14:paraId="5F0BF2B9" w14:textId="77777777">
        <w:trPr>
          <w:trHeight w:val="1035"/>
        </w:trPr>
        <w:tc>
          <w:tcPr>
            <w:tcW w:w="2405" w:type="dxa"/>
            <w:vMerge/>
            <w:hideMark/>
          </w:tcPr>
          <w:p w:rsidRPr="004A3DCA" w:rsidR="004A3DCA" w:rsidP="00846E1B" w:rsidRDefault="004A3DCA" w14:paraId="5B5798D2" w14:textId="77777777"/>
        </w:tc>
        <w:tc>
          <w:tcPr>
            <w:tcW w:w="2126" w:type="dxa"/>
            <w:hideMark/>
          </w:tcPr>
          <w:p w:rsidRPr="004A3DCA" w:rsidR="004A3DCA" w:rsidP="00846E1B" w:rsidRDefault="004A3DCA" w14:paraId="4A8E8C3A" w14:textId="77777777">
            <w:r w:rsidRPr="004A3DCA">
              <w:t>Critical mass</w:t>
            </w:r>
          </w:p>
        </w:tc>
        <w:tc>
          <w:tcPr>
            <w:tcW w:w="5551" w:type="dxa"/>
            <w:hideMark/>
          </w:tcPr>
          <w:p w:rsidRPr="004A3DCA" w:rsidR="004A3DCA" w:rsidP="00846E1B" w:rsidRDefault="00846E1B" w14:paraId="59A6620A" w14:textId="075A102D">
            <w:r w:rsidRPr="004A3DCA">
              <w:t>Influence</w:t>
            </w:r>
            <w:r w:rsidRPr="004A3DCA" w:rsidR="004A3DCA">
              <w:t xml:space="preserve"> of MAGC on the entry of additional financial intermediaries into green building markets - inc. examples</w:t>
            </w:r>
          </w:p>
        </w:tc>
      </w:tr>
      <w:tr w:rsidRPr="000C0884" w:rsidR="00846E1B" w:rsidTr="003401BB" w14:paraId="496359F1" w14:textId="77777777">
        <w:trPr>
          <w:trHeight w:val="1035"/>
        </w:trPr>
        <w:tc>
          <w:tcPr>
            <w:tcW w:w="2405" w:type="dxa"/>
            <w:vMerge w:val="restart"/>
            <w:noWrap/>
            <w:hideMark/>
          </w:tcPr>
          <w:p w:rsidRPr="004A3DCA" w:rsidR="004A3DCA" w:rsidP="00846E1B" w:rsidRDefault="004A3DCA" w14:paraId="686B7BEC" w14:textId="7D813758">
            <w:r w:rsidRPr="004A3DCA">
              <w:t>9. What opportunities did arise/were missed during MAGC delivery on Gender Equality and Social Inclusion (</w:t>
            </w:r>
            <w:r w:rsidR="00A5555A">
              <w:t>GEDSI</w:t>
            </w:r>
            <w:r w:rsidRPr="004A3DCA">
              <w:t xml:space="preserve">)? How could we address </w:t>
            </w:r>
            <w:r w:rsidR="00A5555A">
              <w:t>GEDSI</w:t>
            </w:r>
            <w:r w:rsidRPr="004A3DCA">
              <w:t xml:space="preserve"> in future programme design?</w:t>
            </w:r>
          </w:p>
        </w:tc>
        <w:tc>
          <w:tcPr>
            <w:tcW w:w="2126" w:type="dxa"/>
            <w:vMerge w:val="restart"/>
            <w:noWrap/>
            <w:hideMark/>
          </w:tcPr>
          <w:p w:rsidRPr="004A3DCA" w:rsidR="004A3DCA" w:rsidP="00846E1B" w:rsidRDefault="004A3DCA" w14:paraId="7E7DE8F8" w14:textId="77777777">
            <w:r w:rsidRPr="004A3DCA">
              <w:t>Delivery</w:t>
            </w:r>
          </w:p>
        </w:tc>
        <w:tc>
          <w:tcPr>
            <w:tcW w:w="5551" w:type="dxa"/>
            <w:hideMark/>
          </w:tcPr>
          <w:p w:rsidRPr="004A3DCA" w:rsidR="004A3DCA" w:rsidP="00846E1B" w:rsidRDefault="004A3DCA" w14:paraId="3F5F62F0" w14:textId="252B3F6D">
            <w:r w:rsidRPr="004A3DCA">
              <w:t xml:space="preserve">Green buildings and GEDSI: </w:t>
            </w:r>
            <w:r w:rsidRPr="004A3DCA" w:rsidR="00846E1B">
              <w:t>groups impacted</w:t>
            </w:r>
            <w:r w:rsidRPr="004A3DCA">
              <w:t xml:space="preserve"> by GC (positively and negatively, intended or unintended)</w:t>
            </w:r>
          </w:p>
        </w:tc>
      </w:tr>
      <w:tr w:rsidRPr="000C0884" w:rsidR="00A4588C" w:rsidTr="003401BB" w14:paraId="2FAEB048" w14:textId="77777777">
        <w:trPr>
          <w:trHeight w:val="780"/>
        </w:trPr>
        <w:tc>
          <w:tcPr>
            <w:tcW w:w="2405" w:type="dxa"/>
            <w:vMerge/>
            <w:hideMark/>
          </w:tcPr>
          <w:p w:rsidRPr="004A3DCA" w:rsidR="004A3DCA" w:rsidP="00846E1B" w:rsidRDefault="004A3DCA" w14:paraId="037E5AB5" w14:textId="77777777"/>
        </w:tc>
        <w:tc>
          <w:tcPr>
            <w:tcW w:w="2126" w:type="dxa"/>
            <w:vMerge/>
            <w:hideMark/>
          </w:tcPr>
          <w:p w:rsidRPr="004A3DCA" w:rsidR="004A3DCA" w:rsidP="00846E1B" w:rsidRDefault="004A3DCA" w14:paraId="216A714D" w14:textId="77777777"/>
        </w:tc>
        <w:tc>
          <w:tcPr>
            <w:tcW w:w="5551" w:type="dxa"/>
            <w:hideMark/>
          </w:tcPr>
          <w:p w:rsidRPr="004A3DCA" w:rsidR="004A3DCA" w:rsidP="00846E1B" w:rsidRDefault="004A3DCA" w14:paraId="0B895C82" w14:textId="072D1177">
            <w:r w:rsidRPr="004A3DCA">
              <w:t xml:space="preserve">Unintended benefits of MAGC to GEDSI, and whether MAGC helped/prevented them from </w:t>
            </w:r>
            <w:r w:rsidRPr="004A3DCA" w:rsidR="00846E1B">
              <w:t>occurring</w:t>
            </w:r>
          </w:p>
        </w:tc>
      </w:tr>
      <w:tr w:rsidRPr="000C0884" w:rsidR="00A4588C" w:rsidTr="003401BB" w14:paraId="539151EC" w14:textId="77777777">
        <w:trPr>
          <w:trHeight w:val="1035"/>
        </w:trPr>
        <w:tc>
          <w:tcPr>
            <w:tcW w:w="2405" w:type="dxa"/>
            <w:vMerge/>
            <w:hideMark/>
          </w:tcPr>
          <w:p w:rsidRPr="004A3DCA" w:rsidR="004A3DCA" w:rsidP="00846E1B" w:rsidRDefault="004A3DCA" w14:paraId="5BAD97D1" w14:textId="77777777"/>
        </w:tc>
        <w:tc>
          <w:tcPr>
            <w:tcW w:w="2126" w:type="dxa"/>
            <w:vMerge/>
            <w:hideMark/>
          </w:tcPr>
          <w:p w:rsidRPr="004A3DCA" w:rsidR="004A3DCA" w:rsidP="00846E1B" w:rsidRDefault="004A3DCA" w14:paraId="2DA608B7" w14:textId="77777777"/>
        </w:tc>
        <w:tc>
          <w:tcPr>
            <w:tcW w:w="5551" w:type="dxa"/>
            <w:hideMark/>
          </w:tcPr>
          <w:p w:rsidRPr="004A3DCA" w:rsidR="004A3DCA" w:rsidP="00846E1B" w:rsidRDefault="004A3DCA" w14:paraId="55A91B83" w14:textId="6703C60A">
            <w:r w:rsidRPr="004A3DCA">
              <w:t>External factors contributing to GEDSI benefits observed, barriers &amp; enablers to realisation of positive benefits</w:t>
            </w:r>
          </w:p>
        </w:tc>
      </w:tr>
      <w:tr w:rsidRPr="000C0884" w:rsidR="00A4588C" w:rsidTr="003401BB" w14:paraId="3A787567" w14:textId="77777777">
        <w:trPr>
          <w:trHeight w:val="780"/>
        </w:trPr>
        <w:tc>
          <w:tcPr>
            <w:tcW w:w="2405" w:type="dxa"/>
            <w:vMerge/>
            <w:hideMark/>
          </w:tcPr>
          <w:p w:rsidRPr="004A3DCA" w:rsidR="004A3DCA" w:rsidP="00846E1B" w:rsidRDefault="004A3DCA" w14:paraId="0900A2B4" w14:textId="77777777"/>
        </w:tc>
        <w:tc>
          <w:tcPr>
            <w:tcW w:w="2126" w:type="dxa"/>
            <w:vMerge/>
            <w:hideMark/>
          </w:tcPr>
          <w:p w:rsidRPr="004A3DCA" w:rsidR="004A3DCA" w:rsidP="00846E1B" w:rsidRDefault="004A3DCA" w14:paraId="786E904E" w14:textId="77777777"/>
        </w:tc>
        <w:tc>
          <w:tcPr>
            <w:tcW w:w="5551" w:type="dxa"/>
            <w:hideMark/>
          </w:tcPr>
          <w:p w:rsidRPr="004A3DCA" w:rsidR="004A3DCA" w:rsidP="00846E1B" w:rsidRDefault="004A3DCA" w14:paraId="44A2F406" w14:textId="16D1563C">
            <w:r w:rsidRPr="004A3DCA">
              <w:t xml:space="preserve">EDGE expert certification: benefits to women and marginalised </w:t>
            </w:r>
            <w:r w:rsidRPr="004A3DCA" w:rsidR="00846E1B">
              <w:t>groups</w:t>
            </w:r>
            <w:r w:rsidRPr="004A3DCA">
              <w:t xml:space="preserve"> from the accreditation</w:t>
            </w:r>
          </w:p>
        </w:tc>
      </w:tr>
      <w:tr w:rsidRPr="000C0884" w:rsidR="00A4588C" w:rsidTr="003401BB" w14:paraId="49BF2763" w14:textId="77777777">
        <w:trPr>
          <w:trHeight w:val="780"/>
        </w:trPr>
        <w:tc>
          <w:tcPr>
            <w:tcW w:w="2405" w:type="dxa"/>
            <w:vMerge/>
            <w:hideMark/>
          </w:tcPr>
          <w:p w:rsidRPr="004A3DCA" w:rsidR="004A3DCA" w:rsidP="00846E1B" w:rsidRDefault="004A3DCA" w14:paraId="3A3CC77C" w14:textId="77777777"/>
        </w:tc>
        <w:tc>
          <w:tcPr>
            <w:tcW w:w="2126" w:type="dxa"/>
            <w:vMerge w:val="restart"/>
            <w:noWrap/>
            <w:hideMark/>
          </w:tcPr>
          <w:p w:rsidRPr="004A3DCA" w:rsidR="004A3DCA" w:rsidP="00846E1B" w:rsidRDefault="004A3DCA" w14:paraId="48BDBC6F" w14:textId="77777777">
            <w:r w:rsidRPr="004A3DCA">
              <w:t>Future programme design</w:t>
            </w:r>
          </w:p>
        </w:tc>
        <w:tc>
          <w:tcPr>
            <w:tcW w:w="5551" w:type="dxa"/>
            <w:hideMark/>
          </w:tcPr>
          <w:p w:rsidRPr="004A3DCA" w:rsidR="004A3DCA" w:rsidP="00846E1B" w:rsidRDefault="004A3DCA" w14:paraId="31F2C6BE" w14:textId="4E607C56">
            <w:r w:rsidRPr="004A3DCA">
              <w:t>Current processes to capture/share learning, and plans for additional indicators Logframe</w:t>
            </w:r>
          </w:p>
        </w:tc>
      </w:tr>
      <w:tr w:rsidRPr="000C0884" w:rsidR="00A4588C" w:rsidTr="003401BB" w14:paraId="3D1324AA" w14:textId="77777777">
        <w:trPr>
          <w:trHeight w:val="1035"/>
        </w:trPr>
        <w:tc>
          <w:tcPr>
            <w:tcW w:w="2405" w:type="dxa"/>
            <w:vMerge/>
            <w:hideMark/>
          </w:tcPr>
          <w:p w:rsidRPr="004A3DCA" w:rsidR="004A3DCA" w:rsidP="00846E1B" w:rsidRDefault="004A3DCA" w14:paraId="4556DBEE" w14:textId="77777777"/>
        </w:tc>
        <w:tc>
          <w:tcPr>
            <w:tcW w:w="2126" w:type="dxa"/>
            <w:vMerge/>
            <w:hideMark/>
          </w:tcPr>
          <w:p w:rsidRPr="004A3DCA" w:rsidR="004A3DCA" w:rsidP="00846E1B" w:rsidRDefault="004A3DCA" w14:paraId="30400092" w14:textId="77777777"/>
        </w:tc>
        <w:tc>
          <w:tcPr>
            <w:tcW w:w="5551" w:type="dxa"/>
            <w:hideMark/>
          </w:tcPr>
          <w:p w:rsidRPr="004A3DCA" w:rsidR="004A3DCA" w:rsidP="00846E1B" w:rsidRDefault="004A3DCA" w14:paraId="2262A2FA" w14:textId="668EE10E">
            <w:r w:rsidRPr="004A3DCA">
              <w:t xml:space="preserve">Feasibility of including GEDSI as key aim of programme, Role of different stakeholders, </w:t>
            </w:r>
            <w:proofErr w:type="gramStart"/>
            <w:r w:rsidRPr="004A3DCA">
              <w:t>Suggested</w:t>
            </w:r>
            <w:proofErr w:type="gramEnd"/>
            <w:r w:rsidRPr="004A3DCA">
              <w:t xml:space="preserve"> indicators to use</w:t>
            </w:r>
          </w:p>
        </w:tc>
      </w:tr>
      <w:tr w:rsidRPr="000C0884" w:rsidR="003401BB" w:rsidTr="003401BB" w14:paraId="2280D427" w14:textId="77777777">
        <w:trPr>
          <w:trHeight w:val="780"/>
        </w:trPr>
        <w:tc>
          <w:tcPr>
            <w:tcW w:w="4531" w:type="dxa"/>
            <w:gridSpan w:val="2"/>
            <w:vMerge w:val="restart"/>
            <w:noWrap/>
            <w:hideMark/>
          </w:tcPr>
          <w:p w:rsidRPr="004A3DCA" w:rsidR="00846E1B" w:rsidP="00846E1B" w:rsidRDefault="00846E1B" w14:paraId="7881A91F" w14:textId="675AF586">
            <w:r w:rsidRPr="004A3DCA">
              <w:t>8. To what extent is MAGC investment providing Value for Money for HMG?</w:t>
            </w:r>
          </w:p>
          <w:p w:rsidRPr="004A3DCA" w:rsidR="00846E1B" w:rsidP="00846E1B" w:rsidRDefault="00846E1B" w14:paraId="21420AC4" w14:textId="77777777">
            <w:r w:rsidRPr="004A3DCA">
              <w:t> </w:t>
            </w:r>
          </w:p>
          <w:p w:rsidRPr="004A3DCA" w:rsidR="00846E1B" w:rsidP="00846E1B" w:rsidRDefault="00846E1B" w14:paraId="1B75B951" w14:textId="7DA3C875">
            <w:r w:rsidRPr="004A3DCA">
              <w:t> </w:t>
            </w:r>
          </w:p>
        </w:tc>
        <w:tc>
          <w:tcPr>
            <w:tcW w:w="5551" w:type="dxa"/>
            <w:hideMark/>
          </w:tcPr>
          <w:p w:rsidRPr="004A3DCA" w:rsidR="00846E1B" w:rsidP="00846E1B" w:rsidRDefault="00846E1B" w14:paraId="0E5308AF" w14:textId="3BFB21EC">
            <w:r w:rsidRPr="004A3DCA">
              <w:t>Efforts to keep costs at reasonable levels when delivering under MAGC</w:t>
            </w:r>
          </w:p>
        </w:tc>
      </w:tr>
      <w:tr w:rsidRPr="000C0884" w:rsidR="003401BB" w:rsidTr="003401BB" w14:paraId="31D060E2" w14:textId="77777777">
        <w:trPr>
          <w:trHeight w:val="1035"/>
        </w:trPr>
        <w:tc>
          <w:tcPr>
            <w:tcW w:w="4531" w:type="dxa"/>
            <w:gridSpan w:val="2"/>
            <w:vMerge/>
            <w:hideMark/>
          </w:tcPr>
          <w:p w:rsidRPr="004A3DCA" w:rsidR="00846E1B" w:rsidP="00846E1B" w:rsidRDefault="00846E1B" w14:paraId="14AC7665" w14:textId="0B14F61C"/>
        </w:tc>
        <w:tc>
          <w:tcPr>
            <w:tcW w:w="5551" w:type="dxa"/>
            <w:hideMark/>
          </w:tcPr>
          <w:p w:rsidRPr="004A3DCA" w:rsidR="00846E1B" w:rsidP="00846E1B" w:rsidRDefault="00846E1B" w14:paraId="3746CA6C" w14:textId="3BC2D1E5">
            <w:r w:rsidRPr="004A3DCA">
              <w:t>Processes are in place to track/review costs and progress against milestones and their effectiveness</w:t>
            </w:r>
          </w:p>
        </w:tc>
      </w:tr>
      <w:tr w:rsidRPr="000C0884" w:rsidR="003401BB" w:rsidTr="003401BB" w14:paraId="54FDF406" w14:textId="77777777">
        <w:trPr>
          <w:trHeight w:val="780"/>
        </w:trPr>
        <w:tc>
          <w:tcPr>
            <w:tcW w:w="4531" w:type="dxa"/>
            <w:gridSpan w:val="2"/>
            <w:vMerge/>
            <w:hideMark/>
          </w:tcPr>
          <w:p w:rsidRPr="004A3DCA" w:rsidR="00846E1B" w:rsidP="00846E1B" w:rsidRDefault="00846E1B" w14:paraId="7E4A64A8" w14:textId="69A7ACFD"/>
        </w:tc>
        <w:tc>
          <w:tcPr>
            <w:tcW w:w="5551" w:type="dxa"/>
            <w:hideMark/>
          </w:tcPr>
          <w:p w:rsidRPr="004A3DCA" w:rsidR="00846E1B" w:rsidP="00846E1B" w:rsidRDefault="00846E1B" w14:paraId="07048F66" w14:textId="0E144C61">
            <w:r w:rsidRPr="004A3DCA">
              <w:t>Best practices from other programmes that could be used in MAGC</w:t>
            </w:r>
          </w:p>
        </w:tc>
      </w:tr>
      <w:tr w:rsidRPr="000C0884" w:rsidR="003401BB" w:rsidTr="003401BB" w14:paraId="31B70EDF" w14:textId="77777777">
        <w:trPr>
          <w:trHeight w:val="300"/>
        </w:trPr>
        <w:tc>
          <w:tcPr>
            <w:tcW w:w="4531" w:type="dxa"/>
            <w:gridSpan w:val="2"/>
            <w:vMerge w:val="restart"/>
            <w:noWrap/>
            <w:hideMark/>
          </w:tcPr>
          <w:p w:rsidRPr="004A3DCA" w:rsidR="00846E1B" w:rsidP="00846E1B" w:rsidRDefault="00846E1B" w14:paraId="4205D818" w14:textId="2C512B82">
            <w:r w:rsidRPr="004A3DCA">
              <w:t>Other comments</w:t>
            </w:r>
          </w:p>
        </w:tc>
        <w:tc>
          <w:tcPr>
            <w:tcW w:w="5551" w:type="dxa"/>
            <w:hideMark/>
          </w:tcPr>
          <w:p w:rsidRPr="004A3DCA" w:rsidR="00846E1B" w:rsidP="00846E1B" w:rsidRDefault="00846E1B" w14:paraId="753FF56B" w14:textId="77777777">
            <w:r w:rsidRPr="004A3DCA">
              <w:t>…from interviewee</w:t>
            </w:r>
          </w:p>
        </w:tc>
      </w:tr>
      <w:tr w:rsidRPr="000C0884" w:rsidR="003401BB" w:rsidTr="003401BB" w14:paraId="1B33551B" w14:textId="77777777">
        <w:trPr>
          <w:trHeight w:val="300"/>
        </w:trPr>
        <w:tc>
          <w:tcPr>
            <w:tcW w:w="4531" w:type="dxa"/>
            <w:gridSpan w:val="2"/>
            <w:vMerge/>
            <w:hideMark/>
          </w:tcPr>
          <w:p w:rsidRPr="004A3DCA" w:rsidR="00846E1B" w:rsidP="00846E1B" w:rsidRDefault="00846E1B" w14:paraId="75C5D5A9" w14:textId="794EFD19"/>
        </w:tc>
        <w:tc>
          <w:tcPr>
            <w:tcW w:w="5551" w:type="dxa"/>
            <w:hideMark/>
          </w:tcPr>
          <w:p w:rsidRPr="004A3DCA" w:rsidR="00846E1B" w:rsidP="00846E1B" w:rsidRDefault="00846E1B" w14:paraId="41A2BCD7" w14:textId="77777777">
            <w:r w:rsidRPr="004A3DCA">
              <w:t>…from interviewer</w:t>
            </w:r>
          </w:p>
        </w:tc>
      </w:tr>
    </w:tbl>
    <w:p w:rsidR="003401BB" w:rsidP="003401BB" w:rsidRDefault="003401BB" w14:paraId="4B696969" w14:textId="77777777">
      <w:bookmarkStart w:name="_Toc179468570" w:id="171"/>
    </w:p>
    <w:p w:rsidR="004A3DCA" w:rsidP="00EA1E4E" w:rsidRDefault="004A3DCA" w14:paraId="1B54ADD9" w14:textId="25FDB4FE">
      <w:pPr>
        <w:pStyle w:val="Heading3"/>
      </w:pPr>
      <w:bookmarkStart w:name="_Toc179474020" w:id="172"/>
      <w:bookmarkStart w:name="_Toc181883604" w:id="173"/>
      <w:bookmarkStart w:name="_Toc188870888" w:id="174"/>
      <w:bookmarkStart w:name="_Toc207790227" w:id="175"/>
      <w:r>
        <w:t>External stakeholders (T2 &amp; T3)</w:t>
      </w:r>
      <w:bookmarkEnd w:id="171"/>
      <w:bookmarkEnd w:id="172"/>
      <w:bookmarkEnd w:id="173"/>
      <w:bookmarkEnd w:id="174"/>
      <w:bookmarkEnd w:id="175"/>
    </w:p>
    <w:p w:rsidRPr="00E13638" w:rsidR="006F5E42" w:rsidP="00E13638" w:rsidRDefault="006F5E42" w14:paraId="7E8DBB56" w14:textId="54119F96">
      <w:pPr>
        <w:rPr>
          <w:b/>
          <w:bCs/>
        </w:rPr>
      </w:pPr>
      <w:r>
        <w:rPr>
          <w:b/>
          <w:bCs/>
        </w:rPr>
        <w:t>Table 15. External stakeholders analysis grid</w:t>
      </w:r>
    </w:p>
    <w:tbl>
      <w:tblPr>
        <w:tblStyle w:val="Table-Darkblue"/>
        <w:tblW w:w="10087" w:type="dxa"/>
        <w:tblLayout w:type="fixed"/>
        <w:tblLook w:val="0400" w:firstRow="0" w:lastRow="0" w:firstColumn="0" w:lastColumn="0" w:noHBand="0" w:noVBand="1"/>
      </w:tblPr>
      <w:tblGrid>
        <w:gridCol w:w="1980"/>
        <w:gridCol w:w="1843"/>
        <w:gridCol w:w="6264"/>
      </w:tblGrid>
      <w:tr w:rsidRPr="000C0884" w:rsidR="004A3DCA" w:rsidTr="00A4588C" w14:paraId="592D19BA" w14:textId="77777777">
        <w:trPr>
          <w:trHeight w:val="510"/>
        </w:trPr>
        <w:tc>
          <w:tcPr>
            <w:tcW w:w="3823" w:type="dxa"/>
            <w:gridSpan w:val="2"/>
            <w:vMerge w:val="restart"/>
            <w:noWrap/>
            <w:hideMark/>
          </w:tcPr>
          <w:p w:rsidRPr="004A3DCA" w:rsidR="004A3DCA" w:rsidP="004A3DCA" w:rsidRDefault="004A3DCA" w14:paraId="1A9E2AC9" w14:textId="77777777">
            <w:r w:rsidRPr="004A3DCA">
              <w:t>Interview information</w:t>
            </w:r>
          </w:p>
        </w:tc>
        <w:tc>
          <w:tcPr>
            <w:tcW w:w="6264" w:type="dxa"/>
            <w:hideMark/>
          </w:tcPr>
          <w:p w:rsidRPr="004A3DCA" w:rsidR="004A3DCA" w:rsidP="004A3DCA" w:rsidRDefault="004A3DCA" w14:paraId="40DC2967" w14:textId="77777777">
            <w:r w:rsidRPr="004A3DCA">
              <w:t>Interview ID</w:t>
            </w:r>
          </w:p>
        </w:tc>
      </w:tr>
      <w:tr w:rsidRPr="000C0884" w:rsidR="004A3DCA" w:rsidTr="00A4588C" w14:paraId="10EADB56" w14:textId="77777777">
        <w:trPr>
          <w:trHeight w:val="510"/>
        </w:trPr>
        <w:tc>
          <w:tcPr>
            <w:tcW w:w="3823" w:type="dxa"/>
            <w:gridSpan w:val="2"/>
            <w:vMerge/>
            <w:hideMark/>
          </w:tcPr>
          <w:p w:rsidRPr="004A3DCA" w:rsidR="004A3DCA" w:rsidP="004A3DCA" w:rsidRDefault="004A3DCA" w14:paraId="3240CF16" w14:textId="77777777"/>
        </w:tc>
        <w:tc>
          <w:tcPr>
            <w:tcW w:w="6264" w:type="dxa"/>
            <w:hideMark/>
          </w:tcPr>
          <w:p w:rsidRPr="004A3DCA" w:rsidR="004A3DCA" w:rsidP="004A3DCA" w:rsidRDefault="004A3DCA" w14:paraId="7B5542A6" w14:textId="77777777">
            <w:r w:rsidRPr="004A3DCA">
              <w:t>Interviewer</w:t>
            </w:r>
          </w:p>
        </w:tc>
      </w:tr>
      <w:tr w:rsidRPr="000C0884" w:rsidR="004A3DCA" w:rsidTr="00A4588C" w14:paraId="57735626" w14:textId="77777777">
        <w:trPr>
          <w:trHeight w:val="20"/>
        </w:trPr>
        <w:tc>
          <w:tcPr>
            <w:tcW w:w="3823" w:type="dxa"/>
            <w:gridSpan w:val="2"/>
            <w:vMerge/>
            <w:hideMark/>
          </w:tcPr>
          <w:p w:rsidRPr="004A3DCA" w:rsidR="004A3DCA" w:rsidP="004A3DCA" w:rsidRDefault="004A3DCA" w14:paraId="1CED1DA1" w14:textId="77777777"/>
        </w:tc>
        <w:tc>
          <w:tcPr>
            <w:tcW w:w="6264" w:type="dxa"/>
            <w:hideMark/>
          </w:tcPr>
          <w:p w:rsidRPr="004A3DCA" w:rsidR="004A3DCA" w:rsidP="004A3DCA" w:rsidRDefault="004A3DCA" w14:paraId="4F96637B" w14:textId="77777777">
            <w:r w:rsidRPr="004A3DCA">
              <w:t>Link to notes or transcript</w:t>
            </w:r>
          </w:p>
        </w:tc>
      </w:tr>
      <w:tr w:rsidRPr="000C0884" w:rsidR="004A3DCA" w:rsidTr="00A4588C" w14:paraId="1C86C688" w14:textId="77777777">
        <w:trPr>
          <w:trHeight w:val="300"/>
        </w:trPr>
        <w:tc>
          <w:tcPr>
            <w:tcW w:w="3823" w:type="dxa"/>
            <w:gridSpan w:val="2"/>
            <w:vMerge/>
            <w:hideMark/>
          </w:tcPr>
          <w:p w:rsidRPr="004A3DCA" w:rsidR="004A3DCA" w:rsidP="004A3DCA" w:rsidRDefault="004A3DCA" w14:paraId="7EBCE24B" w14:textId="77777777"/>
        </w:tc>
        <w:tc>
          <w:tcPr>
            <w:tcW w:w="6264" w:type="dxa"/>
            <w:hideMark/>
          </w:tcPr>
          <w:p w:rsidRPr="004A3DCA" w:rsidR="004A3DCA" w:rsidP="004A3DCA" w:rsidRDefault="004A3DCA" w14:paraId="2F424611" w14:textId="77777777">
            <w:r w:rsidRPr="004A3DCA">
              <w:t>Level</w:t>
            </w:r>
          </w:p>
        </w:tc>
      </w:tr>
      <w:tr w:rsidRPr="000C0884" w:rsidR="004A3DCA" w:rsidTr="00A4588C" w14:paraId="58161B41" w14:textId="77777777">
        <w:trPr>
          <w:trHeight w:val="300"/>
        </w:trPr>
        <w:tc>
          <w:tcPr>
            <w:tcW w:w="3823" w:type="dxa"/>
            <w:gridSpan w:val="2"/>
            <w:vMerge/>
            <w:hideMark/>
          </w:tcPr>
          <w:p w:rsidRPr="004A3DCA" w:rsidR="004A3DCA" w:rsidP="004A3DCA" w:rsidRDefault="004A3DCA" w14:paraId="797B0667" w14:textId="77777777"/>
        </w:tc>
        <w:tc>
          <w:tcPr>
            <w:tcW w:w="6264" w:type="dxa"/>
            <w:hideMark/>
          </w:tcPr>
          <w:p w:rsidRPr="004A3DCA" w:rsidR="004A3DCA" w:rsidP="004A3DCA" w:rsidRDefault="004A3DCA" w14:paraId="7FB183B1" w14:textId="77777777">
            <w:r w:rsidRPr="004A3DCA">
              <w:t>Country</w:t>
            </w:r>
          </w:p>
        </w:tc>
      </w:tr>
      <w:tr w:rsidRPr="000C0884" w:rsidR="004A3DCA" w:rsidTr="00A4588C" w14:paraId="3E509AEE" w14:textId="77777777">
        <w:trPr>
          <w:trHeight w:val="300"/>
        </w:trPr>
        <w:tc>
          <w:tcPr>
            <w:tcW w:w="3823" w:type="dxa"/>
            <w:gridSpan w:val="2"/>
            <w:vMerge w:val="restart"/>
            <w:noWrap/>
            <w:hideMark/>
          </w:tcPr>
          <w:p w:rsidRPr="004A3DCA" w:rsidR="004A3DCA" w:rsidP="004A3DCA" w:rsidRDefault="004A3DCA" w14:paraId="6320737D" w14:textId="77777777">
            <w:r w:rsidRPr="004A3DCA">
              <w:t>Stakeholder information</w:t>
            </w:r>
          </w:p>
        </w:tc>
        <w:tc>
          <w:tcPr>
            <w:tcW w:w="6264" w:type="dxa"/>
            <w:hideMark/>
          </w:tcPr>
          <w:p w:rsidRPr="004A3DCA" w:rsidR="004A3DCA" w:rsidP="004A3DCA" w:rsidRDefault="004A3DCA" w14:paraId="6EFB6B4F" w14:textId="77777777">
            <w:r w:rsidRPr="004A3DCA">
              <w:t>Stakeholder type</w:t>
            </w:r>
          </w:p>
        </w:tc>
      </w:tr>
      <w:tr w:rsidRPr="000C0884" w:rsidR="004A3DCA" w:rsidTr="00A4588C" w14:paraId="2837E202" w14:textId="77777777">
        <w:trPr>
          <w:trHeight w:val="300"/>
        </w:trPr>
        <w:tc>
          <w:tcPr>
            <w:tcW w:w="3823" w:type="dxa"/>
            <w:gridSpan w:val="2"/>
            <w:vMerge/>
            <w:hideMark/>
          </w:tcPr>
          <w:p w:rsidRPr="004A3DCA" w:rsidR="004A3DCA" w:rsidP="004A3DCA" w:rsidRDefault="004A3DCA" w14:paraId="35545F39" w14:textId="77777777"/>
        </w:tc>
        <w:tc>
          <w:tcPr>
            <w:tcW w:w="6264" w:type="dxa"/>
            <w:hideMark/>
          </w:tcPr>
          <w:p w:rsidRPr="004A3DCA" w:rsidR="004A3DCA" w:rsidP="004A3DCA" w:rsidRDefault="004A3DCA" w14:paraId="00D5E17B" w14:textId="77777777">
            <w:r w:rsidRPr="004A3DCA">
              <w:t>Organisation</w:t>
            </w:r>
          </w:p>
        </w:tc>
      </w:tr>
      <w:tr w:rsidRPr="000C0884" w:rsidR="004A3DCA" w:rsidTr="00A4588C" w14:paraId="1F74C342" w14:textId="77777777">
        <w:trPr>
          <w:trHeight w:val="765"/>
        </w:trPr>
        <w:tc>
          <w:tcPr>
            <w:tcW w:w="3823" w:type="dxa"/>
            <w:gridSpan w:val="2"/>
            <w:vMerge/>
            <w:hideMark/>
          </w:tcPr>
          <w:p w:rsidRPr="004A3DCA" w:rsidR="004A3DCA" w:rsidP="004A3DCA" w:rsidRDefault="004A3DCA" w14:paraId="02E634A8" w14:textId="77777777"/>
        </w:tc>
        <w:tc>
          <w:tcPr>
            <w:tcW w:w="6264" w:type="dxa"/>
            <w:hideMark/>
          </w:tcPr>
          <w:p w:rsidRPr="004A3DCA" w:rsidR="004A3DCA" w:rsidP="004A3DCA" w:rsidRDefault="004A3DCA" w14:paraId="547ECC69" w14:textId="77777777">
            <w:r w:rsidRPr="004A3DCA">
              <w:t xml:space="preserve">MAGC involvement: support received </w:t>
            </w:r>
            <w:r w:rsidRPr="004A3DCA">
              <w:br/>
            </w:r>
            <w:r w:rsidRPr="004A3DCA">
              <w:t>(Y/N, if Y explain)</w:t>
            </w:r>
          </w:p>
        </w:tc>
      </w:tr>
      <w:tr w:rsidRPr="000C0884" w:rsidR="004A3DCA" w:rsidTr="00A4588C" w14:paraId="60B993BF" w14:textId="77777777">
        <w:trPr>
          <w:trHeight w:val="765"/>
        </w:trPr>
        <w:tc>
          <w:tcPr>
            <w:tcW w:w="3823" w:type="dxa"/>
            <w:gridSpan w:val="2"/>
            <w:vMerge/>
            <w:hideMark/>
          </w:tcPr>
          <w:p w:rsidRPr="004A3DCA" w:rsidR="004A3DCA" w:rsidP="004A3DCA" w:rsidRDefault="004A3DCA" w14:paraId="5D738B60" w14:textId="77777777"/>
        </w:tc>
        <w:tc>
          <w:tcPr>
            <w:tcW w:w="6264" w:type="dxa"/>
            <w:hideMark/>
          </w:tcPr>
          <w:p w:rsidRPr="004A3DCA" w:rsidR="004A3DCA" w:rsidP="004A3DCA" w:rsidRDefault="004A3DCA" w14:paraId="34B6B7E5" w14:textId="77777777">
            <w:r w:rsidRPr="004A3DCA">
              <w:t>Role of interviewee and involvement in green construction</w:t>
            </w:r>
          </w:p>
        </w:tc>
      </w:tr>
      <w:tr w:rsidRPr="000C0884" w:rsidR="00846E1B" w:rsidTr="00A4588C" w14:paraId="7D64CD31" w14:textId="77777777">
        <w:trPr>
          <w:trHeight w:val="510"/>
        </w:trPr>
        <w:tc>
          <w:tcPr>
            <w:tcW w:w="3823" w:type="dxa"/>
            <w:gridSpan w:val="2"/>
            <w:noWrap/>
            <w:hideMark/>
          </w:tcPr>
          <w:p w:rsidRPr="004A3DCA" w:rsidR="00846E1B" w:rsidP="004A3DCA" w:rsidRDefault="00846E1B" w14:paraId="4406E3D5" w14:textId="14FA6B24">
            <w:r w:rsidRPr="004A3DCA">
              <w:t>Evaluation</w:t>
            </w:r>
            <w:r>
              <w:t xml:space="preserve"> questions</w:t>
            </w:r>
          </w:p>
        </w:tc>
        <w:tc>
          <w:tcPr>
            <w:tcW w:w="6264" w:type="dxa"/>
            <w:hideMark/>
          </w:tcPr>
          <w:p w:rsidRPr="004A3DCA" w:rsidR="00846E1B" w:rsidP="004A3DCA" w:rsidRDefault="00846E1B" w14:paraId="575F4848" w14:textId="613535A9">
            <w:r w:rsidRPr="004A3DCA">
              <w:t>Lines of enquiry/</w:t>
            </w:r>
            <w:r w:rsidR="00DD3244">
              <w:t>topic</w:t>
            </w:r>
            <w:r w:rsidRPr="004A3DCA" w:rsidR="005C1EF2">
              <w:t xml:space="preserve"> </w:t>
            </w:r>
            <w:r w:rsidRPr="004A3DCA">
              <w:t>guide questions</w:t>
            </w:r>
          </w:p>
        </w:tc>
      </w:tr>
      <w:tr w:rsidRPr="000C0884" w:rsidR="00846E1B" w:rsidTr="00A4588C" w14:paraId="3BACBC91" w14:textId="77777777">
        <w:trPr>
          <w:trHeight w:val="20"/>
        </w:trPr>
        <w:tc>
          <w:tcPr>
            <w:tcW w:w="3823" w:type="dxa"/>
            <w:gridSpan w:val="2"/>
            <w:vMerge w:val="restart"/>
            <w:noWrap/>
            <w:hideMark/>
          </w:tcPr>
          <w:p w:rsidRPr="004A3DCA" w:rsidR="00846E1B" w:rsidP="00846E1B" w:rsidRDefault="00846E1B" w14:paraId="473B997D" w14:textId="556033A6">
            <w:r w:rsidRPr="004A3DCA">
              <w:t>Background &amp; MAGC delivery </w:t>
            </w:r>
          </w:p>
        </w:tc>
        <w:tc>
          <w:tcPr>
            <w:tcW w:w="6264" w:type="dxa"/>
            <w:hideMark/>
          </w:tcPr>
          <w:p w:rsidRPr="004A3DCA" w:rsidR="00846E1B" w:rsidP="004A3DCA" w:rsidRDefault="00846E1B" w14:paraId="547C3291" w14:textId="7309E479">
            <w:r w:rsidRPr="004A3DCA">
              <w:t>Main barriers &amp; enablers to green building investment</w:t>
            </w:r>
          </w:p>
        </w:tc>
      </w:tr>
      <w:tr w:rsidRPr="000C0884" w:rsidR="00846E1B" w:rsidTr="00A4588C" w14:paraId="1F2FF4BE" w14:textId="77777777">
        <w:trPr>
          <w:trHeight w:val="635"/>
        </w:trPr>
        <w:tc>
          <w:tcPr>
            <w:tcW w:w="3823" w:type="dxa"/>
            <w:gridSpan w:val="2"/>
            <w:vMerge/>
            <w:hideMark/>
          </w:tcPr>
          <w:p w:rsidRPr="004A3DCA" w:rsidR="00846E1B" w:rsidP="004A3DCA" w:rsidRDefault="00846E1B" w14:paraId="3E72D55C" w14:textId="2D5D2161"/>
        </w:tc>
        <w:tc>
          <w:tcPr>
            <w:tcW w:w="6264" w:type="dxa"/>
            <w:hideMark/>
          </w:tcPr>
          <w:p w:rsidRPr="004A3DCA" w:rsidR="00846E1B" w:rsidP="004A3DCA" w:rsidRDefault="00846E1B" w14:paraId="566FEEFB" w14:textId="5325E13E">
            <w:r w:rsidRPr="004A3DCA">
              <w:t>Key challenges faced in GC by:</w:t>
            </w:r>
            <w:r w:rsidRPr="004A3DCA">
              <w:br/>
            </w:r>
            <w:r w:rsidRPr="004A3DCA">
              <w:t>- FIs</w:t>
            </w:r>
            <w:r w:rsidRPr="004A3DCA">
              <w:br/>
            </w:r>
            <w:r w:rsidRPr="004A3DCA">
              <w:t>- building sector stakeholders</w:t>
            </w:r>
            <w:r w:rsidRPr="004A3DCA">
              <w:br/>
            </w:r>
            <w:r w:rsidRPr="004A3DCA">
              <w:t>- policymakers/ regulators</w:t>
            </w:r>
          </w:p>
        </w:tc>
      </w:tr>
      <w:tr w:rsidRPr="000C0884" w:rsidR="00A4588C" w:rsidTr="00A4588C" w14:paraId="3D48E19A" w14:textId="77777777">
        <w:trPr>
          <w:trHeight w:val="904"/>
        </w:trPr>
        <w:tc>
          <w:tcPr>
            <w:tcW w:w="1980" w:type="dxa"/>
            <w:vMerge w:val="restart"/>
            <w:noWrap/>
            <w:hideMark/>
          </w:tcPr>
          <w:p w:rsidRPr="004A3DCA" w:rsidR="00A4588C" w:rsidP="004A3DCA" w:rsidRDefault="00A4588C" w14:paraId="0DCCE389" w14:textId="77777777">
            <w:r w:rsidRPr="004A3DCA">
              <w:t>4. To what extent has MAGC achieved early outcomes as anticipated for the following components?</w:t>
            </w:r>
          </w:p>
        </w:tc>
        <w:tc>
          <w:tcPr>
            <w:tcW w:w="1843" w:type="dxa"/>
            <w:vMerge w:val="restart"/>
            <w:noWrap/>
            <w:hideMark/>
          </w:tcPr>
          <w:p w:rsidRPr="004A3DCA" w:rsidR="00A4588C" w:rsidP="004A3DCA" w:rsidRDefault="00A4588C" w14:paraId="4003384B" w14:textId="77777777">
            <w:r w:rsidRPr="004A3DCA">
              <w:t>Component 1: Investment and Advisory services</w:t>
            </w:r>
          </w:p>
          <w:p w:rsidRPr="004A3DCA" w:rsidR="00A4588C" w:rsidP="004A3DCA" w:rsidRDefault="00A4588C" w14:paraId="0841AF54" w14:textId="5693680A">
            <w:r w:rsidRPr="004A3DCA">
              <w:t> </w:t>
            </w:r>
          </w:p>
        </w:tc>
        <w:tc>
          <w:tcPr>
            <w:tcW w:w="6264" w:type="dxa"/>
            <w:hideMark/>
          </w:tcPr>
          <w:p w:rsidRPr="004A3DCA" w:rsidR="00A4588C" w:rsidP="004A3DCA" w:rsidRDefault="00A4588C" w14:paraId="5AEFD19A" w14:textId="3D7AA4B5">
            <w:r w:rsidRPr="004A3DCA">
              <w:t>MAGC support (investment, advisory): alignment with organisation’s targets, timelines and expectations, extent to which it helped them face challenges</w:t>
            </w:r>
          </w:p>
        </w:tc>
      </w:tr>
      <w:tr w:rsidRPr="000C0884" w:rsidR="00A4588C" w:rsidTr="00A4588C" w14:paraId="69A25A5F" w14:textId="77777777">
        <w:trPr>
          <w:trHeight w:val="20"/>
        </w:trPr>
        <w:tc>
          <w:tcPr>
            <w:tcW w:w="1980" w:type="dxa"/>
            <w:vMerge/>
            <w:hideMark/>
          </w:tcPr>
          <w:p w:rsidRPr="004A3DCA" w:rsidR="00A4588C" w:rsidP="004A3DCA" w:rsidRDefault="00A4588C" w14:paraId="3003B6ED" w14:textId="77777777"/>
        </w:tc>
        <w:tc>
          <w:tcPr>
            <w:tcW w:w="1843" w:type="dxa"/>
            <w:vMerge/>
            <w:hideMark/>
          </w:tcPr>
          <w:p w:rsidRPr="004A3DCA" w:rsidR="00A4588C" w:rsidP="004A3DCA" w:rsidRDefault="00A4588C" w14:paraId="198D5DBE" w14:textId="7509FFEF"/>
        </w:tc>
        <w:tc>
          <w:tcPr>
            <w:tcW w:w="6264" w:type="dxa"/>
            <w:hideMark/>
          </w:tcPr>
          <w:p w:rsidRPr="004A3DCA" w:rsidR="00A4588C" w:rsidP="004A3DCA" w:rsidRDefault="00A4588C" w14:paraId="5F520BFA" w14:textId="7422DAD7">
            <w:r w:rsidRPr="004A3DCA">
              <w:t>Possible effects of the investment and advisory support. Probes: effects on company's daily work, internal systems and tools to assess green building risks, influence on investment decisions.</w:t>
            </w:r>
          </w:p>
        </w:tc>
      </w:tr>
      <w:tr w:rsidRPr="000C0884" w:rsidR="00A4588C" w:rsidTr="00A4588C" w14:paraId="015CA484" w14:textId="77777777">
        <w:trPr>
          <w:trHeight w:val="1091"/>
        </w:trPr>
        <w:tc>
          <w:tcPr>
            <w:tcW w:w="1980" w:type="dxa"/>
            <w:vMerge/>
            <w:hideMark/>
          </w:tcPr>
          <w:p w:rsidRPr="004A3DCA" w:rsidR="00A4588C" w:rsidP="004A3DCA" w:rsidRDefault="00A4588C" w14:paraId="1471E593" w14:textId="77777777"/>
        </w:tc>
        <w:tc>
          <w:tcPr>
            <w:tcW w:w="1843" w:type="dxa"/>
            <w:vMerge/>
            <w:hideMark/>
          </w:tcPr>
          <w:p w:rsidRPr="004A3DCA" w:rsidR="00A4588C" w:rsidP="004A3DCA" w:rsidRDefault="00A4588C" w14:paraId="708103ED" w14:textId="1C30081E"/>
        </w:tc>
        <w:tc>
          <w:tcPr>
            <w:tcW w:w="6264" w:type="dxa"/>
            <w:hideMark/>
          </w:tcPr>
          <w:p w:rsidRPr="004A3DCA" w:rsidR="00A4588C" w:rsidP="004A3DCA" w:rsidRDefault="00A4588C" w14:paraId="20809EE6" w14:textId="0153DFC5">
            <w:r w:rsidRPr="004A3DCA">
              <w:t>Investment details [if applicable]</w:t>
            </w:r>
            <w:r w:rsidRPr="004A3DCA">
              <w:br/>
            </w:r>
            <w:r w:rsidRPr="004A3DCA">
              <w:br/>
            </w:r>
            <w:r w:rsidRPr="004A3DCA">
              <w:t>-Instrument, structure, appropriateness of investment</w:t>
            </w:r>
            <w:r w:rsidRPr="004A3DCA">
              <w:br/>
            </w:r>
            <w:r w:rsidRPr="004A3DCA">
              <w:t>- how was it used, what buildings did it support</w:t>
            </w:r>
          </w:p>
        </w:tc>
      </w:tr>
      <w:tr w:rsidRPr="000C0884" w:rsidR="00A4588C" w:rsidTr="00A4588C" w14:paraId="1D537662" w14:textId="77777777">
        <w:trPr>
          <w:trHeight w:val="250"/>
        </w:trPr>
        <w:tc>
          <w:tcPr>
            <w:tcW w:w="1980" w:type="dxa"/>
            <w:vMerge/>
            <w:hideMark/>
          </w:tcPr>
          <w:p w:rsidRPr="004A3DCA" w:rsidR="00A4588C" w:rsidP="004A3DCA" w:rsidRDefault="00A4588C" w14:paraId="5A200FF4" w14:textId="77777777"/>
        </w:tc>
        <w:tc>
          <w:tcPr>
            <w:tcW w:w="1843" w:type="dxa"/>
            <w:vMerge/>
            <w:hideMark/>
          </w:tcPr>
          <w:p w:rsidRPr="004A3DCA" w:rsidR="00A4588C" w:rsidP="004A3DCA" w:rsidRDefault="00A4588C" w14:paraId="1B10DFBB" w14:textId="689CC01F"/>
        </w:tc>
        <w:tc>
          <w:tcPr>
            <w:tcW w:w="6264" w:type="dxa"/>
            <w:hideMark/>
          </w:tcPr>
          <w:p w:rsidRPr="004A3DCA" w:rsidR="00A4588C" w:rsidP="004A3DCA" w:rsidRDefault="00A4588C" w14:paraId="7163D0F0" w14:textId="034CDC23">
            <w:r w:rsidRPr="004A3DCA">
              <w:t>Awareness of CAFI and uses within organisation</w:t>
            </w:r>
          </w:p>
        </w:tc>
      </w:tr>
      <w:tr w:rsidRPr="000C0884" w:rsidR="00A4588C" w:rsidTr="00A4588C" w14:paraId="4AE01A93" w14:textId="77777777">
        <w:trPr>
          <w:trHeight w:val="771"/>
        </w:trPr>
        <w:tc>
          <w:tcPr>
            <w:tcW w:w="1980" w:type="dxa"/>
            <w:vMerge/>
            <w:hideMark/>
          </w:tcPr>
          <w:p w:rsidRPr="004A3DCA" w:rsidR="00A4588C" w:rsidP="004A3DCA" w:rsidRDefault="00A4588C" w14:paraId="25F1565C" w14:textId="77777777"/>
        </w:tc>
        <w:tc>
          <w:tcPr>
            <w:tcW w:w="1843" w:type="dxa"/>
            <w:vMerge/>
            <w:hideMark/>
          </w:tcPr>
          <w:p w:rsidRPr="004A3DCA" w:rsidR="00A4588C" w:rsidP="004A3DCA" w:rsidRDefault="00A4588C" w14:paraId="368AC936" w14:textId="0AD43F2E"/>
        </w:tc>
        <w:tc>
          <w:tcPr>
            <w:tcW w:w="6264" w:type="dxa"/>
            <w:hideMark/>
          </w:tcPr>
          <w:p w:rsidRPr="004A3DCA" w:rsidR="00A4588C" w:rsidP="004A3DCA" w:rsidRDefault="00A4588C" w14:paraId="0555E287" w14:textId="04F9BC1B">
            <w:r w:rsidRPr="004A3DCA">
              <w:t>Examples of green building project certified with EDGE that they are familiar with or constructed/certified themselves</w:t>
            </w:r>
          </w:p>
        </w:tc>
      </w:tr>
      <w:tr w:rsidRPr="000C0884" w:rsidR="00A4588C" w:rsidTr="00A4588C" w14:paraId="6D338635" w14:textId="77777777">
        <w:trPr>
          <w:trHeight w:val="125"/>
        </w:trPr>
        <w:tc>
          <w:tcPr>
            <w:tcW w:w="1980" w:type="dxa"/>
            <w:vMerge/>
            <w:hideMark/>
          </w:tcPr>
          <w:p w:rsidRPr="004A3DCA" w:rsidR="00A4588C" w:rsidP="004A3DCA" w:rsidRDefault="00A4588C" w14:paraId="126868D3" w14:textId="77777777"/>
        </w:tc>
        <w:tc>
          <w:tcPr>
            <w:tcW w:w="1843" w:type="dxa"/>
            <w:vMerge/>
            <w:hideMark/>
          </w:tcPr>
          <w:p w:rsidRPr="004A3DCA" w:rsidR="00A4588C" w:rsidP="004A3DCA" w:rsidRDefault="00A4588C" w14:paraId="4A8A1DF3" w14:textId="2C47B794"/>
        </w:tc>
        <w:tc>
          <w:tcPr>
            <w:tcW w:w="6264" w:type="dxa"/>
            <w:hideMark/>
          </w:tcPr>
          <w:p w:rsidRPr="004A3DCA" w:rsidR="00A4588C" w:rsidP="004A3DCA" w:rsidRDefault="00A4588C" w14:paraId="2FABCF11" w14:textId="31327E60">
            <w:r w:rsidRPr="004A3DCA">
              <w:t>Other similar technical assistance/advisory support received for GC by other organisations</w:t>
            </w:r>
          </w:p>
        </w:tc>
      </w:tr>
      <w:tr w:rsidRPr="000C0884" w:rsidR="00A4588C" w:rsidTr="00A4588C" w14:paraId="7B1AF71B" w14:textId="77777777">
        <w:trPr>
          <w:trHeight w:val="1458"/>
        </w:trPr>
        <w:tc>
          <w:tcPr>
            <w:tcW w:w="1980" w:type="dxa"/>
            <w:vMerge/>
            <w:hideMark/>
          </w:tcPr>
          <w:p w:rsidRPr="004A3DCA" w:rsidR="00A4588C" w:rsidP="004A3DCA" w:rsidRDefault="00A4588C" w14:paraId="6CB08095" w14:textId="77777777"/>
        </w:tc>
        <w:tc>
          <w:tcPr>
            <w:tcW w:w="1843" w:type="dxa"/>
            <w:vMerge/>
            <w:noWrap/>
            <w:hideMark/>
          </w:tcPr>
          <w:p w:rsidRPr="004A3DCA" w:rsidR="00A4588C" w:rsidP="004A3DCA" w:rsidRDefault="00A4588C" w14:paraId="4A41D288" w14:textId="2A5A9C81"/>
        </w:tc>
        <w:tc>
          <w:tcPr>
            <w:tcW w:w="6264" w:type="dxa"/>
            <w:hideMark/>
          </w:tcPr>
          <w:p w:rsidRPr="004A3DCA" w:rsidR="00A4588C" w:rsidP="004A3DCA" w:rsidRDefault="00A4588C" w14:paraId="5A3695BA" w14:textId="6CA89860">
            <w:r w:rsidRPr="004A3DCA">
              <w:t>For FIs:</w:t>
            </w:r>
            <w:r w:rsidRPr="004A3DCA">
              <w:br/>
            </w:r>
            <w:r w:rsidRPr="004A3DCA">
              <w:t>Awareness of access to capital at favourable rates connected to EDGE and IFC. Understanding of green construction and the associated financial risks and opportunities.</w:t>
            </w:r>
          </w:p>
        </w:tc>
      </w:tr>
      <w:tr w:rsidRPr="000C0884" w:rsidR="004A3DCA" w:rsidTr="00A4588C" w14:paraId="21A97DA3" w14:textId="77777777">
        <w:trPr>
          <w:trHeight w:val="452"/>
        </w:trPr>
        <w:tc>
          <w:tcPr>
            <w:tcW w:w="1980" w:type="dxa"/>
            <w:vMerge/>
            <w:hideMark/>
          </w:tcPr>
          <w:p w:rsidRPr="004A3DCA" w:rsidR="004A3DCA" w:rsidP="004A3DCA" w:rsidRDefault="004A3DCA" w14:paraId="5486AE49" w14:textId="77777777"/>
        </w:tc>
        <w:tc>
          <w:tcPr>
            <w:tcW w:w="1843" w:type="dxa"/>
            <w:vMerge w:val="restart"/>
            <w:hideMark/>
          </w:tcPr>
          <w:p w:rsidRPr="004A3DCA" w:rsidR="004A3DCA" w:rsidP="004A3DCA" w:rsidRDefault="004A3DCA" w14:paraId="4DD8FA83" w14:textId="77777777">
            <w:r w:rsidRPr="004A3DCA">
              <w:t>Component 2: Capacity building</w:t>
            </w:r>
          </w:p>
        </w:tc>
        <w:tc>
          <w:tcPr>
            <w:tcW w:w="6264" w:type="dxa"/>
            <w:hideMark/>
          </w:tcPr>
          <w:p w:rsidRPr="004A3DCA" w:rsidR="004A3DCA" w:rsidP="004A3DCA" w:rsidRDefault="004A3DCA" w14:paraId="180F652F" w14:textId="19827436">
            <w:r w:rsidRPr="004A3DCA">
              <w:t>Building categories &amp; certification details: types of buildings in country, which ones the organisation certifies, what measure types they use</w:t>
            </w:r>
          </w:p>
        </w:tc>
      </w:tr>
      <w:tr w:rsidRPr="000C0884" w:rsidR="004A3DCA" w:rsidTr="00A4588C" w14:paraId="15CB250E" w14:textId="77777777">
        <w:trPr>
          <w:trHeight w:val="183"/>
        </w:trPr>
        <w:tc>
          <w:tcPr>
            <w:tcW w:w="1980" w:type="dxa"/>
            <w:vMerge/>
            <w:hideMark/>
          </w:tcPr>
          <w:p w:rsidRPr="004A3DCA" w:rsidR="004A3DCA" w:rsidP="004A3DCA" w:rsidRDefault="004A3DCA" w14:paraId="7E45AD94" w14:textId="77777777"/>
        </w:tc>
        <w:tc>
          <w:tcPr>
            <w:tcW w:w="1843" w:type="dxa"/>
            <w:vMerge/>
            <w:hideMark/>
          </w:tcPr>
          <w:p w:rsidRPr="004A3DCA" w:rsidR="004A3DCA" w:rsidP="004A3DCA" w:rsidRDefault="004A3DCA" w14:paraId="5220FF06" w14:textId="77777777"/>
        </w:tc>
        <w:tc>
          <w:tcPr>
            <w:tcW w:w="6264" w:type="dxa"/>
            <w:hideMark/>
          </w:tcPr>
          <w:p w:rsidRPr="004A3DCA" w:rsidR="004A3DCA" w:rsidP="004A3DCA" w:rsidRDefault="004A3DCA" w14:paraId="56E4778C" w14:textId="03581CE4">
            <w:r w:rsidRPr="004A3DCA">
              <w:t>No. of building certified with EDGE in country, and key drivers for uptake</w:t>
            </w:r>
          </w:p>
        </w:tc>
      </w:tr>
      <w:tr w:rsidRPr="000C0884" w:rsidR="004A3DCA" w:rsidTr="00A4588C" w14:paraId="175CE900" w14:textId="77777777">
        <w:trPr>
          <w:trHeight w:val="113"/>
        </w:trPr>
        <w:tc>
          <w:tcPr>
            <w:tcW w:w="1980" w:type="dxa"/>
            <w:vMerge/>
            <w:hideMark/>
          </w:tcPr>
          <w:p w:rsidRPr="004A3DCA" w:rsidR="004A3DCA" w:rsidP="004A3DCA" w:rsidRDefault="004A3DCA" w14:paraId="2D5952D8" w14:textId="77777777"/>
        </w:tc>
        <w:tc>
          <w:tcPr>
            <w:tcW w:w="1843" w:type="dxa"/>
            <w:vMerge/>
            <w:hideMark/>
          </w:tcPr>
          <w:p w:rsidRPr="004A3DCA" w:rsidR="004A3DCA" w:rsidP="004A3DCA" w:rsidRDefault="004A3DCA" w14:paraId="56CBEA41" w14:textId="77777777"/>
        </w:tc>
        <w:tc>
          <w:tcPr>
            <w:tcW w:w="6264" w:type="dxa"/>
            <w:hideMark/>
          </w:tcPr>
          <w:p w:rsidRPr="004A3DCA" w:rsidR="004A3DCA" w:rsidP="004A3DCA" w:rsidRDefault="004A3DCA" w14:paraId="67E6ABE2" w14:textId="5F8BC5BE">
            <w:r w:rsidRPr="004A3DCA">
              <w:t>Ways of assessing green building risks, and how it could be improved</w:t>
            </w:r>
          </w:p>
        </w:tc>
      </w:tr>
      <w:tr w:rsidRPr="000C0884" w:rsidR="004A3DCA" w:rsidTr="00A4588C" w14:paraId="39A58061" w14:textId="77777777">
        <w:trPr>
          <w:trHeight w:val="751"/>
        </w:trPr>
        <w:tc>
          <w:tcPr>
            <w:tcW w:w="1980" w:type="dxa"/>
            <w:vMerge/>
            <w:hideMark/>
          </w:tcPr>
          <w:p w:rsidRPr="004A3DCA" w:rsidR="004A3DCA" w:rsidP="004A3DCA" w:rsidRDefault="004A3DCA" w14:paraId="62636E0E" w14:textId="77777777"/>
        </w:tc>
        <w:tc>
          <w:tcPr>
            <w:tcW w:w="1843" w:type="dxa"/>
            <w:vMerge/>
            <w:hideMark/>
          </w:tcPr>
          <w:p w:rsidRPr="004A3DCA" w:rsidR="004A3DCA" w:rsidP="004A3DCA" w:rsidRDefault="004A3DCA" w14:paraId="1B81ECC0" w14:textId="77777777"/>
        </w:tc>
        <w:tc>
          <w:tcPr>
            <w:tcW w:w="6264" w:type="dxa"/>
            <w:hideMark/>
          </w:tcPr>
          <w:p w:rsidRPr="004A3DCA" w:rsidR="004A3DCA" w:rsidP="004A3DCA" w:rsidRDefault="004A3DCA" w14:paraId="6264372C" w14:textId="1C9B2AC2">
            <w:r w:rsidRPr="004A3DCA">
              <w:t>For policy &amp; wider: What is the level of awareness among policymakers on green buildings in your country?</w:t>
            </w:r>
          </w:p>
        </w:tc>
      </w:tr>
      <w:tr w:rsidRPr="000C0884" w:rsidR="004A3DCA" w:rsidTr="00A4588C" w14:paraId="4D069F58" w14:textId="77777777">
        <w:trPr>
          <w:trHeight w:val="232"/>
        </w:trPr>
        <w:tc>
          <w:tcPr>
            <w:tcW w:w="1980" w:type="dxa"/>
            <w:vMerge/>
            <w:hideMark/>
          </w:tcPr>
          <w:p w:rsidRPr="004A3DCA" w:rsidR="004A3DCA" w:rsidP="004A3DCA" w:rsidRDefault="004A3DCA" w14:paraId="1D3AEA93" w14:textId="77777777"/>
        </w:tc>
        <w:tc>
          <w:tcPr>
            <w:tcW w:w="1843" w:type="dxa"/>
            <w:vMerge/>
            <w:hideMark/>
          </w:tcPr>
          <w:p w:rsidRPr="004A3DCA" w:rsidR="004A3DCA" w:rsidP="004A3DCA" w:rsidRDefault="004A3DCA" w14:paraId="7845BB00" w14:textId="77777777"/>
        </w:tc>
        <w:tc>
          <w:tcPr>
            <w:tcW w:w="6264" w:type="dxa"/>
            <w:hideMark/>
          </w:tcPr>
          <w:p w:rsidRPr="004A3DCA" w:rsidR="004A3DCA" w:rsidP="004A3DCA" w:rsidRDefault="004A3DCA" w14:paraId="2623F8A5" w14:textId="60CA4601">
            <w:r w:rsidRPr="004A3DCA">
              <w:t>Participation in capacity building/awareness events for EDGE or GC</w:t>
            </w:r>
          </w:p>
        </w:tc>
      </w:tr>
      <w:tr w:rsidRPr="000C0884" w:rsidR="004A3DCA" w:rsidTr="00A4588C" w14:paraId="02985DBB" w14:textId="77777777">
        <w:trPr>
          <w:trHeight w:val="587"/>
        </w:trPr>
        <w:tc>
          <w:tcPr>
            <w:tcW w:w="1980" w:type="dxa"/>
            <w:vMerge/>
            <w:hideMark/>
          </w:tcPr>
          <w:p w:rsidRPr="004A3DCA" w:rsidR="004A3DCA" w:rsidP="004A3DCA" w:rsidRDefault="004A3DCA" w14:paraId="121BBECD" w14:textId="77777777"/>
        </w:tc>
        <w:tc>
          <w:tcPr>
            <w:tcW w:w="1843" w:type="dxa"/>
            <w:vMerge/>
            <w:hideMark/>
          </w:tcPr>
          <w:p w:rsidRPr="004A3DCA" w:rsidR="004A3DCA" w:rsidP="004A3DCA" w:rsidRDefault="004A3DCA" w14:paraId="4D736B0E" w14:textId="77777777"/>
        </w:tc>
        <w:tc>
          <w:tcPr>
            <w:tcW w:w="6264" w:type="dxa"/>
            <w:hideMark/>
          </w:tcPr>
          <w:p w:rsidRPr="004A3DCA" w:rsidR="004A3DCA" w:rsidP="004A3DCA" w:rsidRDefault="004A3DCA" w14:paraId="5FDED4D8" w14:textId="02204402">
            <w:r w:rsidRPr="004A3DCA">
              <w:t xml:space="preserve">MAGC support (capacity building): </w:t>
            </w:r>
            <w:r w:rsidRPr="004A3DCA" w:rsidR="00846E1B">
              <w:t>alignment</w:t>
            </w:r>
            <w:r w:rsidRPr="004A3DCA">
              <w:t xml:space="preserve"> with organisation’s targets, timelines and expectations</w:t>
            </w:r>
          </w:p>
        </w:tc>
      </w:tr>
      <w:tr w:rsidRPr="000C0884" w:rsidR="004A3DCA" w:rsidTr="00A4588C" w14:paraId="27EB0324" w14:textId="77777777">
        <w:trPr>
          <w:trHeight w:val="943"/>
        </w:trPr>
        <w:tc>
          <w:tcPr>
            <w:tcW w:w="1980" w:type="dxa"/>
            <w:vMerge/>
            <w:hideMark/>
          </w:tcPr>
          <w:p w:rsidRPr="004A3DCA" w:rsidR="004A3DCA" w:rsidP="004A3DCA" w:rsidRDefault="004A3DCA" w14:paraId="2A507AB2" w14:textId="77777777"/>
        </w:tc>
        <w:tc>
          <w:tcPr>
            <w:tcW w:w="1843" w:type="dxa"/>
            <w:vMerge/>
            <w:hideMark/>
          </w:tcPr>
          <w:p w:rsidRPr="004A3DCA" w:rsidR="004A3DCA" w:rsidP="004A3DCA" w:rsidRDefault="004A3DCA" w14:paraId="6C7FB523" w14:textId="77777777"/>
        </w:tc>
        <w:tc>
          <w:tcPr>
            <w:tcW w:w="6264" w:type="dxa"/>
            <w:hideMark/>
          </w:tcPr>
          <w:p w:rsidRPr="004A3DCA" w:rsidR="004A3DCA" w:rsidP="004A3DCA" w:rsidRDefault="004A3DCA" w14:paraId="7A54F294" w14:textId="188061BF">
            <w:r w:rsidRPr="004A3DCA">
              <w:t>Possible effects of the capacity building support. Probes: effects on company and daily work, effects on securing GC finance, effects on skills and knowledge in company</w:t>
            </w:r>
          </w:p>
        </w:tc>
      </w:tr>
      <w:tr w:rsidRPr="000C0884" w:rsidR="004A3DCA" w:rsidTr="00A4588C" w14:paraId="598A17CA" w14:textId="77777777">
        <w:trPr>
          <w:trHeight w:val="230"/>
        </w:trPr>
        <w:tc>
          <w:tcPr>
            <w:tcW w:w="1980" w:type="dxa"/>
            <w:vMerge/>
            <w:hideMark/>
          </w:tcPr>
          <w:p w:rsidRPr="004A3DCA" w:rsidR="004A3DCA" w:rsidP="004A3DCA" w:rsidRDefault="004A3DCA" w14:paraId="7DE43ACA" w14:textId="77777777"/>
        </w:tc>
        <w:tc>
          <w:tcPr>
            <w:tcW w:w="1843" w:type="dxa"/>
            <w:vMerge w:val="restart"/>
            <w:noWrap/>
            <w:hideMark/>
          </w:tcPr>
          <w:p w:rsidRPr="004A3DCA" w:rsidR="004A3DCA" w:rsidP="004A3DCA" w:rsidRDefault="004A3DCA" w14:paraId="37B058DC" w14:textId="77777777">
            <w:r w:rsidRPr="004A3DCA">
              <w:t>Component 3: EDGE Certification</w:t>
            </w:r>
          </w:p>
        </w:tc>
        <w:tc>
          <w:tcPr>
            <w:tcW w:w="6264" w:type="dxa"/>
            <w:hideMark/>
          </w:tcPr>
          <w:p w:rsidRPr="004A3DCA" w:rsidR="004A3DCA" w:rsidP="004A3DCA" w:rsidRDefault="004A3DCA" w14:paraId="034DC4F8" w14:textId="6E3267CA">
            <w:r w:rsidRPr="004A3DCA">
              <w:t>Effects of EDGE improvements on company's daily work</w:t>
            </w:r>
          </w:p>
        </w:tc>
      </w:tr>
      <w:tr w:rsidRPr="000C0884" w:rsidR="004A3DCA" w:rsidTr="00A4588C" w14:paraId="56F534F4" w14:textId="77777777">
        <w:trPr>
          <w:trHeight w:val="20"/>
        </w:trPr>
        <w:tc>
          <w:tcPr>
            <w:tcW w:w="1980" w:type="dxa"/>
            <w:vMerge/>
            <w:hideMark/>
          </w:tcPr>
          <w:p w:rsidRPr="004A3DCA" w:rsidR="004A3DCA" w:rsidP="004A3DCA" w:rsidRDefault="004A3DCA" w14:paraId="21BF74FB" w14:textId="77777777"/>
        </w:tc>
        <w:tc>
          <w:tcPr>
            <w:tcW w:w="1843" w:type="dxa"/>
            <w:vMerge/>
            <w:hideMark/>
          </w:tcPr>
          <w:p w:rsidRPr="004A3DCA" w:rsidR="004A3DCA" w:rsidP="004A3DCA" w:rsidRDefault="004A3DCA" w14:paraId="48F78E6F" w14:textId="77777777"/>
        </w:tc>
        <w:tc>
          <w:tcPr>
            <w:tcW w:w="6264" w:type="dxa"/>
            <w:hideMark/>
          </w:tcPr>
          <w:p w:rsidRPr="004A3DCA" w:rsidR="004A3DCA" w:rsidP="004A3DCA" w:rsidRDefault="004A3DCA" w14:paraId="5C201C94" w14:textId="1DF661C2">
            <w:r w:rsidRPr="004A3DCA">
              <w:t>Other green certifications available in the country and differences with EDGE</w:t>
            </w:r>
          </w:p>
        </w:tc>
      </w:tr>
      <w:tr w:rsidRPr="000C0884" w:rsidR="004A3DCA" w:rsidTr="00A4588C" w14:paraId="0675F209" w14:textId="77777777">
        <w:trPr>
          <w:trHeight w:val="766"/>
        </w:trPr>
        <w:tc>
          <w:tcPr>
            <w:tcW w:w="1980" w:type="dxa"/>
            <w:vMerge w:val="restart"/>
            <w:noWrap/>
            <w:hideMark/>
          </w:tcPr>
          <w:p w:rsidRPr="004A3DCA" w:rsidR="004A3DCA" w:rsidP="004A3DCA" w:rsidRDefault="004A3DCA" w14:paraId="17FD50A8" w14:textId="77777777">
            <w:r w:rsidRPr="004A3DCA">
              <w:t>5. To what extent is impact/ transformational change likely to be achieved?</w:t>
            </w:r>
          </w:p>
        </w:tc>
        <w:tc>
          <w:tcPr>
            <w:tcW w:w="1843" w:type="dxa"/>
            <w:vMerge w:val="restart"/>
            <w:noWrap/>
            <w:hideMark/>
          </w:tcPr>
          <w:p w:rsidRPr="004A3DCA" w:rsidR="004A3DCA" w:rsidP="004A3DCA" w:rsidRDefault="004A3DCA" w14:paraId="6C0BF29A" w14:textId="77777777">
            <w:r w:rsidRPr="004A3DCA">
              <w:t>Capacity and Capability</w:t>
            </w:r>
          </w:p>
        </w:tc>
        <w:tc>
          <w:tcPr>
            <w:tcW w:w="6264" w:type="dxa"/>
            <w:hideMark/>
          </w:tcPr>
          <w:p w:rsidRPr="004A3DCA" w:rsidR="004A3DCA" w:rsidP="004A3DCA" w:rsidRDefault="004A3DCA" w14:paraId="2166F948" w14:textId="396684A4">
            <w:r w:rsidRPr="004A3DCA">
              <w:t>Importance of capacity building in accelerating the green building market/Ways in which the capacity building support played a role, or can play a role, in the evolvement of green building market.</w:t>
            </w:r>
          </w:p>
        </w:tc>
      </w:tr>
      <w:tr w:rsidRPr="000C0884" w:rsidR="004A3DCA" w:rsidTr="00A4588C" w14:paraId="7B7AB7DF" w14:textId="77777777">
        <w:trPr>
          <w:trHeight w:val="242"/>
        </w:trPr>
        <w:tc>
          <w:tcPr>
            <w:tcW w:w="1980" w:type="dxa"/>
            <w:vMerge/>
            <w:hideMark/>
          </w:tcPr>
          <w:p w:rsidRPr="004A3DCA" w:rsidR="004A3DCA" w:rsidP="004A3DCA" w:rsidRDefault="004A3DCA" w14:paraId="75D3038E" w14:textId="77777777"/>
        </w:tc>
        <w:tc>
          <w:tcPr>
            <w:tcW w:w="1843" w:type="dxa"/>
            <w:vMerge/>
            <w:hideMark/>
          </w:tcPr>
          <w:p w:rsidRPr="004A3DCA" w:rsidR="004A3DCA" w:rsidP="004A3DCA" w:rsidRDefault="004A3DCA" w14:paraId="3B3C58F2" w14:textId="77777777"/>
        </w:tc>
        <w:tc>
          <w:tcPr>
            <w:tcW w:w="6264" w:type="dxa"/>
            <w:hideMark/>
          </w:tcPr>
          <w:p w:rsidRPr="004A3DCA" w:rsidR="004A3DCA" w:rsidP="004A3DCA" w:rsidRDefault="004A3DCA" w14:paraId="152D0738" w14:textId="77CAC900">
            <w:r w:rsidRPr="004A3DCA">
              <w:t>Interested in participating in similar initiatives, if not participating in MAGC</w:t>
            </w:r>
          </w:p>
        </w:tc>
      </w:tr>
      <w:tr w:rsidRPr="000C0884" w:rsidR="004A3DCA" w:rsidTr="00A4588C" w14:paraId="6F088ADE" w14:textId="77777777">
        <w:trPr>
          <w:trHeight w:val="172"/>
        </w:trPr>
        <w:tc>
          <w:tcPr>
            <w:tcW w:w="1980" w:type="dxa"/>
            <w:vMerge/>
            <w:hideMark/>
          </w:tcPr>
          <w:p w:rsidRPr="004A3DCA" w:rsidR="004A3DCA" w:rsidP="004A3DCA" w:rsidRDefault="004A3DCA" w14:paraId="2DECDF9F" w14:textId="77777777"/>
        </w:tc>
        <w:tc>
          <w:tcPr>
            <w:tcW w:w="1843" w:type="dxa"/>
            <w:vMerge/>
            <w:hideMark/>
          </w:tcPr>
          <w:p w:rsidRPr="004A3DCA" w:rsidR="004A3DCA" w:rsidP="004A3DCA" w:rsidRDefault="004A3DCA" w14:paraId="734BA91B" w14:textId="77777777"/>
        </w:tc>
        <w:tc>
          <w:tcPr>
            <w:tcW w:w="6264" w:type="dxa"/>
            <w:hideMark/>
          </w:tcPr>
          <w:p w:rsidRPr="004A3DCA" w:rsidR="004A3DCA" w:rsidP="004A3DCA" w:rsidRDefault="004A3DCA" w14:paraId="38A3628D" w14:textId="43D9F8C0">
            <w:r w:rsidRPr="004A3DCA">
              <w:t>Awareness, familiarity, and use of EDGE</w:t>
            </w:r>
          </w:p>
        </w:tc>
      </w:tr>
      <w:tr w:rsidRPr="000C0884" w:rsidR="004A3DCA" w:rsidTr="00A4588C" w14:paraId="3B69DA5C" w14:textId="77777777">
        <w:trPr>
          <w:trHeight w:val="20"/>
        </w:trPr>
        <w:tc>
          <w:tcPr>
            <w:tcW w:w="1980" w:type="dxa"/>
            <w:vMerge/>
            <w:hideMark/>
          </w:tcPr>
          <w:p w:rsidRPr="004A3DCA" w:rsidR="004A3DCA" w:rsidP="004A3DCA" w:rsidRDefault="004A3DCA" w14:paraId="35C46A13" w14:textId="77777777"/>
        </w:tc>
        <w:tc>
          <w:tcPr>
            <w:tcW w:w="1843" w:type="dxa"/>
            <w:noWrap/>
            <w:hideMark/>
          </w:tcPr>
          <w:p w:rsidRPr="004A3DCA" w:rsidR="004A3DCA" w:rsidP="004A3DCA" w:rsidRDefault="004A3DCA" w14:paraId="4B262575" w14:textId="77777777">
            <w:r w:rsidRPr="004A3DCA">
              <w:t>Innovation</w:t>
            </w:r>
          </w:p>
        </w:tc>
        <w:tc>
          <w:tcPr>
            <w:tcW w:w="6264" w:type="dxa"/>
            <w:hideMark/>
          </w:tcPr>
          <w:p w:rsidRPr="004A3DCA" w:rsidR="004A3DCA" w:rsidP="004A3DCA" w:rsidRDefault="004A3DCA" w14:paraId="1177C915" w14:textId="1BE14917">
            <w:r w:rsidRPr="004A3DCA">
              <w:t>Is EDGE/CAFI an innovation in GC? Why?</w:t>
            </w:r>
          </w:p>
        </w:tc>
      </w:tr>
      <w:tr w:rsidRPr="000C0884" w:rsidR="004A3DCA" w:rsidTr="00A4588C" w14:paraId="47956F4A" w14:textId="77777777">
        <w:trPr>
          <w:trHeight w:val="76"/>
        </w:trPr>
        <w:tc>
          <w:tcPr>
            <w:tcW w:w="1980" w:type="dxa"/>
            <w:vMerge/>
            <w:hideMark/>
          </w:tcPr>
          <w:p w:rsidRPr="004A3DCA" w:rsidR="004A3DCA" w:rsidP="004A3DCA" w:rsidRDefault="004A3DCA" w14:paraId="66EAC9F2" w14:textId="77777777"/>
        </w:tc>
        <w:tc>
          <w:tcPr>
            <w:tcW w:w="1843" w:type="dxa"/>
            <w:vMerge w:val="restart"/>
            <w:noWrap/>
            <w:hideMark/>
          </w:tcPr>
          <w:p w:rsidRPr="004A3DCA" w:rsidR="004A3DCA" w:rsidP="004A3DCA" w:rsidRDefault="004A3DCA" w14:paraId="5852308A" w14:textId="77777777">
            <w:r w:rsidRPr="004A3DCA">
              <w:t>Leverage/create incentives for others to act</w:t>
            </w:r>
          </w:p>
        </w:tc>
        <w:tc>
          <w:tcPr>
            <w:tcW w:w="6264" w:type="dxa"/>
            <w:hideMark/>
          </w:tcPr>
          <w:p w:rsidRPr="004A3DCA" w:rsidR="004A3DCA" w:rsidP="004A3DCA" w:rsidRDefault="004A3DCA" w14:paraId="641CFFFD" w14:textId="4AB8CD7E">
            <w:r w:rsidRPr="004A3DCA">
              <w:t xml:space="preserve">Key benefits of green buildings in the country, </w:t>
            </w:r>
            <w:r w:rsidRPr="004A3DCA" w:rsidR="00846E1B">
              <w:t>trade-off</w:t>
            </w:r>
            <w:r w:rsidRPr="004A3DCA">
              <w:t xml:space="preserve"> between environmental and financial performance</w:t>
            </w:r>
          </w:p>
        </w:tc>
      </w:tr>
      <w:tr w:rsidRPr="000C0884" w:rsidR="004A3DCA" w:rsidTr="00A4588C" w14:paraId="59445983" w14:textId="77777777">
        <w:trPr>
          <w:trHeight w:val="822"/>
        </w:trPr>
        <w:tc>
          <w:tcPr>
            <w:tcW w:w="1980" w:type="dxa"/>
            <w:vMerge/>
            <w:hideMark/>
          </w:tcPr>
          <w:p w:rsidRPr="004A3DCA" w:rsidR="004A3DCA" w:rsidP="004A3DCA" w:rsidRDefault="004A3DCA" w14:paraId="4ADB56AE" w14:textId="77777777"/>
        </w:tc>
        <w:tc>
          <w:tcPr>
            <w:tcW w:w="1843" w:type="dxa"/>
            <w:vMerge/>
            <w:hideMark/>
          </w:tcPr>
          <w:p w:rsidRPr="004A3DCA" w:rsidR="004A3DCA" w:rsidP="004A3DCA" w:rsidRDefault="004A3DCA" w14:paraId="5B992128" w14:textId="77777777"/>
        </w:tc>
        <w:tc>
          <w:tcPr>
            <w:tcW w:w="6264" w:type="dxa"/>
            <w:hideMark/>
          </w:tcPr>
          <w:p w:rsidRPr="004A3DCA" w:rsidR="004A3DCA" w:rsidP="004A3DCA" w:rsidRDefault="004A3DCA" w14:paraId="1C99F478" w14:textId="7E936A4A">
            <w:r w:rsidRPr="004A3DCA">
              <w:t>For FIs: current offer in financial products or services for green construction in their organisation, awareness of such products offered by other organisations</w:t>
            </w:r>
          </w:p>
        </w:tc>
      </w:tr>
      <w:tr w:rsidRPr="000C0884" w:rsidR="004A3DCA" w:rsidTr="00A4588C" w14:paraId="53D0B820" w14:textId="77777777">
        <w:trPr>
          <w:trHeight w:val="20"/>
        </w:trPr>
        <w:tc>
          <w:tcPr>
            <w:tcW w:w="1980" w:type="dxa"/>
            <w:vMerge/>
            <w:hideMark/>
          </w:tcPr>
          <w:p w:rsidRPr="004A3DCA" w:rsidR="004A3DCA" w:rsidP="004A3DCA" w:rsidRDefault="004A3DCA" w14:paraId="2E2AE017" w14:textId="77777777"/>
        </w:tc>
        <w:tc>
          <w:tcPr>
            <w:tcW w:w="1843" w:type="dxa"/>
            <w:vMerge/>
            <w:hideMark/>
          </w:tcPr>
          <w:p w:rsidRPr="004A3DCA" w:rsidR="004A3DCA" w:rsidP="004A3DCA" w:rsidRDefault="004A3DCA" w14:paraId="3DE3A29B" w14:textId="77777777"/>
        </w:tc>
        <w:tc>
          <w:tcPr>
            <w:tcW w:w="6264" w:type="dxa"/>
            <w:hideMark/>
          </w:tcPr>
          <w:p w:rsidRPr="004A3DCA" w:rsidR="004A3DCA" w:rsidP="004A3DCA" w:rsidRDefault="004A3DCA" w14:paraId="60E1DC63" w14:textId="0E645186">
            <w:r w:rsidRPr="004A3DCA">
              <w:t>Effects of EDGE on green building policy</w:t>
            </w:r>
          </w:p>
        </w:tc>
      </w:tr>
      <w:tr w:rsidRPr="000C0884" w:rsidR="004A3DCA" w:rsidTr="00A4588C" w14:paraId="7691655B" w14:textId="77777777">
        <w:trPr>
          <w:trHeight w:val="150"/>
        </w:trPr>
        <w:tc>
          <w:tcPr>
            <w:tcW w:w="1980" w:type="dxa"/>
            <w:vMerge/>
            <w:hideMark/>
          </w:tcPr>
          <w:p w:rsidRPr="004A3DCA" w:rsidR="004A3DCA" w:rsidP="004A3DCA" w:rsidRDefault="004A3DCA" w14:paraId="09348EA0" w14:textId="77777777"/>
        </w:tc>
        <w:tc>
          <w:tcPr>
            <w:tcW w:w="1843" w:type="dxa"/>
            <w:vMerge/>
            <w:hideMark/>
          </w:tcPr>
          <w:p w:rsidRPr="004A3DCA" w:rsidR="004A3DCA" w:rsidP="004A3DCA" w:rsidRDefault="004A3DCA" w14:paraId="40505249" w14:textId="77777777"/>
        </w:tc>
        <w:tc>
          <w:tcPr>
            <w:tcW w:w="6264" w:type="dxa"/>
            <w:hideMark/>
          </w:tcPr>
          <w:p w:rsidRPr="004A3DCA" w:rsidR="004A3DCA" w:rsidP="004A3DCA" w:rsidRDefault="004A3DCA" w14:paraId="6471A344" w14:textId="4DFFA755">
            <w:r w:rsidRPr="004A3DCA">
              <w:t>For Building sector: Support received for GC from other organisations, if an</w:t>
            </w:r>
            <w:r w:rsidR="00846E1B">
              <w:t>y</w:t>
            </w:r>
          </w:p>
        </w:tc>
      </w:tr>
      <w:tr w:rsidRPr="000C0884" w:rsidR="004A3DCA" w:rsidTr="00A4588C" w14:paraId="3D7BE08F" w14:textId="77777777">
        <w:trPr>
          <w:trHeight w:val="305"/>
        </w:trPr>
        <w:tc>
          <w:tcPr>
            <w:tcW w:w="1980" w:type="dxa"/>
            <w:vMerge/>
            <w:hideMark/>
          </w:tcPr>
          <w:p w:rsidRPr="004A3DCA" w:rsidR="004A3DCA" w:rsidP="004A3DCA" w:rsidRDefault="004A3DCA" w14:paraId="42EA455A" w14:textId="77777777"/>
        </w:tc>
        <w:tc>
          <w:tcPr>
            <w:tcW w:w="1843" w:type="dxa"/>
            <w:vMerge/>
            <w:hideMark/>
          </w:tcPr>
          <w:p w:rsidRPr="004A3DCA" w:rsidR="004A3DCA" w:rsidP="004A3DCA" w:rsidRDefault="004A3DCA" w14:paraId="307359C0" w14:textId="77777777"/>
        </w:tc>
        <w:tc>
          <w:tcPr>
            <w:tcW w:w="6264" w:type="dxa"/>
            <w:hideMark/>
          </w:tcPr>
          <w:p w:rsidRPr="004A3DCA" w:rsidR="004A3DCA" w:rsidP="004A3DCA" w:rsidRDefault="004A3DCA" w14:paraId="5446DC3D" w14:textId="17993338">
            <w:r w:rsidRPr="004A3DCA">
              <w:t>Role of green building certification, like EDGE, in shaping the green construction sector</w:t>
            </w:r>
          </w:p>
        </w:tc>
      </w:tr>
      <w:tr w:rsidRPr="000C0884" w:rsidR="004A3DCA" w:rsidTr="00A4588C" w14:paraId="2A7A5835" w14:textId="77777777">
        <w:trPr>
          <w:trHeight w:val="20"/>
        </w:trPr>
        <w:tc>
          <w:tcPr>
            <w:tcW w:w="1980" w:type="dxa"/>
            <w:vMerge/>
            <w:hideMark/>
          </w:tcPr>
          <w:p w:rsidRPr="004A3DCA" w:rsidR="004A3DCA" w:rsidP="004A3DCA" w:rsidRDefault="004A3DCA" w14:paraId="5462A3F7" w14:textId="77777777"/>
        </w:tc>
        <w:tc>
          <w:tcPr>
            <w:tcW w:w="1843" w:type="dxa"/>
            <w:vMerge/>
            <w:hideMark/>
          </w:tcPr>
          <w:p w:rsidRPr="004A3DCA" w:rsidR="004A3DCA" w:rsidP="004A3DCA" w:rsidRDefault="004A3DCA" w14:paraId="673928A6" w14:textId="77777777"/>
        </w:tc>
        <w:tc>
          <w:tcPr>
            <w:tcW w:w="6264" w:type="dxa"/>
            <w:hideMark/>
          </w:tcPr>
          <w:p w:rsidRPr="004A3DCA" w:rsidR="004A3DCA" w:rsidP="004A3DCA" w:rsidRDefault="004A3DCA" w14:paraId="16D9540E" w14:textId="76CE03B4">
            <w:r w:rsidRPr="004A3DCA">
              <w:t>Role of organisations like theirs in promoting green building practices and certifications</w:t>
            </w:r>
          </w:p>
        </w:tc>
      </w:tr>
      <w:tr w:rsidRPr="000C0884" w:rsidR="004A3DCA" w:rsidTr="00A4588C" w14:paraId="02AFD3E7" w14:textId="77777777">
        <w:trPr>
          <w:trHeight w:val="450"/>
        </w:trPr>
        <w:tc>
          <w:tcPr>
            <w:tcW w:w="1980" w:type="dxa"/>
            <w:vMerge/>
            <w:hideMark/>
          </w:tcPr>
          <w:p w:rsidRPr="004A3DCA" w:rsidR="004A3DCA" w:rsidP="004A3DCA" w:rsidRDefault="004A3DCA" w14:paraId="3296A8CB" w14:textId="77777777"/>
        </w:tc>
        <w:tc>
          <w:tcPr>
            <w:tcW w:w="1843" w:type="dxa"/>
            <w:vMerge/>
            <w:hideMark/>
          </w:tcPr>
          <w:p w:rsidRPr="004A3DCA" w:rsidR="004A3DCA" w:rsidP="004A3DCA" w:rsidRDefault="004A3DCA" w14:paraId="58D64EC8" w14:textId="77777777"/>
        </w:tc>
        <w:tc>
          <w:tcPr>
            <w:tcW w:w="6264" w:type="dxa"/>
            <w:hideMark/>
          </w:tcPr>
          <w:p w:rsidRPr="004A3DCA" w:rsidR="004A3DCA" w:rsidP="004A3DCA" w:rsidRDefault="004A3DCA" w14:paraId="30994319" w14:textId="74A3D9EF">
            <w:r w:rsidRPr="004A3DCA">
              <w:t>Future plans of organisation: investment plans, construction plans, policy plans</w:t>
            </w:r>
          </w:p>
        </w:tc>
      </w:tr>
      <w:tr w:rsidRPr="000C0884" w:rsidR="004A3DCA" w:rsidTr="00A4588C" w14:paraId="0376F6AB" w14:textId="77777777">
        <w:trPr>
          <w:trHeight w:val="805"/>
        </w:trPr>
        <w:tc>
          <w:tcPr>
            <w:tcW w:w="1980" w:type="dxa"/>
            <w:vMerge/>
            <w:hideMark/>
          </w:tcPr>
          <w:p w:rsidRPr="004A3DCA" w:rsidR="004A3DCA" w:rsidP="004A3DCA" w:rsidRDefault="004A3DCA" w14:paraId="2E60F2C7" w14:textId="77777777"/>
        </w:tc>
        <w:tc>
          <w:tcPr>
            <w:tcW w:w="1843" w:type="dxa"/>
            <w:vMerge/>
            <w:hideMark/>
          </w:tcPr>
          <w:p w:rsidRPr="004A3DCA" w:rsidR="004A3DCA" w:rsidP="004A3DCA" w:rsidRDefault="004A3DCA" w14:paraId="584E7610" w14:textId="77777777"/>
        </w:tc>
        <w:tc>
          <w:tcPr>
            <w:tcW w:w="6264" w:type="dxa"/>
            <w:hideMark/>
          </w:tcPr>
          <w:p w:rsidRPr="004A3DCA" w:rsidR="004A3DCA" w:rsidP="004A3DCA" w:rsidRDefault="004A3DCA" w14:paraId="55143660" w14:textId="039F7646">
            <w:r w:rsidRPr="004A3DCA">
              <w:t>Importance of the investment and advisory support in accelerating the green building market/Ways in which blended finance and advisory played a role, or can play a role, in the evolvement of green building market</w:t>
            </w:r>
          </w:p>
        </w:tc>
      </w:tr>
      <w:tr w:rsidRPr="000C0884" w:rsidR="004A3DCA" w:rsidTr="00A4588C" w14:paraId="49164BBC" w14:textId="77777777">
        <w:trPr>
          <w:trHeight w:val="518"/>
        </w:trPr>
        <w:tc>
          <w:tcPr>
            <w:tcW w:w="1980" w:type="dxa"/>
            <w:vMerge/>
            <w:hideMark/>
          </w:tcPr>
          <w:p w:rsidRPr="004A3DCA" w:rsidR="004A3DCA" w:rsidP="004A3DCA" w:rsidRDefault="004A3DCA" w14:paraId="05E19FEB" w14:textId="77777777"/>
        </w:tc>
        <w:tc>
          <w:tcPr>
            <w:tcW w:w="1843" w:type="dxa"/>
            <w:vMerge w:val="restart"/>
            <w:hideMark/>
          </w:tcPr>
          <w:p w:rsidRPr="004A3DCA" w:rsidR="004A3DCA" w:rsidP="004A3DCA" w:rsidRDefault="004A3DCA" w14:paraId="3BC0AAC6" w14:textId="77777777">
            <w:r w:rsidRPr="004A3DCA">
              <w:t>Critical mass</w:t>
            </w:r>
          </w:p>
        </w:tc>
        <w:tc>
          <w:tcPr>
            <w:tcW w:w="6264" w:type="dxa"/>
            <w:hideMark/>
          </w:tcPr>
          <w:p w:rsidRPr="004A3DCA" w:rsidR="004A3DCA" w:rsidP="004A3DCA" w:rsidRDefault="004A3DCA" w14:paraId="696454CE" w14:textId="30F240DA">
            <w:r w:rsidRPr="004A3DCA">
              <w:t>Evolution of green building market in the last five years (inc. regulatory landscape &amp; green certified floor space) and drivers behind any change</w:t>
            </w:r>
          </w:p>
        </w:tc>
      </w:tr>
      <w:tr w:rsidRPr="000C0884" w:rsidR="004A3DCA" w:rsidTr="00A4588C" w14:paraId="16544BD9" w14:textId="77777777">
        <w:trPr>
          <w:trHeight w:val="20"/>
        </w:trPr>
        <w:tc>
          <w:tcPr>
            <w:tcW w:w="1980" w:type="dxa"/>
            <w:vMerge/>
            <w:hideMark/>
          </w:tcPr>
          <w:p w:rsidRPr="004A3DCA" w:rsidR="004A3DCA" w:rsidP="004A3DCA" w:rsidRDefault="004A3DCA" w14:paraId="77645086" w14:textId="77777777"/>
        </w:tc>
        <w:tc>
          <w:tcPr>
            <w:tcW w:w="1843" w:type="dxa"/>
            <w:vMerge/>
            <w:hideMark/>
          </w:tcPr>
          <w:p w:rsidRPr="004A3DCA" w:rsidR="004A3DCA" w:rsidP="004A3DCA" w:rsidRDefault="004A3DCA" w14:paraId="5E720DBA" w14:textId="77777777"/>
        </w:tc>
        <w:tc>
          <w:tcPr>
            <w:tcW w:w="6264" w:type="dxa"/>
            <w:hideMark/>
          </w:tcPr>
          <w:p w:rsidRPr="004A3DCA" w:rsidR="004A3DCA" w:rsidP="004A3DCA" w:rsidRDefault="004A3DCA" w14:paraId="58858BE2" w14:textId="58AEC675">
            <w:r w:rsidRPr="004A3DCA">
              <w:t>Changes in ways of working &amp; services offered by their organisation in the last few years. Probes: relevance of green construction in their work, changes in their investment portfolio, changes in business decisions, ability to secure finance related to GC, changes in design and certification processes</w:t>
            </w:r>
          </w:p>
        </w:tc>
      </w:tr>
      <w:tr w:rsidRPr="000C0884" w:rsidR="004A3DCA" w:rsidTr="00A4588C" w14:paraId="651AD879" w14:textId="77777777">
        <w:trPr>
          <w:trHeight w:val="20"/>
        </w:trPr>
        <w:tc>
          <w:tcPr>
            <w:tcW w:w="1980" w:type="dxa"/>
            <w:vMerge w:val="restart"/>
            <w:noWrap/>
            <w:hideMark/>
          </w:tcPr>
          <w:p w:rsidRPr="004A3DCA" w:rsidR="004A3DCA" w:rsidP="004A3DCA" w:rsidRDefault="004A3DCA" w14:paraId="3AEE8924" w14:textId="49CBB6FC">
            <w:r w:rsidRPr="004A3DCA">
              <w:t>9. What opportunities did arise/were missed during MAGC delivery on Gender Equality and Social Inclusion (</w:t>
            </w:r>
            <w:r w:rsidR="00A5555A">
              <w:t>GEDSI</w:t>
            </w:r>
            <w:r w:rsidRPr="004A3DCA">
              <w:t xml:space="preserve">)? How </w:t>
            </w:r>
            <w:r w:rsidRPr="004A3DCA">
              <w:t xml:space="preserve">could we address </w:t>
            </w:r>
            <w:r w:rsidR="00A5555A">
              <w:t>GEDSI</w:t>
            </w:r>
            <w:r w:rsidRPr="004A3DCA">
              <w:t xml:space="preserve"> in future programme design?</w:t>
            </w:r>
          </w:p>
        </w:tc>
        <w:tc>
          <w:tcPr>
            <w:tcW w:w="1843" w:type="dxa"/>
            <w:vMerge w:val="restart"/>
            <w:noWrap/>
            <w:hideMark/>
          </w:tcPr>
          <w:p w:rsidRPr="004A3DCA" w:rsidR="004A3DCA" w:rsidP="004A3DCA" w:rsidRDefault="004A3DCA" w14:paraId="6C100497" w14:textId="77777777">
            <w:r w:rsidRPr="004A3DCA">
              <w:t>REGARDLESS OF HAVING RECEIVED MAGC SUPPORT</w:t>
            </w:r>
          </w:p>
        </w:tc>
        <w:tc>
          <w:tcPr>
            <w:tcW w:w="6264" w:type="dxa"/>
            <w:hideMark/>
          </w:tcPr>
          <w:p w:rsidRPr="004A3DCA" w:rsidR="004A3DCA" w:rsidP="004A3DCA" w:rsidRDefault="004A3DCA" w14:paraId="3D8CFEE1" w14:textId="2C2499A7">
            <w:r w:rsidRPr="004A3DCA">
              <w:t>GEDSI strategy of organisation</w:t>
            </w:r>
          </w:p>
        </w:tc>
      </w:tr>
      <w:tr w:rsidRPr="000C0884" w:rsidR="004A3DCA" w:rsidTr="00A4588C" w14:paraId="6404F2F4" w14:textId="77777777">
        <w:trPr>
          <w:trHeight w:val="20"/>
        </w:trPr>
        <w:tc>
          <w:tcPr>
            <w:tcW w:w="1980" w:type="dxa"/>
            <w:vMerge/>
            <w:hideMark/>
          </w:tcPr>
          <w:p w:rsidRPr="004A3DCA" w:rsidR="004A3DCA" w:rsidP="004A3DCA" w:rsidRDefault="004A3DCA" w14:paraId="51EF98E3" w14:textId="77777777"/>
        </w:tc>
        <w:tc>
          <w:tcPr>
            <w:tcW w:w="1843" w:type="dxa"/>
            <w:vMerge/>
            <w:hideMark/>
          </w:tcPr>
          <w:p w:rsidRPr="004A3DCA" w:rsidR="004A3DCA" w:rsidP="004A3DCA" w:rsidRDefault="004A3DCA" w14:paraId="6FC90AC3" w14:textId="77777777"/>
        </w:tc>
        <w:tc>
          <w:tcPr>
            <w:tcW w:w="6264" w:type="dxa"/>
            <w:hideMark/>
          </w:tcPr>
          <w:p w:rsidRPr="004A3DCA" w:rsidR="004A3DCA" w:rsidP="004A3DCA" w:rsidRDefault="004A3DCA" w14:paraId="0EAED3ED" w14:textId="55C9BE66">
            <w:r w:rsidRPr="004A3DCA">
              <w:t>Involvement of local communities in organisation's work</w:t>
            </w:r>
          </w:p>
        </w:tc>
      </w:tr>
      <w:tr w:rsidRPr="000C0884" w:rsidR="004A3DCA" w:rsidTr="00A4588C" w14:paraId="2C9FFE14" w14:textId="77777777">
        <w:trPr>
          <w:trHeight w:val="20"/>
        </w:trPr>
        <w:tc>
          <w:tcPr>
            <w:tcW w:w="1980" w:type="dxa"/>
            <w:vMerge/>
            <w:hideMark/>
          </w:tcPr>
          <w:p w:rsidRPr="004A3DCA" w:rsidR="004A3DCA" w:rsidP="004A3DCA" w:rsidRDefault="004A3DCA" w14:paraId="2CE95BE6" w14:textId="77777777"/>
        </w:tc>
        <w:tc>
          <w:tcPr>
            <w:tcW w:w="1843" w:type="dxa"/>
            <w:vMerge/>
            <w:hideMark/>
          </w:tcPr>
          <w:p w:rsidRPr="004A3DCA" w:rsidR="004A3DCA" w:rsidP="004A3DCA" w:rsidRDefault="004A3DCA" w14:paraId="0F77578E" w14:textId="77777777"/>
        </w:tc>
        <w:tc>
          <w:tcPr>
            <w:tcW w:w="6264" w:type="dxa"/>
            <w:hideMark/>
          </w:tcPr>
          <w:p w:rsidRPr="004A3DCA" w:rsidR="004A3DCA" w:rsidP="004A3DCA" w:rsidRDefault="004A3DCA" w14:paraId="7066A39F" w14:textId="4FBE82F9">
            <w:r w:rsidRPr="004A3DCA">
              <w:t>Ways in which GC can benefit/disadvantage specific groups</w:t>
            </w:r>
          </w:p>
        </w:tc>
      </w:tr>
      <w:tr w:rsidRPr="000C0884" w:rsidR="004A3DCA" w:rsidTr="00A4588C" w14:paraId="0502402A" w14:textId="77777777">
        <w:trPr>
          <w:trHeight w:val="454"/>
        </w:trPr>
        <w:tc>
          <w:tcPr>
            <w:tcW w:w="1980" w:type="dxa"/>
            <w:vMerge/>
            <w:hideMark/>
          </w:tcPr>
          <w:p w:rsidRPr="004A3DCA" w:rsidR="004A3DCA" w:rsidP="004A3DCA" w:rsidRDefault="004A3DCA" w14:paraId="10E30DB9" w14:textId="77777777"/>
        </w:tc>
        <w:tc>
          <w:tcPr>
            <w:tcW w:w="1843" w:type="dxa"/>
            <w:vMerge w:val="restart"/>
            <w:noWrap/>
            <w:hideMark/>
          </w:tcPr>
          <w:p w:rsidRPr="004A3DCA" w:rsidR="004A3DCA" w:rsidP="004A3DCA" w:rsidRDefault="004A3DCA" w14:paraId="71923E7B" w14:textId="77777777">
            <w:r w:rsidRPr="004A3DCA">
              <w:t>THOSE FAMILIAR WITH MAGC</w:t>
            </w:r>
          </w:p>
        </w:tc>
        <w:tc>
          <w:tcPr>
            <w:tcW w:w="6264" w:type="dxa"/>
            <w:hideMark/>
          </w:tcPr>
          <w:p w:rsidRPr="004A3DCA" w:rsidR="004A3DCA" w:rsidP="004A3DCA" w:rsidRDefault="004A3DCA" w14:paraId="1273F171" w14:textId="10476308">
            <w:r w:rsidRPr="004A3DCA">
              <w:t xml:space="preserve">Unintended benefits of MAGC to GEDSI, and whether MAGC helped/prevented them from </w:t>
            </w:r>
            <w:r w:rsidRPr="004A3DCA" w:rsidR="00846E1B">
              <w:t>occurring</w:t>
            </w:r>
            <w:r w:rsidRPr="004A3DCA">
              <w:t xml:space="preserve">. External </w:t>
            </w:r>
            <w:r w:rsidRPr="004A3DCA">
              <w:t>factors that might have led to observed benefits/disbenefits.</w:t>
            </w:r>
          </w:p>
        </w:tc>
      </w:tr>
      <w:tr w:rsidRPr="000C0884" w:rsidR="004A3DCA" w:rsidTr="00A4588C" w14:paraId="341730D5" w14:textId="77777777">
        <w:trPr>
          <w:trHeight w:val="20"/>
        </w:trPr>
        <w:tc>
          <w:tcPr>
            <w:tcW w:w="1980" w:type="dxa"/>
            <w:vMerge/>
            <w:hideMark/>
          </w:tcPr>
          <w:p w:rsidRPr="004A3DCA" w:rsidR="004A3DCA" w:rsidP="004A3DCA" w:rsidRDefault="004A3DCA" w14:paraId="42644301" w14:textId="77777777"/>
        </w:tc>
        <w:tc>
          <w:tcPr>
            <w:tcW w:w="1843" w:type="dxa"/>
            <w:vMerge/>
            <w:hideMark/>
          </w:tcPr>
          <w:p w:rsidRPr="004A3DCA" w:rsidR="004A3DCA" w:rsidP="004A3DCA" w:rsidRDefault="004A3DCA" w14:paraId="1B6B5C9A" w14:textId="77777777"/>
        </w:tc>
        <w:tc>
          <w:tcPr>
            <w:tcW w:w="6264" w:type="dxa"/>
            <w:hideMark/>
          </w:tcPr>
          <w:p w:rsidRPr="004A3DCA" w:rsidR="004A3DCA" w:rsidP="004A3DCA" w:rsidRDefault="004A3DCA" w14:paraId="00CC2E41" w14:textId="5A7DD29B">
            <w:r w:rsidRPr="004A3DCA">
              <w:t xml:space="preserve">How can </w:t>
            </w:r>
            <w:r w:rsidRPr="004A3DCA" w:rsidR="00846E1B">
              <w:t>MAGC demonstrate</w:t>
            </w:r>
            <w:r w:rsidRPr="004A3DCA">
              <w:t xml:space="preserve"> its contribution related to GEDSI (examples of indicators), role of various stakeholders in future programming to facilitate the inclusion of GEDSI in programme aims</w:t>
            </w:r>
          </w:p>
        </w:tc>
      </w:tr>
      <w:tr w:rsidRPr="000C0884" w:rsidR="00846E1B" w:rsidTr="00A4588C" w14:paraId="0B3FA58C" w14:textId="77777777">
        <w:trPr>
          <w:trHeight w:val="300"/>
        </w:trPr>
        <w:tc>
          <w:tcPr>
            <w:tcW w:w="3823" w:type="dxa"/>
            <w:gridSpan w:val="2"/>
            <w:vMerge w:val="restart"/>
            <w:noWrap/>
            <w:hideMark/>
          </w:tcPr>
          <w:p w:rsidRPr="004A3DCA" w:rsidR="00846E1B" w:rsidP="00846E1B" w:rsidRDefault="00846E1B" w14:paraId="70C90A38" w14:textId="6F6EFBA0">
            <w:r w:rsidRPr="004A3DCA">
              <w:t>Other comments</w:t>
            </w:r>
          </w:p>
        </w:tc>
        <w:tc>
          <w:tcPr>
            <w:tcW w:w="6264" w:type="dxa"/>
            <w:hideMark/>
          </w:tcPr>
          <w:p w:rsidRPr="004A3DCA" w:rsidR="00846E1B" w:rsidP="004A3DCA" w:rsidRDefault="00846E1B" w14:paraId="6B99EDAB" w14:textId="77777777">
            <w:r w:rsidRPr="004A3DCA">
              <w:t>…from interviewee</w:t>
            </w:r>
          </w:p>
        </w:tc>
      </w:tr>
      <w:tr w:rsidRPr="000C0884" w:rsidR="00846E1B" w:rsidTr="00A4588C" w14:paraId="3C39373F" w14:textId="77777777">
        <w:trPr>
          <w:trHeight w:val="41"/>
        </w:trPr>
        <w:tc>
          <w:tcPr>
            <w:tcW w:w="3823" w:type="dxa"/>
            <w:gridSpan w:val="2"/>
            <w:vMerge/>
            <w:noWrap/>
            <w:hideMark/>
          </w:tcPr>
          <w:p w:rsidRPr="004A3DCA" w:rsidR="00846E1B" w:rsidP="004A3DCA" w:rsidRDefault="00846E1B" w14:paraId="620202C7" w14:textId="5B481C17"/>
        </w:tc>
        <w:tc>
          <w:tcPr>
            <w:tcW w:w="6264" w:type="dxa"/>
            <w:hideMark/>
          </w:tcPr>
          <w:p w:rsidRPr="004A3DCA" w:rsidR="00846E1B" w:rsidP="004A3DCA" w:rsidRDefault="00846E1B" w14:paraId="02316696" w14:textId="77777777">
            <w:r w:rsidRPr="004A3DCA">
              <w:t>…from interviewer</w:t>
            </w:r>
          </w:p>
        </w:tc>
      </w:tr>
    </w:tbl>
    <w:p w:rsidR="004A3DCA" w:rsidP="00EA1E4E" w:rsidRDefault="004A3DCA" w14:paraId="6FBD21D5" w14:textId="1C760BD9">
      <w:pPr>
        <w:pStyle w:val="Heading2"/>
      </w:pPr>
      <w:bookmarkStart w:name="_Toc179474021" w:id="176"/>
      <w:bookmarkStart w:name="_Toc181883605" w:id="177"/>
      <w:bookmarkStart w:name="_Toc188870889" w:id="178"/>
      <w:bookmarkStart w:name="_Toc207790228" w:id="179"/>
      <w:r>
        <w:t>Secondary data analysis templates</w:t>
      </w:r>
      <w:bookmarkEnd w:id="176"/>
      <w:bookmarkEnd w:id="177"/>
      <w:bookmarkEnd w:id="178"/>
      <w:bookmarkEnd w:id="179"/>
    </w:p>
    <w:p w:rsidR="004A3DCA" w:rsidP="00EA1E4E" w:rsidRDefault="004A3DCA" w14:paraId="45C7D879" w14:textId="77777777">
      <w:pPr>
        <w:pStyle w:val="Heading3"/>
      </w:pPr>
      <w:bookmarkStart w:name="_Toc179468572" w:id="180"/>
      <w:bookmarkStart w:name="_Toc179474022" w:id="181"/>
      <w:bookmarkStart w:name="_Toc181883606" w:id="182"/>
      <w:bookmarkStart w:name="_Toc188870890" w:id="183"/>
      <w:bookmarkStart w:name="_Toc207790229" w:id="184"/>
      <w:r>
        <w:t>Political economy analysis template</w:t>
      </w:r>
      <w:bookmarkEnd w:id="180"/>
      <w:bookmarkEnd w:id="181"/>
      <w:bookmarkEnd w:id="182"/>
      <w:bookmarkEnd w:id="183"/>
      <w:bookmarkEnd w:id="184"/>
    </w:p>
    <w:p w:rsidRPr="00E13638" w:rsidR="006F5E42" w:rsidP="00E13638" w:rsidRDefault="006F5E42" w14:paraId="470551CE" w14:textId="6DE0A63E">
      <w:pPr>
        <w:rPr>
          <w:b/>
          <w:bCs/>
        </w:rPr>
      </w:pPr>
      <w:r>
        <w:rPr>
          <w:b/>
          <w:bCs/>
        </w:rPr>
        <w:t>Table 16. Political economy analysis template</w:t>
      </w:r>
    </w:p>
    <w:tbl>
      <w:tblPr>
        <w:tblStyle w:val="Table-Darkblue"/>
        <w:tblW w:w="0" w:type="auto"/>
        <w:tblLayout w:type="fixed"/>
        <w:tblLook w:val="0480" w:firstRow="0" w:lastRow="0" w:firstColumn="1" w:lastColumn="0" w:noHBand="0" w:noVBand="1"/>
      </w:tblPr>
      <w:tblGrid>
        <w:gridCol w:w="2122"/>
        <w:gridCol w:w="7960"/>
      </w:tblGrid>
      <w:tr w:rsidRPr="003E3076" w:rsidR="004A3DCA" w:rsidTr="00C271C3" w14:paraId="4A80D2EA" w14:textId="77777777">
        <w:trPr>
          <w:trHeight w:val="1500"/>
        </w:trPr>
        <w:tc>
          <w:tcPr>
            <w:tcW w:w="2122" w:type="dxa"/>
            <w:vMerge w:val="restart"/>
            <w:hideMark/>
          </w:tcPr>
          <w:p w:rsidRPr="004A3DCA" w:rsidR="004A3DCA" w:rsidP="00C271C3" w:rsidRDefault="004A3DCA" w14:paraId="1EC8699C" w14:textId="77777777">
            <w:r w:rsidRPr="004A3DCA">
              <w:t xml:space="preserve">Political Context </w:t>
            </w:r>
          </w:p>
        </w:tc>
        <w:tc>
          <w:tcPr>
            <w:tcW w:w="7960" w:type="dxa"/>
            <w:hideMark/>
          </w:tcPr>
          <w:p w:rsidR="00E541FC" w:rsidP="00C271C3" w:rsidRDefault="004A3DCA" w14:paraId="6A2E03BF" w14:textId="77777777">
            <w:r w:rsidRPr="004A3DCA">
              <w:t xml:space="preserve">Overview of the political system </w:t>
            </w:r>
          </w:p>
          <w:p w:rsidR="00E541FC" w:rsidP="00C271C3" w:rsidRDefault="004A3DCA" w14:paraId="390B7DD9" w14:textId="13266A54">
            <w:r w:rsidRPr="004A3DCA">
              <w:t xml:space="preserve">Country's political system and high level decision-making structure. </w:t>
            </w:r>
          </w:p>
          <w:p w:rsidRPr="004A3DCA" w:rsidR="004A3DCA" w:rsidP="00C271C3" w:rsidRDefault="004A3DCA" w14:paraId="09883C60" w14:textId="43C9E6BE">
            <w:r w:rsidRPr="004A3DCA">
              <w:t xml:space="preserve">Key political </w:t>
            </w:r>
            <w:r w:rsidRPr="004A3DCA" w:rsidR="00FE1100">
              <w:t>institutions</w:t>
            </w:r>
            <w:r w:rsidRPr="004A3DCA">
              <w:t xml:space="preserve"> and </w:t>
            </w:r>
            <w:r w:rsidRPr="004A3DCA" w:rsidR="00FE1100">
              <w:t>structures</w:t>
            </w:r>
            <w:r w:rsidRPr="004A3DCA">
              <w:t xml:space="preserve"> relevant to the green construction sector. </w:t>
            </w:r>
          </w:p>
        </w:tc>
      </w:tr>
      <w:tr w:rsidRPr="003E3076" w:rsidR="004A3DCA" w:rsidTr="00C271C3" w14:paraId="1C4D6D97" w14:textId="77777777">
        <w:trPr>
          <w:trHeight w:val="2100"/>
        </w:trPr>
        <w:tc>
          <w:tcPr>
            <w:tcW w:w="2122" w:type="dxa"/>
            <w:vMerge/>
            <w:hideMark/>
          </w:tcPr>
          <w:p w:rsidRPr="004A3DCA" w:rsidR="004A3DCA" w:rsidP="00C271C3" w:rsidRDefault="004A3DCA" w14:paraId="4B284302" w14:textId="77777777"/>
        </w:tc>
        <w:tc>
          <w:tcPr>
            <w:tcW w:w="7960" w:type="dxa"/>
            <w:hideMark/>
          </w:tcPr>
          <w:p w:rsidR="00E541FC" w:rsidP="00C271C3" w:rsidRDefault="004A3DCA" w14:paraId="72454C7D" w14:textId="77777777">
            <w:r w:rsidRPr="004A3DCA">
              <w:t xml:space="preserve">Policy Context </w:t>
            </w:r>
          </w:p>
          <w:p w:rsidR="00E541FC" w:rsidP="00C271C3" w:rsidRDefault="004A3DCA" w14:paraId="3ED86BE4" w14:textId="6C3E84B2">
            <w:r w:rsidRPr="004A3DCA">
              <w:t xml:space="preserve">What are the key policies for enabling or progressing green construction </w:t>
            </w:r>
            <w:r w:rsidRPr="004A3DCA">
              <w:br/>
            </w:r>
            <w:r w:rsidRPr="004A3DCA">
              <w:t xml:space="preserve">How effective have these </w:t>
            </w:r>
            <w:proofErr w:type="spellStart"/>
            <w:r w:rsidRPr="004A3DCA">
              <w:t>been</w:t>
            </w:r>
            <w:proofErr w:type="spellEnd"/>
            <w:r w:rsidRPr="004A3DCA">
              <w:t xml:space="preserve">/what has the impact been? </w:t>
            </w:r>
          </w:p>
          <w:p w:rsidRPr="004A3DCA" w:rsidR="004A3DCA" w:rsidP="00C271C3" w:rsidRDefault="004A3DCA" w14:paraId="629F820F" w14:textId="357594F4">
            <w:r w:rsidRPr="004A3DCA">
              <w:t xml:space="preserve">What is the </w:t>
            </w:r>
            <w:r w:rsidRPr="004A3DCA" w:rsidR="00C271C3">
              <w:t>government’s</w:t>
            </w:r>
            <w:r w:rsidRPr="004A3DCA">
              <w:t xml:space="preserve"> stance towards green construction and energy efficiency?</w:t>
            </w:r>
          </w:p>
        </w:tc>
      </w:tr>
      <w:tr w:rsidRPr="003E3076" w:rsidR="004A3DCA" w:rsidTr="00C271C3" w14:paraId="7061A337" w14:textId="77777777">
        <w:trPr>
          <w:trHeight w:val="1800"/>
        </w:trPr>
        <w:tc>
          <w:tcPr>
            <w:tcW w:w="2122" w:type="dxa"/>
            <w:vMerge/>
            <w:hideMark/>
          </w:tcPr>
          <w:p w:rsidRPr="004A3DCA" w:rsidR="004A3DCA" w:rsidP="00C271C3" w:rsidRDefault="004A3DCA" w14:paraId="61720229" w14:textId="77777777"/>
        </w:tc>
        <w:tc>
          <w:tcPr>
            <w:tcW w:w="7960" w:type="dxa"/>
            <w:hideMark/>
          </w:tcPr>
          <w:p w:rsidR="00E541FC" w:rsidP="00C271C3" w:rsidRDefault="004A3DCA" w14:paraId="7910D6BA" w14:textId="77777777">
            <w:r w:rsidRPr="004A3DCA">
              <w:t>Social Context</w:t>
            </w:r>
          </w:p>
          <w:p w:rsidR="00E541FC" w:rsidP="00C271C3" w:rsidRDefault="004A3DCA" w14:paraId="2E9E9A56" w14:textId="7AE02AE1">
            <w:r w:rsidRPr="004A3DCA">
              <w:t>Is there public support for green construction? (EDGE Expert could assist you here)</w:t>
            </w:r>
          </w:p>
          <w:p w:rsidR="00E541FC" w:rsidP="00C271C3" w:rsidRDefault="004A3DCA" w14:paraId="5ACDCB89" w14:textId="04D9FC91">
            <w:r w:rsidRPr="004A3DCA">
              <w:t xml:space="preserve">What is the general public attitude towards green construction, energy efficient construction? </w:t>
            </w:r>
          </w:p>
          <w:p w:rsidR="00E541FC" w:rsidP="00C271C3" w:rsidRDefault="004A3DCA" w14:paraId="1D8A8AE7" w14:textId="77777777">
            <w:r w:rsidRPr="004A3DCA">
              <w:br/>
            </w:r>
            <w:r w:rsidRPr="004A3DCA">
              <w:t>Who are the main influences (either pro</w:t>
            </w:r>
            <w:r w:rsidR="00C271C3">
              <w:t>-</w:t>
            </w:r>
            <w:r w:rsidRPr="004A3DCA">
              <w:t xml:space="preserve"> and </w:t>
            </w:r>
            <w:r w:rsidRPr="004A3DCA" w:rsidR="00C271C3">
              <w:t>anti-green</w:t>
            </w:r>
            <w:r w:rsidRPr="004A3DCA">
              <w:t xml:space="preserve"> policy and green investment)? </w:t>
            </w:r>
          </w:p>
          <w:p w:rsidRPr="004A3DCA" w:rsidR="004A3DCA" w:rsidP="00C271C3" w:rsidRDefault="004A3DCA" w14:paraId="6DC9C398" w14:textId="24063777">
            <w:r w:rsidRPr="004A3DCA">
              <w:br/>
            </w:r>
            <w:r w:rsidRPr="004A3DCA">
              <w:t>Any other cultural or social factors that could influence that acceptance and adoption of green construction</w:t>
            </w:r>
          </w:p>
        </w:tc>
      </w:tr>
      <w:tr w:rsidRPr="003E3076" w:rsidR="004A3DCA" w:rsidTr="00261C29" w14:paraId="303B0A86" w14:textId="77777777">
        <w:trPr>
          <w:trHeight w:val="325"/>
        </w:trPr>
        <w:tc>
          <w:tcPr>
            <w:tcW w:w="2122" w:type="dxa"/>
            <w:vMerge/>
            <w:hideMark/>
          </w:tcPr>
          <w:p w:rsidRPr="004A3DCA" w:rsidR="004A3DCA" w:rsidP="00C271C3" w:rsidRDefault="004A3DCA" w14:paraId="6CBF5EB4" w14:textId="77777777"/>
        </w:tc>
        <w:tc>
          <w:tcPr>
            <w:tcW w:w="7960" w:type="dxa"/>
            <w:hideMark/>
          </w:tcPr>
          <w:p w:rsidRPr="004A3DCA" w:rsidR="004A3DCA" w:rsidP="00C271C3" w:rsidRDefault="004A3DCA" w14:paraId="04A1049F" w14:textId="376B11D2">
            <w:r w:rsidRPr="004A3DCA">
              <w:t xml:space="preserve">Regulatory Environment </w:t>
            </w:r>
            <w:r w:rsidRPr="004A3DCA">
              <w:br/>
            </w:r>
            <w:r w:rsidRPr="004A3DCA">
              <w:t>Who are the regulators, what is their remit.</w:t>
            </w:r>
            <w:r w:rsidRPr="004A3DCA">
              <w:br/>
            </w:r>
            <w:r w:rsidRPr="004A3DCA">
              <w:t xml:space="preserve">What is the regulatory environment like (e.g. encouraging green construction?) </w:t>
            </w:r>
            <w:r w:rsidRPr="004A3DCA">
              <w:br/>
            </w:r>
            <w:r w:rsidRPr="004A3DCA">
              <w:t xml:space="preserve">What has the impact of enforcement been? </w:t>
            </w:r>
          </w:p>
        </w:tc>
      </w:tr>
      <w:tr w:rsidRPr="003E3076" w:rsidR="004A3DCA" w:rsidTr="00C271C3" w14:paraId="6BB2B527" w14:textId="77777777">
        <w:trPr>
          <w:trHeight w:val="900"/>
        </w:trPr>
        <w:tc>
          <w:tcPr>
            <w:tcW w:w="2122" w:type="dxa"/>
            <w:vMerge/>
            <w:hideMark/>
          </w:tcPr>
          <w:p w:rsidRPr="004A3DCA" w:rsidR="004A3DCA" w:rsidP="00C271C3" w:rsidRDefault="004A3DCA" w14:paraId="640F8A73" w14:textId="77777777"/>
        </w:tc>
        <w:tc>
          <w:tcPr>
            <w:tcW w:w="7960" w:type="dxa"/>
            <w:hideMark/>
          </w:tcPr>
          <w:p w:rsidRPr="004A3DCA" w:rsidR="004A3DCA" w:rsidP="00C271C3" w:rsidRDefault="004A3DCA" w14:paraId="433F3A77" w14:textId="77777777">
            <w:r w:rsidRPr="004A3DCA">
              <w:t xml:space="preserve">Political barriers (The EDGE expert can assist here) </w:t>
            </w:r>
            <w:r w:rsidRPr="004A3DCA">
              <w:br/>
            </w:r>
            <w:r w:rsidRPr="004A3DCA">
              <w:br/>
            </w:r>
            <w:r w:rsidRPr="004A3DCA">
              <w:t>Are there any political barriers to expanding green construction?</w:t>
            </w:r>
          </w:p>
        </w:tc>
      </w:tr>
      <w:tr w:rsidRPr="003E3076" w:rsidR="004A3DCA" w:rsidTr="00C271C3" w14:paraId="04F42096" w14:textId="77777777">
        <w:trPr>
          <w:trHeight w:val="2100"/>
        </w:trPr>
        <w:tc>
          <w:tcPr>
            <w:tcW w:w="2122" w:type="dxa"/>
            <w:vMerge w:val="restart"/>
            <w:hideMark/>
          </w:tcPr>
          <w:p w:rsidRPr="004A3DCA" w:rsidR="004A3DCA" w:rsidP="00C271C3" w:rsidRDefault="004A3DCA" w14:paraId="41DC95C6" w14:textId="0A2FF338">
            <w:r w:rsidRPr="004A3DCA">
              <w:t>Gender Equality and Social Inclusion (GE</w:t>
            </w:r>
            <w:r w:rsidR="007D6CBE">
              <w:t>D</w:t>
            </w:r>
            <w:r w:rsidRPr="004A3DCA">
              <w:t>SI) Context</w:t>
            </w:r>
          </w:p>
        </w:tc>
        <w:tc>
          <w:tcPr>
            <w:tcW w:w="7960" w:type="dxa"/>
            <w:hideMark/>
          </w:tcPr>
          <w:p w:rsidRPr="004A3DCA" w:rsidR="004A3DCA" w:rsidP="00C271C3" w:rsidRDefault="004A3DCA" w14:paraId="466AA977" w14:textId="40D361FF">
            <w:r w:rsidRPr="004A3DCA">
              <w:t>Gender Equality</w:t>
            </w:r>
            <w:r w:rsidR="007D6CBE">
              <w:t xml:space="preserve"> Disability</w:t>
            </w:r>
            <w:r w:rsidRPr="004A3DCA">
              <w:t xml:space="preserve"> and Social Inclusion status </w:t>
            </w:r>
            <w:r w:rsidRPr="004A3DCA">
              <w:br/>
            </w:r>
            <w:r w:rsidRPr="004A3DCA">
              <w:br/>
            </w:r>
            <w:r w:rsidRPr="004A3DCA">
              <w:t>What is the status on GE</w:t>
            </w:r>
            <w:r w:rsidR="007D6CBE">
              <w:t>D</w:t>
            </w:r>
            <w:r w:rsidRPr="004A3DCA">
              <w:t>SI in the country? (this can include indicators on education, employment, health, political participation)</w:t>
            </w:r>
            <w:r w:rsidRPr="004A3DCA">
              <w:br/>
            </w:r>
            <w:r w:rsidRPr="004A3DCA">
              <w:br/>
            </w:r>
            <w:r w:rsidRPr="004A3DCA">
              <w:t>What are the country's legal and policy framework for GE</w:t>
            </w:r>
            <w:r w:rsidR="007D6CBE">
              <w:t>D</w:t>
            </w:r>
            <w:r w:rsidRPr="004A3DCA">
              <w:t>SI? What are the country's priorities in terms of GE</w:t>
            </w:r>
            <w:r w:rsidR="007D6CBE">
              <w:t>D</w:t>
            </w:r>
            <w:r w:rsidRPr="004A3DCA">
              <w:t>SI?</w:t>
            </w:r>
          </w:p>
        </w:tc>
      </w:tr>
      <w:tr w:rsidRPr="003E3076" w:rsidR="004A3DCA" w:rsidTr="00C271C3" w14:paraId="283E01D1" w14:textId="77777777">
        <w:trPr>
          <w:trHeight w:val="1800"/>
        </w:trPr>
        <w:tc>
          <w:tcPr>
            <w:tcW w:w="2122" w:type="dxa"/>
            <w:vMerge/>
            <w:hideMark/>
          </w:tcPr>
          <w:p w:rsidRPr="004A3DCA" w:rsidR="004A3DCA" w:rsidP="00C271C3" w:rsidRDefault="004A3DCA" w14:paraId="2492D29E" w14:textId="77777777"/>
        </w:tc>
        <w:tc>
          <w:tcPr>
            <w:tcW w:w="7960" w:type="dxa"/>
            <w:hideMark/>
          </w:tcPr>
          <w:p w:rsidRPr="004A3DCA" w:rsidR="004A3DCA" w:rsidP="00C271C3" w:rsidRDefault="004A3DCA" w14:paraId="2FA6ACC0" w14:textId="6AB3F683">
            <w:r w:rsidRPr="004A3DCA">
              <w:t>Barriers and enablers to GE</w:t>
            </w:r>
            <w:r w:rsidR="007D6CBE">
              <w:t>D</w:t>
            </w:r>
            <w:r w:rsidRPr="004A3DCA">
              <w:t xml:space="preserve">SI </w:t>
            </w:r>
            <w:r w:rsidRPr="004A3DCA">
              <w:br/>
            </w:r>
            <w:r w:rsidRPr="004A3DCA">
              <w:br/>
            </w:r>
            <w:r w:rsidRPr="004A3DCA">
              <w:t>What are the key barriers and enablers to GE</w:t>
            </w:r>
            <w:r w:rsidR="007D6CBE">
              <w:t>D</w:t>
            </w:r>
            <w:r w:rsidRPr="004A3DCA">
              <w:t>SI? (can include economic factors, historical or ongoing conflict, demographic factors, power dynamics and economic systems impacting GE</w:t>
            </w:r>
            <w:r w:rsidR="007D6CBE">
              <w:t>D</w:t>
            </w:r>
            <w:r w:rsidRPr="004A3DCA">
              <w:t>SI)</w:t>
            </w:r>
            <w:r w:rsidRPr="004A3DCA">
              <w:br/>
            </w:r>
            <w:r w:rsidRPr="004A3DCA">
              <w:br/>
            </w:r>
            <w:r w:rsidRPr="004A3DCA">
              <w:t>Any specific barriers and enablers to GE</w:t>
            </w:r>
            <w:r w:rsidR="007D6CBE">
              <w:t>D</w:t>
            </w:r>
            <w:r w:rsidRPr="004A3DCA">
              <w:t>SI in relation to the construction sector (e.g. affordable housing)?</w:t>
            </w:r>
          </w:p>
        </w:tc>
      </w:tr>
      <w:tr w:rsidRPr="003E3076" w:rsidR="004A3DCA" w:rsidTr="00C271C3" w14:paraId="07DAF7E0" w14:textId="77777777">
        <w:trPr>
          <w:trHeight w:val="1200"/>
        </w:trPr>
        <w:tc>
          <w:tcPr>
            <w:tcW w:w="2122" w:type="dxa"/>
            <w:vMerge w:val="restart"/>
            <w:noWrap/>
            <w:hideMark/>
          </w:tcPr>
          <w:p w:rsidRPr="004A3DCA" w:rsidR="004A3DCA" w:rsidP="00C271C3" w:rsidRDefault="004A3DCA" w14:paraId="6DD86E03" w14:textId="77777777">
            <w:r w:rsidRPr="004A3DCA">
              <w:t>Economic Context</w:t>
            </w:r>
          </w:p>
        </w:tc>
        <w:tc>
          <w:tcPr>
            <w:tcW w:w="7960" w:type="dxa"/>
            <w:hideMark/>
          </w:tcPr>
          <w:p w:rsidRPr="004A3DCA" w:rsidR="004A3DCA" w:rsidP="00C271C3" w:rsidRDefault="004A3DCA" w14:paraId="2301670C" w14:textId="2737B9BD">
            <w:r w:rsidRPr="004A3DCA">
              <w:t>Economic status</w:t>
            </w:r>
            <w:r w:rsidRPr="004A3DCA">
              <w:br/>
            </w:r>
            <w:r w:rsidRPr="004A3DCA">
              <w:br/>
            </w:r>
            <w:r w:rsidRPr="004A3DCA">
              <w:t>What is the current state of the economy?</w:t>
            </w:r>
            <w:r w:rsidRPr="004A3DCA">
              <w:br/>
            </w:r>
            <w:r w:rsidRPr="004A3DCA">
              <w:t>What is the current state of the green construction sector? (The EDGE expert and the Financial Expert can assist here)</w:t>
            </w:r>
          </w:p>
        </w:tc>
      </w:tr>
      <w:tr w:rsidRPr="003E3076" w:rsidR="004A3DCA" w:rsidTr="00C271C3" w14:paraId="592B8523" w14:textId="77777777">
        <w:trPr>
          <w:trHeight w:val="1500"/>
        </w:trPr>
        <w:tc>
          <w:tcPr>
            <w:tcW w:w="2122" w:type="dxa"/>
            <w:vMerge/>
            <w:hideMark/>
          </w:tcPr>
          <w:p w:rsidRPr="004A3DCA" w:rsidR="004A3DCA" w:rsidP="00C271C3" w:rsidRDefault="004A3DCA" w14:paraId="76640EE9" w14:textId="77777777"/>
        </w:tc>
        <w:tc>
          <w:tcPr>
            <w:tcW w:w="7960" w:type="dxa"/>
            <w:hideMark/>
          </w:tcPr>
          <w:p w:rsidRPr="004A3DCA" w:rsidR="004A3DCA" w:rsidP="00C271C3" w:rsidRDefault="004A3DCA" w14:paraId="779CE5DF" w14:textId="09BEAB03">
            <w:r w:rsidRPr="004A3DCA">
              <w:t xml:space="preserve">Policies &amp; Incentives </w:t>
            </w:r>
            <w:r w:rsidRPr="004A3DCA">
              <w:br/>
            </w:r>
            <w:r w:rsidRPr="004A3DCA">
              <w:br/>
            </w:r>
            <w:r w:rsidRPr="004A3DCA">
              <w:t>Are there any financial incentives for green construction e.g. from central Government? What has the impact of these ince</w:t>
            </w:r>
            <w:r w:rsidR="00391FEA">
              <w:t>n</w:t>
            </w:r>
            <w:r w:rsidRPr="004A3DCA">
              <w:t xml:space="preserve">tives been? </w:t>
            </w:r>
            <w:r w:rsidRPr="004A3DCA">
              <w:br/>
            </w:r>
            <w:r w:rsidRPr="004A3DCA">
              <w:br/>
            </w:r>
            <w:r w:rsidRPr="004A3DCA">
              <w:t>Are there any governm</w:t>
            </w:r>
            <w:r w:rsidR="00391FEA">
              <w:t>e</w:t>
            </w:r>
            <w:r w:rsidRPr="004A3DCA">
              <w:t xml:space="preserve">nt policies relevant to green construction e.g. incentivising or enabling green </w:t>
            </w:r>
            <w:r w:rsidRPr="004A3DCA" w:rsidR="00391FEA">
              <w:t>construction</w:t>
            </w:r>
            <w:r w:rsidRPr="004A3DCA">
              <w:t>?</w:t>
            </w:r>
          </w:p>
        </w:tc>
      </w:tr>
      <w:tr w:rsidRPr="003E3076" w:rsidR="004A3DCA" w:rsidTr="00C271C3" w14:paraId="71DD2C43" w14:textId="77777777">
        <w:trPr>
          <w:trHeight w:val="900"/>
        </w:trPr>
        <w:tc>
          <w:tcPr>
            <w:tcW w:w="2122" w:type="dxa"/>
            <w:vMerge/>
            <w:hideMark/>
          </w:tcPr>
          <w:p w:rsidRPr="004A3DCA" w:rsidR="004A3DCA" w:rsidP="00C271C3" w:rsidRDefault="004A3DCA" w14:paraId="759F638F" w14:textId="77777777"/>
        </w:tc>
        <w:tc>
          <w:tcPr>
            <w:tcW w:w="7960" w:type="dxa"/>
            <w:hideMark/>
          </w:tcPr>
          <w:p w:rsidRPr="004A3DCA" w:rsidR="004A3DCA" w:rsidP="00C271C3" w:rsidRDefault="004A3DCA" w14:paraId="7EBB489A" w14:textId="77777777">
            <w:r w:rsidRPr="004A3DCA">
              <w:t xml:space="preserve">Barriers </w:t>
            </w:r>
            <w:r w:rsidRPr="004A3DCA">
              <w:br/>
            </w:r>
            <w:r w:rsidRPr="004A3DCA">
              <w:br/>
            </w:r>
            <w:r w:rsidRPr="004A3DCA">
              <w:t xml:space="preserve">Any barriers to investment in green construction? </w:t>
            </w:r>
          </w:p>
        </w:tc>
      </w:tr>
      <w:tr w:rsidRPr="003E3076" w:rsidR="004A3DCA" w:rsidTr="00C271C3" w14:paraId="74E5F71D" w14:textId="77777777">
        <w:trPr>
          <w:trHeight w:val="2100"/>
        </w:trPr>
        <w:tc>
          <w:tcPr>
            <w:tcW w:w="2122" w:type="dxa"/>
            <w:noWrap/>
            <w:hideMark/>
          </w:tcPr>
          <w:p w:rsidRPr="004A3DCA" w:rsidR="004A3DCA" w:rsidP="00C271C3" w:rsidRDefault="004A3DCA" w14:paraId="4CF7EAF8" w14:textId="77777777">
            <w:r w:rsidRPr="004A3DCA">
              <w:t>Climate Change Context</w:t>
            </w:r>
          </w:p>
        </w:tc>
        <w:tc>
          <w:tcPr>
            <w:tcW w:w="7960" w:type="dxa"/>
            <w:hideMark/>
          </w:tcPr>
          <w:p w:rsidRPr="004A3DCA" w:rsidR="004A3DCA" w:rsidP="00C271C3" w:rsidRDefault="004A3DCA" w14:paraId="5DFE03D5" w14:textId="77777777">
            <w:r w:rsidRPr="004A3DCA">
              <w:t>Summary of current climate priorities and pledges</w:t>
            </w:r>
            <w:r w:rsidRPr="004A3DCA">
              <w:br/>
            </w:r>
            <w:r w:rsidRPr="004A3DCA">
              <w:br/>
            </w:r>
            <w:r w:rsidRPr="004A3DCA">
              <w:t>Current level of progress on action for addressing climate change, and key bodies enforcing climate change policies and priorities overall</w:t>
            </w:r>
            <w:r w:rsidRPr="004A3DCA">
              <w:br/>
            </w:r>
            <w:r w:rsidRPr="004A3DCA">
              <w:br/>
            </w:r>
            <w:r w:rsidRPr="004A3DCA">
              <w:t xml:space="preserve">Actors driving climate change agenda in country </w:t>
            </w:r>
            <w:r w:rsidRPr="004A3DCA">
              <w:br/>
            </w:r>
            <w:r w:rsidRPr="004A3DCA">
              <w:br/>
            </w:r>
            <w:r w:rsidRPr="004A3DCA">
              <w:t>Sectors of focus in the climate policy agenda</w:t>
            </w:r>
          </w:p>
        </w:tc>
      </w:tr>
      <w:tr w:rsidRPr="003E3076" w:rsidR="004A3DCA" w:rsidTr="00C271C3" w14:paraId="74E5A15B" w14:textId="77777777">
        <w:trPr>
          <w:trHeight w:val="2400"/>
        </w:trPr>
        <w:tc>
          <w:tcPr>
            <w:tcW w:w="2122" w:type="dxa"/>
            <w:vMerge w:val="restart"/>
            <w:noWrap/>
            <w:hideMark/>
          </w:tcPr>
          <w:p w:rsidRPr="004A3DCA" w:rsidR="004A3DCA" w:rsidP="00C271C3" w:rsidRDefault="004A3DCA" w14:paraId="35461397" w14:textId="77777777">
            <w:r w:rsidRPr="004A3DCA">
              <w:t xml:space="preserve">Green Construction Context </w:t>
            </w:r>
          </w:p>
        </w:tc>
        <w:tc>
          <w:tcPr>
            <w:tcW w:w="7960" w:type="dxa"/>
            <w:hideMark/>
          </w:tcPr>
          <w:p w:rsidRPr="004A3DCA" w:rsidR="004A3DCA" w:rsidP="00C271C3" w:rsidRDefault="004A3DCA" w14:paraId="5C6A4BAA" w14:textId="77777777">
            <w:r w:rsidRPr="004A3DCA">
              <w:t>Construction sector context</w:t>
            </w:r>
            <w:r w:rsidRPr="004A3DCA">
              <w:br/>
            </w:r>
            <w:r w:rsidRPr="004A3DCA">
              <w:br/>
            </w:r>
            <w:r w:rsidRPr="004A3DCA">
              <w:t>Indicators on rates of urbanisation and forecast</w:t>
            </w:r>
            <w:r w:rsidRPr="004A3DCA">
              <w:br/>
            </w:r>
            <w:r w:rsidRPr="004A3DCA">
              <w:br/>
            </w:r>
            <w:r w:rsidRPr="004A3DCA">
              <w:t>Indicators on housing/building stock (density, quality of buildings) - e.g. UN Habitat Urban Indicators database or UNEP report on buildings and construction)</w:t>
            </w:r>
            <w:r w:rsidRPr="004A3DCA">
              <w:br/>
            </w:r>
            <w:r w:rsidRPr="004A3DCA">
              <w:br/>
            </w:r>
            <w:r w:rsidRPr="004A3DCA">
              <w:t>Share of GDP from construction sector</w:t>
            </w:r>
          </w:p>
        </w:tc>
      </w:tr>
      <w:tr w:rsidRPr="003E3076" w:rsidR="004A3DCA" w:rsidTr="00C271C3" w14:paraId="03083868" w14:textId="77777777">
        <w:trPr>
          <w:trHeight w:val="2700"/>
        </w:trPr>
        <w:tc>
          <w:tcPr>
            <w:tcW w:w="2122" w:type="dxa"/>
            <w:vMerge/>
            <w:hideMark/>
          </w:tcPr>
          <w:p w:rsidRPr="004A3DCA" w:rsidR="004A3DCA" w:rsidP="00C271C3" w:rsidRDefault="004A3DCA" w14:paraId="286C0FC7" w14:textId="77777777"/>
        </w:tc>
        <w:tc>
          <w:tcPr>
            <w:tcW w:w="7960" w:type="dxa"/>
            <w:hideMark/>
          </w:tcPr>
          <w:p w:rsidRPr="004A3DCA" w:rsidR="004A3DCA" w:rsidP="00C271C3" w:rsidRDefault="004A3DCA" w14:paraId="54A6188A" w14:textId="72B35812">
            <w:r w:rsidRPr="004A3DCA">
              <w:t>Green construction</w:t>
            </w:r>
            <w:r w:rsidRPr="004A3DCA">
              <w:br/>
            </w:r>
            <w:r w:rsidRPr="004A3DCA">
              <w:t xml:space="preserve">Summary of overall status of the green building market in the country - e.g. number of planned/in-progress/complete green construction projects. </w:t>
            </w:r>
            <w:r w:rsidRPr="004A3DCA">
              <w:br/>
            </w:r>
            <w:r w:rsidRPr="004A3DCA">
              <w:br/>
            </w:r>
            <w:r w:rsidRPr="004A3DCA">
              <w:t xml:space="preserve">Appetite for green construction in sector. </w:t>
            </w:r>
            <w:r w:rsidRPr="004A3DCA">
              <w:br/>
            </w:r>
            <w:r w:rsidRPr="004A3DCA">
              <w:br/>
            </w:r>
            <w:r w:rsidRPr="004A3DCA">
              <w:t xml:space="preserve">General maturity level of the sector. </w:t>
            </w:r>
            <w:r w:rsidRPr="004A3DCA">
              <w:br/>
            </w:r>
            <w:r w:rsidRPr="004A3DCA">
              <w:br/>
            </w:r>
            <w:r w:rsidRPr="004A3DCA">
              <w:t xml:space="preserve">The types of energy efficiency standards used in country (EDGE, LEED, others) - provide examples of how they have been used (what sectors they are used in for example) - which is the leading standard used in </w:t>
            </w:r>
            <w:r w:rsidRPr="004A3DCA">
              <w:t xml:space="preserve">country, (if possible) number of </w:t>
            </w:r>
            <w:r w:rsidRPr="004A3DCA" w:rsidR="00391FEA">
              <w:t>properties</w:t>
            </w:r>
            <w:r w:rsidRPr="004A3DCA">
              <w:t xml:space="preserve">/buildings certified with this standard etc. </w:t>
            </w:r>
          </w:p>
        </w:tc>
      </w:tr>
    </w:tbl>
    <w:p w:rsidR="004A3DCA" w:rsidP="004A3DCA" w:rsidRDefault="004A3DCA" w14:paraId="6D68B230" w14:textId="77777777"/>
    <w:p w:rsidR="004A3DCA" w:rsidP="00EA1E4E" w:rsidRDefault="004A3DCA" w14:paraId="6488D56C" w14:textId="611163CA">
      <w:pPr>
        <w:pStyle w:val="Heading3"/>
      </w:pPr>
      <w:bookmarkStart w:name="_Toc179468573" w:id="185"/>
      <w:bookmarkStart w:name="_Toc179474023" w:id="186"/>
      <w:bookmarkStart w:name="_Toc181883607" w:id="187"/>
      <w:bookmarkStart w:name="_Toc188870891" w:id="188"/>
      <w:bookmarkStart w:name="_Toc207790230" w:id="189"/>
      <w:r>
        <w:t xml:space="preserve">Financial </w:t>
      </w:r>
      <w:r w:rsidR="00D55E95">
        <w:t>M</w:t>
      </w:r>
      <w:r>
        <w:t xml:space="preserve">arket </w:t>
      </w:r>
      <w:r w:rsidR="00D55E95">
        <w:t>A</w:t>
      </w:r>
      <w:r>
        <w:t>nalysis template</w:t>
      </w:r>
      <w:bookmarkEnd w:id="185"/>
      <w:bookmarkEnd w:id="186"/>
      <w:bookmarkEnd w:id="187"/>
      <w:bookmarkEnd w:id="188"/>
      <w:bookmarkEnd w:id="189"/>
    </w:p>
    <w:p w:rsidRPr="00E13638" w:rsidR="006F5E42" w:rsidP="00E13638" w:rsidRDefault="006F5E42" w14:paraId="1DB06F27" w14:textId="56D89E2D">
      <w:pPr>
        <w:rPr>
          <w:b/>
          <w:bCs/>
        </w:rPr>
      </w:pPr>
      <w:r>
        <w:rPr>
          <w:b/>
          <w:bCs/>
        </w:rPr>
        <w:t>Table 17. Financial market analysis template</w:t>
      </w:r>
    </w:p>
    <w:tbl>
      <w:tblPr>
        <w:tblStyle w:val="Table-Darkblue"/>
        <w:tblW w:w="10480" w:type="dxa"/>
        <w:tblLook w:val="0480" w:firstRow="0" w:lastRow="0" w:firstColumn="1" w:lastColumn="0" w:noHBand="0" w:noVBand="1"/>
      </w:tblPr>
      <w:tblGrid>
        <w:gridCol w:w="1683"/>
        <w:gridCol w:w="8797"/>
      </w:tblGrid>
      <w:tr w:rsidRPr="003E3076" w:rsidR="004A3DCA" w:rsidTr="00F55B03" w14:paraId="0B970B74" w14:textId="77777777">
        <w:trPr>
          <w:trHeight w:val="2400"/>
        </w:trPr>
        <w:tc>
          <w:tcPr>
            <w:tcW w:w="1190" w:type="dxa"/>
            <w:hideMark/>
          </w:tcPr>
          <w:p w:rsidRPr="00F55B03" w:rsidR="004A3DCA" w:rsidP="00F55B03" w:rsidRDefault="004A3DCA" w14:paraId="7070760F" w14:textId="77777777">
            <w:pPr>
              <w:rPr>
                <w:rStyle w:val="Boldtext"/>
              </w:rPr>
            </w:pPr>
            <w:r w:rsidRPr="00F55B03">
              <w:rPr>
                <w:rStyle w:val="Boldtext"/>
              </w:rPr>
              <w:t>Market Overview</w:t>
            </w:r>
          </w:p>
        </w:tc>
        <w:tc>
          <w:tcPr>
            <w:tcW w:w="9290" w:type="dxa"/>
            <w:hideMark/>
          </w:tcPr>
          <w:p w:rsidRPr="004A3DCA" w:rsidR="004A3DCA" w:rsidP="00F55B03" w:rsidRDefault="004A3DCA" w14:paraId="256E17E2" w14:textId="1FA6B09D">
            <w:r w:rsidRPr="004A3DCA">
              <w:t>Analysis of overall market landscape</w:t>
            </w:r>
            <w:r w:rsidRPr="004A3DCA">
              <w:br/>
            </w:r>
            <w:r w:rsidRPr="004A3DCA">
              <w:t>For the most recent complete year:</w:t>
            </w:r>
            <w:r w:rsidRPr="004A3DCA">
              <w:br/>
            </w:r>
            <w:r w:rsidRPr="004A3DCA">
              <w:t>1) Overall size of the financing market in $bn (this includes Equity Investors, Funds (particularly Real Estate/Pension/Insurance funds) and Debt/lenders)</w:t>
            </w:r>
            <w:r w:rsidRPr="004A3DCA">
              <w:br/>
            </w:r>
            <w:r w:rsidRPr="004A3DCA">
              <w:t>2) Growth rate of financial markets (% per annum) and drivers</w:t>
            </w:r>
            <w:r w:rsidRPr="004A3DCA">
              <w:br/>
            </w:r>
            <w:r w:rsidRPr="004A3DCA">
              <w:t xml:space="preserve">3) Size of the real </w:t>
            </w:r>
            <w:r w:rsidRPr="004A3DCA" w:rsidR="00DD23CE">
              <w:t>estate</w:t>
            </w:r>
            <w:r w:rsidRPr="004A3DCA">
              <w:t xml:space="preserve"> market ($bn)</w:t>
            </w:r>
            <w:r w:rsidRPr="004A3DCA">
              <w:br/>
            </w:r>
            <w:r w:rsidRPr="004A3DCA">
              <w:t xml:space="preserve">4) Size of the real </w:t>
            </w:r>
            <w:r w:rsidRPr="004A3DCA" w:rsidR="00DD23CE">
              <w:t>estate</w:t>
            </w:r>
            <w:r w:rsidRPr="004A3DCA">
              <w:t xml:space="preserve"> market ($bn)</w:t>
            </w:r>
            <w:r w:rsidRPr="004A3DCA">
              <w:br/>
            </w:r>
            <w:r w:rsidRPr="004A3DCA">
              <w:t>5) Number of participants in each segment</w:t>
            </w:r>
          </w:p>
        </w:tc>
      </w:tr>
      <w:tr w:rsidRPr="003E3076" w:rsidR="004A3DCA" w:rsidTr="00F55B03" w14:paraId="35C08E08" w14:textId="77777777">
        <w:trPr>
          <w:trHeight w:val="2100"/>
        </w:trPr>
        <w:tc>
          <w:tcPr>
            <w:tcW w:w="1190" w:type="dxa"/>
            <w:hideMark/>
          </w:tcPr>
          <w:p w:rsidRPr="00F55B03" w:rsidR="004A3DCA" w:rsidP="00F55B03" w:rsidRDefault="004A3DCA" w14:paraId="3C9F0628" w14:textId="77777777">
            <w:pPr>
              <w:rPr>
                <w:rStyle w:val="Boldtext"/>
              </w:rPr>
            </w:pPr>
            <w:r w:rsidRPr="00F55B03">
              <w:rPr>
                <w:rStyle w:val="Boldtext"/>
              </w:rPr>
              <w:t>Investment Landscape</w:t>
            </w:r>
          </w:p>
        </w:tc>
        <w:tc>
          <w:tcPr>
            <w:tcW w:w="9290" w:type="dxa"/>
            <w:hideMark/>
          </w:tcPr>
          <w:p w:rsidRPr="004A3DCA" w:rsidR="004A3DCA" w:rsidP="00F55B03" w:rsidRDefault="004A3DCA" w14:paraId="3BBBFC08" w14:textId="77777777">
            <w:r w:rsidRPr="004A3DCA">
              <w:t>Analysis of investment flows into the green construction sector.</w:t>
            </w:r>
            <w:r w:rsidRPr="004A3DCA">
              <w:br/>
            </w:r>
            <w:r w:rsidRPr="004A3DCA">
              <w:t>Based on data in column A:</w:t>
            </w:r>
            <w:r w:rsidRPr="004A3DCA">
              <w:br/>
            </w:r>
            <w:r w:rsidRPr="004A3DCA">
              <w:t>1) Number of investors (Equity/Funds/Lenders)</w:t>
            </w:r>
            <w:r w:rsidRPr="004A3DCA">
              <w:br/>
            </w:r>
            <w:r w:rsidRPr="004A3DCA">
              <w:t>2) Sources of investment, types of financial instruments used, and the volume of investment over time.</w:t>
            </w:r>
            <w:r w:rsidRPr="004A3DCA">
              <w:br/>
            </w:r>
            <w:r w:rsidRPr="004A3DCA">
              <w:t>3) Identification of some key investors in the sector, their investment strategies, and their impact on the market.</w:t>
            </w:r>
          </w:p>
        </w:tc>
      </w:tr>
      <w:tr w:rsidRPr="003E3076" w:rsidR="004A3DCA" w:rsidTr="00F55B03" w14:paraId="5C11A255" w14:textId="77777777">
        <w:trPr>
          <w:trHeight w:val="1500"/>
        </w:trPr>
        <w:tc>
          <w:tcPr>
            <w:tcW w:w="1190" w:type="dxa"/>
            <w:hideMark/>
          </w:tcPr>
          <w:p w:rsidRPr="00F55B03" w:rsidR="004A3DCA" w:rsidP="00F55B03" w:rsidRDefault="004A3DCA" w14:paraId="37159B8E" w14:textId="77777777">
            <w:pPr>
              <w:rPr>
                <w:rStyle w:val="Boldtext"/>
              </w:rPr>
            </w:pPr>
            <w:r w:rsidRPr="00F55B03">
              <w:rPr>
                <w:rStyle w:val="Boldtext"/>
              </w:rPr>
              <w:t>Regulatory and Policy Environment</w:t>
            </w:r>
          </w:p>
        </w:tc>
        <w:tc>
          <w:tcPr>
            <w:tcW w:w="9290" w:type="dxa"/>
            <w:hideMark/>
          </w:tcPr>
          <w:p w:rsidRPr="004A3DCA" w:rsidR="004A3DCA" w:rsidP="00F55B03" w:rsidRDefault="004A3DCA" w14:paraId="52FD5779" w14:textId="77777777">
            <w:r w:rsidRPr="004A3DCA">
              <w:t>Overview of financial regulations and policies that impact the green construction sector, such as capital requirements, tax incentives, or loan guarantee schemes.</w:t>
            </w:r>
            <w:r w:rsidRPr="004A3DCA">
              <w:br/>
            </w:r>
            <w:r w:rsidRPr="004A3DCA">
              <w:t>Examination of the enforcement and effectiveness of these regulations and policies.</w:t>
            </w:r>
          </w:p>
        </w:tc>
      </w:tr>
      <w:tr w:rsidRPr="003E3076" w:rsidR="004A3DCA" w:rsidTr="00F55B03" w14:paraId="3660CCD0" w14:textId="77777777">
        <w:trPr>
          <w:trHeight w:val="608"/>
        </w:trPr>
        <w:tc>
          <w:tcPr>
            <w:tcW w:w="1190" w:type="dxa"/>
            <w:hideMark/>
          </w:tcPr>
          <w:p w:rsidRPr="00F55B03" w:rsidR="004A3DCA" w:rsidP="00F55B03" w:rsidRDefault="004A3DCA" w14:paraId="2B8D8DDE" w14:textId="77777777">
            <w:pPr>
              <w:rPr>
                <w:rStyle w:val="Boldtext"/>
              </w:rPr>
            </w:pPr>
            <w:r w:rsidRPr="00F55B03">
              <w:rPr>
                <w:rStyle w:val="Boldtext"/>
              </w:rPr>
              <w:t>Local Financing Market</w:t>
            </w:r>
          </w:p>
        </w:tc>
        <w:tc>
          <w:tcPr>
            <w:tcW w:w="9290" w:type="dxa"/>
            <w:hideMark/>
          </w:tcPr>
          <w:p w:rsidRPr="004A3DCA" w:rsidR="004A3DCA" w:rsidP="00F55B03" w:rsidRDefault="004A3DCA" w14:paraId="70884235" w14:textId="77777777">
            <w:r w:rsidRPr="004A3DCA">
              <w:t>Analysis of the local financial market, focusing on:</w:t>
            </w:r>
            <w:r w:rsidRPr="004A3DCA">
              <w:br/>
            </w:r>
            <w:r w:rsidRPr="004A3DCA">
              <w:t xml:space="preserve">1) the ease of access to finance for businesses (Include scores from IFC Doing Business Rankings for Getting Credit), and anything specific for those in the green construction sector. </w:t>
            </w:r>
            <w:r w:rsidRPr="004A3DCA">
              <w:br/>
            </w:r>
            <w:r w:rsidRPr="004A3DCA">
              <w:t>2) typical lending rates/Central Bank rates.</w:t>
            </w:r>
            <w:r w:rsidRPr="004A3DCA">
              <w:br/>
            </w:r>
            <w:r w:rsidRPr="004A3DCA">
              <w:t>3) Average returns/interest rates (if available from publicly available reports)</w:t>
            </w:r>
            <w:r w:rsidRPr="004A3DCA">
              <w:br/>
            </w:r>
            <w:r w:rsidRPr="004A3DCA">
              <w:t>4) Average terms (repayment periods, collateral requirements, etc.)</w:t>
            </w:r>
            <w:r w:rsidRPr="004A3DCA">
              <w:br/>
            </w:r>
            <w:r w:rsidRPr="004A3DCA">
              <w:t>5) Mention of any structural or systemic issues in the local financial market that could affect the availability or cost of financing for green construction projects.</w:t>
            </w:r>
          </w:p>
        </w:tc>
      </w:tr>
      <w:tr w:rsidRPr="003E3076" w:rsidR="004A3DCA" w:rsidTr="00F55B03" w14:paraId="4314EDBC" w14:textId="77777777">
        <w:trPr>
          <w:trHeight w:val="2098"/>
        </w:trPr>
        <w:tc>
          <w:tcPr>
            <w:tcW w:w="1190" w:type="dxa"/>
            <w:hideMark/>
          </w:tcPr>
          <w:p w:rsidRPr="00F55B03" w:rsidR="004A3DCA" w:rsidP="00F55B03" w:rsidRDefault="004A3DCA" w14:paraId="3A9E0E38" w14:textId="77777777">
            <w:pPr>
              <w:rPr>
                <w:rStyle w:val="Boldtext"/>
              </w:rPr>
            </w:pPr>
            <w:r w:rsidRPr="00F55B03">
              <w:rPr>
                <w:rStyle w:val="Boldtext"/>
              </w:rPr>
              <w:t>Developer Market Analysis</w:t>
            </w:r>
          </w:p>
        </w:tc>
        <w:tc>
          <w:tcPr>
            <w:tcW w:w="9290" w:type="dxa"/>
            <w:hideMark/>
          </w:tcPr>
          <w:p w:rsidRPr="004A3DCA" w:rsidR="004A3DCA" w:rsidP="00F55B03" w:rsidRDefault="004A3DCA" w14:paraId="5C945F32" w14:textId="77777777">
            <w:r w:rsidRPr="004A3DCA">
              <w:t>Examination of the certification, registration and regulation processes for green buildings and developers. This includes:</w:t>
            </w:r>
            <w:r w:rsidRPr="004A3DCA">
              <w:br/>
            </w:r>
            <w:r w:rsidRPr="004A3DCA">
              <w:t>1) Assessment of the current state and growth of the developer market, including the number of active companies, the size of their projects, and their capacity to take on green construction projects.</w:t>
            </w:r>
            <w:r w:rsidRPr="004A3DCA">
              <w:br/>
            </w:r>
            <w:r w:rsidRPr="004A3DCA">
              <w:t>2) Analysis of the ease or difficulty for new companies to enter the market and expand, including regulatory or financial barriers (IFC Ease of Doing Business indicator for Dealing with Construction Permits)</w:t>
            </w:r>
          </w:p>
        </w:tc>
      </w:tr>
      <w:tr w:rsidRPr="003E3076" w:rsidR="004A3DCA" w:rsidTr="00F55B03" w14:paraId="37079D50" w14:textId="77777777">
        <w:trPr>
          <w:trHeight w:val="821"/>
        </w:trPr>
        <w:tc>
          <w:tcPr>
            <w:tcW w:w="1190" w:type="dxa"/>
            <w:hideMark/>
          </w:tcPr>
          <w:p w:rsidRPr="00F55B03" w:rsidR="004A3DCA" w:rsidP="00F55B03" w:rsidRDefault="004A3DCA" w14:paraId="14F126B5" w14:textId="77777777">
            <w:pPr>
              <w:rPr>
                <w:rStyle w:val="Boldtext"/>
              </w:rPr>
            </w:pPr>
            <w:r w:rsidRPr="00F55B03">
              <w:rPr>
                <w:rStyle w:val="Boldtext"/>
              </w:rPr>
              <w:t>Risk Analysis</w:t>
            </w:r>
          </w:p>
        </w:tc>
        <w:tc>
          <w:tcPr>
            <w:tcW w:w="9290" w:type="dxa"/>
            <w:hideMark/>
          </w:tcPr>
          <w:p w:rsidRPr="004A3DCA" w:rsidR="004A3DCA" w:rsidP="00F55B03" w:rsidRDefault="004A3DCA" w14:paraId="0266A654" w14:textId="77777777">
            <w:r w:rsidRPr="004A3DCA">
              <w:t>Identification and assessment of financial risks associated with investing in the green construction sector, such as market risks, credit risks, operational risks, foreign exchange risk and regulatory risks.</w:t>
            </w:r>
            <w:r w:rsidRPr="004A3DCA">
              <w:br/>
            </w:r>
            <w:r w:rsidRPr="004A3DCA">
              <w:t>Analysis of risk mitigation strategies and practices employed by financial institutions (e.g. currency hedging strategies).</w:t>
            </w:r>
          </w:p>
        </w:tc>
      </w:tr>
      <w:tr w:rsidRPr="003E3076" w:rsidR="004A3DCA" w:rsidTr="00F55B03" w14:paraId="74085A40" w14:textId="77777777">
        <w:trPr>
          <w:trHeight w:val="900"/>
        </w:trPr>
        <w:tc>
          <w:tcPr>
            <w:tcW w:w="1190" w:type="dxa"/>
            <w:hideMark/>
          </w:tcPr>
          <w:p w:rsidRPr="00F55B03" w:rsidR="004A3DCA" w:rsidP="00F55B03" w:rsidRDefault="004A3DCA" w14:paraId="3A2AD3C4" w14:textId="77777777">
            <w:pPr>
              <w:rPr>
                <w:rStyle w:val="Boldtext"/>
              </w:rPr>
            </w:pPr>
            <w:r w:rsidRPr="00F55B03">
              <w:rPr>
                <w:rStyle w:val="Boldtext"/>
              </w:rPr>
              <w:t>Financing Barriers</w:t>
            </w:r>
          </w:p>
        </w:tc>
        <w:tc>
          <w:tcPr>
            <w:tcW w:w="9290" w:type="dxa"/>
            <w:hideMark/>
          </w:tcPr>
          <w:p w:rsidRPr="004A3DCA" w:rsidR="004A3DCA" w:rsidP="00F55B03" w:rsidRDefault="004A3DCA" w14:paraId="180ADE8C" w14:textId="77777777">
            <w:r w:rsidRPr="004A3DCA">
              <w:t>Analysis of any other barriers not covered in previous columns related to obtaining capital for green construction projects, and potential solutions or strategies to overcome these barriers. Differences between sectors (e.g. residential vs. commercial).</w:t>
            </w:r>
          </w:p>
        </w:tc>
      </w:tr>
    </w:tbl>
    <w:p w:rsidR="004A3DCA" w:rsidP="004A3DCA" w:rsidRDefault="004A3DCA" w14:paraId="7F7B4EB2" w14:textId="77777777">
      <w:r>
        <w:br w:type="page"/>
      </w:r>
    </w:p>
    <w:p w:rsidRPr="009D1FBB" w:rsidR="009D1FBB" w:rsidP="00C36CFB" w:rsidRDefault="009178AB" w14:paraId="25353EA9" w14:textId="72A3470F">
      <w:pPr>
        <w:pStyle w:val="Heading1"/>
      </w:pPr>
      <w:bookmarkStart w:name="_Toc207790231" w:id="190"/>
      <w:r>
        <w:t xml:space="preserve">Annex </w:t>
      </w:r>
      <w:r w:rsidR="00F626F6">
        <w:t>8</w:t>
      </w:r>
      <w:r>
        <w:t xml:space="preserve">: </w:t>
      </w:r>
      <w:r w:rsidR="009D1FBB">
        <w:t>Ethics and safeguards</w:t>
      </w:r>
      <w:bookmarkEnd w:id="190"/>
    </w:p>
    <w:p w:rsidRPr="00C070C3" w:rsidR="00107C73" w:rsidP="00C36CFB" w:rsidRDefault="00107C73" w14:paraId="3B5A12AF" w14:textId="77777777">
      <w:pPr>
        <w:pStyle w:val="Heading2"/>
      </w:pPr>
      <w:bookmarkStart w:name="_Toc179468575" w:id="191"/>
      <w:bookmarkStart w:name="_Toc179474025" w:id="192"/>
      <w:bookmarkStart w:name="_Toc181883609" w:id="193"/>
      <w:bookmarkStart w:name="_Toc188870893" w:id="194"/>
      <w:bookmarkStart w:name="_Toc207790232" w:id="195"/>
      <w:r w:rsidRPr="00C070C3">
        <w:t>Ethical and legal standards</w:t>
      </w:r>
      <w:bookmarkEnd w:id="191"/>
      <w:bookmarkEnd w:id="192"/>
      <w:bookmarkEnd w:id="193"/>
      <w:bookmarkEnd w:id="194"/>
      <w:bookmarkEnd w:id="195"/>
    </w:p>
    <w:p w:rsidR="00107C73" w:rsidP="00107C73" w:rsidRDefault="00107C73" w14:paraId="098B9E3E" w14:textId="05FB4481">
      <w:r>
        <w:t xml:space="preserve">At the heart of the Ipsos approach are the </w:t>
      </w:r>
      <w:hyperlink r:id="rId42">
        <w:r w:rsidRPr="76703D2B">
          <w:rPr>
            <w:rStyle w:val="Hyperlink"/>
          </w:rPr>
          <w:t>GSR ethical principles</w:t>
        </w:r>
      </w:hyperlink>
      <w:r>
        <w:t xml:space="preserve">; it also draws on other relevant ethical codes such as the </w:t>
      </w:r>
      <w:hyperlink r:id="rId43">
        <w:r w:rsidRPr="76703D2B">
          <w:rPr>
            <w:rStyle w:val="Hyperlink"/>
          </w:rPr>
          <w:t>ESRC Research Ethics Framework</w:t>
        </w:r>
      </w:hyperlink>
      <w:r>
        <w:t xml:space="preserve">, the </w:t>
      </w:r>
      <w:hyperlink r:id="rId44">
        <w:r w:rsidRPr="76703D2B">
          <w:rPr>
            <w:rStyle w:val="Hyperlink"/>
          </w:rPr>
          <w:t>SRA ethical guidelines</w:t>
        </w:r>
      </w:hyperlink>
      <w:r>
        <w:t xml:space="preserve"> and the </w:t>
      </w:r>
      <w:hyperlink r:id="rId45">
        <w:r w:rsidRPr="76703D2B">
          <w:rPr>
            <w:rStyle w:val="Hyperlink"/>
          </w:rPr>
          <w:t>MRS Code of Conduct</w:t>
        </w:r>
      </w:hyperlink>
      <w:r>
        <w:t xml:space="preserve">, with which it is fully compliant. </w:t>
      </w:r>
      <w:r w:rsidR="00937CA8">
        <w:t>Ipsos</w:t>
      </w:r>
      <w:r>
        <w:t xml:space="preserve"> respect</w:t>
      </w:r>
      <w:r w:rsidR="00937CA8">
        <w:t>s</w:t>
      </w:r>
      <w:r>
        <w:t xml:space="preserve"> local research norms and local cultures wherever </w:t>
      </w:r>
      <w:r w:rsidR="00937CA8">
        <w:t>the teams</w:t>
      </w:r>
      <w:r>
        <w:t xml:space="preserve"> conduct research through inclusion of locally based research teams in primary data collection.</w:t>
      </w:r>
    </w:p>
    <w:p w:rsidR="00107C73" w:rsidP="00107C73" w:rsidRDefault="00107C73" w14:paraId="4C425BC2" w14:textId="0817DAB7">
      <w:r>
        <w:t xml:space="preserve">All joining staff of Ipsos are made aware of the guidelines and sign a declaration agreeing to carry out their work in accordance with these. All staff are also required to undertake an updated training when the MRS Code is updated. In order to ensure all team members follow </w:t>
      </w:r>
      <w:r w:rsidR="0070552C">
        <w:t>the</w:t>
      </w:r>
      <w:r>
        <w:t xml:space="preserve"> deliver plan in a consistent way, following </w:t>
      </w:r>
      <w:r w:rsidR="0070552C">
        <w:t>Ipsos’</w:t>
      </w:r>
      <w:r>
        <w:t xml:space="preserve"> ethical and legal standards, different activities will be delivered, including pre-fieldwork briefings, additional team meetings when needed, and de-briefing sessions.</w:t>
      </w:r>
    </w:p>
    <w:p w:rsidR="00107C73" w:rsidP="00107C73" w:rsidRDefault="00107C73" w14:paraId="28C6F3E6" w14:textId="77777777">
      <w:r>
        <w:t xml:space="preserve">Ipsos internal Ethics Group (consisting of staff from across the Public Affairs division, and independent of the evaluation team) and dedicated Business Excellence System (BES, i.e., compliance) team supports the project. The Ethics Group provides advice on research and recruitment materials, content for interviewer briefings, and introduction materials for surveys. In parallel, all new Ipsos projects also complete a series of steps required by the BES team as further detailed below. </w:t>
      </w:r>
    </w:p>
    <w:p w:rsidR="00107C73" w:rsidP="00107C73" w:rsidRDefault="00107C73" w14:paraId="738790E6" w14:textId="5E7E986D">
      <w:r>
        <w:t xml:space="preserve">The Ethics Group and BES also develop </w:t>
      </w:r>
      <w:r w:rsidR="0070552C">
        <w:t>Ipsos’</w:t>
      </w:r>
      <w:r>
        <w:t xml:space="preserve"> policies on safeguarding, disclosure and researcher safety. Training on ethics in research practice is mandatory and regularly delivered to staff of all levels. </w:t>
      </w:r>
    </w:p>
    <w:p w:rsidRPr="00C070C3" w:rsidR="00107C73" w:rsidP="00756290" w:rsidRDefault="00107C73" w14:paraId="32CEB94C" w14:textId="77777777">
      <w:pPr>
        <w:pStyle w:val="Heading2"/>
        <w:spacing w:before="240" w:after="240"/>
      </w:pPr>
      <w:bookmarkStart w:name="_Toc179468576" w:id="196"/>
      <w:bookmarkStart w:name="_Toc179474026" w:id="197"/>
      <w:bookmarkStart w:name="_Toc181883610" w:id="198"/>
      <w:bookmarkStart w:name="_Toc188870894" w:id="199"/>
      <w:bookmarkStart w:name="_Toc207790233" w:id="200"/>
      <w:r w:rsidRPr="00C070C3">
        <w:t>Confidentiality</w:t>
      </w:r>
      <w:bookmarkEnd w:id="196"/>
      <w:bookmarkEnd w:id="197"/>
      <w:bookmarkEnd w:id="198"/>
      <w:bookmarkEnd w:id="199"/>
      <w:bookmarkEnd w:id="200"/>
    </w:p>
    <w:p w:rsidRPr="004C33A0" w:rsidR="00107C73" w:rsidP="00107C73" w:rsidRDefault="00107C73" w14:paraId="1457890A" w14:textId="464C3F84">
      <w:r w:rsidRPr="004C33A0">
        <w:t xml:space="preserve">For a study such as this, the handling, storage and destruction of confidential and personal information is critical. It is essential that appropriate data security systems and confidentiality mechanisms are in place to minimise the risk to the study. During the project inception phase, </w:t>
      </w:r>
      <w:r w:rsidR="00937CA8">
        <w:t>the evaluation team</w:t>
      </w:r>
      <w:r w:rsidRPr="004C33A0">
        <w:t xml:space="preserve"> have set up a secure folder for storing data containing personal or confidential information. BES is led by </w:t>
      </w:r>
      <w:r w:rsidR="00937CA8">
        <w:t>Ipsos’</w:t>
      </w:r>
      <w:r w:rsidRPr="004C33A0">
        <w:t xml:space="preserve"> Data Protection Officer, Compliance Department and Business Excellence team, with BES representatives across all parts of the business working to ensure that </w:t>
      </w:r>
      <w:r w:rsidR="00937CA8">
        <w:t>Ipsos</w:t>
      </w:r>
      <w:r w:rsidRPr="004C33A0">
        <w:t xml:space="preserve"> continually secure</w:t>
      </w:r>
      <w:r w:rsidR="0070552C">
        <w:t>s</w:t>
      </w:r>
      <w:r w:rsidRPr="004C33A0">
        <w:t xml:space="preserve"> </w:t>
      </w:r>
      <w:r w:rsidR="0070552C">
        <w:t>its</w:t>
      </w:r>
      <w:r w:rsidRPr="004C33A0">
        <w:t xml:space="preserve"> existing accreditations and ensure compliance with the relevant legal and data protection regulations. Monthly spot checks and a rolling programme of internal audits enable the business to measure compliance; these are reported to the UK Management Board. These measures enabling us to adapt training and communications to address any weaknesses and room for improvement. </w:t>
      </w:r>
      <w:r w:rsidR="0070552C">
        <w:t>E</w:t>
      </w:r>
      <w:r w:rsidRPr="004C33A0">
        <w:t xml:space="preserve">xternal auditors also review the company’s </w:t>
      </w:r>
      <w:r w:rsidRPr="004C33A0">
        <w:t>adherence to the General Data Protection Regulation (GDPR) and other relevant legal requirements as part of annual surveillance and certification.</w:t>
      </w:r>
    </w:p>
    <w:p w:rsidRPr="004C33A0" w:rsidR="00107C73" w:rsidP="00107C73" w:rsidRDefault="00107C73" w14:paraId="7D310F08" w14:textId="77777777">
      <w:r w:rsidRPr="004C33A0">
        <w:t xml:space="preserve">To ensure staff understand their individual responsibilities under GDPR, a staff training, and communications programme is in place. This is layered, starting with a general introduction to the legislation before looking at the requirements of GDPR in practice, including the implications for projects, and attendance is compulsory. </w:t>
      </w:r>
    </w:p>
    <w:p w:rsidRPr="004C33A0" w:rsidR="00107C73" w:rsidP="00107C73" w:rsidRDefault="00107C73" w14:paraId="5E1AB445" w14:textId="39A1F087">
      <w:r w:rsidRPr="004C33A0">
        <w:t xml:space="preserve">In practical terms </w:t>
      </w:r>
      <w:r w:rsidR="0070552C">
        <w:t>Ipsos’</w:t>
      </w:r>
      <w:r w:rsidRPr="004C33A0">
        <w:t xml:space="preserve"> approach is based on ‘Privacy by Design’, and </w:t>
      </w:r>
      <w:r>
        <w:t xml:space="preserve">the </w:t>
      </w:r>
      <w:r w:rsidRPr="004C33A0">
        <w:t xml:space="preserve">project team </w:t>
      </w:r>
      <w:r>
        <w:t xml:space="preserve">has </w:t>
      </w:r>
      <w:r w:rsidRPr="004C33A0">
        <w:t>embed</w:t>
      </w:r>
      <w:r>
        <w:t>ded</w:t>
      </w:r>
      <w:r w:rsidRPr="004C33A0">
        <w:t xml:space="preserve"> GDPR principles from the outset. Following a checklist, </w:t>
      </w:r>
      <w:r>
        <w:t>the project team did the following</w:t>
      </w:r>
      <w:r w:rsidRPr="004C33A0">
        <w:t xml:space="preserve">: </w:t>
      </w:r>
    </w:p>
    <w:p w:rsidRPr="00C070C3" w:rsidR="00107C73" w:rsidP="00107C73" w:rsidRDefault="00107C73" w14:paraId="41829967" w14:textId="77777777">
      <w:pPr>
        <w:pStyle w:val="DESNZbulletedlist"/>
      </w:pPr>
      <w:r w:rsidRPr="00C070C3">
        <w:t>Agree</w:t>
      </w:r>
      <w:r>
        <w:t>d</w:t>
      </w:r>
      <w:r w:rsidRPr="00C070C3">
        <w:t xml:space="preserve"> the legal basis for processing with clients in advance. </w:t>
      </w:r>
    </w:p>
    <w:p w:rsidRPr="00C070C3" w:rsidR="00107C73" w:rsidP="00107C73" w:rsidRDefault="00107C73" w14:paraId="4A43D231" w14:textId="77777777">
      <w:pPr>
        <w:pStyle w:val="DESNZbulletedlist"/>
      </w:pPr>
      <w:r w:rsidRPr="00C070C3">
        <w:t>Create</w:t>
      </w:r>
      <w:r>
        <w:t>d</w:t>
      </w:r>
      <w:r w:rsidRPr="00C070C3">
        <w:t xml:space="preserve"> a data flow, determining whether the research has acceptable privacy outcomes or impacts and ensuring that strategies are adopted in order to reduce or mitigate any identified risks. These flag whether a Data Protection Impact Assessment (DPIA) is required, where processing is considered to result in a high risk to data subjects. </w:t>
      </w:r>
    </w:p>
    <w:p w:rsidRPr="00C070C3" w:rsidR="00107C73" w:rsidP="00107C73" w:rsidRDefault="00107C73" w14:paraId="26E39079" w14:textId="77777777">
      <w:pPr>
        <w:pStyle w:val="DESNZbulletedlist"/>
      </w:pPr>
      <w:r w:rsidRPr="00C070C3">
        <w:t>Ensure</w:t>
      </w:r>
      <w:r>
        <w:t>d</w:t>
      </w:r>
      <w:r w:rsidRPr="00C070C3">
        <w:t xml:space="preserve"> that the information provided to participants is transparent and that a privacy information notice is available, particularly when collecting special categories of personal data. The privacy policy will be shared with interview participants ahead of the interview.</w:t>
      </w:r>
    </w:p>
    <w:p w:rsidRPr="00C070C3" w:rsidR="00107C73" w:rsidP="00107C73" w:rsidRDefault="00107C73" w14:paraId="032A304D" w14:textId="14953F7D">
      <w:r w:rsidRPr="00C070C3">
        <w:t xml:space="preserve">In addition, processes and policies are in place to ensure compliance with GDPR the Market Research Society (MRS) Code of Conduct and international standards, such as: </w:t>
      </w:r>
    </w:p>
    <w:p w:rsidRPr="00C070C3" w:rsidR="00107C73" w:rsidP="00107C73" w:rsidRDefault="00107C73" w14:paraId="048BB23F" w14:textId="374BA4CC">
      <w:pPr>
        <w:pStyle w:val="DESNZbulletedlist"/>
      </w:pPr>
      <w:r w:rsidRPr="00C070C3">
        <w:t xml:space="preserve">Data Subjects Rights: As Ipsos is in contact with a large number of individuals who participate in </w:t>
      </w:r>
      <w:r w:rsidR="0070552C">
        <w:t>Ipsos’</w:t>
      </w:r>
      <w:r w:rsidRPr="00C070C3">
        <w:t xml:space="preserve"> market research studies, it is important that </w:t>
      </w:r>
      <w:r w:rsidR="00937CA8">
        <w:t>to</w:t>
      </w:r>
      <w:r w:rsidRPr="00C070C3">
        <w:t xml:space="preserve"> have documented procedures in place to cover data subjects’ rights under GDPR such as Data Subject Access Rights, the right to rectify, erase, to object to processing and to restrict processing; many of these were already covered in the DPA 1998 and the MRS Code of Conduct. These rights are outlined in the privacy notice shared with participants. </w:t>
      </w:r>
    </w:p>
    <w:p w:rsidRPr="00C070C3" w:rsidR="00107C73" w:rsidP="00107C73" w:rsidRDefault="00107C73" w14:paraId="7E41DE2C" w14:textId="4CBFB738">
      <w:pPr>
        <w:pStyle w:val="DESNZbulletedlist"/>
      </w:pPr>
      <w:r w:rsidRPr="00C070C3">
        <w:t xml:space="preserve">Management of suppliers: Ipsos has a documented supplier approval process to meet </w:t>
      </w:r>
      <w:r w:rsidR="0070552C">
        <w:t>Ipsos’</w:t>
      </w:r>
      <w:r w:rsidRPr="00C070C3">
        <w:t xml:space="preserve"> existing certifications, client contracts and legal requirements. This includes a comprehensive </w:t>
      </w:r>
      <w:r w:rsidRPr="00C070C3" w:rsidR="00827C92">
        <w:t>Third-Party</w:t>
      </w:r>
      <w:r w:rsidRPr="00C070C3">
        <w:t xml:space="preserve"> Compliance and Information Security Risk Assessment to ensure that the suppliers’ work will meet both </w:t>
      </w:r>
      <w:r w:rsidR="0070552C">
        <w:t>Ipsos’</w:t>
      </w:r>
      <w:r w:rsidRPr="00C070C3">
        <w:t xml:space="preserve"> and clients’ quality, compliance and information security requirements. Upon successful completion of the risk assessment, suppliers are issued with a comprehensive contract which includes clauses around quality, data protection, information security, confidentiality and the right to audit. In the run up to 25th May 2019, all existing suppliers were sent a GDPR questionnaire and updated GDPR contractual clauses were put in place; contracts have since been updated with the relevant Data Protection legislation. Supplier management is reviewed annually by both external and internal auditing teams to ensure compliance. </w:t>
      </w:r>
    </w:p>
    <w:p w:rsidRPr="00C070C3" w:rsidR="00107C73" w:rsidP="00107C73" w:rsidRDefault="00107C73" w14:paraId="3FF5332A" w14:textId="71016E88">
      <w:pPr>
        <w:pStyle w:val="DESNZbulletedlist"/>
      </w:pPr>
      <w:r w:rsidRPr="00C070C3">
        <w:t xml:space="preserve">Personal Data breach management: Ipsos has documented procedures in place which are managed by </w:t>
      </w:r>
      <w:r w:rsidR="0070552C">
        <w:t>the</w:t>
      </w:r>
      <w:r w:rsidRPr="00C070C3">
        <w:t xml:space="preserve"> central Compliance Department and UK Data Protection Officer </w:t>
      </w:r>
    </w:p>
    <w:p w:rsidRPr="004C33A0" w:rsidR="00107C73" w:rsidP="00107C73" w:rsidRDefault="00107C73" w14:paraId="3CB8A042" w14:textId="57ED835B">
      <w:r w:rsidRPr="004C33A0">
        <w:t xml:space="preserve">Retention and destruction of personal data: </w:t>
      </w:r>
      <w:r w:rsidR="0070552C">
        <w:t>Ipsos’</w:t>
      </w:r>
      <w:r w:rsidRPr="004C33A0">
        <w:t xml:space="preserve"> existing processes ensure that </w:t>
      </w:r>
      <w:r w:rsidR="00937CA8">
        <w:t>Ipsos</w:t>
      </w:r>
      <w:r w:rsidRPr="004C33A0">
        <w:t xml:space="preserve"> meet</w:t>
      </w:r>
      <w:r w:rsidR="00937CA8">
        <w:t>s</w:t>
      </w:r>
      <w:r w:rsidRPr="004C33A0">
        <w:t xml:space="preserve"> client contractual requirements as well as GDPR legislation in terms of how information should be labelled, handled, stored, transferred and destroyed. Sample files are destroyed once there is no further justification to retain them.</w:t>
      </w:r>
      <w:r>
        <w:t xml:space="preserve"> Before an interview took place as part of this phase of the evaluation, participants received a privacy notice outlining their rights to withdraw from the study as well as how and for how long their data will be kept by the evaluation team for research purposes only under this assignment.</w:t>
      </w:r>
    </w:p>
    <w:p w:rsidRPr="00C070C3" w:rsidR="00107C73" w:rsidP="00756290" w:rsidRDefault="00107C73" w14:paraId="11E8E131" w14:textId="77777777">
      <w:pPr>
        <w:pStyle w:val="Heading2"/>
        <w:spacing w:before="240" w:after="240"/>
      </w:pPr>
      <w:bookmarkStart w:name="_Toc179468577" w:id="201"/>
      <w:bookmarkStart w:name="_Toc179474027" w:id="202"/>
      <w:bookmarkStart w:name="_Toc181883611" w:id="203"/>
      <w:bookmarkStart w:name="_Toc188870895" w:id="204"/>
      <w:bookmarkStart w:name="_Toc207790234" w:id="205"/>
      <w:r w:rsidRPr="00C070C3">
        <w:t>Safeguarding</w:t>
      </w:r>
      <w:bookmarkEnd w:id="201"/>
      <w:bookmarkEnd w:id="202"/>
      <w:bookmarkEnd w:id="203"/>
      <w:bookmarkEnd w:id="204"/>
      <w:bookmarkEnd w:id="205"/>
    </w:p>
    <w:p w:rsidR="00827C92" w:rsidP="00107C73" w:rsidRDefault="00107C73" w14:paraId="24821D3A" w14:textId="77777777">
      <w:r>
        <w:t xml:space="preserve">Ipsos’ key framework of control for safeguarding stems from company-wide policies on the topic. Its purpose is to protect staff, sub-contractors, and research participants, from any harm that may arise in the course of coming into contact with Ipsos. </w:t>
      </w:r>
    </w:p>
    <w:p w:rsidR="00107C73" w:rsidP="00107C73" w:rsidRDefault="0070552C" w14:paraId="2E13C6C8" w14:textId="06D3A793">
      <w:r>
        <w:t>Ipsos’</w:t>
      </w:r>
      <w:r w:rsidR="00107C73">
        <w:t xml:space="preserve"> policy takes into consideration other guidance notes such as the Anti-Bullying and Harassment Policy; The Green Book: The Ipsos Professional Code of Conduct; Grievance Policy; Complaints Handling Procedure; Whistleblowing approach; Data Protection Policy; Risk Management Policy. Ipsos holds a Safeguarding Policy which is applicable to all ODA-funded work. Staff are made aware of their </w:t>
      </w:r>
      <w:r w:rsidR="00F15663">
        <w:t>safeguarding</w:t>
      </w:r>
      <w:r w:rsidR="00107C73">
        <w:t xml:space="preserve"> responsibilities, specifically around how to raise concerns, via their initial ethics training, interview training, fieldwork training and ad hoc refreshers run centrally. </w:t>
      </w:r>
    </w:p>
    <w:p w:rsidR="00827C92" w:rsidP="00107C73" w:rsidRDefault="00107C73" w14:paraId="304633C3" w14:textId="7B87C380">
      <w:r>
        <w:t xml:space="preserve">The Ipsos Business Excellence and Compliance Team ensures adherence to all </w:t>
      </w:r>
      <w:r w:rsidRPr="004C33A0">
        <w:rPr>
          <w:rStyle w:val="Boldtext"/>
        </w:rPr>
        <w:t>data safeguarding</w:t>
      </w:r>
      <w:r>
        <w:t xml:space="preserve"> legal requirements. </w:t>
      </w:r>
      <w:r w:rsidR="00937CA8">
        <w:t>Ipsos</w:t>
      </w:r>
      <w:r>
        <w:t xml:space="preserve"> have been awarded ISO 27001, with regular external/internal audits maintaining standards, and are fully committed to complying with all relevant legislation and standards. Ipsos also maintains a Data Protection Policy and Information Security Policy, provided to all staff members to ensure the protection of personal data obtained through research. </w:t>
      </w:r>
    </w:p>
    <w:p w:rsidR="00107C73" w:rsidP="00107C73" w:rsidRDefault="00107C73" w14:paraId="47BDA00D" w14:textId="4856429C">
      <w:r>
        <w:t>In terms of external reporting, external stakeholders e.g., interviewees can report safeguarding concerns via the Project Director, with the contact details made available to the participant through an information sheet supplied as part of interviews.</w:t>
      </w:r>
    </w:p>
    <w:p w:rsidR="00107C73" w:rsidP="00107C73" w:rsidRDefault="00107C73" w14:paraId="50B1F1CE" w14:textId="77777777">
      <w:r>
        <w:t>All staff have a duty of care to be vigilant when presented with instances of potential safeguarding concern and to respond appropriately by reporting their concerns. Any internal safeguarding concerns should be reported to Human Resources. For instances identified as part of research, these should be reported to the PD who will notify the UK Disclosures Board, Ipsos’ overarching body for dealing with safeguarding concerns. If a disclosure is deemed necessary, they will discuss (in consultation with the PD) who would be the most appropriate person/body to disclose to (e.g., DESNZ or an external body).</w:t>
      </w:r>
    </w:p>
    <w:p w:rsidR="009E47CA" w:rsidP="00F55B03" w:rsidRDefault="00107C73" w14:paraId="38E48FA7" w14:textId="70ED75FA">
      <w:bookmarkStart w:name="_Ref158975217" w:id="206"/>
      <w:r w:rsidRPr="00E32205">
        <w:t xml:space="preserve">In order to address potential </w:t>
      </w:r>
      <w:r w:rsidRPr="004C33A0">
        <w:t>safeguarding concerns at participant level (e.g., that emerge during qualitative interviews) Ipsos prepare</w:t>
      </w:r>
      <w:r w:rsidR="00A1329F">
        <w:t>d</w:t>
      </w:r>
      <w:r w:rsidRPr="004C33A0">
        <w:t xml:space="preserve"> information sheets</w:t>
      </w:r>
      <w:r w:rsidR="00830B61">
        <w:t xml:space="preserve">. These </w:t>
      </w:r>
      <w:r w:rsidRPr="004C33A0">
        <w:t>include</w:t>
      </w:r>
      <w:r w:rsidR="00A1329F">
        <w:t>d</w:t>
      </w:r>
      <w:r w:rsidRPr="004C33A0">
        <w:t xml:space="preserve"> specific reference to means of reporting safeguarding concerns to Ipsos centrally via the PD or the Chair of the Disclosure Board, whilst giving the alternative option to raise concerns </w:t>
      </w:r>
      <w:r w:rsidR="0026169D">
        <w:t>on</w:t>
      </w:r>
      <w:r w:rsidRPr="004C33A0" w:rsidR="0026169D">
        <w:t xml:space="preserve"> </w:t>
      </w:r>
      <w:r w:rsidRPr="004C33A0">
        <w:t>data handling or general complaints. The option could also be given to report to DESNZ directly.</w:t>
      </w:r>
      <w:bookmarkEnd w:id="206"/>
    </w:p>
    <w:p w:rsidR="002C57BB" w:rsidP="002C57BB" w:rsidRDefault="009E47CA" w14:paraId="7DCA5409" w14:textId="77777777">
      <w:r w:rsidRPr="009E47CA">
        <w:t>To date, there have been no instances requiring the application of safeguarding protocols during this evaluation stage.</w:t>
      </w:r>
    </w:p>
    <w:p w:rsidR="002C57BB" w:rsidP="002C57BB" w:rsidRDefault="000C0884" w14:paraId="2E5DA424" w14:textId="1DF291A6">
      <w:pPr>
        <w:pStyle w:val="Heading1"/>
      </w:pPr>
      <w:r>
        <w:br w:type="page"/>
      </w:r>
      <w:bookmarkStart w:name="_Toc207790235" w:id="207"/>
      <w:r w:rsidR="002C57BB">
        <w:t>Annex 9: Use and influence plan</w:t>
      </w:r>
      <w:bookmarkEnd w:id="207"/>
    </w:p>
    <w:p w:rsidR="002C57BB" w:rsidP="002C57BB" w:rsidRDefault="002C57BB" w14:paraId="596EBC23" w14:textId="77777777">
      <w:r>
        <w:t>Framework with key stakeholder groups, type of engagement and type of learning and dissemination activities throughout the duration of the evaluation. The key mechanisms by which findings will be disseminated with key stakeholders can be summarised as follows:</w:t>
      </w:r>
    </w:p>
    <w:p w:rsidR="002C57BB" w:rsidP="002C57BB" w:rsidRDefault="002C57BB" w14:paraId="08347A5D" w14:textId="77777777">
      <w:pPr>
        <w:pStyle w:val="DESNZbulletedlist"/>
      </w:pPr>
      <w:r w:rsidRPr="009A3A6F">
        <w:rPr>
          <w:b/>
          <w:bCs/>
        </w:rPr>
        <w:t>Targeted dissemination</w:t>
      </w:r>
      <w:r>
        <w:t xml:space="preserve">: for </w:t>
      </w:r>
      <w:r w:rsidRPr="00236DA1">
        <w:t>DESNZ and IFC MAGC teams, governance and leadership, and management of other programmes</w:t>
      </w:r>
      <w:r>
        <w:t>, including detailed evaluation deliverables and workshops focused on findings, lessons learned and recommendations</w:t>
      </w:r>
    </w:p>
    <w:p w:rsidR="002C57BB" w:rsidP="002C57BB" w:rsidRDefault="002C57BB" w14:paraId="6046E79F" w14:textId="77777777">
      <w:pPr>
        <w:pStyle w:val="DESNZbulletedlist"/>
      </w:pPr>
      <w:r w:rsidRPr="009A3A6F">
        <w:rPr>
          <w:b/>
          <w:bCs/>
        </w:rPr>
        <w:t>External engagement</w:t>
      </w:r>
      <w:r>
        <w:t xml:space="preserve">: for external stakeholders to the programme and </w:t>
      </w:r>
      <w:r w:rsidRPr="00236DA1">
        <w:t>including in-country MAGC stakeholders and the wider evaluation community</w:t>
      </w:r>
      <w:r>
        <w:t>, through the dissemination of more synthesis products and presentations focused on findings that can be relevant to a wider audience.</w:t>
      </w:r>
    </w:p>
    <w:p w:rsidR="002C57BB" w:rsidP="002C57BB" w:rsidRDefault="00937CA8" w14:paraId="1B30B48D" w14:textId="42A7B73C">
      <w:pPr>
        <w:pStyle w:val="DESNZbulletedlist"/>
        <w:numPr>
          <w:ilvl w:val="0"/>
          <w:numId w:val="0"/>
        </w:numPr>
      </w:pPr>
      <w:r>
        <w:t>Ipsos</w:t>
      </w:r>
      <w:r w:rsidRPr="00236DA1" w:rsidR="002C57BB">
        <w:t xml:space="preserve"> are committed to understanding the utili</w:t>
      </w:r>
      <w:r w:rsidR="002C57BB">
        <w:t>s</w:t>
      </w:r>
      <w:r w:rsidRPr="00236DA1" w:rsidR="002C57BB">
        <w:t>ation and impact of the evaluation findings by</w:t>
      </w:r>
      <w:r w:rsidR="002C57BB">
        <w:t xml:space="preserve"> monitoring engagement with all the dissemination and learning sessions, holding recommendation-specific sessions with the programme team to ensure they are clear and actionable, and </w:t>
      </w:r>
      <w:r>
        <w:t>the evaluation team</w:t>
      </w:r>
      <w:r w:rsidR="002C57BB">
        <w:t xml:space="preserve"> will monitor how the recommendations from the evaluation are incorporated into programme adjustments (including as part of the final impact evaluation).</w:t>
      </w:r>
    </w:p>
    <w:p w:rsidR="000C0884" w:rsidP="00F55B03" w:rsidRDefault="000C0884" w14:paraId="76EAA358" w14:textId="368B4D61"/>
    <w:p w:rsidR="00D64385" w:rsidP="00FC25FC" w:rsidRDefault="00D64385" w14:paraId="3721C8EB" w14:textId="77777777">
      <w:pPr>
        <w:pStyle w:val="Heading1"/>
        <w:sectPr w:rsidR="00D64385" w:rsidSect="004328CD">
          <w:pgSz w:w="11906" w:h="16838" w:orient="portrait"/>
          <w:pgMar w:top="1418" w:right="907" w:bottom="907" w:left="907" w:header="709" w:footer="266" w:gutter="0"/>
          <w:cols w:space="708"/>
          <w:docGrid w:linePitch="360"/>
        </w:sectPr>
      </w:pPr>
    </w:p>
    <w:p w:rsidRPr="00E13638" w:rsidR="00827C92" w:rsidP="002C57BB" w:rsidRDefault="006F5E42" w14:paraId="2CBBF96B" w14:textId="63BC36C9">
      <w:pPr>
        <w:spacing w:after="160" w:line="259" w:lineRule="auto"/>
        <w:rPr>
          <w:b/>
          <w:bCs/>
        </w:rPr>
      </w:pPr>
      <w:r>
        <w:rPr>
          <w:b/>
          <w:bCs/>
        </w:rPr>
        <w:t>Table 18. Use and influence plan</w:t>
      </w:r>
    </w:p>
    <w:tbl>
      <w:tblPr>
        <w:tblStyle w:val="Table-Darkblue"/>
        <w:tblW w:w="15309" w:type="dxa"/>
        <w:tblLayout w:type="fixed"/>
        <w:tblLook w:val="04A0" w:firstRow="1" w:lastRow="0" w:firstColumn="1" w:lastColumn="0" w:noHBand="0" w:noVBand="1"/>
      </w:tblPr>
      <w:tblGrid>
        <w:gridCol w:w="1700"/>
        <w:gridCol w:w="1701"/>
        <w:gridCol w:w="1701"/>
        <w:gridCol w:w="1701"/>
        <w:gridCol w:w="1701"/>
        <w:gridCol w:w="1702"/>
        <w:gridCol w:w="1701"/>
        <w:gridCol w:w="1701"/>
        <w:gridCol w:w="1701"/>
      </w:tblGrid>
      <w:tr w:rsidRPr="00E83B32" w:rsidR="003E3623" w:rsidTr="00756290" w14:paraId="6EF35641" w14:textId="77777777">
        <w:trPr>
          <w:cnfStyle w:val="100000000000" w:firstRow="1" w:lastRow="0" w:firstColumn="0" w:lastColumn="0" w:oddVBand="0" w:evenVBand="0" w:oddHBand="0" w:evenHBand="0" w:firstRowFirstColumn="0" w:firstRowLastColumn="0" w:lastRowFirstColumn="0" w:lastRowLastColumn="0"/>
        </w:trPr>
        <w:tc>
          <w:tcPr>
            <w:tcW w:w="5100" w:type="dxa"/>
            <w:gridSpan w:val="3"/>
          </w:tcPr>
          <w:p w:rsidRPr="009A3A6F" w:rsidR="00FC25FC" w:rsidP="00FC25FC" w:rsidRDefault="00FC25FC" w14:paraId="4BEE34C0" w14:textId="77777777">
            <w:pPr>
              <w:rPr>
                <w:sz w:val="20"/>
                <w:szCs w:val="18"/>
              </w:rPr>
            </w:pPr>
            <w:r w:rsidRPr="009A3A6F">
              <w:rPr>
                <w:sz w:val="20"/>
                <w:szCs w:val="18"/>
              </w:rPr>
              <w:t>About the user</w:t>
            </w:r>
          </w:p>
        </w:tc>
        <w:tc>
          <w:tcPr>
            <w:tcW w:w="10207" w:type="dxa"/>
            <w:gridSpan w:val="6"/>
          </w:tcPr>
          <w:p w:rsidRPr="009A3A6F" w:rsidR="00FC25FC" w:rsidP="00FC25FC" w:rsidRDefault="00FC25FC" w14:paraId="0C6A8EC2" w14:textId="77777777">
            <w:pPr>
              <w:rPr>
                <w:sz w:val="20"/>
                <w:szCs w:val="18"/>
              </w:rPr>
            </w:pPr>
            <w:r w:rsidRPr="009A3A6F">
              <w:rPr>
                <w:sz w:val="20"/>
                <w:szCs w:val="18"/>
              </w:rPr>
              <w:t>How to engage them</w:t>
            </w:r>
          </w:p>
        </w:tc>
      </w:tr>
      <w:tr w:rsidRPr="00E83B32" w:rsidR="003E3623" w:rsidTr="00756290" w14:paraId="4DA4D0D3" w14:textId="77777777">
        <w:tc>
          <w:tcPr>
            <w:tcW w:w="1700" w:type="dxa"/>
          </w:tcPr>
          <w:p w:rsidRPr="009A3A6F" w:rsidR="00FC25FC" w:rsidP="00FC25FC" w:rsidRDefault="00FC25FC" w14:paraId="0840FB25" w14:textId="77777777">
            <w:pPr>
              <w:rPr>
                <w:b/>
                <w:bCs/>
                <w:sz w:val="20"/>
                <w:szCs w:val="18"/>
              </w:rPr>
            </w:pPr>
            <w:r w:rsidRPr="009A3A6F">
              <w:rPr>
                <w:b/>
                <w:bCs/>
                <w:sz w:val="20"/>
                <w:szCs w:val="18"/>
              </w:rPr>
              <w:t>Stakeholder groups</w:t>
            </w:r>
          </w:p>
        </w:tc>
        <w:tc>
          <w:tcPr>
            <w:tcW w:w="1700" w:type="dxa"/>
          </w:tcPr>
          <w:p w:rsidRPr="009A3A6F" w:rsidR="00FC25FC" w:rsidP="00FC25FC" w:rsidRDefault="00FC25FC" w14:paraId="3FEF73E9" w14:textId="77777777">
            <w:pPr>
              <w:rPr>
                <w:b/>
                <w:bCs/>
                <w:sz w:val="20"/>
                <w:szCs w:val="18"/>
              </w:rPr>
            </w:pPr>
            <w:r w:rsidRPr="009A3A6F">
              <w:rPr>
                <w:b/>
                <w:bCs/>
                <w:sz w:val="20"/>
                <w:szCs w:val="18"/>
              </w:rPr>
              <w:t>Primary learning need from the evaluation</w:t>
            </w:r>
          </w:p>
        </w:tc>
        <w:tc>
          <w:tcPr>
            <w:tcW w:w="1700" w:type="dxa"/>
          </w:tcPr>
          <w:p w:rsidRPr="009A3A6F" w:rsidR="00FC25FC" w:rsidP="00FC25FC" w:rsidRDefault="00FC25FC" w14:paraId="603E97B2" w14:textId="73BF7F1A">
            <w:pPr>
              <w:rPr>
                <w:b/>
                <w:bCs/>
                <w:sz w:val="20"/>
                <w:szCs w:val="18"/>
              </w:rPr>
            </w:pPr>
            <w:r w:rsidRPr="009A3A6F">
              <w:rPr>
                <w:b/>
                <w:bCs/>
                <w:sz w:val="20"/>
                <w:szCs w:val="18"/>
              </w:rPr>
              <w:t>Considerations for information use (barriers/</w:t>
            </w:r>
            <w:r w:rsidRPr="009A3A6F" w:rsidR="00975F60">
              <w:rPr>
                <w:b/>
                <w:bCs/>
                <w:sz w:val="20"/>
                <w:szCs w:val="18"/>
              </w:rPr>
              <w:t xml:space="preserve"> </w:t>
            </w:r>
            <w:r w:rsidRPr="009A3A6F">
              <w:rPr>
                <w:b/>
                <w:bCs/>
                <w:sz w:val="20"/>
                <w:szCs w:val="18"/>
              </w:rPr>
              <w:t>enablers)</w:t>
            </w:r>
          </w:p>
        </w:tc>
        <w:tc>
          <w:tcPr>
            <w:tcW w:w="1701" w:type="dxa"/>
          </w:tcPr>
          <w:p w:rsidRPr="009A3A6F" w:rsidR="00FC25FC" w:rsidP="00FC25FC" w:rsidRDefault="00FC25FC" w14:paraId="5C4E70A3" w14:textId="77777777">
            <w:pPr>
              <w:rPr>
                <w:b/>
                <w:bCs/>
                <w:sz w:val="20"/>
                <w:szCs w:val="18"/>
              </w:rPr>
            </w:pPr>
            <w:r w:rsidRPr="009A3A6F">
              <w:rPr>
                <w:b/>
                <w:bCs/>
                <w:sz w:val="20"/>
                <w:szCs w:val="18"/>
              </w:rPr>
              <w:t>How does information need to be framed? (type, format)</w:t>
            </w:r>
          </w:p>
        </w:tc>
        <w:tc>
          <w:tcPr>
            <w:tcW w:w="1701" w:type="dxa"/>
          </w:tcPr>
          <w:p w:rsidRPr="009A3A6F" w:rsidR="00FC25FC" w:rsidP="00FC25FC" w:rsidRDefault="00FC25FC" w14:paraId="48440969" w14:textId="77777777">
            <w:pPr>
              <w:rPr>
                <w:b/>
                <w:bCs/>
                <w:sz w:val="20"/>
                <w:szCs w:val="18"/>
              </w:rPr>
            </w:pPr>
            <w:r w:rsidRPr="009A3A6F">
              <w:rPr>
                <w:b/>
                <w:bCs/>
                <w:sz w:val="20"/>
                <w:szCs w:val="18"/>
              </w:rPr>
              <w:t>Communication methods</w:t>
            </w:r>
          </w:p>
        </w:tc>
        <w:tc>
          <w:tcPr>
            <w:tcW w:w="1702" w:type="dxa"/>
          </w:tcPr>
          <w:p w:rsidRPr="009A3A6F" w:rsidR="00FC25FC" w:rsidP="00FC25FC" w:rsidRDefault="00FC25FC" w14:paraId="7529E612" w14:textId="77777777">
            <w:pPr>
              <w:rPr>
                <w:b/>
                <w:bCs/>
                <w:sz w:val="20"/>
                <w:szCs w:val="18"/>
              </w:rPr>
            </w:pPr>
            <w:r w:rsidRPr="009A3A6F">
              <w:rPr>
                <w:b/>
                <w:bCs/>
                <w:sz w:val="20"/>
                <w:szCs w:val="18"/>
              </w:rPr>
              <w:t>Frequency</w:t>
            </w:r>
          </w:p>
        </w:tc>
        <w:tc>
          <w:tcPr>
            <w:tcW w:w="1701" w:type="dxa"/>
          </w:tcPr>
          <w:p w:rsidRPr="009A3A6F" w:rsidR="00FC25FC" w:rsidP="00FC25FC" w:rsidRDefault="00FC25FC" w14:paraId="636C3414" w14:textId="77777777">
            <w:pPr>
              <w:rPr>
                <w:b/>
                <w:bCs/>
                <w:sz w:val="20"/>
                <w:szCs w:val="18"/>
              </w:rPr>
            </w:pPr>
            <w:r w:rsidRPr="009A3A6F">
              <w:rPr>
                <w:b/>
                <w:bCs/>
                <w:sz w:val="20"/>
                <w:szCs w:val="18"/>
              </w:rPr>
              <w:t>Timings</w:t>
            </w:r>
          </w:p>
        </w:tc>
        <w:tc>
          <w:tcPr>
            <w:tcW w:w="1701" w:type="dxa"/>
          </w:tcPr>
          <w:p w:rsidRPr="009A3A6F" w:rsidR="00FC25FC" w:rsidP="00FC25FC" w:rsidRDefault="00FC25FC" w14:paraId="4916C0B3" w14:textId="77777777">
            <w:pPr>
              <w:rPr>
                <w:b/>
                <w:bCs/>
                <w:sz w:val="20"/>
                <w:szCs w:val="18"/>
              </w:rPr>
            </w:pPr>
            <w:r w:rsidRPr="009A3A6F">
              <w:rPr>
                <w:b/>
                <w:bCs/>
                <w:sz w:val="20"/>
                <w:szCs w:val="18"/>
              </w:rPr>
              <w:t>Format</w:t>
            </w:r>
          </w:p>
        </w:tc>
        <w:tc>
          <w:tcPr>
            <w:tcW w:w="1701" w:type="dxa"/>
          </w:tcPr>
          <w:p w:rsidRPr="009A3A6F" w:rsidR="00FC25FC" w:rsidP="00FC25FC" w:rsidRDefault="00FC25FC" w14:paraId="08EB8047" w14:textId="77777777">
            <w:pPr>
              <w:rPr>
                <w:b/>
                <w:bCs/>
                <w:sz w:val="20"/>
                <w:szCs w:val="18"/>
              </w:rPr>
            </w:pPr>
            <w:r w:rsidRPr="009A3A6F">
              <w:rPr>
                <w:b/>
                <w:bCs/>
                <w:sz w:val="20"/>
                <w:szCs w:val="18"/>
              </w:rPr>
              <w:t>Responsibilities</w:t>
            </w:r>
          </w:p>
        </w:tc>
      </w:tr>
      <w:tr w:rsidRPr="00E83B32" w:rsidR="00FC25FC" w:rsidTr="00756290" w14:paraId="6902F073" w14:textId="77777777">
        <w:trPr>
          <w:trHeight w:val="278"/>
        </w:trPr>
        <w:tc>
          <w:tcPr>
            <w:tcW w:w="15307" w:type="dxa"/>
            <w:gridSpan w:val="9"/>
          </w:tcPr>
          <w:p w:rsidRPr="009A3A6F" w:rsidR="00FC25FC" w:rsidP="00FC25FC" w:rsidRDefault="00FC25FC" w14:paraId="46EC0EDC" w14:textId="77777777">
            <w:pPr>
              <w:rPr>
                <w:sz w:val="20"/>
                <w:szCs w:val="18"/>
              </w:rPr>
            </w:pPr>
            <w:r w:rsidRPr="009A3A6F">
              <w:rPr>
                <w:sz w:val="20"/>
                <w:szCs w:val="18"/>
              </w:rPr>
              <w:t>Actively engage</w:t>
            </w:r>
          </w:p>
        </w:tc>
      </w:tr>
      <w:tr w:rsidRPr="00E83B32" w:rsidR="009C1DAE" w:rsidTr="00756290" w14:paraId="066352B7" w14:textId="77777777">
        <w:trPr>
          <w:trHeight w:val="3255"/>
        </w:trPr>
        <w:tc>
          <w:tcPr>
            <w:tcW w:w="1700" w:type="dxa"/>
          </w:tcPr>
          <w:p w:rsidRPr="009A3A6F" w:rsidR="00FC25FC" w:rsidP="00FC25FC" w:rsidRDefault="00FC25FC" w14:paraId="30CF6683" w14:textId="2401A8CC">
            <w:pPr>
              <w:rPr>
                <w:sz w:val="20"/>
                <w:szCs w:val="18"/>
              </w:rPr>
            </w:pPr>
            <w:r w:rsidRPr="009A3A6F">
              <w:rPr>
                <w:sz w:val="20"/>
                <w:szCs w:val="18"/>
              </w:rPr>
              <w:t>Evaluation and programme management (DESNZ MAGC team and IFC MAGC team)</w:t>
            </w:r>
          </w:p>
        </w:tc>
        <w:tc>
          <w:tcPr>
            <w:tcW w:w="1700" w:type="dxa"/>
          </w:tcPr>
          <w:p w:rsidRPr="009A3A6F" w:rsidR="00FC25FC" w:rsidP="00FC25FC" w:rsidRDefault="00FC25FC" w14:paraId="1F9C774C" w14:textId="1E94CC02">
            <w:pPr>
              <w:rPr>
                <w:sz w:val="20"/>
                <w:szCs w:val="18"/>
              </w:rPr>
            </w:pPr>
            <w:r w:rsidRPr="009A3A6F">
              <w:rPr>
                <w:sz w:val="20"/>
                <w:szCs w:val="18"/>
              </w:rPr>
              <w:t>Lessons learned from programme implementation during delivery</w:t>
            </w:r>
          </w:p>
        </w:tc>
        <w:tc>
          <w:tcPr>
            <w:tcW w:w="1700" w:type="dxa"/>
          </w:tcPr>
          <w:p w:rsidRPr="009A3A6F" w:rsidR="00FC25FC" w:rsidP="00FC25FC" w:rsidRDefault="00FC25FC" w14:paraId="509971EE" w14:textId="2F64FD35">
            <w:pPr>
              <w:rPr>
                <w:sz w:val="20"/>
                <w:szCs w:val="18"/>
              </w:rPr>
            </w:pPr>
            <w:r w:rsidRPr="009A3A6F">
              <w:rPr>
                <w:sz w:val="20"/>
                <w:szCs w:val="18"/>
              </w:rPr>
              <w:t>Timely, clear outputs which are able to feed into annual reviews/reporting</w:t>
            </w:r>
          </w:p>
        </w:tc>
        <w:tc>
          <w:tcPr>
            <w:tcW w:w="1701" w:type="dxa"/>
          </w:tcPr>
          <w:p w:rsidRPr="009A3A6F" w:rsidR="00FC25FC" w:rsidP="00FC25FC" w:rsidRDefault="00FC25FC" w14:paraId="29B490B4" w14:textId="7EBA9BA3">
            <w:pPr>
              <w:rPr>
                <w:sz w:val="20"/>
                <w:szCs w:val="18"/>
              </w:rPr>
            </w:pPr>
            <w:r w:rsidRPr="009A3A6F">
              <w:rPr>
                <w:sz w:val="20"/>
                <w:szCs w:val="18"/>
              </w:rPr>
              <w:t>Technical information framed with methodological rigor, clear recommendations</w:t>
            </w:r>
          </w:p>
        </w:tc>
        <w:tc>
          <w:tcPr>
            <w:tcW w:w="1701" w:type="dxa"/>
          </w:tcPr>
          <w:p w:rsidRPr="009A3A6F" w:rsidR="00FC25FC" w:rsidP="00FC25FC" w:rsidRDefault="00FC25FC" w14:paraId="0F2009AF" w14:textId="6130B591">
            <w:pPr>
              <w:rPr>
                <w:sz w:val="20"/>
                <w:szCs w:val="18"/>
              </w:rPr>
            </w:pPr>
            <w:r w:rsidRPr="009A3A6F">
              <w:rPr>
                <w:sz w:val="20"/>
                <w:szCs w:val="18"/>
              </w:rPr>
              <w:t>Evaluation reports and accompanying slide deck, or other options such as dashboards and newsletters</w:t>
            </w:r>
          </w:p>
          <w:p w:rsidRPr="009A3A6F" w:rsidR="00FC25FC" w:rsidP="00FC25FC" w:rsidRDefault="00FC25FC" w14:paraId="5B202C34" w14:textId="54EAA482">
            <w:pPr>
              <w:rPr>
                <w:sz w:val="20"/>
                <w:szCs w:val="18"/>
              </w:rPr>
            </w:pPr>
            <w:r w:rsidRPr="009A3A6F">
              <w:rPr>
                <w:sz w:val="20"/>
                <w:szCs w:val="18"/>
              </w:rPr>
              <w:t>Emerging findings validation workshops</w:t>
            </w:r>
          </w:p>
        </w:tc>
        <w:tc>
          <w:tcPr>
            <w:tcW w:w="1702" w:type="dxa"/>
          </w:tcPr>
          <w:p w:rsidRPr="009A3A6F" w:rsidR="00FC25FC" w:rsidP="00FC25FC" w:rsidRDefault="00FC25FC" w14:paraId="7C4CB87B" w14:textId="3761DFCE">
            <w:pPr>
              <w:rPr>
                <w:sz w:val="20"/>
                <w:szCs w:val="18"/>
              </w:rPr>
            </w:pPr>
            <w:r w:rsidRPr="009A3A6F">
              <w:rPr>
                <w:sz w:val="20"/>
                <w:szCs w:val="18"/>
              </w:rPr>
              <w:t>Regularly, throughout evaluation at each phase</w:t>
            </w:r>
          </w:p>
        </w:tc>
        <w:tc>
          <w:tcPr>
            <w:tcW w:w="1701" w:type="dxa"/>
          </w:tcPr>
          <w:p w:rsidRPr="009A3A6F" w:rsidR="00FC25FC" w:rsidP="00FC25FC" w:rsidRDefault="00FC25FC" w14:paraId="264E2E9C" w14:textId="0C5762F6">
            <w:pPr>
              <w:rPr>
                <w:sz w:val="20"/>
                <w:szCs w:val="18"/>
              </w:rPr>
            </w:pPr>
            <w:r w:rsidRPr="009A3A6F">
              <w:rPr>
                <w:sz w:val="20"/>
                <w:szCs w:val="18"/>
              </w:rPr>
              <w:t>Q1 2024 (process)</w:t>
            </w:r>
            <w:r w:rsidRPr="009A3A6F">
              <w:rPr>
                <w:sz w:val="20"/>
                <w:szCs w:val="18"/>
              </w:rPr>
              <w:br/>
            </w:r>
            <w:r w:rsidRPr="009A3A6F">
              <w:rPr>
                <w:sz w:val="20"/>
                <w:szCs w:val="18"/>
              </w:rPr>
              <w:t>Q3 2024 (early outcome)</w:t>
            </w:r>
            <w:r w:rsidRPr="009A3A6F">
              <w:rPr>
                <w:sz w:val="20"/>
                <w:szCs w:val="18"/>
              </w:rPr>
              <w:br/>
            </w:r>
            <w:r w:rsidRPr="009A3A6F">
              <w:rPr>
                <w:sz w:val="20"/>
                <w:szCs w:val="18"/>
              </w:rPr>
              <w:t>Q3 2027 (final)</w:t>
            </w:r>
          </w:p>
        </w:tc>
        <w:tc>
          <w:tcPr>
            <w:tcW w:w="1701" w:type="dxa"/>
          </w:tcPr>
          <w:p w:rsidRPr="009A3A6F" w:rsidR="00FC25FC" w:rsidP="00FC25FC" w:rsidRDefault="00FC25FC" w14:paraId="205EEE1E" w14:textId="4CD61C11">
            <w:pPr>
              <w:rPr>
                <w:sz w:val="20"/>
                <w:szCs w:val="18"/>
              </w:rPr>
            </w:pPr>
            <w:r w:rsidRPr="00756290">
              <w:rPr>
                <w:sz w:val="20"/>
              </w:rPr>
              <w:t xml:space="preserve">Reports and materials: </w:t>
            </w:r>
            <w:r w:rsidRPr="009A3A6F">
              <w:rPr>
                <w:sz w:val="20"/>
                <w:szCs w:val="18"/>
              </w:rPr>
              <w:t>email</w:t>
            </w:r>
            <w:r w:rsidRPr="009A3A6F">
              <w:rPr>
                <w:sz w:val="20"/>
                <w:szCs w:val="18"/>
              </w:rPr>
              <w:br/>
            </w:r>
            <w:r w:rsidRPr="009A3A6F">
              <w:rPr>
                <w:sz w:val="20"/>
                <w:szCs w:val="18"/>
              </w:rPr>
              <w:br/>
            </w:r>
            <w:r w:rsidRPr="00756290">
              <w:rPr>
                <w:sz w:val="20"/>
              </w:rPr>
              <w:t>Workshops</w:t>
            </w:r>
            <w:r w:rsidRPr="009A3A6F">
              <w:rPr>
                <w:sz w:val="20"/>
                <w:szCs w:val="18"/>
              </w:rPr>
              <w:t>: Online or hybrid</w:t>
            </w:r>
          </w:p>
        </w:tc>
        <w:tc>
          <w:tcPr>
            <w:tcW w:w="1701" w:type="dxa"/>
          </w:tcPr>
          <w:p w:rsidRPr="009A3A6F" w:rsidR="00FC25FC" w:rsidP="00FC25FC" w:rsidRDefault="00FC25FC" w14:paraId="74E1A766" w14:textId="1B6D421B">
            <w:pPr>
              <w:rPr>
                <w:sz w:val="20"/>
                <w:szCs w:val="18"/>
              </w:rPr>
            </w:pPr>
            <w:r w:rsidRPr="009A3A6F">
              <w:rPr>
                <w:sz w:val="20"/>
                <w:szCs w:val="18"/>
              </w:rPr>
              <w:t>Ipsos creating and sharing evaluation reports, slide decks, and additional materials as needed. Ipsos to circulate materials via email with core DESNZ and IFC MAGC teams.</w:t>
            </w:r>
            <w:r w:rsidRPr="009A3A6F" w:rsidR="006B06AF">
              <w:rPr>
                <w:sz w:val="20"/>
                <w:szCs w:val="18"/>
              </w:rPr>
              <w:t xml:space="preserve"> Both DESNZ and IFC teams provide feedback on </w:t>
            </w:r>
            <w:r w:rsidRPr="009A3A6F" w:rsidR="006B06AF">
              <w:rPr>
                <w:sz w:val="20"/>
                <w:szCs w:val="18"/>
              </w:rPr>
              <w:t>evaluation reports and materials.</w:t>
            </w:r>
          </w:p>
          <w:p w:rsidRPr="009A3A6F" w:rsidR="00FC25FC" w:rsidP="00FC25FC" w:rsidRDefault="00FC25FC" w14:paraId="0FDFDE3B" w14:textId="77777777">
            <w:pPr>
              <w:rPr>
                <w:sz w:val="20"/>
                <w:szCs w:val="18"/>
              </w:rPr>
            </w:pPr>
            <w:r w:rsidRPr="009A3A6F">
              <w:rPr>
                <w:sz w:val="20"/>
                <w:szCs w:val="18"/>
              </w:rPr>
              <w:t>Ipsos carrying out workshops.</w:t>
            </w:r>
          </w:p>
          <w:p w:rsidRPr="009A3A6F" w:rsidR="00FC25FC" w:rsidP="00FC25FC" w:rsidRDefault="00FC25FC" w14:paraId="1A5D3FBF" w14:textId="58D6F28A">
            <w:pPr>
              <w:rPr>
                <w:sz w:val="20"/>
                <w:szCs w:val="18"/>
              </w:rPr>
            </w:pPr>
            <w:r w:rsidRPr="009A3A6F">
              <w:rPr>
                <w:sz w:val="20"/>
                <w:szCs w:val="18"/>
              </w:rPr>
              <w:t>DESNZ communicating needs for additional materials as needed</w:t>
            </w:r>
          </w:p>
        </w:tc>
      </w:tr>
      <w:tr w:rsidRPr="00E83B32" w:rsidR="009C1DAE" w:rsidTr="00756290" w14:paraId="2677AAE0" w14:textId="77777777">
        <w:tc>
          <w:tcPr>
            <w:tcW w:w="1700" w:type="dxa"/>
          </w:tcPr>
          <w:p w:rsidRPr="009A3A6F" w:rsidR="00FC25FC" w:rsidP="00FC25FC" w:rsidRDefault="00FC25FC" w14:paraId="2B68DF2B" w14:textId="75732460">
            <w:pPr>
              <w:rPr>
                <w:sz w:val="20"/>
                <w:szCs w:val="18"/>
              </w:rPr>
            </w:pPr>
            <w:r w:rsidRPr="009A3A6F">
              <w:rPr>
                <w:sz w:val="20"/>
                <w:szCs w:val="18"/>
              </w:rPr>
              <w:t>Governance and leadership (other relevant teams at DESNZ and IFC)</w:t>
            </w:r>
          </w:p>
        </w:tc>
        <w:tc>
          <w:tcPr>
            <w:tcW w:w="1700" w:type="dxa"/>
          </w:tcPr>
          <w:p w:rsidRPr="009A3A6F" w:rsidR="00FC25FC" w:rsidP="00FC25FC" w:rsidRDefault="00FC25FC" w14:paraId="7146404C" w14:textId="1BA3AA76">
            <w:pPr>
              <w:rPr>
                <w:sz w:val="20"/>
                <w:szCs w:val="18"/>
              </w:rPr>
            </w:pPr>
            <w:r w:rsidRPr="009A3A6F">
              <w:rPr>
                <w:sz w:val="20"/>
                <w:szCs w:val="18"/>
              </w:rPr>
              <w:t>Lessons learned from the programme to inform strategy</w:t>
            </w:r>
          </w:p>
        </w:tc>
        <w:tc>
          <w:tcPr>
            <w:tcW w:w="1700" w:type="dxa"/>
          </w:tcPr>
          <w:p w:rsidRPr="009A3A6F" w:rsidR="00FC25FC" w:rsidP="00FC25FC" w:rsidRDefault="00FC25FC" w14:paraId="2F1D8EFC" w14:textId="3447342A">
            <w:pPr>
              <w:rPr>
                <w:sz w:val="20"/>
                <w:szCs w:val="18"/>
              </w:rPr>
            </w:pPr>
            <w:r w:rsidRPr="009A3A6F">
              <w:rPr>
                <w:sz w:val="20"/>
                <w:szCs w:val="18"/>
              </w:rPr>
              <w:t>Timely, clear outputs which are able to feed into annual reviews/reporting</w:t>
            </w:r>
          </w:p>
        </w:tc>
        <w:tc>
          <w:tcPr>
            <w:tcW w:w="1701" w:type="dxa"/>
          </w:tcPr>
          <w:p w:rsidRPr="009A3A6F" w:rsidR="00FC25FC" w:rsidP="00FC25FC" w:rsidRDefault="00FC25FC" w14:paraId="1C031844" w14:textId="5E9B5BDB">
            <w:pPr>
              <w:rPr>
                <w:sz w:val="20"/>
                <w:szCs w:val="18"/>
              </w:rPr>
            </w:pPr>
            <w:r w:rsidRPr="009A3A6F">
              <w:rPr>
                <w:sz w:val="20"/>
                <w:szCs w:val="18"/>
              </w:rPr>
              <w:t>Concise summaries and clear recommendations</w:t>
            </w:r>
          </w:p>
        </w:tc>
        <w:tc>
          <w:tcPr>
            <w:tcW w:w="1701" w:type="dxa"/>
          </w:tcPr>
          <w:p w:rsidRPr="009A3A6F" w:rsidR="00FC25FC" w:rsidP="00FC25FC" w:rsidRDefault="00FC25FC" w14:paraId="3DC69D74" w14:textId="082BFC61">
            <w:pPr>
              <w:rPr>
                <w:sz w:val="20"/>
                <w:szCs w:val="18"/>
              </w:rPr>
            </w:pPr>
            <w:r w:rsidRPr="009A3A6F">
              <w:rPr>
                <w:sz w:val="20"/>
                <w:szCs w:val="18"/>
              </w:rPr>
              <w:t>Evaluation reports and synthesis products (for example, infographics with the key findings)</w:t>
            </w:r>
          </w:p>
          <w:p w:rsidRPr="009A3A6F" w:rsidR="00FC25FC" w:rsidP="00FC25FC" w:rsidRDefault="00FC25FC" w14:paraId="07934030" w14:textId="0EEB6328">
            <w:pPr>
              <w:rPr>
                <w:sz w:val="20"/>
                <w:szCs w:val="18"/>
              </w:rPr>
            </w:pPr>
            <w:r w:rsidRPr="009A3A6F">
              <w:rPr>
                <w:sz w:val="20"/>
                <w:szCs w:val="18"/>
              </w:rPr>
              <w:t>Intra-programme learning workshops</w:t>
            </w:r>
          </w:p>
        </w:tc>
        <w:tc>
          <w:tcPr>
            <w:tcW w:w="1702" w:type="dxa"/>
          </w:tcPr>
          <w:p w:rsidRPr="009A3A6F" w:rsidR="00FC25FC" w:rsidP="00FC25FC" w:rsidRDefault="00FC25FC" w14:paraId="37122B22" w14:textId="067B4371">
            <w:pPr>
              <w:rPr>
                <w:sz w:val="20"/>
                <w:szCs w:val="18"/>
              </w:rPr>
            </w:pPr>
            <w:r w:rsidRPr="009A3A6F">
              <w:rPr>
                <w:sz w:val="20"/>
                <w:szCs w:val="18"/>
              </w:rPr>
              <w:t>At key interim and final evaluation points</w:t>
            </w:r>
          </w:p>
        </w:tc>
        <w:tc>
          <w:tcPr>
            <w:tcW w:w="1701" w:type="dxa"/>
          </w:tcPr>
          <w:p w:rsidRPr="009A3A6F" w:rsidR="00FC25FC" w:rsidP="00FC25FC" w:rsidRDefault="00FC25FC" w14:paraId="4F0D8BF2" w14:textId="72878966">
            <w:pPr>
              <w:rPr>
                <w:sz w:val="20"/>
                <w:szCs w:val="18"/>
              </w:rPr>
            </w:pPr>
            <w:r w:rsidRPr="009A3A6F">
              <w:rPr>
                <w:sz w:val="20"/>
                <w:szCs w:val="18"/>
              </w:rPr>
              <w:t>Q2 2024 (process)</w:t>
            </w:r>
            <w:r w:rsidRPr="009A3A6F">
              <w:rPr>
                <w:sz w:val="20"/>
                <w:szCs w:val="18"/>
              </w:rPr>
              <w:br/>
            </w:r>
            <w:r w:rsidRPr="009A3A6F">
              <w:rPr>
                <w:sz w:val="20"/>
                <w:szCs w:val="18"/>
              </w:rPr>
              <w:t>Q4 2024 (early outcome)</w:t>
            </w:r>
            <w:r w:rsidRPr="009A3A6F">
              <w:rPr>
                <w:sz w:val="20"/>
                <w:szCs w:val="18"/>
              </w:rPr>
              <w:br/>
            </w:r>
            <w:r w:rsidRPr="009A3A6F">
              <w:rPr>
                <w:sz w:val="20"/>
                <w:szCs w:val="18"/>
              </w:rPr>
              <w:t>2025/26 (methods)Q3 2027 (final)</w:t>
            </w:r>
          </w:p>
        </w:tc>
        <w:tc>
          <w:tcPr>
            <w:tcW w:w="1701" w:type="dxa"/>
          </w:tcPr>
          <w:p w:rsidRPr="009A3A6F" w:rsidR="00FC25FC" w:rsidP="00FC25FC" w:rsidRDefault="00FC25FC" w14:paraId="55BE9F86" w14:textId="728DDE07">
            <w:pPr>
              <w:rPr>
                <w:sz w:val="20"/>
                <w:szCs w:val="18"/>
              </w:rPr>
            </w:pPr>
            <w:r w:rsidRPr="009A3A6F">
              <w:rPr>
                <w:sz w:val="20"/>
                <w:szCs w:val="18"/>
              </w:rPr>
              <w:t>Reports and materials: email (or newsletter)</w:t>
            </w:r>
            <w:r w:rsidRPr="009A3A6F">
              <w:rPr>
                <w:sz w:val="20"/>
                <w:szCs w:val="18"/>
              </w:rPr>
              <w:br/>
            </w:r>
            <w:r w:rsidRPr="009A3A6F">
              <w:rPr>
                <w:sz w:val="20"/>
                <w:szCs w:val="18"/>
              </w:rPr>
              <w:br/>
            </w:r>
            <w:r w:rsidRPr="009A3A6F">
              <w:rPr>
                <w:sz w:val="20"/>
                <w:szCs w:val="18"/>
              </w:rPr>
              <w:t>Workshops: Online or hybrid</w:t>
            </w:r>
          </w:p>
        </w:tc>
        <w:tc>
          <w:tcPr>
            <w:tcW w:w="1701" w:type="dxa"/>
          </w:tcPr>
          <w:p w:rsidRPr="009A3A6F" w:rsidR="00FC25FC" w:rsidP="00FC25FC" w:rsidRDefault="00FC25FC" w14:paraId="0CFAC501" w14:textId="77777777">
            <w:pPr>
              <w:rPr>
                <w:sz w:val="20"/>
                <w:szCs w:val="18"/>
              </w:rPr>
            </w:pPr>
            <w:r w:rsidRPr="009A3A6F">
              <w:rPr>
                <w:sz w:val="20"/>
                <w:szCs w:val="18"/>
              </w:rPr>
              <w:t>Ipsos creating and sharing (via email or newsletter) evaluation reports and synthesis products (for example, infographics with the key findings).</w:t>
            </w:r>
          </w:p>
          <w:p w:rsidRPr="009A3A6F" w:rsidR="00FC25FC" w:rsidP="00FC25FC" w:rsidRDefault="00FC25FC" w14:paraId="0B646B5E" w14:textId="715485FF">
            <w:pPr>
              <w:rPr>
                <w:sz w:val="20"/>
                <w:szCs w:val="18"/>
              </w:rPr>
            </w:pPr>
            <w:r w:rsidRPr="009A3A6F">
              <w:rPr>
                <w:sz w:val="20"/>
                <w:szCs w:val="18"/>
              </w:rPr>
              <w:t>DESNZ and Ipsos carrying out workshops</w:t>
            </w:r>
            <w:r w:rsidRPr="009A3A6F">
              <w:rPr>
                <w:sz w:val="20"/>
                <w:szCs w:val="18"/>
              </w:rPr>
              <w:br/>
            </w:r>
            <w:r w:rsidRPr="009A3A6F">
              <w:rPr>
                <w:sz w:val="20"/>
                <w:szCs w:val="18"/>
              </w:rPr>
              <w:br/>
            </w:r>
            <w:r w:rsidRPr="009A3A6F">
              <w:rPr>
                <w:sz w:val="20"/>
                <w:szCs w:val="18"/>
              </w:rPr>
              <w:t>DESNZ and IFC core team to support dissemination of products via internal newsletters or distribution lists</w:t>
            </w:r>
          </w:p>
        </w:tc>
      </w:tr>
      <w:tr w:rsidRPr="00E83B32" w:rsidR="003E3623" w:rsidTr="00756290" w14:paraId="05B1A916" w14:textId="77777777">
        <w:tc>
          <w:tcPr>
            <w:tcW w:w="1700" w:type="dxa"/>
          </w:tcPr>
          <w:p w:rsidRPr="009A3A6F" w:rsidR="00FC25FC" w:rsidP="00FC25FC" w:rsidRDefault="00FC25FC" w14:paraId="57E30FEA" w14:textId="79D201ED">
            <w:pPr>
              <w:rPr>
                <w:sz w:val="20"/>
                <w:szCs w:val="18"/>
              </w:rPr>
            </w:pPr>
            <w:r w:rsidRPr="009A3A6F">
              <w:rPr>
                <w:sz w:val="20"/>
                <w:szCs w:val="18"/>
              </w:rPr>
              <w:t>Management, governance, leadership of other programmes (at DESNZ or other Government departments)</w:t>
            </w:r>
          </w:p>
        </w:tc>
        <w:tc>
          <w:tcPr>
            <w:tcW w:w="1700" w:type="dxa"/>
          </w:tcPr>
          <w:p w:rsidRPr="009A3A6F" w:rsidR="00FC25FC" w:rsidP="00FC25FC" w:rsidRDefault="00FC25FC" w14:paraId="3CE67B38" w14:textId="7EDABA2C">
            <w:pPr>
              <w:rPr>
                <w:sz w:val="20"/>
                <w:szCs w:val="18"/>
              </w:rPr>
            </w:pPr>
            <w:r w:rsidRPr="009A3A6F">
              <w:rPr>
                <w:sz w:val="20"/>
                <w:szCs w:val="18"/>
              </w:rPr>
              <w:t>Lessons learned from the programme to inform delivery of similar programmes</w:t>
            </w:r>
          </w:p>
        </w:tc>
        <w:tc>
          <w:tcPr>
            <w:tcW w:w="1700" w:type="dxa"/>
          </w:tcPr>
          <w:p w:rsidRPr="009A3A6F" w:rsidR="00FC25FC" w:rsidP="00FC25FC" w:rsidRDefault="00FC25FC" w14:paraId="7111ECCE" w14:textId="643A1B3E">
            <w:pPr>
              <w:rPr>
                <w:sz w:val="20"/>
                <w:szCs w:val="18"/>
              </w:rPr>
            </w:pPr>
            <w:r w:rsidRPr="009A3A6F">
              <w:rPr>
                <w:sz w:val="20"/>
                <w:szCs w:val="18"/>
              </w:rPr>
              <w:t>Timely, clear outputs which are able to feed into business cases/strategy</w:t>
            </w:r>
          </w:p>
        </w:tc>
        <w:tc>
          <w:tcPr>
            <w:tcW w:w="1701" w:type="dxa"/>
          </w:tcPr>
          <w:p w:rsidRPr="009A3A6F" w:rsidR="00FC25FC" w:rsidP="00FC25FC" w:rsidRDefault="00FC25FC" w14:paraId="57B69664" w14:textId="0607464F">
            <w:pPr>
              <w:rPr>
                <w:sz w:val="20"/>
                <w:szCs w:val="18"/>
              </w:rPr>
            </w:pPr>
            <w:r w:rsidRPr="009A3A6F">
              <w:rPr>
                <w:sz w:val="20"/>
                <w:szCs w:val="18"/>
              </w:rPr>
              <w:t>Concise summaries and clear recommendations</w:t>
            </w:r>
          </w:p>
        </w:tc>
        <w:tc>
          <w:tcPr>
            <w:tcW w:w="1701" w:type="dxa"/>
          </w:tcPr>
          <w:p w:rsidRPr="009A3A6F" w:rsidR="00FC25FC" w:rsidP="00FC25FC" w:rsidRDefault="00FC25FC" w14:paraId="12B46867" w14:textId="307F6A2D">
            <w:pPr>
              <w:rPr>
                <w:sz w:val="20"/>
                <w:szCs w:val="18"/>
              </w:rPr>
            </w:pPr>
            <w:r w:rsidRPr="009A3A6F">
              <w:rPr>
                <w:sz w:val="20"/>
                <w:szCs w:val="18"/>
              </w:rPr>
              <w:t>Evaluation reports and synthesis products</w:t>
            </w:r>
          </w:p>
          <w:p w:rsidRPr="009A3A6F" w:rsidR="00FC25FC" w:rsidP="00FC25FC" w:rsidRDefault="00FC25FC" w14:paraId="2E15E460" w14:textId="01C285F8">
            <w:pPr>
              <w:rPr>
                <w:sz w:val="20"/>
                <w:szCs w:val="18"/>
              </w:rPr>
            </w:pPr>
            <w:r w:rsidRPr="009A3A6F">
              <w:rPr>
                <w:sz w:val="20"/>
                <w:szCs w:val="18"/>
              </w:rPr>
              <w:t>Intra-programme learning workshops</w:t>
            </w:r>
          </w:p>
        </w:tc>
        <w:tc>
          <w:tcPr>
            <w:tcW w:w="1702" w:type="dxa"/>
          </w:tcPr>
          <w:p w:rsidRPr="009A3A6F" w:rsidR="00FC25FC" w:rsidP="00FC25FC" w:rsidRDefault="00FC25FC" w14:paraId="18E7101E" w14:textId="3C06B497">
            <w:pPr>
              <w:rPr>
                <w:sz w:val="20"/>
                <w:szCs w:val="18"/>
              </w:rPr>
            </w:pPr>
            <w:r w:rsidRPr="009A3A6F">
              <w:rPr>
                <w:sz w:val="20"/>
                <w:szCs w:val="18"/>
              </w:rPr>
              <w:t>At key interim and final evaluation points</w:t>
            </w:r>
          </w:p>
        </w:tc>
        <w:tc>
          <w:tcPr>
            <w:tcW w:w="1701" w:type="dxa"/>
          </w:tcPr>
          <w:p w:rsidRPr="009A3A6F" w:rsidR="00FC25FC" w:rsidP="00FC25FC" w:rsidRDefault="00FC25FC" w14:paraId="73620F2F" w14:textId="32E7A014">
            <w:pPr>
              <w:rPr>
                <w:sz w:val="20"/>
                <w:szCs w:val="18"/>
              </w:rPr>
            </w:pPr>
            <w:r w:rsidRPr="009A3A6F">
              <w:rPr>
                <w:sz w:val="20"/>
                <w:szCs w:val="18"/>
              </w:rPr>
              <w:t>Q2 2024 (process)</w:t>
            </w:r>
            <w:r w:rsidRPr="009A3A6F">
              <w:rPr>
                <w:sz w:val="20"/>
                <w:szCs w:val="18"/>
              </w:rPr>
              <w:br/>
            </w:r>
            <w:r w:rsidRPr="009A3A6F">
              <w:rPr>
                <w:sz w:val="20"/>
                <w:szCs w:val="18"/>
              </w:rPr>
              <w:t>Q4 2024 (early outcome)</w:t>
            </w:r>
            <w:r w:rsidRPr="009A3A6F">
              <w:rPr>
                <w:sz w:val="20"/>
                <w:szCs w:val="18"/>
              </w:rPr>
              <w:br/>
            </w:r>
            <w:r w:rsidRPr="009A3A6F">
              <w:rPr>
                <w:sz w:val="20"/>
                <w:szCs w:val="18"/>
              </w:rPr>
              <w:t>2025/26 (methods)Q3 2027 (final)</w:t>
            </w:r>
          </w:p>
        </w:tc>
        <w:tc>
          <w:tcPr>
            <w:tcW w:w="1701" w:type="dxa"/>
          </w:tcPr>
          <w:p w:rsidRPr="009A3A6F" w:rsidR="00FC25FC" w:rsidP="00FC25FC" w:rsidRDefault="00FC25FC" w14:paraId="13ED786F" w14:textId="45933E6B">
            <w:pPr>
              <w:rPr>
                <w:sz w:val="20"/>
                <w:szCs w:val="18"/>
              </w:rPr>
            </w:pPr>
            <w:r w:rsidRPr="009A3A6F">
              <w:rPr>
                <w:sz w:val="20"/>
                <w:szCs w:val="18"/>
              </w:rPr>
              <w:t>Reports and materials: email (or newsletter)</w:t>
            </w:r>
            <w:r w:rsidRPr="009A3A6F">
              <w:rPr>
                <w:sz w:val="20"/>
                <w:szCs w:val="18"/>
              </w:rPr>
              <w:br/>
            </w:r>
            <w:r w:rsidRPr="009A3A6F">
              <w:rPr>
                <w:sz w:val="20"/>
                <w:szCs w:val="18"/>
              </w:rPr>
              <w:br/>
            </w:r>
            <w:r w:rsidRPr="009A3A6F">
              <w:rPr>
                <w:sz w:val="20"/>
                <w:szCs w:val="18"/>
              </w:rPr>
              <w:t>Workshops: Online, hybrid or in-person</w:t>
            </w:r>
          </w:p>
        </w:tc>
        <w:tc>
          <w:tcPr>
            <w:tcW w:w="1701" w:type="dxa"/>
          </w:tcPr>
          <w:p w:rsidRPr="009A3A6F" w:rsidR="00FC25FC" w:rsidP="00FC25FC" w:rsidRDefault="00FC25FC" w14:paraId="183205A1" w14:textId="33878D37">
            <w:pPr>
              <w:rPr>
                <w:sz w:val="20"/>
                <w:szCs w:val="18"/>
              </w:rPr>
            </w:pPr>
            <w:r w:rsidRPr="009A3A6F">
              <w:rPr>
                <w:sz w:val="20"/>
                <w:szCs w:val="18"/>
              </w:rPr>
              <w:t>Ipsos creating and sharing reports/synthesis products</w:t>
            </w:r>
          </w:p>
          <w:p w:rsidRPr="009A3A6F" w:rsidR="00FC25FC" w:rsidP="00FC25FC" w:rsidRDefault="00FC25FC" w14:paraId="520EBA05" w14:textId="6698587A">
            <w:pPr>
              <w:rPr>
                <w:sz w:val="20"/>
                <w:szCs w:val="18"/>
              </w:rPr>
            </w:pPr>
            <w:r w:rsidRPr="009A3A6F">
              <w:rPr>
                <w:sz w:val="20"/>
                <w:szCs w:val="18"/>
              </w:rPr>
              <w:t>Ipsos carrying out workshops, with inputs and guidance from DESNZ on audience</w:t>
            </w:r>
          </w:p>
          <w:p w:rsidRPr="009A3A6F" w:rsidR="00FC25FC" w:rsidP="00FC25FC" w:rsidRDefault="00FC25FC" w14:paraId="1A032510" w14:textId="416E17F3">
            <w:pPr>
              <w:rPr>
                <w:sz w:val="20"/>
                <w:szCs w:val="18"/>
              </w:rPr>
            </w:pPr>
            <w:r w:rsidRPr="009A3A6F">
              <w:rPr>
                <w:sz w:val="20"/>
                <w:szCs w:val="18"/>
              </w:rPr>
              <w:t>DESNZ sharing learning within organisation and other departments</w:t>
            </w:r>
          </w:p>
        </w:tc>
      </w:tr>
      <w:tr w:rsidRPr="00E83B32" w:rsidR="009C1DAE" w:rsidTr="00756290" w14:paraId="65318261" w14:textId="77777777">
        <w:trPr>
          <w:trHeight w:val="260"/>
        </w:trPr>
        <w:tc>
          <w:tcPr>
            <w:tcW w:w="15307" w:type="dxa"/>
            <w:gridSpan w:val="9"/>
          </w:tcPr>
          <w:p w:rsidRPr="009A3A6F" w:rsidR="00975F60" w:rsidP="00FC25FC" w:rsidRDefault="00975F60" w14:paraId="0B94C40B" w14:textId="520F8EF2">
            <w:pPr>
              <w:rPr>
                <w:sz w:val="20"/>
                <w:szCs w:val="18"/>
              </w:rPr>
            </w:pPr>
            <w:r w:rsidRPr="009A3A6F">
              <w:rPr>
                <w:sz w:val="20"/>
                <w:szCs w:val="18"/>
              </w:rPr>
              <w:t>Keep informed</w:t>
            </w:r>
          </w:p>
        </w:tc>
      </w:tr>
      <w:tr w:rsidRPr="00E83B32" w:rsidR="003E3623" w:rsidTr="00756290" w14:paraId="18BFD80C" w14:textId="77777777">
        <w:tc>
          <w:tcPr>
            <w:tcW w:w="1700" w:type="dxa"/>
          </w:tcPr>
          <w:p w:rsidRPr="009A3A6F" w:rsidR="00FC25FC" w:rsidP="00FC25FC" w:rsidRDefault="00FC25FC" w14:paraId="3763BFC5" w14:textId="178D5187">
            <w:pPr>
              <w:rPr>
                <w:sz w:val="20"/>
                <w:szCs w:val="18"/>
              </w:rPr>
            </w:pPr>
            <w:r w:rsidRPr="009A3A6F">
              <w:rPr>
                <w:sz w:val="20"/>
                <w:szCs w:val="18"/>
              </w:rPr>
              <w:t>In-country MAGC stakeholders</w:t>
            </w:r>
          </w:p>
        </w:tc>
        <w:tc>
          <w:tcPr>
            <w:tcW w:w="1700" w:type="dxa"/>
          </w:tcPr>
          <w:p w:rsidRPr="009A3A6F" w:rsidR="00FC25FC" w:rsidP="00FC25FC" w:rsidRDefault="00FC25FC" w14:paraId="08C0BE10" w14:textId="2A3523CF">
            <w:pPr>
              <w:rPr>
                <w:sz w:val="20"/>
                <w:szCs w:val="18"/>
              </w:rPr>
            </w:pPr>
            <w:r w:rsidRPr="009A3A6F">
              <w:rPr>
                <w:sz w:val="20"/>
                <w:szCs w:val="18"/>
              </w:rPr>
              <w:t>Lessons learned from the programme and relevant in-country insights</w:t>
            </w:r>
          </w:p>
        </w:tc>
        <w:tc>
          <w:tcPr>
            <w:tcW w:w="1700" w:type="dxa"/>
          </w:tcPr>
          <w:p w:rsidRPr="009A3A6F" w:rsidR="00FC25FC" w:rsidP="00FC25FC" w:rsidRDefault="00FC25FC" w14:paraId="654828F4" w14:textId="7AE8D962">
            <w:pPr>
              <w:rPr>
                <w:sz w:val="20"/>
                <w:szCs w:val="18"/>
              </w:rPr>
            </w:pPr>
            <w:r w:rsidRPr="009A3A6F">
              <w:rPr>
                <w:sz w:val="20"/>
                <w:szCs w:val="18"/>
              </w:rPr>
              <w:t>Accessible/digestible format and sufficient tailoring to meet diverse angles/interests of stakeholder groups</w:t>
            </w:r>
          </w:p>
        </w:tc>
        <w:tc>
          <w:tcPr>
            <w:tcW w:w="1701" w:type="dxa"/>
          </w:tcPr>
          <w:p w:rsidRPr="009A3A6F" w:rsidR="00FC25FC" w:rsidP="00FC25FC" w:rsidRDefault="00FC25FC" w14:paraId="1C57FAE0" w14:textId="27EB5984">
            <w:pPr>
              <w:rPr>
                <w:sz w:val="20"/>
                <w:szCs w:val="18"/>
              </w:rPr>
            </w:pPr>
            <w:r w:rsidRPr="009A3A6F">
              <w:rPr>
                <w:sz w:val="20"/>
                <w:szCs w:val="18"/>
              </w:rPr>
              <w:t>Digestible, shareable content – both informal and formal sharing</w:t>
            </w:r>
          </w:p>
          <w:p w:rsidRPr="009A3A6F" w:rsidR="00FC25FC" w:rsidP="00FC25FC" w:rsidRDefault="00FC25FC" w14:paraId="76401BDE" w14:textId="4D6D92DB">
            <w:pPr>
              <w:rPr>
                <w:sz w:val="20"/>
                <w:szCs w:val="18"/>
              </w:rPr>
            </w:pPr>
            <w:r w:rsidRPr="009A3A6F">
              <w:rPr>
                <w:sz w:val="20"/>
                <w:szCs w:val="18"/>
              </w:rPr>
              <w:t>Visual summaries for accessibility/ease of absorption, underpinned by robust/in-depth technical analyses which are contextualised</w:t>
            </w:r>
          </w:p>
        </w:tc>
        <w:tc>
          <w:tcPr>
            <w:tcW w:w="1701" w:type="dxa"/>
          </w:tcPr>
          <w:p w:rsidRPr="009A3A6F" w:rsidR="00FC25FC" w:rsidP="00FC25FC" w:rsidRDefault="00FC25FC" w14:paraId="147A1235" w14:textId="3E44F801">
            <w:pPr>
              <w:rPr>
                <w:sz w:val="20"/>
                <w:szCs w:val="18"/>
              </w:rPr>
            </w:pPr>
            <w:r w:rsidRPr="009A3A6F">
              <w:rPr>
                <w:sz w:val="20"/>
                <w:szCs w:val="18"/>
              </w:rPr>
              <w:t>Topical knowledge sharing presentations with Q&amp;A sessions</w:t>
            </w:r>
          </w:p>
        </w:tc>
        <w:tc>
          <w:tcPr>
            <w:tcW w:w="1702" w:type="dxa"/>
          </w:tcPr>
          <w:p w:rsidRPr="009A3A6F" w:rsidR="00FC25FC" w:rsidP="00FC25FC" w:rsidRDefault="00FC25FC" w14:paraId="2A1926CA" w14:textId="3394690C">
            <w:pPr>
              <w:rPr>
                <w:sz w:val="20"/>
                <w:szCs w:val="18"/>
              </w:rPr>
            </w:pPr>
            <w:r w:rsidRPr="009A3A6F">
              <w:rPr>
                <w:sz w:val="20"/>
                <w:szCs w:val="18"/>
              </w:rPr>
              <w:t>Annually</w:t>
            </w:r>
          </w:p>
        </w:tc>
        <w:tc>
          <w:tcPr>
            <w:tcW w:w="1701" w:type="dxa"/>
          </w:tcPr>
          <w:p w:rsidRPr="009A3A6F" w:rsidR="00FC25FC" w:rsidP="00FC25FC" w:rsidRDefault="00FC25FC" w14:paraId="21F1DB51" w14:textId="747E6092">
            <w:pPr>
              <w:rPr>
                <w:sz w:val="20"/>
                <w:szCs w:val="18"/>
              </w:rPr>
            </w:pPr>
            <w:r w:rsidRPr="009A3A6F">
              <w:rPr>
                <w:sz w:val="20"/>
                <w:szCs w:val="18"/>
              </w:rPr>
              <w:t>Q1-4 2025, Q2 2026,</w:t>
            </w:r>
            <w:r w:rsidRPr="009A3A6F">
              <w:rPr>
                <w:sz w:val="20"/>
                <w:szCs w:val="18"/>
              </w:rPr>
              <w:br/>
            </w:r>
            <w:r w:rsidRPr="009A3A6F">
              <w:rPr>
                <w:sz w:val="20"/>
                <w:szCs w:val="18"/>
              </w:rPr>
              <w:t>Q4 2027</w:t>
            </w:r>
          </w:p>
        </w:tc>
        <w:tc>
          <w:tcPr>
            <w:tcW w:w="1701" w:type="dxa"/>
          </w:tcPr>
          <w:p w:rsidRPr="009A3A6F" w:rsidR="00FC25FC" w:rsidP="00FC25FC" w:rsidRDefault="00FC25FC" w14:paraId="56777449" w14:textId="63489259">
            <w:pPr>
              <w:rPr>
                <w:sz w:val="20"/>
                <w:szCs w:val="18"/>
              </w:rPr>
            </w:pPr>
            <w:r w:rsidRPr="009A3A6F">
              <w:rPr>
                <w:sz w:val="20"/>
                <w:szCs w:val="18"/>
              </w:rPr>
              <w:t>Online (webinar format)</w:t>
            </w:r>
          </w:p>
        </w:tc>
        <w:tc>
          <w:tcPr>
            <w:tcW w:w="1701" w:type="dxa"/>
          </w:tcPr>
          <w:p w:rsidRPr="009A3A6F" w:rsidR="00FC25FC" w:rsidP="00FC25FC" w:rsidRDefault="00FC25FC" w14:paraId="3FB507C2" w14:textId="472201FA">
            <w:pPr>
              <w:rPr>
                <w:sz w:val="20"/>
                <w:szCs w:val="18"/>
              </w:rPr>
            </w:pPr>
            <w:r w:rsidRPr="009A3A6F">
              <w:rPr>
                <w:sz w:val="20"/>
                <w:szCs w:val="18"/>
              </w:rPr>
              <w:t>Ipsos scoping type of stakeholders to share learnings with and to organise webinar</w:t>
            </w:r>
          </w:p>
          <w:p w:rsidRPr="009A3A6F" w:rsidR="00FC25FC" w:rsidP="00FC25FC" w:rsidRDefault="00FC25FC" w14:paraId="1EF78541" w14:textId="2199B68D">
            <w:pPr>
              <w:rPr>
                <w:sz w:val="20"/>
                <w:szCs w:val="18"/>
              </w:rPr>
            </w:pPr>
            <w:r w:rsidRPr="009A3A6F">
              <w:rPr>
                <w:sz w:val="20"/>
                <w:szCs w:val="18"/>
              </w:rPr>
              <w:t>Ipsos and DESNZ preparing and sharing materials as needed</w:t>
            </w:r>
          </w:p>
        </w:tc>
      </w:tr>
      <w:tr w:rsidRPr="00E83B32" w:rsidR="003E3623" w:rsidTr="00756290" w14:paraId="3D59C7D6" w14:textId="77777777">
        <w:tc>
          <w:tcPr>
            <w:tcW w:w="1700" w:type="dxa"/>
          </w:tcPr>
          <w:p w:rsidRPr="009A3A6F" w:rsidR="00FC25FC" w:rsidP="00FC25FC" w:rsidRDefault="00FC25FC" w14:paraId="12CFF823" w14:textId="4B86BBFA">
            <w:pPr>
              <w:rPr>
                <w:sz w:val="20"/>
                <w:szCs w:val="18"/>
              </w:rPr>
            </w:pPr>
            <w:r w:rsidRPr="009A3A6F">
              <w:rPr>
                <w:sz w:val="20"/>
                <w:szCs w:val="18"/>
              </w:rPr>
              <w:t>Wider evaluation community</w:t>
            </w:r>
          </w:p>
        </w:tc>
        <w:tc>
          <w:tcPr>
            <w:tcW w:w="1700" w:type="dxa"/>
          </w:tcPr>
          <w:p w:rsidRPr="009A3A6F" w:rsidR="00FC25FC" w:rsidP="00FC25FC" w:rsidRDefault="00FC25FC" w14:paraId="4F6F1DE5" w14:textId="59CB0222">
            <w:pPr>
              <w:rPr>
                <w:sz w:val="20"/>
                <w:szCs w:val="18"/>
              </w:rPr>
            </w:pPr>
            <w:r w:rsidRPr="009A3A6F">
              <w:rPr>
                <w:sz w:val="20"/>
                <w:szCs w:val="18"/>
              </w:rPr>
              <w:t>Lessons learned on undertaking the evaluation of the MAGC programme</w:t>
            </w:r>
          </w:p>
        </w:tc>
        <w:tc>
          <w:tcPr>
            <w:tcW w:w="1700" w:type="dxa"/>
          </w:tcPr>
          <w:p w:rsidRPr="009A3A6F" w:rsidR="00FC25FC" w:rsidP="00FC25FC" w:rsidRDefault="00FC25FC" w14:paraId="74DAC975" w14:textId="11A441D7">
            <w:pPr>
              <w:rPr>
                <w:sz w:val="20"/>
                <w:szCs w:val="18"/>
              </w:rPr>
            </w:pPr>
            <w:r w:rsidRPr="009A3A6F">
              <w:rPr>
                <w:sz w:val="20"/>
                <w:szCs w:val="18"/>
              </w:rPr>
              <w:t>Relevant information on methodology available during the evaluation, findings at the end of the evaluation phases</w:t>
            </w:r>
          </w:p>
        </w:tc>
        <w:tc>
          <w:tcPr>
            <w:tcW w:w="1701" w:type="dxa"/>
          </w:tcPr>
          <w:p w:rsidRPr="009A3A6F" w:rsidR="00FC25FC" w:rsidP="00FC25FC" w:rsidRDefault="00FC25FC" w14:paraId="086F8398" w14:textId="28794A4E">
            <w:pPr>
              <w:rPr>
                <w:sz w:val="20"/>
                <w:szCs w:val="18"/>
              </w:rPr>
            </w:pPr>
            <w:r w:rsidRPr="009A3A6F">
              <w:rPr>
                <w:sz w:val="20"/>
                <w:szCs w:val="18"/>
              </w:rPr>
              <w:t>Concise summaries of technical information</w:t>
            </w:r>
            <w:r w:rsidRPr="009A3A6F">
              <w:rPr>
                <w:sz w:val="20"/>
                <w:szCs w:val="18"/>
              </w:rPr>
              <w:br/>
            </w:r>
            <w:r w:rsidRPr="009A3A6F">
              <w:rPr>
                <w:sz w:val="20"/>
                <w:szCs w:val="18"/>
              </w:rPr>
              <w:br/>
            </w:r>
            <w:r w:rsidRPr="009A3A6F">
              <w:rPr>
                <w:sz w:val="20"/>
                <w:szCs w:val="18"/>
              </w:rPr>
              <w:t xml:space="preserve">Visual summaries for accessibility/ease of absorption, underpinned by robust/in-depth technical analyses which </w:t>
            </w:r>
            <w:r w:rsidRPr="009A3A6F">
              <w:rPr>
                <w:sz w:val="20"/>
                <w:szCs w:val="18"/>
              </w:rPr>
              <w:t>are contextualised</w:t>
            </w:r>
          </w:p>
        </w:tc>
        <w:tc>
          <w:tcPr>
            <w:tcW w:w="1701" w:type="dxa"/>
          </w:tcPr>
          <w:p w:rsidRPr="009A3A6F" w:rsidR="00FC25FC" w:rsidP="00FC25FC" w:rsidRDefault="00FC25FC" w14:paraId="39181BE3" w14:textId="7359EE89">
            <w:pPr>
              <w:rPr>
                <w:sz w:val="20"/>
                <w:szCs w:val="18"/>
              </w:rPr>
            </w:pPr>
            <w:r w:rsidRPr="009A3A6F">
              <w:rPr>
                <w:sz w:val="20"/>
                <w:szCs w:val="18"/>
              </w:rPr>
              <w:t>External events and conferences</w:t>
            </w:r>
          </w:p>
        </w:tc>
        <w:tc>
          <w:tcPr>
            <w:tcW w:w="1702" w:type="dxa"/>
          </w:tcPr>
          <w:p w:rsidRPr="009A3A6F" w:rsidR="00FC25FC" w:rsidP="00FC25FC" w:rsidRDefault="00FC25FC" w14:paraId="6CF299BF" w14:textId="186F7F92">
            <w:pPr>
              <w:rPr>
                <w:sz w:val="20"/>
                <w:szCs w:val="18"/>
              </w:rPr>
            </w:pPr>
            <w:r w:rsidRPr="009A3A6F">
              <w:rPr>
                <w:sz w:val="20"/>
                <w:szCs w:val="18"/>
              </w:rPr>
              <w:t>Annually</w:t>
            </w:r>
          </w:p>
        </w:tc>
        <w:tc>
          <w:tcPr>
            <w:tcW w:w="1701" w:type="dxa"/>
          </w:tcPr>
          <w:p w:rsidRPr="009A3A6F" w:rsidR="00FC25FC" w:rsidP="00FC25FC" w:rsidRDefault="00FC25FC" w14:paraId="32011CC3" w14:textId="79840ED7">
            <w:pPr>
              <w:rPr>
                <w:sz w:val="20"/>
                <w:szCs w:val="18"/>
              </w:rPr>
            </w:pPr>
            <w:r w:rsidRPr="009A3A6F">
              <w:rPr>
                <w:sz w:val="20"/>
                <w:szCs w:val="18"/>
              </w:rPr>
              <w:t>Q1-4 2025, Q2 2026,</w:t>
            </w:r>
            <w:r w:rsidRPr="009A3A6F">
              <w:rPr>
                <w:sz w:val="20"/>
                <w:szCs w:val="18"/>
              </w:rPr>
              <w:br/>
            </w:r>
            <w:r w:rsidRPr="009A3A6F">
              <w:rPr>
                <w:sz w:val="20"/>
                <w:szCs w:val="18"/>
              </w:rPr>
              <w:t>Q4 2027</w:t>
            </w:r>
          </w:p>
        </w:tc>
        <w:tc>
          <w:tcPr>
            <w:tcW w:w="1701" w:type="dxa"/>
          </w:tcPr>
          <w:p w:rsidRPr="009A3A6F" w:rsidR="00FC25FC" w:rsidP="00FC25FC" w:rsidRDefault="00FC25FC" w14:paraId="6FB93FBA" w14:textId="5EA555F0">
            <w:pPr>
              <w:rPr>
                <w:sz w:val="20"/>
                <w:szCs w:val="18"/>
              </w:rPr>
            </w:pPr>
            <w:r w:rsidRPr="009A3A6F">
              <w:rPr>
                <w:sz w:val="20"/>
                <w:szCs w:val="18"/>
              </w:rPr>
              <w:t>Online, hybrid or in-person</w:t>
            </w:r>
          </w:p>
        </w:tc>
        <w:tc>
          <w:tcPr>
            <w:tcW w:w="1701" w:type="dxa"/>
          </w:tcPr>
          <w:p w:rsidRPr="009A3A6F" w:rsidR="00FC25FC" w:rsidP="00FC25FC" w:rsidRDefault="00FC25FC" w14:paraId="30CEA913" w14:textId="77777777">
            <w:pPr>
              <w:rPr>
                <w:sz w:val="20"/>
                <w:szCs w:val="18"/>
              </w:rPr>
            </w:pPr>
            <w:r w:rsidRPr="009A3A6F">
              <w:rPr>
                <w:sz w:val="20"/>
                <w:szCs w:val="18"/>
              </w:rPr>
              <w:t>Ipsos and DESNZ identifying opportunities</w:t>
            </w:r>
          </w:p>
          <w:p w:rsidRPr="009A3A6F" w:rsidR="00FC25FC" w:rsidP="00FC25FC" w:rsidRDefault="00FC25FC" w14:paraId="033903F7" w14:textId="09A3E4C5">
            <w:pPr>
              <w:rPr>
                <w:sz w:val="20"/>
                <w:szCs w:val="18"/>
              </w:rPr>
            </w:pPr>
            <w:r w:rsidRPr="009A3A6F">
              <w:rPr>
                <w:sz w:val="20"/>
                <w:szCs w:val="18"/>
              </w:rPr>
              <w:t>Ipsos and DESNZ preparing and sharing materials as needed</w:t>
            </w:r>
          </w:p>
        </w:tc>
      </w:tr>
      <w:tr w:rsidRPr="00E83B32" w:rsidR="003E3623" w:rsidTr="00756290" w14:paraId="14BF35FF" w14:textId="77777777">
        <w:tc>
          <w:tcPr>
            <w:tcW w:w="1701" w:type="dxa"/>
          </w:tcPr>
          <w:p w:rsidRPr="009A3A6F" w:rsidR="00FC25FC" w:rsidP="00FC25FC" w:rsidRDefault="00FC25FC" w14:paraId="385443EC" w14:textId="54574D9E">
            <w:pPr>
              <w:rPr>
                <w:sz w:val="20"/>
                <w:szCs w:val="18"/>
              </w:rPr>
            </w:pPr>
            <w:r w:rsidRPr="009A3A6F">
              <w:rPr>
                <w:sz w:val="20"/>
                <w:szCs w:val="18"/>
              </w:rPr>
              <w:t>Wider green construction stakeholders</w:t>
            </w:r>
          </w:p>
        </w:tc>
        <w:tc>
          <w:tcPr>
            <w:tcW w:w="1701" w:type="dxa"/>
          </w:tcPr>
          <w:p w:rsidRPr="009A3A6F" w:rsidR="00FC25FC" w:rsidP="00FC25FC" w:rsidRDefault="00FC25FC" w14:paraId="13BE83C9" w14:textId="3265F1B6">
            <w:pPr>
              <w:rPr>
                <w:sz w:val="20"/>
                <w:szCs w:val="18"/>
              </w:rPr>
            </w:pPr>
            <w:r w:rsidRPr="009A3A6F">
              <w:rPr>
                <w:sz w:val="20"/>
                <w:szCs w:val="18"/>
              </w:rPr>
              <w:t>Lessons learned on what works in delivering green construction interventions</w:t>
            </w:r>
          </w:p>
        </w:tc>
        <w:tc>
          <w:tcPr>
            <w:tcW w:w="1701" w:type="dxa"/>
          </w:tcPr>
          <w:p w:rsidRPr="009A3A6F" w:rsidR="00FC25FC" w:rsidP="00FC25FC" w:rsidRDefault="00FC25FC" w14:paraId="0ED281B3" w14:textId="0A77D412">
            <w:pPr>
              <w:rPr>
                <w:sz w:val="20"/>
                <w:szCs w:val="18"/>
              </w:rPr>
            </w:pPr>
            <w:r w:rsidRPr="009A3A6F">
              <w:rPr>
                <w:sz w:val="20"/>
                <w:szCs w:val="18"/>
              </w:rPr>
              <w:t>Lack of understanding/familiarity with the evaluation and its scope and objectives</w:t>
            </w:r>
          </w:p>
        </w:tc>
        <w:tc>
          <w:tcPr>
            <w:tcW w:w="1701" w:type="dxa"/>
          </w:tcPr>
          <w:p w:rsidRPr="009A3A6F" w:rsidR="00FC25FC" w:rsidP="00FC25FC" w:rsidRDefault="00FC25FC" w14:paraId="3CC67509" w14:textId="41825DF1">
            <w:pPr>
              <w:rPr>
                <w:sz w:val="20"/>
                <w:szCs w:val="18"/>
              </w:rPr>
            </w:pPr>
            <w:r w:rsidRPr="009A3A6F">
              <w:rPr>
                <w:sz w:val="20"/>
                <w:szCs w:val="18"/>
              </w:rPr>
              <w:t>Concise summaries of technical information</w:t>
            </w:r>
            <w:r w:rsidRPr="009A3A6F">
              <w:rPr>
                <w:sz w:val="20"/>
                <w:szCs w:val="18"/>
              </w:rPr>
              <w:br/>
            </w:r>
            <w:r w:rsidRPr="009A3A6F">
              <w:rPr>
                <w:sz w:val="20"/>
                <w:szCs w:val="18"/>
              </w:rPr>
              <w:br/>
            </w:r>
            <w:r w:rsidRPr="009A3A6F">
              <w:rPr>
                <w:sz w:val="20"/>
                <w:szCs w:val="18"/>
              </w:rPr>
              <w:t>Visual summaries for accessibility/ease of absorption, underpinned by robust/in-depth technical analyses which are contextualised</w:t>
            </w:r>
          </w:p>
        </w:tc>
        <w:tc>
          <w:tcPr>
            <w:tcW w:w="1701" w:type="dxa"/>
          </w:tcPr>
          <w:p w:rsidRPr="009A3A6F" w:rsidR="00FC25FC" w:rsidP="00FC25FC" w:rsidRDefault="00FC25FC" w14:paraId="2484BF46" w14:textId="147AF02A">
            <w:pPr>
              <w:rPr>
                <w:sz w:val="20"/>
                <w:szCs w:val="18"/>
              </w:rPr>
            </w:pPr>
            <w:r w:rsidRPr="009A3A6F">
              <w:rPr>
                <w:sz w:val="20"/>
                <w:szCs w:val="18"/>
              </w:rPr>
              <w:t>External events and conferences (esp. green construction finance community)</w:t>
            </w:r>
            <w:r w:rsidRPr="009A3A6F">
              <w:rPr>
                <w:sz w:val="20"/>
                <w:szCs w:val="18"/>
              </w:rPr>
              <w:br/>
            </w:r>
            <w:r w:rsidRPr="009A3A6F">
              <w:rPr>
                <w:sz w:val="20"/>
                <w:szCs w:val="18"/>
              </w:rPr>
              <w:br/>
            </w:r>
            <w:r w:rsidRPr="009A3A6F">
              <w:rPr>
                <w:sz w:val="20"/>
                <w:szCs w:val="18"/>
              </w:rPr>
              <w:t>Direct engagement of representative groups involved in the evaluation, through findings one-pagers, newsletters, thought pieces</w:t>
            </w:r>
          </w:p>
        </w:tc>
        <w:tc>
          <w:tcPr>
            <w:tcW w:w="1701" w:type="dxa"/>
          </w:tcPr>
          <w:p w:rsidRPr="009A3A6F" w:rsidR="00FC25FC" w:rsidP="00FC25FC" w:rsidRDefault="00FC25FC" w14:paraId="13AAB494" w14:textId="4C86E2CD">
            <w:pPr>
              <w:rPr>
                <w:sz w:val="20"/>
                <w:szCs w:val="18"/>
              </w:rPr>
            </w:pPr>
            <w:r w:rsidRPr="009A3A6F">
              <w:rPr>
                <w:sz w:val="20"/>
                <w:szCs w:val="18"/>
              </w:rPr>
              <w:t>Annually</w:t>
            </w:r>
          </w:p>
        </w:tc>
        <w:tc>
          <w:tcPr>
            <w:tcW w:w="1701" w:type="dxa"/>
          </w:tcPr>
          <w:p w:rsidRPr="009A3A6F" w:rsidR="00FC25FC" w:rsidP="00FC25FC" w:rsidRDefault="00FC25FC" w14:paraId="16DE4492" w14:textId="465476C6">
            <w:pPr>
              <w:rPr>
                <w:sz w:val="20"/>
                <w:szCs w:val="18"/>
              </w:rPr>
            </w:pPr>
            <w:r w:rsidRPr="009A3A6F">
              <w:rPr>
                <w:sz w:val="20"/>
                <w:szCs w:val="18"/>
              </w:rPr>
              <w:t>Q1-4 2025, Q2 2026,</w:t>
            </w:r>
            <w:r w:rsidRPr="009A3A6F">
              <w:rPr>
                <w:sz w:val="20"/>
                <w:szCs w:val="18"/>
              </w:rPr>
              <w:br/>
            </w:r>
            <w:r w:rsidRPr="009A3A6F">
              <w:rPr>
                <w:sz w:val="20"/>
                <w:szCs w:val="18"/>
              </w:rPr>
              <w:t>Q4 2027</w:t>
            </w:r>
          </w:p>
        </w:tc>
        <w:tc>
          <w:tcPr>
            <w:tcW w:w="1701" w:type="dxa"/>
          </w:tcPr>
          <w:p w:rsidRPr="009A3A6F" w:rsidR="00FC25FC" w:rsidP="00FC25FC" w:rsidRDefault="00FC25FC" w14:paraId="67F94E5B" w14:textId="7770A873">
            <w:pPr>
              <w:rPr>
                <w:sz w:val="20"/>
                <w:szCs w:val="18"/>
              </w:rPr>
            </w:pPr>
            <w:r w:rsidRPr="009A3A6F">
              <w:rPr>
                <w:sz w:val="20"/>
                <w:szCs w:val="18"/>
              </w:rPr>
              <w:t>Online, hybrid or in-person</w:t>
            </w:r>
          </w:p>
        </w:tc>
        <w:tc>
          <w:tcPr>
            <w:tcW w:w="1701" w:type="dxa"/>
          </w:tcPr>
          <w:p w:rsidRPr="009A3A6F" w:rsidR="00FC25FC" w:rsidP="00FC25FC" w:rsidRDefault="00FC25FC" w14:paraId="623FF789" w14:textId="00ED36F7">
            <w:pPr>
              <w:rPr>
                <w:sz w:val="20"/>
                <w:szCs w:val="18"/>
              </w:rPr>
            </w:pPr>
            <w:r w:rsidRPr="009A3A6F">
              <w:rPr>
                <w:sz w:val="20"/>
                <w:szCs w:val="18"/>
              </w:rPr>
              <w:t>Ipsos scoping type of stakeholders to share learnings with and opportunities of existing conferences and platforms</w:t>
            </w:r>
          </w:p>
          <w:p w:rsidRPr="009A3A6F" w:rsidR="00FC25FC" w:rsidP="00FC25FC" w:rsidRDefault="00FC25FC" w14:paraId="4B0833FC" w14:textId="114F0682">
            <w:pPr>
              <w:rPr>
                <w:sz w:val="20"/>
                <w:szCs w:val="18"/>
              </w:rPr>
            </w:pPr>
            <w:r w:rsidRPr="009A3A6F">
              <w:rPr>
                <w:sz w:val="20"/>
                <w:szCs w:val="18"/>
              </w:rPr>
              <w:t>Ipsos and DESNZ preparing and sharing materials as needed</w:t>
            </w:r>
          </w:p>
        </w:tc>
      </w:tr>
    </w:tbl>
    <w:p w:rsidR="00D64385" w:rsidP="00551529" w:rsidRDefault="00D64385" w14:paraId="2625A6B4" w14:textId="77777777">
      <w:pPr>
        <w:sectPr w:rsidR="00D64385" w:rsidSect="00D64385">
          <w:pgSz w:w="16838" w:h="11906" w:orient="landscape"/>
          <w:pgMar w:top="907" w:right="1418" w:bottom="907" w:left="907" w:header="709" w:footer="266" w:gutter="0"/>
          <w:cols w:space="708"/>
          <w:docGrid w:linePitch="360"/>
        </w:sectPr>
      </w:pPr>
      <w:bookmarkStart w:name="_Toc161668482" w:id="208"/>
      <w:bookmarkStart w:name="_Toc166000994" w:id="209"/>
      <w:bookmarkStart w:name="_Toc161668484" w:id="210"/>
      <w:bookmarkStart w:name="_Toc166000999" w:id="211"/>
    </w:p>
    <w:p w:rsidR="004A3DCA" w:rsidP="004A3DCA" w:rsidRDefault="004A3DCA" w14:paraId="1863823E" w14:textId="1FC7B1C9">
      <w:pPr>
        <w:pStyle w:val="Heading1"/>
      </w:pPr>
      <w:bookmarkStart w:name="_Toc207790236" w:id="212"/>
      <w:bookmarkEnd w:id="208"/>
      <w:bookmarkEnd w:id="209"/>
      <w:r>
        <w:t>Annex 1</w:t>
      </w:r>
      <w:r w:rsidR="00523729">
        <w:t>0</w:t>
      </w:r>
      <w:r>
        <w:t>: Terms of Reference</w:t>
      </w:r>
      <w:bookmarkEnd w:id="210"/>
      <w:bookmarkEnd w:id="211"/>
      <w:bookmarkEnd w:id="212"/>
    </w:p>
    <w:p w:rsidRPr="00E82430" w:rsidR="004A3DCA" w:rsidP="004A3DCA" w:rsidRDefault="004A3DCA" w14:paraId="3C88554C" w14:textId="77777777">
      <w:r w:rsidRPr="00C451D4">
        <w:t>Section 2</w:t>
      </w:r>
      <w:r w:rsidRPr="00756290">
        <w:rPr>
          <w:rStyle w:val="Heading2Char"/>
        </w:rPr>
        <w:t xml:space="preserve"> </w:t>
      </w:r>
      <w:r w:rsidRPr="00756290">
        <w:rPr>
          <w:rStyle w:val="Heading2Char"/>
        </w:rPr>
        <w:br/>
      </w:r>
      <w:r w:rsidRPr="00E82430">
        <w:t xml:space="preserve">Specification of Requirements </w:t>
      </w:r>
      <w:r w:rsidRPr="00E82430">
        <w:br/>
      </w:r>
      <w:r w:rsidRPr="00E82430">
        <w:t xml:space="preserve">Invitation to tender for: Market Accelerator for Green Construction (MAGC) – Learning and Evaluation Partner (L&amp;E) </w:t>
      </w:r>
      <w:r w:rsidRPr="00E82430">
        <w:br/>
      </w:r>
      <w:r w:rsidRPr="00E82430">
        <w:t xml:space="preserve">Tender reference number: GB-GOV-13-ICF-0032-MAGC </w:t>
      </w:r>
      <w:r w:rsidRPr="00E82430">
        <w:br/>
      </w:r>
      <w:r w:rsidRPr="00E82430">
        <w:t>Deadline for tender responses: 26th January 2022, 13:00 GMT</w:t>
      </w:r>
    </w:p>
    <w:p w:rsidRPr="00E82430" w:rsidR="004A3DCA" w:rsidP="004A3DCA" w:rsidRDefault="004A3DCA" w14:paraId="553D171B" w14:textId="77777777">
      <w:r w:rsidRPr="00E82430">
        <w:t xml:space="preserve">Glossary </w:t>
      </w:r>
    </w:p>
    <w:p w:rsidR="00756290" w:rsidP="00756290" w:rsidRDefault="004A3DCA" w14:paraId="0A41D6BA" w14:textId="77777777">
      <w:r w:rsidRPr="00E82430">
        <w:t xml:space="preserve">Throughout this document we will refer to several acronyms, including but not limited to: </w:t>
      </w:r>
      <w:r w:rsidRPr="00E82430">
        <w:br/>
      </w:r>
      <w:r w:rsidRPr="00E82430">
        <w:t xml:space="preserve">BEIS   Department for Business, Energy, and Industrial Strategy, otherwise referred to as “the Authority” Defra Department for Environment, Food and Rural Affairs </w:t>
      </w:r>
      <w:r w:rsidRPr="00E82430">
        <w:br/>
      </w:r>
      <w:r w:rsidRPr="00E82430">
        <w:t xml:space="preserve"> </w:t>
      </w:r>
      <w:r w:rsidRPr="00E82430">
        <w:br/>
      </w:r>
      <w:r w:rsidRPr="00E82430">
        <w:t xml:space="preserve">DFIs Development Finance Institutions </w:t>
      </w:r>
      <w:r w:rsidRPr="00E82430">
        <w:br/>
      </w:r>
      <w:r w:rsidRPr="00E82430">
        <w:t xml:space="preserve">DP Delivery Partner </w:t>
      </w:r>
      <w:r w:rsidRPr="00E82430">
        <w:br/>
      </w:r>
      <w:r w:rsidRPr="00E82430">
        <w:t xml:space="preserve">EDGE Excellence in Design for Greater Efficiencies </w:t>
      </w:r>
      <w:r w:rsidRPr="00E82430">
        <w:br/>
      </w:r>
      <w:r w:rsidRPr="00E82430">
        <w:t xml:space="preserve">EQUALS Evaluation Quality Assurance and Learning Stakeholders </w:t>
      </w:r>
      <w:r w:rsidRPr="00E82430">
        <w:br/>
      </w:r>
      <w:r w:rsidRPr="00E82430">
        <w:t xml:space="preserve">FCDO Foreign, Commonwealth &amp; Development Office </w:t>
      </w:r>
      <w:r w:rsidRPr="00E82430">
        <w:br/>
      </w:r>
      <w:r w:rsidRPr="00E82430">
        <w:t xml:space="preserve">FI Financial Intermediaries </w:t>
      </w:r>
      <w:r w:rsidRPr="00E82430">
        <w:br/>
      </w:r>
      <w:r w:rsidRPr="00E82430">
        <w:t xml:space="preserve">GDPR General Data Protection Regulation </w:t>
      </w:r>
      <w:r w:rsidRPr="00E82430">
        <w:br/>
      </w:r>
      <w:r w:rsidR="00A5555A">
        <w:t>GESI</w:t>
      </w:r>
      <w:r w:rsidRPr="00E82430">
        <w:t xml:space="preserve"> Gender Equality and Social Inclusion </w:t>
      </w:r>
      <w:r w:rsidRPr="00E82430">
        <w:br/>
      </w:r>
      <w:r w:rsidRPr="00E82430">
        <w:t xml:space="preserve">HMG His Majesties Government  </w:t>
      </w:r>
      <w:r w:rsidRPr="00E82430">
        <w:br/>
      </w:r>
      <w:r w:rsidRPr="00E82430">
        <w:t xml:space="preserve"> ICF International Climate Finance </w:t>
      </w:r>
      <w:r w:rsidRPr="00E82430">
        <w:br/>
      </w:r>
      <w:r w:rsidRPr="00E82430">
        <w:t xml:space="preserve">IFC International Finance Corporation </w:t>
      </w:r>
      <w:r w:rsidRPr="00E82430">
        <w:br/>
      </w:r>
      <w:r w:rsidRPr="00E82430">
        <w:t xml:space="preserve">ITT Invitation to Tender </w:t>
      </w:r>
      <w:r w:rsidRPr="00E82430">
        <w:br/>
      </w:r>
      <w:r w:rsidRPr="00E82430">
        <w:t xml:space="preserve">KPI Key Performance Indicators </w:t>
      </w:r>
      <w:r w:rsidRPr="00E82430">
        <w:br/>
      </w:r>
      <w:r w:rsidRPr="00E82430">
        <w:t xml:space="preserve">MAGC Market Accelerator for Green Construction </w:t>
      </w:r>
      <w:r w:rsidRPr="00E82430">
        <w:br/>
      </w:r>
      <w:r w:rsidRPr="00E82430">
        <w:t xml:space="preserve">MDBs Multilateral Development Banks   </w:t>
      </w:r>
      <w:r w:rsidRPr="00E82430">
        <w:br/>
      </w:r>
      <w:r w:rsidRPr="00E82430">
        <w:t xml:space="preserve">L&amp;E Learning &amp; Evaluation </w:t>
      </w:r>
      <w:r w:rsidRPr="00E82430">
        <w:br/>
      </w:r>
      <w:r w:rsidRPr="00E82430">
        <w:t xml:space="preserve">MIC Middle-income Countries </w:t>
      </w:r>
      <w:r w:rsidRPr="00E82430">
        <w:br/>
      </w:r>
      <w:r w:rsidRPr="00E82430">
        <w:t xml:space="preserve">ODA Official Development Assistance  </w:t>
      </w:r>
      <w:r w:rsidRPr="00E82430">
        <w:br/>
      </w:r>
      <w:r w:rsidRPr="00E82430">
        <w:t xml:space="preserve"> REP Research and Evidence Programme </w:t>
      </w:r>
      <w:r w:rsidRPr="00E82430">
        <w:br/>
      </w:r>
      <w:r w:rsidRPr="00E82430">
        <w:t xml:space="preserve">SDGs Sustainable Development Goals </w:t>
      </w:r>
      <w:r w:rsidRPr="00E82430">
        <w:br/>
      </w:r>
      <w:r w:rsidRPr="00E82430">
        <w:t xml:space="preserve">UNFCCC United Nations Framework Convention on Climate Change   </w:t>
      </w:r>
      <w:r w:rsidRPr="00E82430">
        <w:br/>
      </w:r>
      <w:r w:rsidRPr="00E82430">
        <w:t> VfM Value for Money</w:t>
      </w:r>
    </w:p>
    <w:p w:rsidRPr="00756290" w:rsidR="004A3DCA" w:rsidP="00756290" w:rsidRDefault="004A3DCA" w14:paraId="2224D2E2" w14:textId="76D2A647">
      <w:r w:rsidRPr="00756290">
        <w:t>2.</w:t>
      </w:r>
      <w:r w:rsidRPr="00E82430">
        <w:t xml:space="preserve"> </w:t>
      </w:r>
      <w:r w:rsidRPr="00756290">
        <w:t xml:space="preserve">Programme Context and Background </w:t>
      </w:r>
    </w:p>
    <w:p w:rsidRPr="00E82430" w:rsidR="004A3DCA" w:rsidP="00756290" w:rsidRDefault="004A3DCA" w14:paraId="79BAF7F9" w14:textId="77777777">
      <w:r w:rsidRPr="00E82430">
        <w:t xml:space="preserve">2.1. The International Context </w:t>
      </w:r>
    </w:p>
    <w:p w:rsidRPr="00E82430" w:rsidR="004A3DCA" w:rsidP="004A3DCA" w:rsidRDefault="004A3DCA" w14:paraId="14C7FD6D" w14:textId="67B77C55">
      <w:r w:rsidRPr="00E82430">
        <w:t xml:space="preserve">International Climate Finance (ICF) is part of the UK’s Official Development Assistance (ODA) and is delivered by BEIS, FCDO, and Defra. BEIS’s component of the ICF focuses on </w:t>
      </w:r>
      <w:r w:rsidRPr="00E82430">
        <w:t xml:space="preserve">largescale climate mitigation programmes in countries where climate mitigation potential is greatest -typically middle-income countries (MICs) with high or rapidly growing emissions and/or forest countries that play a critical role as major carbon sinks. This draws on BEIS’s ownership of and expertise in domestic decarbonisation, clean growth, innovation and green finance and remit as the lead Department on climate change mitigation and the UNFCCC negotiations. </w:t>
      </w:r>
    </w:p>
    <w:p w:rsidRPr="00E82430" w:rsidR="004A3DCA" w:rsidP="00756290" w:rsidRDefault="004A3DCA" w14:paraId="5751FCB6" w14:textId="77777777">
      <w:r w:rsidRPr="00E82430">
        <w:t xml:space="preserve">2.2. The Market Accelerator for Green Construction (MAGC) Programme </w:t>
      </w:r>
    </w:p>
    <w:p w:rsidRPr="00E82430" w:rsidR="004A3DCA" w:rsidP="004A3DCA" w:rsidRDefault="004A3DCA" w14:paraId="7F58C235" w14:textId="3CF8F75B">
      <w:r w:rsidRPr="00E82430">
        <w:t>The Market Accelerator for Green Construction (MAGC) is a £102.9 million BEIS funded programme delivered by the International Finance Corporation (IFC), the private sector facing arm of the World Bank. The purpose of MAGC is to boost the uptake of greener construction practices and technologies in developing countries, focusing on new build. Growing the market for green construction will help tackle climate change by locking in low emissions through efficient design</w:t>
      </w:r>
      <w:r w:rsidRPr="00E82430" w:rsidR="00756290">
        <w:t>, whilst</w:t>
      </w:r>
      <w:r w:rsidRPr="00E82430">
        <w:t xml:space="preserve"> also realising the co-benefits of economic wellbeing for owners and occupants through lower utility bills, promoting energy and water security through resource efficiency. Therefore, improving quality of life and enabling green growth. The programme consists of both technical assistance and concessional finance through an adaptive multi-pronged approach. The focus is on countries where the case for green construction is strongest as indicated by high energy costs, high carbon intensity of energy and strong urban growth. The programme started in 2018 and the BEIS implementation and reporting period will run until end-2026. For the investment component, MAGC has a 7-year investment period completing by November 2025 and IFC has until 2045, if not earlier, to provide potential final repayments to BEIS. For the technical advisory components, IFC will carry out activities until 2032 and may continue to utilise the MAGC funding provided between 2018 – 2026 if available. Both IFC and BEIS reporting will end in 2026/27, except for additional agreed reports from the research component. During programme conception the original size of the programme was planned as £105 million, with £80 million for the investment component and £25 million for the technical advisory components. This was reduced following a decision to reduce the scope of the MAGC Research pillar from £7 million to £4.5 million (more detail included in MAGC Programme Activities section). </w:t>
      </w:r>
    </w:p>
    <w:p w:rsidRPr="00E82430" w:rsidR="004A3DCA" w:rsidP="00756290" w:rsidRDefault="004A3DCA" w14:paraId="0B1F6145" w14:textId="77777777">
      <w:r w:rsidRPr="00E82430">
        <w:t xml:space="preserve">2.3. MAGC Countries MAGC currently operates in the following countries: </w:t>
      </w:r>
    </w:p>
    <w:p w:rsidRPr="00E82430" w:rsidR="004A3DCA" w:rsidP="00756290" w:rsidRDefault="004A3DCA" w14:paraId="4DE34AD7" w14:textId="4024ED64">
      <w:r w:rsidRPr="00E82430">
        <w:t xml:space="preserve">• Latin America &amp; Caribbean: Argentina, Brazil, Colombia, Costa Rica, Mexico, Peru </w:t>
      </w:r>
      <w:r w:rsidRPr="00E82430">
        <w:br/>
      </w:r>
      <w:r w:rsidRPr="00E82430">
        <w:t xml:space="preserve">• </w:t>
      </w:r>
      <w:r w:rsidRPr="0091019F">
        <w:t>Sub</w:t>
      </w:r>
      <w:r w:rsidRPr="00E82430">
        <w:t xml:space="preserve">-Saharan Africa: Cote d’Ivoire, Ghana, Kenya, Nigeria, Senegal, South Africa, Tanzania </w:t>
      </w:r>
      <w:r w:rsidRPr="00E82430">
        <w:br/>
      </w:r>
      <w:r w:rsidRPr="00E82430">
        <w:t xml:space="preserve">• Middle East and North Africa: Egypt, Morocco </w:t>
      </w:r>
      <w:r w:rsidRPr="00E82430">
        <w:br/>
      </w:r>
      <w:r w:rsidRPr="00E82430">
        <w:t xml:space="preserve">• South Asia: Bangladesh, India, Pakistan </w:t>
      </w:r>
      <w:r w:rsidRPr="00E82430">
        <w:br/>
      </w:r>
      <w:r w:rsidRPr="00E82430">
        <w:t>• East Asia: China (Advisory Services only), Indonesia, Mongolia, Myanmar, Philippines, Vietnam</w:t>
      </w:r>
    </w:p>
    <w:p w:rsidRPr="00E82430" w:rsidR="004A3DCA" w:rsidP="004A3DCA" w:rsidRDefault="004A3DCA" w14:paraId="23BAEB7B" w14:textId="02A264B8">
      <w:r w:rsidRPr="00E82430">
        <w:t xml:space="preserve">It previously operated in Panama, but this country has since graduated from ODA and ICF eligibility. Senegal and Tanzania were introduced into MAGC eligibility in 2021 and 2022 respectively. Annex F provides a summary of delivery so far in MAGC countries. To prioritise countries for the programme, IFC surveyed emerging and developing economies according to </w:t>
      </w:r>
      <w:r w:rsidRPr="00E82430">
        <w:t>current green building market, urban growth, energy costs and carbon intensity of energy. Although MAGC is currently eligible for intervention in the above listed countries, intervention in a country is not guaranteed. In total, we expect MAGC the investment component to work in about 7 countries making 19 investments total; the capacity building and EDGE advisory work in about 14 countries or regions; and the research component in about 12 countries or regions. IFC, as sole decision maker, selects intervention based on potential impact, viability, and readiness in each of these countries. There is potential for the programme’s geography to be updated during the programme lifetime, if mutually agreed by BEIS and IFC. At present the majority of MAGC activities has been happening in Colombia, Mexico, Peru, South Africa, Kenya, Ghana, Indonesia, Vietnam, India, and Philippines.</w:t>
      </w:r>
    </w:p>
    <w:p w:rsidRPr="00E82430" w:rsidR="004A3DCA" w:rsidP="00756290" w:rsidRDefault="004A3DCA" w14:paraId="54E88B33" w14:textId="77777777">
      <w:r w:rsidRPr="00E82430">
        <w:t xml:space="preserve">2.4. Main Programme Activities </w:t>
      </w:r>
    </w:p>
    <w:p w:rsidRPr="00E82430" w:rsidR="004A3DCA" w:rsidP="00756290" w:rsidRDefault="004A3DCA" w14:paraId="7831023C" w14:textId="6C469F45">
      <w:r w:rsidRPr="00E82430">
        <w:t xml:space="preserve">The programme has four components, adjusted, and refined according to the need in a country: </w:t>
      </w:r>
      <w:r w:rsidRPr="00E82430">
        <w:br/>
      </w:r>
      <w:r w:rsidRPr="00E82430">
        <w:t xml:space="preserve">• Investment - Blended finance and Advisory Services (Technical Assistance) to Financial Intermediaries (FIs). Implementation until November 2025. </w:t>
      </w:r>
      <w:r w:rsidRPr="00E82430">
        <w:br/>
      </w:r>
      <w:r w:rsidRPr="00E82430">
        <w:t xml:space="preserve">• Capacity Building: Country-level capacity building to strengthen the enabling environment. Implementation until 2033, monitoring until November 2025. </w:t>
      </w:r>
      <w:r w:rsidRPr="00E82430">
        <w:br/>
      </w:r>
      <w:r w:rsidRPr="00E82430">
        <w:t xml:space="preserve">• Green Building Certification: IFC’s Excellence in Design for Greater Efficiencies (EDGE) certification platform maintenance, operation, and improvements. Implementation until 2033, monitoring until November 2025. </w:t>
      </w:r>
      <w:r w:rsidRPr="00E82430">
        <w:br/>
      </w:r>
      <w:r w:rsidRPr="00E82430">
        <w:t xml:space="preserve">• Research: Green building performance research and dissemination. Implementation until 2033, monitoring until November 2025. </w:t>
      </w:r>
    </w:p>
    <w:p w:rsidRPr="00E82430" w:rsidR="004A3DCA" w:rsidP="004A3DCA" w:rsidRDefault="004A3DCA" w14:paraId="0B2FA86B" w14:textId="6D47FF93">
      <w:r w:rsidRPr="00E82430">
        <w:t xml:space="preserve">The programme aims to utilise a range of financial instruments designed to maximise impact and minimise subsidy in support of proving the commercial case for the growth of the supply and demand for green buildings. Eligible financial instruments for blended concessional finance investments include performance incentives (PBIs), interest rate buydowns (IRBD), senior loans, subordinated/mezzanine loans/equity and quasi-equity, and risk sharing structures, including guarantees. The technical assistance needs of all recipients of finance are assessed to ensure programme requirements are met and funds are deployed efficiently. The programme aims to utilise a range of financial instruments designed to maximise the impact whilst minimising subsidy in support of proving the commercial case, including Interest Rate Buy-down, Senior loans, Subordinated/mezzanine loans/quasi-Equity, Risk Sharing Structures. The technical assistance needs of all recipients of finance are assessed to ensure programme requirements are met and funds are deployed efficiently. Further technical assistance is provided to a range of actors (for example policy makers, developers, architects, and certification professionals) to develop the enabling environment in the market through policy development, awareness raising and strengthening the pipeline of green building projects. The intervention places an emphasis on the use of green construction standards, including - but not exclusively - the EDGE standard, as a way of improving building energy efficiency compared to conventional approaches. In recognition of the challenges to achieving energy efficient operation of buildings, a significant research component aims to develop a robust evidence </w:t>
      </w:r>
      <w:r w:rsidRPr="00E82430">
        <w:t>base that can be used to further enhance green building standards and motivate the uptake of green construction over conventional approaches.</w:t>
      </w:r>
    </w:p>
    <w:p w:rsidRPr="00E82430" w:rsidR="00756290" w:rsidP="00756290" w:rsidRDefault="00756290" w14:paraId="6950CA49" w14:textId="77777777">
      <w:r w:rsidRPr="00E82430">
        <w:t xml:space="preserve">2.5. MAGC Objectives </w:t>
      </w:r>
    </w:p>
    <w:p w:rsidRPr="00E82430" w:rsidR="00756290" w:rsidP="00756290" w:rsidRDefault="00756290" w14:paraId="5B6D35A6" w14:textId="77777777">
      <w:r w:rsidRPr="00E82430">
        <w:t xml:space="preserve">The ambition driving this intervention is to reduce the greenhouse gas emissions from the building sector by increasing the proportion of energy efficient buildings being constructed, utilising green building practices and technologies. The intervention aims to contribute to the significant year-on-year growth in green buildings required to get the sector on track to achieve its role in the Paris Agreement. To reach this point, the expected outputs of the programme include: • Green buildings demonstrating financial and environmental performance. • Competitive green building finance available. • Green building policy and voluntary standards capacity in place. • Developers, FIs, MDBs, &amp; DFIs1 understand and value certified green buildings. The Theory of Change for the programme MAGC can be found in Annex G. </w:t>
      </w:r>
    </w:p>
    <w:p w:rsidRPr="00E82430" w:rsidR="00756290" w:rsidP="00756290" w:rsidRDefault="00756290" w14:paraId="5DD52087" w14:textId="77777777">
      <w:r w:rsidRPr="00E82430">
        <w:t xml:space="preserve">2.6. BEIS-MAGC Delivery Partner Governance </w:t>
      </w:r>
    </w:p>
    <w:p w:rsidRPr="00E82430" w:rsidR="00756290" w:rsidP="00756290" w:rsidRDefault="00756290" w14:paraId="544DBD6C" w14:textId="77777777">
      <w:r w:rsidRPr="00E82430">
        <w:t xml:space="preserve">Governance for delivery of the MAGC programme is mandated through an Investment and an Advisory Administrative Arrangement between the Delivery Partner - IFC - and BEIS. IFC have sole responsibility in all decision making, regarding the design and implementation of the Advisory Program and the Blended Finance Program in line with the Arrangements, and report progress to BEIS via a pre-agreed reporting schedule, including: a working group meeting every six weeks; quarterly programme meetings; two confidential semi-annual financial/operational reports; and an annual progress report (with log frame, results frameworks, and disaggregated data also provided) for public disclosure. Four departments lead the separate components of MAGC in IFC: the Financial Institutions Group (FIG), the Blended Finance Department, the Central Business Department, and the Economic and Development Impact Department. There is an established working-level group for MAGC’s delivery governance including the BEIS programme lead and an officer from each of the four IFC departments, as well as an IFC implementing officer and IFC analyst across the MAGC programme. In addition, IFC has appointed a MAGC Senior Manager who has leading responsibility for the programme across the four departments. The day-to-day delivery of the MAGC programme is managed by the IFC, with oversight from a programme lead in BEIS. BEIS also remains sighted and engaged on ad-hoc decisions relating to the programme, offering advice where appropriate and seeking to deepen our understanding of associated impact, benefits, and risks. The IFC Blended Finance Department have responsibility for representing the UK interests as contributors within IFC’s decision making processes, independent of the MAGC programme delivery team, and for ensuring appropriate use of concessional finance. More information on the IFC Blended Finance Department is provided in Annex H. During the approval of the Business Case and Administration Arrangements between BEIS and IFC, the following was agreed in relation to the external evaluation: </w:t>
      </w:r>
      <w:r w:rsidRPr="00E82430">
        <w:br/>
      </w:r>
      <w:r w:rsidRPr="00E82430">
        <w:t xml:space="preserve">• BEIS shall determine the scope and conduct of such review or evaluation, which IFC shall be invited to input and comment upon. IFC shall provide all relevant information within the limits of IFC's applicable policies and procedures. </w:t>
      </w:r>
      <w:r w:rsidRPr="00E82430">
        <w:br/>
      </w:r>
      <w:r w:rsidRPr="00E82430">
        <w:t xml:space="preserve">• IFC acknowledges that the evaluation and Component 4 on research, learning and </w:t>
      </w:r>
      <w:r w:rsidRPr="00E82430">
        <w:t xml:space="preserve">dissemination component are essential to this program, and IFC will ensure to the best of its efforts that all relevant data and information necessary to deliver these will be made available. In addition, where more granular data sets may be necessary for specific research projects or evaluation to be obtained from participating FIs, IFC will seek to negotiate separate information sharing agreements with the participating FI governing the sharing of such data sets </w:t>
      </w:r>
    </w:p>
    <w:p w:rsidRPr="00E82430" w:rsidR="00756290" w:rsidP="00756290" w:rsidRDefault="00756290" w14:paraId="5BDC1333" w14:textId="77777777">
      <w:r w:rsidRPr="00E82430">
        <w:t xml:space="preserve">2.7. Further information and useful links </w:t>
      </w:r>
    </w:p>
    <w:p w:rsidRPr="00E82430" w:rsidR="00756290" w:rsidP="00756290" w:rsidRDefault="00756290" w14:paraId="24D97315" w14:textId="77777777">
      <w:r w:rsidRPr="00E82430">
        <w:t>Further information on MAGC can be found on the IFC website at https://www.ifc.org/wps/wcm/connect/topics_ext_content/ifc_external_corporate_site/bf/focus -areas/bf-climate/</w:t>
      </w:r>
      <w:proofErr w:type="spellStart"/>
      <w:r w:rsidRPr="00E82430">
        <w:t>magc</w:t>
      </w:r>
      <w:proofErr w:type="spellEnd"/>
      <w:r w:rsidRPr="00E82430">
        <w:t xml:space="preserve"> </w:t>
      </w:r>
    </w:p>
    <w:p w:rsidRPr="00E82430" w:rsidR="00756290" w:rsidP="00756290" w:rsidRDefault="00756290" w14:paraId="4520A127" w14:textId="77777777">
      <w:r w:rsidRPr="00E82430">
        <w:t xml:space="preserve">The Gov.uk Development Tracker website contains the MAGC business case, log frame and annual reviews and can be found at </w:t>
      </w:r>
      <w:hyperlink w:history="1" r:id="rId46">
        <w:r w:rsidRPr="00E82430">
          <w:rPr>
            <w:rStyle w:val="Hyperlink"/>
          </w:rPr>
          <w:t>https://devtracker.fcdo.gov.uk/projects/GB-GOV-13-ICF0032-MAGC/summary</w:t>
        </w:r>
      </w:hyperlink>
      <w:r w:rsidRPr="00E82430">
        <w:t xml:space="preserve">. </w:t>
      </w:r>
    </w:p>
    <w:p w:rsidRPr="00E82430" w:rsidR="00756290" w:rsidP="00756290" w:rsidRDefault="00756290" w14:paraId="0FD33BAC" w14:textId="77777777">
      <w:r w:rsidRPr="00E82430">
        <w:t xml:space="preserve">EDGE certification portal- </w:t>
      </w:r>
      <w:hyperlink w:history="1" r:id="rId47">
        <w:r w:rsidRPr="00E82430">
          <w:rPr>
            <w:rStyle w:val="Hyperlink"/>
          </w:rPr>
          <w:t>https://edgebuildings.com/</w:t>
        </w:r>
      </w:hyperlink>
      <w:r w:rsidRPr="00E82430">
        <w:t xml:space="preserve"> </w:t>
      </w:r>
    </w:p>
    <w:p w:rsidRPr="00E82430" w:rsidR="00756290" w:rsidP="00756290" w:rsidRDefault="00756290" w14:paraId="35A4FB8B" w14:textId="77777777">
      <w:r w:rsidRPr="00E82430">
        <w:t xml:space="preserve">Other useful information that may be relevant for developing bids includes: </w:t>
      </w:r>
      <w:r w:rsidRPr="00E82430">
        <w:br/>
      </w:r>
      <w:r w:rsidRPr="00E82430">
        <w:t xml:space="preserve">• The Green Book: appraisal and evaluation in central government. https://www.gov.uk/government/publications/the-green-book-appraisal-andevaluation-in-central-governent </w:t>
      </w:r>
      <w:r w:rsidRPr="00E82430">
        <w:br/>
      </w:r>
      <w:r w:rsidRPr="00E82430">
        <w:t xml:space="preserve">• UK Statistics Authority Code of Practice/ or an equivalent standard. http://www.statisticsauthority.gov.uk/assessment/code-of-practice/ </w:t>
      </w:r>
      <w:r w:rsidRPr="00E82430">
        <w:br/>
      </w:r>
      <w:r w:rsidRPr="00E82430">
        <w:t xml:space="preserve">• The Magenta Book, Government guidance on policy evaluation and analysis. </w:t>
      </w:r>
      <w:hyperlink w:history="1" r:id="rId48">
        <w:r w:rsidRPr="00E82430">
          <w:rPr>
            <w:rStyle w:val="Hyperlink"/>
          </w:rPr>
          <w:t>https://www.gov.uk/government/publications/the-magenta-book</w:t>
        </w:r>
      </w:hyperlink>
      <w:r w:rsidRPr="00E82430">
        <w:t>.</w:t>
      </w:r>
    </w:p>
    <w:p w:rsidRPr="00E82430" w:rsidR="00756290" w:rsidP="00756290" w:rsidRDefault="00756290" w14:paraId="3DCDB9F0" w14:textId="77777777">
      <w:r w:rsidRPr="00E82430">
        <w:t xml:space="preserve">3. MAGC Learning and Evaluation Aims and Objectives </w:t>
      </w:r>
    </w:p>
    <w:p w:rsidRPr="00E82430" w:rsidR="00756290" w:rsidP="00756290" w:rsidRDefault="00756290" w14:paraId="186303DB" w14:textId="77777777">
      <w:r w:rsidRPr="00E82430">
        <w:t xml:space="preserve">3.1. Aims and Objectives </w:t>
      </w:r>
    </w:p>
    <w:p w:rsidRPr="00E82430" w:rsidR="00756290" w:rsidP="00756290" w:rsidRDefault="00756290" w14:paraId="2997AFF8" w14:textId="77777777">
      <w:r w:rsidRPr="00E82430">
        <w:t xml:space="preserve">As a substantial investment in a relatively new sector for BEIS, learning and evaluation are key to giving assurance that the MAGC programme is having the intended benefits, whilst maximising the learning and transformation potential and informing future strategic decisions. The evaluation will run from April 2023 – 2027/8 and should consist of a process, outcome/impact, value for money evaluation, within an interim and final evaluation. An element of learning and dissemination will run through the entire evaluation. A short scoping phase after the contract has been awarded will be required, as well as a short closing phase once the evaluation has been completed. A re-scoping phase is also likely to be needed before the start of the final evaluation. This structure is to enable on-the-go learning of the programme during implementation as well as a detailed assessment of the programme once closed. We are seeking to procure a partner to lead the evaluation and learning/dissemination activities for the full scope of the scoping and evaluation activity. It is expected that the MAGC evaluation will run in line with the MAGC reporting lifecycle, ending in 2026 and not the implementation lifecycle ending in 2032. Please see Table 5 below for a timeline diagram for MAGC’s lifecycle </w:t>
      </w:r>
      <w:r w:rsidRPr="00E82430">
        <w:t xml:space="preserve">and the evaluation. Please also see Table 7 for a full indicative timeline for the evaluation proposal. </w:t>
      </w:r>
    </w:p>
    <w:p w:rsidRPr="00E82430" w:rsidR="004A3DCA" w:rsidP="00756290" w:rsidRDefault="004A3DCA" w14:paraId="784F55B2" w14:textId="77777777">
      <w:r w:rsidRPr="00E82430">
        <w:t>Table 5: Timeline diagram for MAGC’s lifecycle and the evaluation</w:t>
      </w:r>
    </w:p>
    <w:p w:rsidRPr="00E82430" w:rsidR="004A3DCA" w:rsidP="004A3DCA" w:rsidRDefault="004A3DCA" w14:paraId="169786E7" w14:textId="4D1C848B">
      <w:r w:rsidRPr="00FC25FC">
        <w:rPr>
          <w:noProof/>
        </w:rPr>
        <w:drawing>
          <wp:inline distT="0" distB="0" distL="0" distR="0" wp14:anchorId="103330B8" wp14:editId="23B00A2F">
            <wp:extent cx="6480175" cy="3861435"/>
            <wp:effectExtent l="0" t="0" r="0" b="5715"/>
            <wp:docPr id="783143324" name="Picture 1" descr="Table showing the timelines for MAGC's lifecycle and evaluation. MAGC programme delivery and reporting spans from 2018 - 2027 (with delivery for components 2, 3, and 4 until 2032. MAGC funding spans from 2018 - 2025. MAGC's evaluation spans from 2023 - 2028, with an interval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3324" name="Picture 1" descr="Table showing the timelines for MAGC's lifecycle and evaluation. MAGC programme delivery and reporting spans from 2018 - 2027 (with delivery for components 2, 3, and 4 until 2032. MAGC funding spans from 2018 - 2025. MAGC's evaluation spans from 2023 - 2028, with an interval in 2025."/>
                    <pic:cNvPicPr/>
                  </pic:nvPicPr>
                  <pic:blipFill>
                    <a:blip r:embed="rId49">
                      <a:extLst>
                        <a:ext uri="{28A0092B-C50C-407E-A947-70E740481C1C}">
                          <a14:useLocalDpi xmlns:a14="http://schemas.microsoft.com/office/drawing/2010/main" val="0"/>
                        </a:ext>
                      </a:extLst>
                    </a:blip>
                    <a:stretch>
                      <a:fillRect/>
                    </a:stretch>
                  </pic:blipFill>
                  <pic:spPr>
                    <a:xfrm>
                      <a:off x="0" y="0"/>
                      <a:ext cx="6480175" cy="3861435"/>
                    </a:xfrm>
                    <a:prstGeom prst="rect">
                      <a:avLst/>
                    </a:prstGeom>
                  </pic:spPr>
                </pic:pic>
              </a:graphicData>
            </a:graphic>
          </wp:inline>
        </w:drawing>
      </w:r>
    </w:p>
    <w:p w:rsidRPr="00E82430" w:rsidR="004A3DCA" w:rsidP="00756290" w:rsidRDefault="004A3DCA" w14:paraId="4E1EFB7F" w14:textId="77777777">
      <w:r w:rsidRPr="00E82430">
        <w:t xml:space="preserve">3.2. Phase 1 – Interim Evaluation </w:t>
      </w:r>
    </w:p>
    <w:p w:rsidRPr="00E82430" w:rsidR="004A3DCA" w:rsidP="004A3DCA" w:rsidRDefault="004A3DCA" w14:paraId="15A31E17" w14:textId="77777777">
      <w:r w:rsidRPr="00E82430">
        <w:t xml:space="preserve">Aims: To understand if the governance and the design of the programme are working effectively, and to evaluate early outcomes of the programme implementation. The interim evaluation will run in two phases and will be ongoing while MAGC is in the delivery stage of the programme life cycle. During this phase, considerations such as the effect of Covid-19, delay in BEIS committing funds in some parts of the programme, and changes in the original scope of the programme will need to be considered to evaluate the programme delivery. </w:t>
      </w:r>
    </w:p>
    <w:p w:rsidRPr="00E82430" w:rsidR="004A3DCA" w:rsidP="00756290" w:rsidRDefault="004A3DCA" w14:paraId="250DD608" w14:textId="55C217CE">
      <w:r w:rsidRPr="00756290">
        <w:t xml:space="preserve">Phase 1a -Process Evaluation Objectives: </w:t>
      </w:r>
      <w:r w:rsidRPr="00756290">
        <w:br/>
      </w:r>
      <w:r w:rsidRPr="00E82430">
        <w:t xml:space="preserve">• Inform and improve MAGC strategy and governance </w:t>
      </w:r>
      <w:r w:rsidRPr="00E82430">
        <w:br/>
      </w:r>
      <w:r w:rsidRPr="00E82430">
        <w:t xml:space="preserve">• Inform and improve programme design learning for future similar programmes </w:t>
      </w:r>
      <w:r w:rsidRPr="00E82430">
        <w:br/>
      </w:r>
      <w:r w:rsidRPr="00E82430">
        <w:t>• Learn about how Gender Equality and Social Inclusion (</w:t>
      </w:r>
      <w:r w:rsidR="00A5555A">
        <w:t>GESI</w:t>
      </w:r>
      <w:r w:rsidRPr="00E82430">
        <w:t xml:space="preserve"> – definition provided in Annex I) can be designed in future similar programmes </w:t>
      </w:r>
      <w:r w:rsidRPr="00756290">
        <w:t xml:space="preserve">Phase 1b – Early Outcome Evaluation and Value for Money Assessment Objectives: </w:t>
      </w:r>
      <w:r w:rsidRPr="00756290">
        <w:br/>
      </w:r>
      <w:r w:rsidRPr="00E82430">
        <w:t xml:space="preserve">• Improve the ongoing MAGC delivery of results effectively </w:t>
      </w:r>
      <w:r w:rsidRPr="00E82430">
        <w:br/>
      </w:r>
      <w:r w:rsidRPr="00E82430">
        <w:t xml:space="preserve">• Learn for future similar programmes, e.g., green construction, mixed blended finance, and technical advisory </w:t>
      </w:r>
      <w:r w:rsidRPr="00E82430">
        <w:br/>
      </w:r>
      <w:r w:rsidRPr="00E82430">
        <w:t xml:space="preserve">• Assessment of the value-for-money approach </w:t>
      </w:r>
      <w:r w:rsidRPr="00E82430">
        <w:br/>
      </w:r>
      <w:r w:rsidRPr="00E82430">
        <w:t>• Learn about Gender Equality and Social Inclusion (</w:t>
      </w:r>
      <w:r w:rsidR="00A5555A">
        <w:t>GESI</w:t>
      </w:r>
      <w:r w:rsidRPr="00E82430">
        <w:t xml:space="preserve">) in MAGC delivery for future similar programmes </w:t>
      </w:r>
    </w:p>
    <w:p w:rsidRPr="00E82430" w:rsidR="004A3DCA" w:rsidP="004A3DCA" w:rsidRDefault="004A3DCA" w14:paraId="1ED8B3F8" w14:textId="77777777">
      <w:r w:rsidRPr="00E82430">
        <w:t xml:space="preserve">There will be opportunity following the interim evaluation to </w:t>
      </w:r>
      <w:proofErr w:type="gramStart"/>
      <w:r w:rsidRPr="00E82430">
        <w:t>make adjustments</w:t>
      </w:r>
      <w:proofErr w:type="gramEnd"/>
      <w:r w:rsidRPr="00E82430">
        <w:t xml:space="preserve"> and implement lessons learned to the MAGC programme to enhance delivery and outcomes based on the interim findings. Implementation actions will be agreed with the Evaluator, BEIS, and the Delivery Partner when the findings are known. </w:t>
      </w:r>
    </w:p>
    <w:p w:rsidRPr="00E82430" w:rsidR="004A3DCA" w:rsidP="00756290" w:rsidRDefault="004A3DCA" w14:paraId="7A7CFA5F" w14:textId="77777777">
      <w:r w:rsidRPr="00E82430">
        <w:t xml:space="preserve">3.3. Phase 2 – Final Evaluation: Outcome and Impact Evaluation and Value for Money Analysis </w:t>
      </w:r>
    </w:p>
    <w:p w:rsidRPr="00E82430" w:rsidR="004A3DCA" w:rsidP="004A3DCA" w:rsidRDefault="004A3DCA" w14:paraId="279E0114" w14:textId="2AE06797">
      <w:r w:rsidRPr="00756290">
        <w:t>Aims</w:t>
      </w:r>
      <w:r w:rsidRPr="00E82430">
        <w:t>: The final evaluation will systematically assess the MAGC contribution to its outcomes and impacts as set out in the Theory of Change (Annex G), and evaluate to what extent, and through what activities, the programme has or is set to achieve transformational change in the countries it works in. The final evaluation will run when MAGC is in the closing stage of the programme life cycle (2026/27), but it is yet incomplete. This is to facilitate the data transfer from the Delivery Partner.</w:t>
      </w:r>
    </w:p>
    <w:p w:rsidRPr="00E82430" w:rsidR="004A3DCA" w:rsidP="00756290" w:rsidRDefault="004A3DCA" w14:paraId="739C2BC3" w14:textId="262110CF">
      <w:r w:rsidRPr="00756290">
        <w:t xml:space="preserve">Phase 2 - Objectives: </w:t>
      </w:r>
      <w:r w:rsidRPr="00756290">
        <w:br/>
      </w:r>
      <w:r w:rsidRPr="00E82430">
        <w:t xml:space="preserve">• Assessment of MAGC delivery and results across the programme lifetime </w:t>
      </w:r>
      <w:r w:rsidRPr="00E82430">
        <w:br/>
      </w:r>
      <w:r w:rsidRPr="00E82430">
        <w:t xml:space="preserve">• Learn for future similar programmes, e.g., green construction, mixed blended finance, and technical advisory </w:t>
      </w:r>
      <w:r w:rsidRPr="00E82430">
        <w:br/>
      </w:r>
      <w:r w:rsidRPr="00E82430">
        <w:t xml:space="preserve">• Assessment of the value-for-money approach </w:t>
      </w:r>
      <w:r w:rsidRPr="00E82430">
        <w:br/>
      </w:r>
      <w:r w:rsidRPr="00E82430">
        <w:t>• Learn about Gender Equality and Social Inclusion (</w:t>
      </w:r>
      <w:r w:rsidR="00A5555A">
        <w:t>GESI</w:t>
      </w:r>
      <w:r w:rsidRPr="00E82430">
        <w:t xml:space="preserve">) in MAGC for future similar programmes </w:t>
      </w:r>
    </w:p>
    <w:p w:rsidRPr="00E82430" w:rsidR="004A3DCA" w:rsidP="004A3DCA" w:rsidRDefault="004A3DCA" w14:paraId="4947CD54" w14:textId="77777777">
      <w:r w:rsidRPr="00E82430">
        <w:t xml:space="preserve">The evaluation will play a crucial role in shaping wider learning, including through ICF portfolio level evaluations to inform strategic decisions about the future makeup of the portfolio, as well as learning on best practice in Learning and Evaluation in relation to climate finance programmes. There may also be wider opportunities to improve the design and implementation of other ODA programmes. Please see Table 7 for a full indicative delivery timeline for the evaluation and learning activity covered by this contract. </w:t>
      </w:r>
    </w:p>
    <w:p w:rsidRPr="00E82430" w:rsidR="004A3DCA" w:rsidP="00756290" w:rsidRDefault="004A3DCA" w14:paraId="629CE229" w14:textId="77777777">
      <w:r w:rsidRPr="00E82430">
        <w:t xml:space="preserve">3.4. Learning and Dissemination </w:t>
      </w:r>
    </w:p>
    <w:p w:rsidRPr="00E82430" w:rsidR="004A3DCA" w:rsidP="004A3DCA" w:rsidRDefault="004A3DCA" w14:paraId="379D2626" w14:textId="77777777">
      <w:r w:rsidRPr="00756290">
        <w:t>Aims:</w:t>
      </w:r>
      <w:r w:rsidRPr="00E82430">
        <w:t xml:space="preserve"> Learning and dissemination activities will ensure that lessons from different strands of the evaluation are learnt and disseminated across key stakeholders throughout the whole length of the Contract. Learning activities will suggest how lessons learnt can be implemented in MAGC (and similar programmes). As buy-in from BEIS and the Delivery Partner in evaluation findings is crucial to this purpose, learning activities plans should encourage and reflect this. Learning and dissemination is also vital to get key stakeholders across government and the wider community to take on board lessons learnt for Climate Change mitigation activities. </w:t>
      </w:r>
    </w:p>
    <w:p w:rsidRPr="00E82430" w:rsidR="004A3DCA" w:rsidP="00756290" w:rsidRDefault="004A3DCA" w14:paraId="22CD3ED2" w14:textId="77777777">
      <w:r w:rsidRPr="00E82430">
        <w:t xml:space="preserve">3.5. Evaluation Framework </w:t>
      </w:r>
    </w:p>
    <w:p w:rsidRPr="00E82430" w:rsidR="004A3DCA" w:rsidP="004A3DCA" w:rsidRDefault="004A3DCA" w14:paraId="36EFCEEA" w14:textId="77777777">
      <w:r w:rsidRPr="00E82430">
        <w:t xml:space="preserve">MAGC operates in up to 24 countries (see Section 2.3 for full country list). In answering the research questions (Q) below, we propose the following tiered approach across the MAGC countries to provide both depth and breadth to fully assess the programme against its Theory of Change. </w:t>
      </w:r>
    </w:p>
    <w:p w:rsidRPr="00E82430" w:rsidR="004A3DCA" w:rsidP="00756290" w:rsidRDefault="004A3DCA" w14:paraId="28E1AB92" w14:textId="347A9196">
      <w:r w:rsidRPr="00E82430">
        <w:t xml:space="preserve">• Tier 0 (T0): Programme level (Q1, Q2, Q3, Q8 and Q9 below). In the process and design evaluation, research questions will be addressed at the programme level. A programme-level approach will also be used for Value for Money and </w:t>
      </w:r>
      <w:r w:rsidR="00A5555A">
        <w:t>GESI</w:t>
      </w:r>
      <w:r w:rsidRPr="00E82430">
        <w:t xml:space="preserve"> questions. </w:t>
      </w:r>
      <w:r w:rsidRPr="00E82430">
        <w:br/>
      </w:r>
      <w:r w:rsidRPr="00E82430">
        <w:t xml:space="preserve">• Tier 1 (T1): Basic analysis of all countries (Q6 and Q7 below). To provide a comprehensive assessment of programme performance, for some of the questions the evaluation will assess progress in all countries. </w:t>
      </w:r>
      <w:r w:rsidRPr="00E82430">
        <w:br/>
      </w:r>
      <w:r w:rsidRPr="00E82430">
        <w:t xml:space="preserve">• Tier 2 (T2): Focused evaluation of countries with substantial delivery (Q4 and Q5 below). To gain greater depth of understanding, some evaluation questions should focus on countries in which substantial delivery intervention has happened at the time of the evaluation. In the interim evaluation, we envisage the number of these countries is estimated to be 10 (the final choice of countries will be agreed with BEIS in the Scoping Phase, but it is likely to be Colombia, Mexico, Peru, South Africa, Kenya, Ghana, Indonesia, Vietnam, Philippines, India). In the final evaluation, we envisage an in-depth evaluation in all MAGC countries, but this will be agreed with BEIS in the Re-Scoping Phase. </w:t>
      </w:r>
      <w:r w:rsidRPr="00E82430">
        <w:br/>
      </w:r>
      <w:r w:rsidRPr="00E82430">
        <w:t xml:space="preserve">• Tier 3 (T3): Deep dives (Q4, Q5, Q6, Q7 and Q9 below). In both the interim and final evaluations, the assessment of progress against the Theory of Change and </w:t>
      </w:r>
      <w:r w:rsidR="00A5555A">
        <w:t>GESI</w:t>
      </w:r>
      <w:r w:rsidRPr="00E82430">
        <w:t xml:space="preserve"> questions will also include a more in-depth evaluation in up to four countries – (the final choice of countries will be agreed with BEIS in the Scoping Phase, but it is likely to include India, Colombia, Vietnam, and South Africa). The aim of the deep dives is two-fold. First, it will enable in-depth analysis of the connection between context, mechanisms and outcomes and the extent to which the MAGC’s success hinges on context-specific factors. Second, it allows for better tracking of changes over time.</w:t>
      </w:r>
    </w:p>
    <w:p w:rsidRPr="00E82430" w:rsidR="004A3DCA" w:rsidP="00756290" w:rsidRDefault="004A3DCA" w14:paraId="747FBB3B" w14:textId="77777777">
      <w:r w:rsidRPr="00E82430">
        <w:t xml:space="preserve">3.6. Evaluation Questions </w:t>
      </w:r>
    </w:p>
    <w:p w:rsidRPr="00E82430" w:rsidR="004A3DCA" w:rsidP="004A3DCA" w:rsidRDefault="004A3DCA" w14:paraId="633EB34D" w14:textId="10F233A6">
      <w:r w:rsidRPr="00E82430">
        <w:t>There are nine proposed high-level questions with sub-questions across all evaluations. The aim of these questions is to comprehensively evaluate the MAGC programme. The table below shows how each question may be evaluated</w:t>
      </w:r>
      <w:proofErr w:type="gramStart"/>
      <w:r w:rsidRPr="00E82430">
        <w:t>; ;however</w:t>
      </w:r>
      <w:proofErr w:type="gramEnd"/>
      <w:r w:rsidRPr="00E82430">
        <w:t xml:space="preserve">, bidder should suggest and confirm in their bids how they would propose addressing the questions posed. </w:t>
      </w:r>
    </w:p>
    <w:p w:rsidRPr="00E82430" w:rsidR="004A3DCA" w:rsidP="00756290" w:rsidRDefault="004A3DCA" w14:paraId="77718E53" w14:textId="77777777">
      <w:r w:rsidRPr="00E82430">
        <w:t>Table 6: MAGC Evaluation Questions</w:t>
      </w:r>
    </w:p>
    <w:p w:rsidRPr="00E82430" w:rsidR="004A3DCA" w:rsidP="004A3DCA" w:rsidRDefault="004A3DCA" w14:paraId="5A6E01EF" w14:textId="2550453E">
      <w:r w:rsidRPr="00FC25FC">
        <w:rPr>
          <w:noProof/>
        </w:rPr>
        <w:drawing>
          <wp:inline distT="0" distB="0" distL="0" distR="0" wp14:anchorId="48659AF1" wp14:editId="2E966557">
            <wp:extent cx="6480175" cy="2658110"/>
            <wp:effectExtent l="0" t="0" r="0" b="8890"/>
            <wp:docPr id="280750382" name="Picture 2" descr="Table showing the first three questions asked in the MAGC process evaluation. These questions are &quot;To what extent, and in what ways, has the management approach agreed with the Delivery Partner been appropriate and effective for MAGC?&quot;, &quot;To what extent are the results mechanisms illustrated in the Theory of Change (ToC) of MAGC (Annex G) accurate?&quot; and &quot;How effective are the choice of countries/projects in fulfilling MAGC's objectives and supporting the UK's International Climate Finance Strategy&quot;. This evaluation will be done over four phases, and will be done over the T0 programme level. Each of these questions is quali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0382" name="Picture 2" descr="Table showing the first three questions asked in the MAGC process evaluation. These questions are &quot;To what extent, and in what ways, has the management approach agreed with the Delivery Partner been appropriate and effective for MAGC?&quot;, &quot;To what extent are the results mechanisms illustrated in the Theory of Change (ToC) of MAGC (Annex G) accurate?&quot; and &quot;How effective are the choice of countries/projects in fulfilling MAGC's objectives and supporting the UK's International Climate Finance Strategy&quot;. This evaluation will be done over four phases, and will be done over the T0 programme level. Each of these questions is qualitative."/>
                    <pic:cNvPicPr/>
                  </pic:nvPicPr>
                  <pic:blipFill>
                    <a:blip r:embed="rId50">
                      <a:extLst>
                        <a:ext uri="{28A0092B-C50C-407E-A947-70E740481C1C}">
                          <a14:useLocalDpi xmlns:a14="http://schemas.microsoft.com/office/drawing/2010/main" val="0"/>
                        </a:ext>
                      </a:extLst>
                    </a:blip>
                    <a:stretch>
                      <a:fillRect/>
                    </a:stretch>
                  </pic:blipFill>
                  <pic:spPr>
                    <a:xfrm>
                      <a:off x="0" y="0"/>
                      <a:ext cx="6480175" cy="2658110"/>
                    </a:xfrm>
                    <a:prstGeom prst="rect">
                      <a:avLst/>
                    </a:prstGeom>
                  </pic:spPr>
                </pic:pic>
              </a:graphicData>
            </a:graphic>
          </wp:inline>
        </w:drawing>
      </w:r>
    </w:p>
    <w:p w:rsidRPr="00E82430" w:rsidR="004A3DCA" w:rsidP="004A3DCA" w:rsidRDefault="004A3DCA" w14:paraId="494D0A5C" w14:textId="29857DD3">
      <w:r w:rsidRPr="00FC25FC">
        <w:rPr>
          <w:noProof/>
        </w:rPr>
        <w:drawing>
          <wp:inline distT="0" distB="0" distL="0" distR="0" wp14:anchorId="7EF0CB0D" wp14:editId="3F4DAA9B">
            <wp:extent cx="6480175" cy="3416300"/>
            <wp:effectExtent l="0" t="0" r="0" b="0"/>
            <wp:docPr id="1113221236" name="Picture 3" descr="Table showing questions four to nine asked in the MAGC process evaluation. These questions are: &quot;To what extent has MAGC achieved early outcomes as anticipated?&quot;, &quot;To what extent is impact or transformational change likely to be achieved?&quot;, &quot;To what extent has MAGC achieved outcomes as anticipated?&quot;, &quot;To what extent has impact or transformational change been achieved or is likely to be achieved?&quot;, &quot;To what extent is MAGC investment providing Value for Money for HMG?&quot; and &quot;What opportunities did arise or were missed during MAGC delivery on Gender Equality and Social Inclusion (GESI)? How could we address GESI in future programme design?&quot; The evaluation will take place over four phases. The majority of the questions are qualitative, with the value for money phase being quantitative. The questions will be asked across all levels of evaluation. The last question on GESI is not part of the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21236" name="Picture 3" descr="Table showing questions four to nine asked in the MAGC process evaluation. These questions are: &quot;To what extent has MAGC achieved early outcomes as anticipated?&quot;, &quot;To what extent is impact or transformational change likely to be achieved?&quot;, &quot;To what extent has MAGC achieved outcomes as anticipated?&quot;, &quot;To what extent has impact or transformational change been achieved or is likely to be achieved?&quot;, &quot;To what extent is MAGC investment providing Value for Money for HMG?&quot; and &quot;What opportunities did arise or were missed during MAGC delivery on Gender Equality and Social Inclusion (GESI)? How could we address GESI in future programme design?&quot; The evaluation will take place over four phases. The majority of the questions are qualitative, with the value for money phase being quantitative. The questions will be asked across all levels of evaluation. The last question on GESI is not part of the theory of change."/>
                    <pic:cNvPicPr/>
                  </pic:nvPicPr>
                  <pic:blipFill>
                    <a:blip r:embed="rId51">
                      <a:extLst>
                        <a:ext uri="{28A0092B-C50C-407E-A947-70E740481C1C}">
                          <a14:useLocalDpi xmlns:a14="http://schemas.microsoft.com/office/drawing/2010/main" val="0"/>
                        </a:ext>
                      </a:extLst>
                    </a:blip>
                    <a:stretch>
                      <a:fillRect/>
                    </a:stretch>
                  </pic:blipFill>
                  <pic:spPr>
                    <a:xfrm>
                      <a:off x="0" y="0"/>
                      <a:ext cx="6480175" cy="3416300"/>
                    </a:xfrm>
                    <a:prstGeom prst="rect">
                      <a:avLst/>
                    </a:prstGeom>
                  </pic:spPr>
                </pic:pic>
              </a:graphicData>
            </a:graphic>
          </wp:inline>
        </w:drawing>
      </w:r>
    </w:p>
    <w:p w:rsidRPr="00E82430" w:rsidR="004A3DCA" w:rsidP="004A3DCA" w:rsidRDefault="004A3DCA" w14:paraId="2B9351C7" w14:textId="77777777"/>
    <w:p w:rsidRPr="00E82430" w:rsidR="004A3DCA" w:rsidP="004A3DCA" w:rsidRDefault="004A3DCA" w14:paraId="4DB4F76A" w14:textId="66B0F6D4">
      <w:r w:rsidRPr="00E82430">
        <w:t xml:space="preserve">An example list of sub-questions/indicators which may be relevant across the different programme components is provided below each question. The full list of questions and </w:t>
      </w:r>
      <w:proofErr w:type="spellStart"/>
      <w:r w:rsidRPr="00E82430">
        <w:t>subquestions</w:t>
      </w:r>
      <w:proofErr w:type="spellEnd"/>
      <w:r w:rsidRPr="00E82430">
        <w:t xml:space="preserve">, as well as a final decision on which sub-questions/indicators will be addressed across different country tiers will be refined by the Supplier - in consultation with BEIS - in the Scoping phase, although we ask Bidders to set out their proposed approach in their submissions. BEIS reserves the right to add or remove indicators for each research questions with the Supplier in the Scoping Phase. Bidders should detail in their proposal if they have initial comments on these research questions and sub questions including the feasibility of addressing these within the available time and budget. </w:t>
      </w:r>
    </w:p>
    <w:p w:rsidRPr="00E82430" w:rsidR="004A3DCA" w:rsidP="00756290" w:rsidRDefault="004A3DCA" w14:paraId="32847939" w14:textId="77777777">
      <w:r w:rsidRPr="00E82430">
        <w:t xml:space="preserve">3.7. Phase 1a - Process Evaluation </w:t>
      </w:r>
    </w:p>
    <w:p w:rsidRPr="00E82430" w:rsidR="004A3DCA" w:rsidP="00756290" w:rsidRDefault="004A3DCA" w14:paraId="1F2B3FC6" w14:textId="28520A85">
      <w:r w:rsidRPr="00E82430">
        <w:t xml:space="preserve">Question 1 focuses on process evaluation of how the MAGC programme has been managed. It is investigated at the programme level (Tier 0). </w:t>
      </w:r>
      <w:r w:rsidRPr="00E82430">
        <w:br/>
      </w:r>
      <w:r w:rsidRPr="00E82430">
        <w:t xml:space="preserve">• </w:t>
      </w:r>
      <w:r w:rsidRPr="00756290">
        <w:t>Question 1</w:t>
      </w:r>
      <w:r w:rsidRPr="00E82430">
        <w:t xml:space="preserve">: To what extent, and in what ways, has the management approach agreed with the Delivery Partner been appropriate and effective for MAGC? (Aspects to focus on: Investment and Advisory administration agreements achieving its purpose, MAGC’s performance management process, delegation of funds, reporting, decision-making, governance structure, delivery, and management of aspects of the programme that are unique to ICF (EDGE and Research and Evidence Programme), Covid-19 pandemic, etc.). </w:t>
      </w:r>
      <w:r w:rsidRPr="00E82430">
        <w:br/>
      </w:r>
      <w:r w:rsidRPr="00E82430">
        <w:t xml:space="preserve">Questions 2 and 3 focus on the design of MAGC and its effect on the programme objectives. Sub-questions can be addressed partly in the process and partly in the outcome/impact evaluation. These questions will be investigated at the programme level (Tier 0). </w:t>
      </w:r>
      <w:r w:rsidRPr="00E82430">
        <w:br/>
      </w:r>
      <w:r w:rsidRPr="00756290">
        <w:t>• Question 2</w:t>
      </w:r>
      <w:r w:rsidRPr="00E82430">
        <w:t xml:space="preserve">: To what extent are the results mechanisms illustrated in the Theory of Change (ToC) of MAGC (Annex A) accurate? (Aspects to focus on: indicators and results alignment to ToC, effectiveness of MAGC four-pillar approach and pillars interactions, additionality to the green buildings country-markets leveraging private finance, catalysation of additional investments for green buildings through demonstration effects, etc.) </w:t>
      </w:r>
      <w:r w:rsidRPr="00E82430">
        <w:br/>
      </w:r>
      <w:r w:rsidRPr="00E82430">
        <w:t xml:space="preserve">• </w:t>
      </w:r>
      <w:r w:rsidRPr="00756290">
        <w:t>Question 3</w:t>
      </w:r>
      <w:r w:rsidRPr="00E82430">
        <w:t>: How effective are the choice of countries/projects in fulfilling MAGC’s objectives and supporting the UK’s International Climate Finance strategy? (Aspects to focus on: breadth vs depth of the programme, country selection and prioritisation, country green buildings markets likely to transform, whether UK investment in green buildings understood and valued by in-country stakeholders (e.g.</w:t>
      </w:r>
      <w:r>
        <w:t>,</w:t>
      </w:r>
      <w:r w:rsidRPr="00E82430">
        <w:t xml:space="preserve"> recipients, government, UK embassies), whether it has helped wider HMG diplomacy, trade-offs on pursuing the most transformational climate &amp; social development capacity building projects vs projects with the most attractive market conditions &amp; best return-on-investment, etc.)</w:t>
      </w:r>
    </w:p>
    <w:p w:rsidRPr="00E82430" w:rsidR="004A3DCA" w:rsidP="00756290" w:rsidRDefault="004A3DCA" w14:paraId="593A4E05" w14:textId="77777777">
      <w:r w:rsidRPr="00E82430">
        <w:t xml:space="preserve">3.8. Phase 1b - Early Outcome Evaluation </w:t>
      </w:r>
    </w:p>
    <w:p w:rsidRPr="00E82430" w:rsidR="004A3DCA" w:rsidP="00756290" w:rsidRDefault="004A3DCA" w14:paraId="2CCFED69" w14:textId="5B6BCF2F">
      <w:r w:rsidRPr="00E82430">
        <w:t xml:space="preserve">The research design uses the programme Theory of Change as its starting point and the evaluation questions specifically assess the validity of the proposed causal pathways. Questions 4 and 5 focus on analysing progress against the MAGC Theory of Change. The interim evaluation will focus on early outcomes. These questions are envisaged to be investigated in countries with substantial delivery (Tier 2), including deep dives (Tier 3), considering the effect of Covid-19 and delay in BEIS committing funds in some parts of the programme on the achievements to date of the programme. Given delivery of the MAGC Research component began later than the other three components, it will not be included in the interim evaluation. </w:t>
      </w:r>
      <w:r w:rsidRPr="00E82430">
        <w:br/>
      </w:r>
      <w:r w:rsidRPr="00E82430">
        <w:t xml:space="preserve">• </w:t>
      </w:r>
      <w:r w:rsidRPr="00756290">
        <w:t>Question 4</w:t>
      </w:r>
      <w:r w:rsidRPr="00E82430">
        <w:t xml:space="preserve">: To what extent has MAGC achieved early outcomes as anticipated? </w:t>
      </w:r>
      <w:r w:rsidRPr="00E82430">
        <w:br/>
      </w:r>
      <w:r w:rsidRPr="00756290">
        <w:t>4a</w:t>
      </w:r>
      <w:r w:rsidRPr="00E82430">
        <w:t xml:space="preserve">, Blended Finance and Advisory Services to FIs. To what extent, and in what ways, has MAGC as well as non-MAGC finance for green buildings been mobilised at the rate expected? (e.g., enablers and barriers, appropriateness of level of MAGC concessional finance to maximise the impact whilst minimising subsidy, usefulness of the Advisory Services package for FIs, etc.) </w:t>
      </w:r>
      <w:r w:rsidRPr="00E82430">
        <w:br/>
      </w:r>
      <w:r w:rsidRPr="00756290">
        <w:t>4b</w:t>
      </w:r>
      <w:r w:rsidRPr="00E82430">
        <w:t xml:space="preserve">, Capacity building. To what extent, and in what ways, has capacity building at the country level to support green constructions been successfully strengthened? (e.g., increase in green building stock, in which circumstances (e.g., types of buildings, tenure, geographies, other </w:t>
      </w:r>
      <w:r w:rsidRPr="00E82430">
        <w:t xml:space="preserve">factors), etc.) </w:t>
      </w:r>
      <w:r w:rsidRPr="00E82430">
        <w:br/>
      </w:r>
      <w:r w:rsidRPr="00756290">
        <w:t>4c</w:t>
      </w:r>
      <w:r w:rsidRPr="00E82430">
        <w:t xml:space="preserve">, Green building Certification. How well understood are certified green buildings by in-country stakeholders? How valued are they? (e.g., EDGE certification platform contribution to improvements in construction standards, countries with more/less penetration and why, etc.) </w:t>
      </w:r>
      <w:r w:rsidRPr="00E82430">
        <w:br/>
      </w:r>
      <w:r w:rsidRPr="00E82430">
        <w:t xml:space="preserve">• </w:t>
      </w:r>
      <w:r w:rsidRPr="00756290">
        <w:t>Question 5</w:t>
      </w:r>
      <w:r w:rsidRPr="00E82430">
        <w:t xml:space="preserve">: To what extent is impact/transformational change likely to be achieved? (e.g., early evidence of transformational change, in which areas more effective and why, etc.) </w:t>
      </w:r>
    </w:p>
    <w:p w:rsidRPr="00E82430" w:rsidR="004A3DCA" w:rsidP="00756290" w:rsidRDefault="004A3DCA" w14:paraId="3FD39595" w14:textId="77777777">
      <w:r w:rsidRPr="00E82430">
        <w:t xml:space="preserve">3.9. Phase 2 – Final Outcome and Impact Evaluation </w:t>
      </w:r>
    </w:p>
    <w:p w:rsidRPr="00E82430" w:rsidR="004A3DCA" w:rsidP="00756290" w:rsidRDefault="004A3DCA" w14:paraId="331E5710" w14:textId="5335B5BF">
      <w:r w:rsidRPr="00E82430">
        <w:t xml:space="preserve">Questions 6 and 7 focus on analysing progress against the MAGC Theory of Change. The final evaluation focusing on outcomes and impacts. These questions are envisaged to be investigated in all 24 MAGC countries (Tier 1), including deep dives (Tier 3). </w:t>
      </w:r>
      <w:r w:rsidRPr="00E82430">
        <w:br/>
      </w:r>
      <w:r w:rsidRPr="00E82430">
        <w:t xml:space="preserve">• </w:t>
      </w:r>
      <w:r w:rsidRPr="00756290">
        <w:t>Question 6</w:t>
      </w:r>
      <w:r w:rsidRPr="00E82430">
        <w:t xml:space="preserve">: To what extent has MAGC achieved outcomes as anticipated? </w:t>
      </w:r>
      <w:r w:rsidRPr="00E82430">
        <w:br/>
      </w:r>
      <w:r w:rsidRPr="00756290">
        <w:t>6a</w:t>
      </w:r>
      <w:r w:rsidRPr="00E82430">
        <w:t xml:space="preserve">, Blended Finance and Advisory Services to FIs. To what extent, and in what ways, has MAGC as well as non-MAGC finance for green buildings been mobilised at the rate expected? (e.g., enablers and barriers, appropriateness of level of MAGC concessional finance to maximise the impact whilst minimising subsidy, usefulness of the Advisory Services package for FIs, etc.) </w:t>
      </w:r>
      <w:r w:rsidRPr="00E82430">
        <w:br/>
      </w:r>
      <w:r w:rsidRPr="00756290">
        <w:t>6b</w:t>
      </w:r>
      <w:r w:rsidRPr="00E82430">
        <w:t xml:space="preserve">, Capacity building. To what extent, and in what ways, has capacity building at the country level to support green constructions been successfully strengthened? (e.g., increase in green building stock, in which circumstances (e.g., types of buildings, tenure, geographies, other factors), etc.) </w:t>
      </w:r>
      <w:r w:rsidRPr="00E82430">
        <w:br/>
      </w:r>
      <w:r w:rsidRPr="00756290">
        <w:t>6c</w:t>
      </w:r>
      <w:r w:rsidRPr="00E82430">
        <w:t xml:space="preserve">, Green building Certification. How well understood are certified green buildings by in-country stakeholders? How valued are they? (e.g., EDGE certification platform contribution to improvements in construction standards, countries with more/less penetration and why, etc.) </w:t>
      </w:r>
      <w:r w:rsidRPr="00E82430">
        <w:br/>
      </w:r>
      <w:r w:rsidRPr="00756290">
        <w:t>6d</w:t>
      </w:r>
      <w:r w:rsidRPr="00E82430">
        <w:t xml:space="preserve">, Research. How useful have the research outputs so far been, both in terms of findings and awareness from relevant stakeholders? (e.g., improvements in better understanding of certified green construction) </w:t>
      </w:r>
      <w:r w:rsidRPr="00E82430">
        <w:br/>
      </w:r>
      <w:r w:rsidRPr="00756290">
        <w:t>6e</w:t>
      </w:r>
      <w:r w:rsidRPr="00E82430">
        <w:t xml:space="preserve">, Process. To what extent has the programme adapted in response to the Process evaluation findings? What have the implications been to reach anticipated outcomes? </w:t>
      </w:r>
      <w:r w:rsidRPr="00E82430">
        <w:br/>
      </w:r>
      <w:r w:rsidRPr="00E82430">
        <w:t xml:space="preserve">• </w:t>
      </w:r>
      <w:r w:rsidRPr="00756290">
        <w:t>Question 7</w:t>
      </w:r>
      <w:r w:rsidRPr="00E82430">
        <w:t xml:space="preserve">: To what extent has impact/transformational change been achieved/is likely to be achieved? (e.g., intermediate, or longer-term evidence of transformational change, in which areas more effective and why, etc.) </w:t>
      </w:r>
    </w:p>
    <w:p w:rsidRPr="00E82430" w:rsidR="004A3DCA" w:rsidP="00756290" w:rsidRDefault="004A3DCA" w14:paraId="2DFEC3CD" w14:textId="114D2DE9">
      <w:r w:rsidRPr="00756290">
        <w:t>3.10. All Evaluations - Value for Money assessment</w:t>
      </w:r>
      <w:r w:rsidRPr="00E82430">
        <w:t xml:space="preserve"> </w:t>
      </w:r>
      <w:r w:rsidRPr="00E82430">
        <w:br/>
      </w:r>
      <w:r w:rsidRPr="00E82430">
        <w:t>Question 8 covers value-for-money (VfM). This question will be investigated at the programme level (Tier 0). Following the 4E value-for-money framework (Economy, Efficiency, Effectiveness, and Equity), it will assess each of the four main MAGC programme components (Blended finance, Advisory services, EDGE, and Research) against the 4Es. Specific sub indicators will need to be looked at within each of the 4E categories, thus considering different aspects of economy, efficiency,</w:t>
      </w:r>
      <w:r w:rsidR="00D5736A">
        <w:t xml:space="preserve"> e</w:t>
      </w:r>
      <w:r w:rsidRPr="00E82430" w:rsidR="00D5736A">
        <w:t>ffectiveness</w:t>
      </w:r>
      <w:r w:rsidRPr="00E82430">
        <w:t xml:space="preserve">, and equity of the programme in relation to programme results. </w:t>
      </w:r>
      <w:r w:rsidRPr="00E82430">
        <w:br/>
      </w:r>
      <w:r w:rsidRPr="00E82430">
        <w:t xml:space="preserve">• </w:t>
      </w:r>
      <w:r w:rsidRPr="00756290">
        <w:t>Question 8</w:t>
      </w:r>
      <w:r w:rsidRPr="00E82430">
        <w:t xml:space="preserve">: To what extent is MAGC investment providing Value for Money for HMG? </w:t>
      </w:r>
      <w:r w:rsidRPr="00E82430">
        <w:br/>
      </w:r>
      <w:r w:rsidRPr="00756290">
        <w:t>8a</w:t>
      </w:r>
      <w:r w:rsidRPr="00E82430">
        <w:t xml:space="preserve">, Economy. To what extent does the programme manage resources economically, buying inputs of the appropriate quality at the right price? (e.g., encashment schedule, in-house vs </w:t>
      </w:r>
      <w:r w:rsidRPr="00E82430">
        <w:t xml:space="preserve">contracted staff for each component, due diligence procedures in place in managing spend and cost drivers, financial reporting, and oversight, etc.) </w:t>
      </w:r>
      <w:r w:rsidRPr="00E82430">
        <w:br/>
      </w:r>
      <w:r w:rsidRPr="00756290">
        <w:t>8b</w:t>
      </w:r>
      <w:r w:rsidRPr="00E82430">
        <w:t xml:space="preserve">, Efficiency. To what extent does the programme produce the intended quality and quantity of deliverables (outputs), within the available resources? (e.g., technical efficiency – time and budget, Allocative efficiency – programme resource allocation, Dynamic efficiency - learning and adaptive management), Programme and Risk Management, etc.) </w:t>
      </w:r>
      <w:r w:rsidRPr="00E82430">
        <w:br/>
      </w:r>
      <w:r w:rsidRPr="00756290">
        <w:t>8c</w:t>
      </w:r>
      <w:r w:rsidRPr="00E82430">
        <w:t>, Effectiveness and Cost Effectiveness. To what extent does the programme achieve its intended outcomes and impact, and this is deemed sufficient relative to the inputs invested? (e.g.</w:t>
      </w:r>
      <w:r>
        <w:t>,</w:t>
      </w:r>
      <w:r w:rsidRPr="00E82430">
        <w:t xml:space="preserve"> Cost-Effectiveness – advisory-service leveraging business development, outcomes and associated costs meeting expectations, KPI 15 – Transformational Change, scale of emissions reductions vs resources allocated, technical cost per tonnes in MAGC investments to date in line with other concessional investments in ICF programmes, co-finance ratios (total, public, private), evidence of wider mobilisation and market take up in the Green Building sector aligned with the programmes ambitions - indirect Finance mobilised, FIs engaged in Green Building investments, IFC or FI investments not supported through MAGC, etc.) </w:t>
      </w:r>
      <w:r w:rsidRPr="00E82430">
        <w:br/>
      </w:r>
      <w:r w:rsidRPr="00756290">
        <w:t>8d</w:t>
      </w:r>
      <w:r w:rsidRPr="00E82430">
        <w:t xml:space="preserve">, Equity – (learning question for future programmes – not part of the evaluation. See also Q9 below). Considering that the Theory of Change of MAGC does not include Equity considerations, in which instances did the Delivery Partner achieve or not additional benefits for women, low income or disadvantaged groups through the MAGC Programme? (e.g., percentage of increased capacity of relevant groups through capacity building and research programme, distribution of investments by country income level, contributions to Sustainable Development Goals (SDGs), etc.) </w:t>
      </w:r>
    </w:p>
    <w:p w:rsidRPr="00E82430" w:rsidR="004A3DCA" w:rsidP="00756290" w:rsidRDefault="004A3DCA" w14:paraId="21AA51C9" w14:textId="3367CEF3">
      <w:r w:rsidRPr="00756290">
        <w:t xml:space="preserve">3.11. All Evaluations - </w:t>
      </w:r>
      <w:r w:rsidRPr="00756290" w:rsidR="00A5555A">
        <w:t>GESI</w:t>
      </w:r>
      <w:r w:rsidRPr="00756290">
        <w:t>:</w:t>
      </w:r>
      <w:r w:rsidRPr="00E82430">
        <w:t xml:space="preserve"> </w:t>
      </w:r>
      <w:r w:rsidRPr="00E82430">
        <w:br/>
      </w:r>
      <w:r w:rsidRPr="00E82430">
        <w:t>Question 9 covers Gender Equality and Social Inclusion (</w:t>
      </w:r>
      <w:r w:rsidR="00A5555A">
        <w:t>GESI</w:t>
      </w:r>
      <w:r w:rsidRPr="00E82430">
        <w:t xml:space="preserve">). This is a learning question, not an evaluation one, and will be investigated at the programme level (Tier 0) and in MAGC deep-dives countries (Tier 3). ICF is committed to continue to scale up climate solutions that put equality of opportunity and human rights into action. Although </w:t>
      </w:r>
      <w:r w:rsidR="00A5555A">
        <w:t>GESI</w:t>
      </w:r>
      <w:r w:rsidRPr="00E82430">
        <w:t xml:space="preserve"> does not form part of the MAGC’s theory of change or the original programme objectives, we want to use the evaluation to learn where opportunities arose to address </w:t>
      </w:r>
      <w:r w:rsidR="00A5555A">
        <w:t>GESI</w:t>
      </w:r>
      <w:r w:rsidRPr="00E82430">
        <w:t xml:space="preserve"> in MAGC delivery, and were the programme missed opportunities. The aim of this question is not to evaluate the Delivery Partner on this but to learn and inform the future design of other ICF programmes. Although these questions are overlapping with the Equity section of the VfM questions above, they are listed also separately as they are relevant for all the evaluations requested (not only for the VfM evaluation). </w:t>
      </w:r>
      <w:r w:rsidRPr="00E82430">
        <w:br/>
      </w:r>
      <w:r w:rsidRPr="00E82430">
        <w:t xml:space="preserve">• </w:t>
      </w:r>
      <w:r w:rsidRPr="00756290">
        <w:t>Question 9</w:t>
      </w:r>
      <w:r w:rsidRPr="00E82430">
        <w:t>: What opportunities did arise or were missed during MAGC delivery on Gender Equality and Social Inclusion (</w:t>
      </w:r>
      <w:r w:rsidR="00A5555A">
        <w:t>GESI</w:t>
      </w:r>
      <w:r w:rsidRPr="00E82430">
        <w:t xml:space="preserve">)? How could we address </w:t>
      </w:r>
      <w:r w:rsidR="00A5555A">
        <w:t>GESI</w:t>
      </w:r>
      <w:r w:rsidRPr="00E82430">
        <w:t xml:space="preserve"> in future programmes design? (e.g., </w:t>
      </w:r>
      <w:r w:rsidR="00A5555A">
        <w:t>GESI</w:t>
      </w:r>
      <w:r w:rsidRPr="00E82430">
        <w:t xml:space="preserve"> opportunities in MAGC, lessons learned in MAGC for implementation in similar programmes, how/if measures apply in different country contexts, etc.) </w:t>
      </w:r>
    </w:p>
    <w:p w:rsidRPr="00E82430" w:rsidR="004A3DCA" w:rsidP="00756290" w:rsidRDefault="004A3DCA" w14:paraId="1E105C58" w14:textId="77777777">
      <w:r w:rsidRPr="00E82430">
        <w:t xml:space="preserve">4. Scope of Evaluation </w:t>
      </w:r>
    </w:p>
    <w:p w:rsidRPr="00E82430" w:rsidR="004A3DCA" w:rsidP="00756290" w:rsidRDefault="004A3DCA" w14:paraId="74B36B04" w14:textId="77777777">
      <w:r w:rsidRPr="00E82430">
        <w:t>4.1. Methodology and Approach</w:t>
      </w:r>
    </w:p>
    <w:p w:rsidRPr="00E82430" w:rsidR="004A3DCA" w:rsidP="004A3DCA" w:rsidRDefault="004A3DCA" w14:paraId="221D6A7F" w14:textId="77777777">
      <w:r w:rsidRPr="00E82430">
        <w:t xml:space="preserve">We expect bidders to propose a fully developed evaluation approach, and methodology and approach for data collection and data analysis to answer the proposed questions. We anticipate the methodology may include the elements proposed below. We welcome bidders’ alternative suggestions if the validity of these can be evidenced. However, each bidder must only submit one final </w:t>
      </w:r>
      <w:proofErr w:type="gramStart"/>
      <w:r w:rsidRPr="00E82430">
        <w:t>methodology, and</w:t>
      </w:r>
      <w:proofErr w:type="gramEnd"/>
      <w:r w:rsidRPr="00E82430">
        <w:t xml:space="preserve"> must not submit a number of options. All bids must fit within the indicated budget, timeline, and output criteria, regardless of methodology. </w:t>
      </w:r>
    </w:p>
    <w:p w:rsidRPr="00E82430" w:rsidR="004A3DCA" w:rsidP="00756290" w:rsidRDefault="004A3DCA" w14:paraId="5D8B4F4B" w14:textId="77777777">
      <w:r w:rsidRPr="00E82430">
        <w:t xml:space="preserve">4.2. Suggested Approach </w:t>
      </w:r>
    </w:p>
    <w:p w:rsidRPr="00E82430" w:rsidR="004A3DCA" w:rsidP="004A3DCA" w:rsidRDefault="004A3DCA" w14:paraId="446DE330" w14:textId="70E4C758">
      <w:r w:rsidRPr="00E82430">
        <w:t xml:space="preserve">To ensure a full assessment of process, impact, and value-for-money, we expect the Bidder to propose and develop an evaluation approach which is suitable for assessing the impacts, among other things, of technical assistance and blended finance programmes, such as MAGC. BEIS anticipates that a theory-based evaluation (instead of an experimental or quasi experimental approach) may be most appropriate for assessing MAGC outcomes and impact, as understanding why and how the observed results were achieved is key to addressing BEIS identified evidence gap. A theory-based evaluation allows for a mixture of quantitative and qualitative methods and aims to assess the contribution of the programme to its intended outcomes and impacts. Bidders should set out their recommended evaluation approach weighing up the pros and cons of alternative approaches, including the range of potential theory-based approaches. This should draw on the Bidder’s knowledge and experience and should be sensitive to the particular challenges of evaluating technical assistance and blended finance for climate mitigation as well as green buildings finance. </w:t>
      </w:r>
    </w:p>
    <w:p w:rsidRPr="00E82430" w:rsidR="004A3DCA" w:rsidP="00756290" w:rsidRDefault="004A3DCA" w14:paraId="46B17457" w14:textId="77777777">
      <w:r w:rsidRPr="00E82430">
        <w:t xml:space="preserve">4.3. Stakeholders </w:t>
      </w:r>
    </w:p>
    <w:p w:rsidRPr="00E82430" w:rsidR="004A3DCA" w:rsidP="00756290" w:rsidRDefault="004A3DCA" w14:paraId="20C90786" w14:textId="1AE47ED5">
      <w:r w:rsidRPr="00E82430">
        <w:t xml:space="preserve">We envisage the following non-exhaustive list of stakeholders should be considered when conducting interviews: </w:t>
      </w:r>
      <w:r w:rsidRPr="00E82430">
        <w:br/>
      </w:r>
      <w:r w:rsidRPr="00E82430">
        <w:t xml:space="preserve">• IFC - the delivery partner (private sector facing arm of the World Bank), including the operational teams (Blended Finance, FIG, Country Level/EDGE AS and research lead) and IFC country offices where relevant. </w:t>
      </w:r>
      <w:r w:rsidRPr="00E82430">
        <w:br/>
      </w:r>
      <w:r w:rsidRPr="00E82430">
        <w:t xml:space="preserve">• Financial Intermediaries (FIs) in MAGC countries. </w:t>
      </w:r>
      <w:r w:rsidRPr="00E82430">
        <w:br/>
      </w:r>
      <w:r w:rsidRPr="00E82430">
        <w:t xml:space="preserve">• Construction and Housing Developers, EDGE certification partners (and other sector relevant organisations where relevant) in MAGC countries. </w:t>
      </w:r>
      <w:r w:rsidRPr="00E82430">
        <w:br/>
      </w:r>
      <w:r w:rsidRPr="00E82430">
        <w:t xml:space="preserve">• UK Embassies and – where relevant – public policy makers, industry associations, universities, and other relevant stakeholders in MAGC countries. We anticipate that some stakeholders, such as FIs, can be difficult to engage. Bidders should propose an effective approach to ensure key stakeholders participate in the evaluation and how they will mitigate against this delivery risk in terms of potential data gaps in the event of poor responses. </w:t>
      </w:r>
    </w:p>
    <w:p w:rsidRPr="00E82430" w:rsidR="004A3DCA" w:rsidP="00756290" w:rsidRDefault="004A3DCA" w14:paraId="5B3251F5" w14:textId="77777777">
      <w:r w:rsidRPr="00E82430">
        <w:t xml:space="preserve">4.4. Data collection methods </w:t>
      </w:r>
    </w:p>
    <w:p w:rsidRPr="00E82430" w:rsidR="004A3DCA" w:rsidP="004A3DCA" w:rsidRDefault="004A3DCA" w14:paraId="347EF946" w14:textId="77777777">
      <w:r w:rsidRPr="00E82430">
        <w:t xml:space="preserve">We envisage the following non-exhaustive list of data collection methods may be required: </w:t>
      </w:r>
    </w:p>
    <w:p w:rsidRPr="00E82430" w:rsidR="004A3DCA" w:rsidP="00756290" w:rsidRDefault="004A3DCA" w14:paraId="062DC109" w14:textId="0C3F621B">
      <w:r w:rsidRPr="00E82430">
        <w:t>• Desk-based review of programme documents, reporting and existing literature.</w:t>
      </w:r>
      <w:r w:rsidRPr="00E82430">
        <w:br/>
      </w:r>
      <w:r w:rsidRPr="00E82430">
        <w:t xml:space="preserve">• (Online) stakeholder interviews with delivery partners, stakeholders, beneficiaries. </w:t>
      </w:r>
      <w:r w:rsidRPr="00E82430">
        <w:br/>
      </w:r>
      <w:r w:rsidRPr="00E82430">
        <w:t xml:space="preserve">• (Online) surveys with delivery partners, stakeholders, beneficiaries. </w:t>
      </w:r>
      <w:r w:rsidRPr="00E82430">
        <w:br/>
      </w:r>
      <w:r w:rsidRPr="00E82430">
        <w:t xml:space="preserve">• Workshops with the programme team (BEIS and the delivery partner IFC). </w:t>
      </w:r>
      <w:r w:rsidRPr="00E82430">
        <w:br/>
      </w:r>
      <w:r w:rsidRPr="00E82430">
        <w:t xml:space="preserve">• Site visits of selected Green Buildings projects that have received MAGC investment. </w:t>
      </w:r>
    </w:p>
    <w:p w:rsidRPr="00E82430" w:rsidR="004A3DCA" w:rsidP="004A3DCA" w:rsidRDefault="004A3DCA" w14:paraId="24531824" w14:textId="0235638D">
      <w:r w:rsidRPr="00E82430">
        <w:t xml:space="preserve">Given that some of these methods may rely on site visits and on in-person interaction, it is expected that (travel restrictions permitting) some travel will be required to complete the activities presented in the scope of work. As the Department leading on Net Zero, BEIS is also keen to ensure that all travel under this contract is essential and that, where possible and practical, the most economical and lowest emitting forms of travel are used. Hybrid models of working that can demonstrate an appropriate balance of travel and other methods to achieve the project’s goals are welcomed. Please refer to the Travel and Expenses section of the ITT and relevant attachments for details of allowable travel expenses and the requirements for claiming these. </w:t>
      </w:r>
    </w:p>
    <w:p w:rsidRPr="00E82430" w:rsidR="004A3DCA" w:rsidP="00756290" w:rsidRDefault="004A3DCA" w14:paraId="22D1D474" w14:textId="77777777">
      <w:r w:rsidRPr="00E82430">
        <w:t xml:space="preserve">4.5. Proposal Requirements </w:t>
      </w:r>
    </w:p>
    <w:p w:rsidRPr="00E82430" w:rsidR="004A3DCA" w:rsidP="004A3DCA" w:rsidRDefault="004A3DCA" w14:paraId="66D02288" w14:textId="5BA3B5C4">
      <w:r w:rsidRPr="00E82430">
        <w:t xml:space="preserve">Bidders should set out the evaluation strategy they will take to ensure a full assessment of process, outcome/impact, value-for-money and </w:t>
      </w:r>
      <w:r w:rsidR="00A5555A">
        <w:t>GESI</w:t>
      </w:r>
      <w:r w:rsidRPr="00E82430">
        <w:t xml:space="preserve"> of MAGC, </w:t>
      </w:r>
      <w:proofErr w:type="spellStart"/>
      <w:proofErr w:type="gramStart"/>
      <w:r w:rsidRPr="00E82430">
        <w:t>highlighting,ing</w:t>
      </w:r>
      <w:proofErr w:type="spellEnd"/>
      <w:proofErr w:type="gramEnd"/>
      <w:r w:rsidRPr="00E82430">
        <w:t xml:space="preserve"> what specific methodology they think will work best, why, and any pros and cons to different approaches. There is an expectation that, in their bids, tenders will explain their approach to triangulating and synthesizing multiple strands of evidence, how they will make sense of contradictory evidence. This is particularly important for this evaluation with lots of strands, different data collection activities and timeframes, and different geographies. Bidders should also set out in their tenders how they intend to collect, where possible, and analyse data on </w:t>
      </w:r>
      <w:r w:rsidR="00A5555A">
        <w:t>GESI</w:t>
      </w:r>
      <w:r w:rsidRPr="00E82430">
        <w:t xml:space="preserve">. As mentioned above, </w:t>
      </w:r>
      <w:r w:rsidR="00A5555A">
        <w:t>GESI</w:t>
      </w:r>
      <w:r w:rsidRPr="00E82430">
        <w:t xml:space="preserve"> is not part of the MAGC Theory of Change/log frame/ results framework and any results may be unintended, and we therefore anticipate that it will be challenging to collect data/data may be incomplete. When available, IFC has committed to share related data to enrich the </w:t>
      </w:r>
      <w:r w:rsidR="00A5555A">
        <w:t>GESI</w:t>
      </w:r>
      <w:r w:rsidRPr="00E82430">
        <w:t xml:space="preserve"> narrative and inform future programme design. </w:t>
      </w:r>
      <w:r w:rsidR="00A5555A">
        <w:t>GESI</w:t>
      </w:r>
      <w:r w:rsidRPr="00E82430">
        <w:t xml:space="preserve"> will be investigated for learning purposes looking at it, where possible, both at the programme and deep-dives level. We would like bidders to propose an effective approach to this and explain how it will add value, </w:t>
      </w:r>
      <w:proofErr w:type="spellStart"/>
      <w:proofErr w:type="gramStart"/>
      <w:r w:rsidRPr="00E82430">
        <w:t>including,ing</w:t>
      </w:r>
      <w:proofErr w:type="spellEnd"/>
      <w:proofErr w:type="gramEnd"/>
      <w:r w:rsidRPr="00E82430">
        <w:t xml:space="preserve"> how lessons for similar programmes could be taken forward, and how </w:t>
      </w:r>
      <w:r w:rsidR="00A5555A">
        <w:t>GESI</w:t>
      </w:r>
      <w:r w:rsidRPr="00E82430">
        <w:t xml:space="preserve"> measures might apply in different country context. We anticipate a range of outputs will be required in the evaluation; the Evaluator should produce summary reports for each phase of the evaluation. We welcome bidders’ additional suggestions if the validity of these can be evidenced. </w:t>
      </w:r>
    </w:p>
    <w:p w:rsidRPr="00E82430" w:rsidR="004A3DCA" w:rsidP="00756290" w:rsidRDefault="004A3DCA" w14:paraId="59C9A4AE" w14:textId="77777777">
      <w:r w:rsidRPr="00E82430">
        <w:t xml:space="preserve">4.6. Activities </w:t>
      </w:r>
    </w:p>
    <w:p w:rsidRPr="00E82430" w:rsidR="004A3DCA" w:rsidP="004A3DCA" w:rsidRDefault="004A3DCA" w14:paraId="27BF88EB" w14:textId="77777777">
      <w:r w:rsidRPr="00E82430">
        <w:t xml:space="preserve">Please see Table 7 for an indicative timeline. </w:t>
      </w:r>
    </w:p>
    <w:p w:rsidRPr="00E82430" w:rsidR="004A3DCA" w:rsidP="00756290" w:rsidRDefault="004A3DCA" w14:paraId="79F473D0" w14:textId="77777777">
      <w:r w:rsidRPr="00E82430">
        <w:t xml:space="preserve">4.7. Scoping Phase </w:t>
      </w:r>
    </w:p>
    <w:p w:rsidRPr="00E82430" w:rsidR="004A3DCA" w:rsidP="004A3DCA" w:rsidRDefault="004A3DCA" w14:paraId="320BE79A" w14:textId="77777777">
      <w:r w:rsidRPr="00E82430">
        <w:t>A scoping phase will be necessary to prepare detailed plans in collaboration with BEIS and the Delivery Partner as well as refining proposals made during the bidding process, including mapping of stakeholders and existing data and evidence. We are open to suggestions around the best approach to this, although we envisage the following activities should be undertaken.</w:t>
      </w:r>
    </w:p>
    <w:p w:rsidRPr="00284BA1" w:rsidR="004A3DCA" w:rsidP="00756290" w:rsidRDefault="004A3DCA" w14:paraId="0DC0CE4C" w14:textId="6A2EEBBD">
      <w:pPr>
        <w:rPr>
          <w:rFonts w:cs="Arial"/>
          <w:szCs w:val="24"/>
        </w:rPr>
      </w:pPr>
      <w:r w:rsidRPr="00E82430">
        <w:t>1</w:t>
      </w:r>
      <w:r w:rsidRPr="00756290">
        <w:rPr>
          <w:sz w:val="22"/>
        </w:rPr>
        <w:t xml:space="preserve">. </w:t>
      </w:r>
      <w:r w:rsidRPr="00756290">
        <w:rPr>
          <w:rFonts w:asciiTheme="minorHAnsi" w:hAnsiTheme="minorHAnsi"/>
          <w:sz w:val="22"/>
        </w:rPr>
        <w:t xml:space="preserve">Produce a Scoping Report </w:t>
      </w:r>
      <w:r w:rsidRPr="00756290">
        <w:rPr>
          <w:rFonts w:asciiTheme="minorHAnsi" w:hAnsiTheme="minorHAnsi"/>
          <w:sz w:val="22"/>
        </w:rPr>
        <w:br/>
      </w:r>
      <w:r w:rsidRPr="00756290">
        <w:rPr>
          <w:rFonts w:asciiTheme="minorHAnsi" w:hAnsiTheme="minorHAnsi"/>
          <w:sz w:val="22"/>
        </w:rPr>
        <w:t xml:space="preserve">a. Review of core documents and ensure they are referred to as needed throughout the evaluation, including: MAGC business case; administrative arrangements; annual reviews; HMG’s International Climate Finance Strategy. </w:t>
      </w:r>
      <w:r w:rsidRPr="00756290">
        <w:rPr>
          <w:rFonts w:asciiTheme="minorHAnsi" w:hAnsiTheme="minorHAnsi"/>
          <w:sz w:val="22"/>
        </w:rPr>
        <w:br/>
      </w:r>
      <w:r w:rsidRPr="00756290">
        <w:rPr>
          <w:rFonts w:asciiTheme="minorHAnsi" w:hAnsiTheme="minorHAnsi"/>
          <w:sz w:val="22"/>
        </w:rPr>
        <w:t xml:space="preserve">b. Undertake a short rapid evidence review to see what existing data there is, what data is already captured in the log frame, and what data will be available from the delivery partner. </w:t>
      </w:r>
      <w:r w:rsidRPr="00756290">
        <w:rPr>
          <w:rFonts w:asciiTheme="minorHAnsi" w:hAnsiTheme="minorHAnsi"/>
          <w:sz w:val="22"/>
        </w:rPr>
        <w:br/>
      </w:r>
      <w:r w:rsidRPr="00756290">
        <w:rPr>
          <w:rFonts w:asciiTheme="minorHAnsi" w:hAnsiTheme="minorHAnsi"/>
          <w:sz w:val="22"/>
        </w:rPr>
        <w:t xml:space="preserve">c. Review M&amp;E indicators: review the MAGC theory of change, log frame, results framework and disaggregated data of the results framework that have been developed up to now and work with the programme delivery partner to understand the details or queries. These documents are our best understanding at present on how MAGC works. The Supplier will be able to provide recommendations for improvements or changes to these in the Interim evaluation. Working sessions with IFC and BEIS might be a useful way to work through the potential revision of these documents in the Interim evaluation to ensure buy-in from all parties. </w:t>
      </w:r>
      <w:r w:rsidRPr="00756290">
        <w:rPr>
          <w:rFonts w:asciiTheme="minorHAnsi" w:hAnsiTheme="minorHAnsi"/>
          <w:sz w:val="22"/>
        </w:rPr>
        <w:br/>
      </w:r>
      <w:r w:rsidRPr="00756290">
        <w:rPr>
          <w:rFonts w:asciiTheme="minorHAnsi" w:hAnsiTheme="minorHAnsi"/>
          <w:sz w:val="22"/>
        </w:rPr>
        <w:t xml:space="preserve">d. KPI Approach and Methodology review: The programme has a monitoring framework (log frame – including baseline for indicators) managed by IFC and reports against portfolio KPIs 6, 11 and </w:t>
      </w:r>
      <w:proofErr w:type="gramStart"/>
      <w:r w:rsidRPr="00756290">
        <w:rPr>
          <w:rFonts w:asciiTheme="minorHAnsi" w:hAnsiTheme="minorHAnsi"/>
          <w:sz w:val="22"/>
        </w:rPr>
        <w:t>126 .</w:t>
      </w:r>
      <w:proofErr w:type="gramEnd"/>
      <w:r w:rsidRPr="00756290">
        <w:rPr>
          <w:rFonts w:asciiTheme="minorHAnsi" w:hAnsiTheme="minorHAnsi"/>
          <w:sz w:val="22"/>
        </w:rPr>
        <w:t xml:space="preserve"> Separately, BEIS has developed a draft KPI 15 methodology to assess likelihood of transformational change (using a scale from 0 to 4). The evaluation should work with, and feed into, IFC monitoring activities, assessing the success of the KPI indicators, and adding value to the results already collected by IFC. During the scoping phase, the supplier will review the draft ICF KPI 15 methodology and the specific indicators that have been developed for it. This may involve a workshop with BEIS programme leads, analytical staff, the delivery partner, and other relevant stakeholders. The Supplier will be able to provide recommendations for improvements or changes to the KPI15 methodology in the Interim evaluation. </w:t>
      </w:r>
      <w:r w:rsidRPr="00756290">
        <w:rPr>
          <w:rFonts w:asciiTheme="minorHAnsi" w:hAnsiTheme="minorHAnsi"/>
          <w:sz w:val="22"/>
        </w:rPr>
        <w:br/>
      </w:r>
      <w:r w:rsidRPr="00756290">
        <w:rPr>
          <w:rFonts w:asciiTheme="minorHAnsi" w:hAnsiTheme="minorHAnsi"/>
          <w:sz w:val="22"/>
        </w:rPr>
        <w:t xml:space="preserve">e. Prepare a detailed workplan for delivering the evaluation work, which will outline the final delivery approach and timelines for planned evaluation and learning activities up until 2026/27. This plan should include refined evaluation questions that have been tested for viability and country scope, research and learning activities, methods and outputs, timeline, a risk register, and propose the frequency of interaction with BEIS at all stages of the contract. </w:t>
      </w:r>
      <w:r w:rsidRPr="00756290">
        <w:rPr>
          <w:rFonts w:asciiTheme="minorHAnsi" w:hAnsiTheme="minorHAnsi"/>
          <w:sz w:val="22"/>
        </w:rPr>
        <w:br/>
      </w:r>
      <w:r w:rsidRPr="00756290">
        <w:rPr>
          <w:rFonts w:asciiTheme="minorHAnsi" w:hAnsiTheme="minorHAnsi"/>
          <w:sz w:val="22"/>
        </w:rPr>
        <w:t xml:space="preserve">i. Update the management plan which will outline how the Supplier will ensure that programme activities are delivered to an acceptable quality and outline the ways of working with BEIS and the Delivery Partner. </w:t>
      </w:r>
      <w:r w:rsidRPr="00756290">
        <w:rPr>
          <w:rFonts w:asciiTheme="minorHAnsi" w:hAnsiTheme="minorHAnsi"/>
          <w:sz w:val="22"/>
        </w:rPr>
        <w:br/>
      </w:r>
      <w:r w:rsidRPr="00313A2E">
        <w:t>ii. Update the budget breakdown and financial forecast for all planned MAGC evaluation activities over a four/five-year timeframe, broken down according to activity per quarter.</w:t>
      </w:r>
      <w:r w:rsidRPr="00F93C00">
        <w:rPr>
          <w:rStyle w:val="FootnoteReference"/>
        </w:rPr>
        <w:footnoteReference w:id="30"/>
      </w:r>
      <w:r w:rsidRPr="00756290">
        <w:t xml:space="preserve"> </w:t>
      </w:r>
    </w:p>
    <w:p w:rsidRPr="00E82430" w:rsidR="004A3DCA" w:rsidP="004A3DCA" w:rsidRDefault="004A3DCA" w14:paraId="38B6FACC" w14:textId="7D315D65">
      <w:r w:rsidRPr="00E82430">
        <w:t>Update and refine the gender, equality, and social inclusion (</w:t>
      </w:r>
      <w:r w:rsidR="00A5555A">
        <w:t>GESI</w:t>
      </w:r>
      <w:r w:rsidRPr="00E82430">
        <w:t xml:space="preserve">) assessment approach, outlining how gender and inclusion issues will be addressed in the evaluation, taking into consideration the limits of data which data IFC is able to provide to this purpose. </w:t>
      </w:r>
    </w:p>
    <w:p w:rsidRPr="00284BA1" w:rsidR="004A3DCA" w:rsidP="00756290" w:rsidRDefault="004A3DCA" w14:paraId="5EC03EFF" w14:textId="594924F2">
      <w:pPr>
        <w:rPr>
          <w:rFonts w:cs="Arial"/>
          <w:szCs w:val="24"/>
        </w:rPr>
      </w:pPr>
      <w:r w:rsidRPr="00756290">
        <w:rPr>
          <w:rFonts w:asciiTheme="minorHAnsi" w:hAnsiTheme="minorHAnsi"/>
          <w:sz w:val="22"/>
        </w:rPr>
        <w:t xml:space="preserve">2. Coordinate work with the Delivery Partner and BEIS </w:t>
      </w:r>
      <w:r w:rsidRPr="00756290">
        <w:rPr>
          <w:rFonts w:asciiTheme="minorHAnsi" w:hAnsiTheme="minorHAnsi"/>
          <w:sz w:val="22"/>
        </w:rPr>
        <w:br/>
      </w:r>
      <w:r w:rsidRPr="00756290">
        <w:t xml:space="preserve">a. </w:t>
      </w:r>
      <w:r w:rsidRPr="00756290">
        <w:rPr>
          <w:rFonts w:asciiTheme="minorHAnsi" w:hAnsiTheme="minorHAnsi"/>
          <w:sz w:val="22"/>
        </w:rPr>
        <w:t xml:space="preserve">Coordination with the Delivery Partner: Implement an agreed protocol to coordinate work with BEIS and the Delivery Partner, with clear responsibilities and timelines. This will include setting out how the Delivery Partner will feed into evaluation work, including data sharing agreements and a reporting schedule. BEIS will lead on establishing a 3-way MOU between all parties on the principles of working together and information sharing, </w:t>
      </w:r>
      <w:r w:rsidRPr="00756290">
        <w:rPr>
          <w:rFonts w:asciiTheme="minorHAnsi" w:hAnsiTheme="minorHAnsi"/>
          <w:sz w:val="22"/>
        </w:rPr>
        <w:t xml:space="preserve">with detailed implementation of the MOU led by the Supplier. </w:t>
      </w:r>
      <w:r w:rsidRPr="00756290">
        <w:rPr>
          <w:rFonts w:asciiTheme="minorHAnsi" w:hAnsiTheme="minorHAnsi"/>
          <w:sz w:val="22"/>
        </w:rPr>
        <w:br/>
      </w:r>
      <w:r w:rsidRPr="00F93C00">
        <w:t xml:space="preserve">b. </w:t>
      </w:r>
      <w:r w:rsidRPr="00756290">
        <w:t xml:space="preserve">Ensure robust ethical standards: </w:t>
      </w:r>
      <w:r w:rsidRPr="00F93C00">
        <w:t xml:space="preserve">Develop protocols (e.g., ethics forms) to ensure that all participants give informed consent to participate in research activities. Bidders should propose plans on how such standards will be maintained and checked throughout. These will be set up and refined in the scoping phase. We suggest the Supplier should as a minimum organise a workshop with BEIS and the Delivery Partner once a workplan has been drafted to ensure its feasibility and to agree and gain buy-in to the final planned approach. </w:t>
      </w:r>
    </w:p>
    <w:p w:rsidRPr="00E82430" w:rsidR="004A3DCA" w:rsidP="00756290" w:rsidRDefault="004A3DCA" w14:paraId="103DA324" w14:textId="77777777">
      <w:r w:rsidRPr="00E82430">
        <w:t xml:space="preserve">4.8. Interim Evaluation </w:t>
      </w:r>
    </w:p>
    <w:p w:rsidRPr="00E82430" w:rsidR="004A3DCA" w:rsidP="004A3DCA" w:rsidRDefault="004A3DCA" w14:paraId="27A86223" w14:textId="77777777">
      <w:r w:rsidRPr="00E82430">
        <w:t xml:space="preserve">The interim evaluation will consist of three parts: </w:t>
      </w:r>
    </w:p>
    <w:p w:rsidRPr="00284BA1" w:rsidR="004A3DCA" w:rsidP="00756290" w:rsidRDefault="004A3DCA" w14:paraId="01C9AC30" w14:textId="62E92F35">
      <w:pPr>
        <w:rPr>
          <w:rFonts w:cs="Arial"/>
          <w:szCs w:val="24"/>
        </w:rPr>
      </w:pPr>
      <w:r w:rsidRPr="00756290">
        <w:rPr>
          <w:rFonts w:asciiTheme="minorHAnsi" w:hAnsiTheme="minorHAnsi"/>
          <w:sz w:val="22"/>
        </w:rPr>
        <w:t xml:space="preserve">1. A Process Evaluation This evaluation will aim to inform strategy and governance at the programme level as well as programme design (Tier 0 of proposed country approach – see Specification of Requirements, Section 3). We are open to suggestions around the best approach to this, although we envisage this component evaluating: a. </w:t>
      </w:r>
      <w:proofErr w:type="spellStart"/>
      <w:r w:rsidRPr="00E82430">
        <w:t>the</w:t>
      </w:r>
      <w:r w:rsidRPr="00756290">
        <w:rPr>
          <w:rFonts w:asciiTheme="minorHAnsi" w:hAnsiTheme="minorHAnsi"/>
          <w:sz w:val="22"/>
        </w:rPr>
        <w:t>t</w:t>
      </w:r>
      <w:proofErr w:type="spellEnd"/>
      <w:r w:rsidRPr="00756290">
        <w:rPr>
          <w:rFonts w:asciiTheme="minorHAnsi" w:hAnsiTheme="minorHAnsi"/>
          <w:sz w:val="22"/>
        </w:rPr>
        <w:t xml:space="preserve"> appropriateness and effectiveness of the management approach agreed with the delivery partner. </w:t>
      </w:r>
      <w:r w:rsidRPr="00756290">
        <w:t xml:space="preserve">b. appropriateness and effectiveness of the team, reporting, governance structure within and across BEIS and the Delivery Partner. c. how well unique aspects of the programmes (e.g., EDGE and Research) have been delivered and lessons learned. d. </w:t>
      </w:r>
      <w:proofErr w:type="spellStart"/>
      <w:r w:rsidRPr="00E82430">
        <w:t>how</w:t>
      </w:r>
      <w:r w:rsidRPr="00756290">
        <w:rPr>
          <w:rFonts w:asciiTheme="minorHAnsi" w:hAnsiTheme="minorHAnsi"/>
          <w:sz w:val="22"/>
        </w:rPr>
        <w:t>h</w:t>
      </w:r>
      <w:proofErr w:type="spellEnd"/>
      <w:r w:rsidRPr="00756290">
        <w:rPr>
          <w:rFonts w:asciiTheme="minorHAnsi" w:hAnsiTheme="minorHAnsi"/>
          <w:sz w:val="22"/>
        </w:rPr>
        <w:t xml:space="preserve"> the design of MAGC affects the programmes objectives </w:t>
      </w:r>
      <w:r w:rsidRPr="00284BA1">
        <w:t xml:space="preserve">e. </w:t>
      </w:r>
      <w:proofErr w:type="spellStart"/>
      <w:r w:rsidRPr="00E82430">
        <w:t>how</w:t>
      </w:r>
      <w:r w:rsidRPr="00284BA1">
        <w:rPr>
          <w:rFonts w:cs="Arial"/>
          <w:szCs w:val="24"/>
        </w:rPr>
        <w:t>h</w:t>
      </w:r>
      <w:proofErr w:type="spellEnd"/>
      <w:r w:rsidRPr="00284BA1">
        <w:t xml:space="preserve"> Gender Equality and Social Inclusion can be designed in future similar programmes. Findings should be presented in an evaluation report, which includes a section summarizing recommended improvements based on evidence, and a technical annex. All raw data and materials should be provided to BEIS. We suggest that a learning workshop should be organized with BEIS and the Delivery partner to present the findings and decide how to best proceed for the rest of the programme delivery, but we are open to alternative suggestions.</w:t>
      </w:r>
    </w:p>
    <w:p w:rsidRPr="00284BA1" w:rsidR="00284BA1" w:rsidP="00756290" w:rsidRDefault="004A3DCA" w14:paraId="20F5CDE5" w14:textId="26C5019C">
      <w:r w:rsidRPr="00E82430">
        <w:t xml:space="preserve">2. </w:t>
      </w:r>
      <w:r w:rsidRPr="00756290">
        <w:t>An evaluation of MAGC early outcomes</w:t>
      </w:r>
      <w:r w:rsidRPr="00284BA1">
        <w:t xml:space="preserve"> </w:t>
      </w:r>
    </w:p>
    <w:p w:rsidRPr="009C1DAE" w:rsidR="004A3DCA" w:rsidP="00756290" w:rsidRDefault="004A3DCA" w14:paraId="06956BAA" w14:textId="78A6B5E4">
      <w:r w:rsidRPr="00756290">
        <w:rPr>
          <w:rFonts w:asciiTheme="minorHAnsi" w:hAnsiTheme="minorHAnsi"/>
          <w:sz w:val="22"/>
        </w:rPr>
        <w:t xml:space="preserve">This evaluation will aim at improving the ongoing delivery of results effectively and learn for future similar programmes, by evaluating progress. It will examine the extent to which programme early outcomes are being achieved and provide a light-touch assessment of the extent to which future achievement of outcomes, impacts and transformational change is likely and realistic. We want to understand to what extent, and through what activities, MAGC is contributing to the achievement of early outcomes. We are open to suggestions around the best approach to this, although we would like this to include at least the following two components: </w:t>
      </w:r>
      <w:r w:rsidRPr="00756290">
        <w:rPr>
          <w:rFonts w:asciiTheme="minorHAnsi" w:hAnsiTheme="minorHAnsi"/>
          <w:sz w:val="22"/>
        </w:rPr>
        <w:br/>
      </w:r>
      <w:r w:rsidRPr="00E82430">
        <w:t xml:space="preserve">a. </w:t>
      </w:r>
      <w:r w:rsidRPr="00756290">
        <w:rPr>
          <w:rFonts w:asciiTheme="minorHAnsi" w:hAnsiTheme="minorHAnsi"/>
          <w:sz w:val="22"/>
        </w:rPr>
        <w:t xml:space="preserve">Assessment of progress in some selected participating countries, using relevant evidence to review achievement of programme outputs and interim outcomes. This may include interviews and surveys with FIs, Developers, and, where possible, public policy makers, industry associations and universities for each of the four MAGC components. The Delivery Partner will be able to provide some information/contact details for this. We envisage data to be collected at the Tier 2 level of the proposed country approach (see Specification of Requirements, Section 3). Findings should be presented in a detailed evaluation report, which should recommend any improvement to programme delivery based on these findings, plus a technical annex. All raw data and materials should also be provided to BEIS. </w:t>
      </w:r>
      <w:r w:rsidRPr="00756290">
        <w:rPr>
          <w:rFonts w:asciiTheme="minorHAnsi" w:hAnsiTheme="minorHAnsi"/>
          <w:sz w:val="22"/>
        </w:rPr>
        <w:br/>
      </w:r>
      <w:r w:rsidRPr="00E82430">
        <w:t xml:space="preserve">b. </w:t>
      </w:r>
      <w:r w:rsidRPr="00284BA1">
        <w:t xml:space="preserve">In-depth analysis of progress in ‘deep dive’ countries (Tier 3 of proposed country approach, see Specification of Requirements, Section 3). We are open to suggestions around the best </w:t>
      </w:r>
      <w:r w:rsidRPr="00284BA1">
        <w:t xml:space="preserve">approach to this, which may involve but not be limited to a greater quantity and range of qualitative interviews, or further political economy analysis or desk-based research. It may also involve site visits to a sample of the projects that have received investment. Findings should be reported as separate interim country-specific reports, including a technical annex. All raw data and materials should also be provided to BEIS. </w:t>
      </w:r>
    </w:p>
    <w:p w:rsidRPr="009C1DAE" w:rsidR="004A3DCA" w:rsidP="00756290" w:rsidRDefault="004A3DCA" w14:paraId="2D501E25" w14:textId="2E9CD242">
      <w:r w:rsidRPr="00E82430">
        <w:t xml:space="preserve">3. </w:t>
      </w:r>
      <w:r w:rsidRPr="00756290">
        <w:t>A value-for-money interim evaluation</w:t>
      </w:r>
      <w:r w:rsidRPr="00284BA1">
        <w:t xml:space="preserve">. </w:t>
      </w:r>
    </w:p>
    <w:p w:rsidRPr="00284BA1" w:rsidR="004A3DCA" w:rsidP="00756290" w:rsidRDefault="004A3DCA" w14:paraId="75A12C8F" w14:textId="77777777">
      <w:r w:rsidRPr="00284BA1">
        <w:t>This evaluation will assess indicators of economy, efficiency, effectiveness, and equity of the programme in relation to programme results for each of the four main MAGC programme components (Tier 0 of proposed country approach, see Specification of Requirements, Section 3). Findings should be presented in a VfM interim programme report, plus a technical annex. All raw data should also be provided to BEIS. A shorter synthesis report will bring together key learnings from across the country deep dives as well as key findings from the programme level and lighter-level evaluation works across other MAGC countries.</w:t>
      </w:r>
    </w:p>
    <w:p w:rsidRPr="00E82430" w:rsidR="004A3DCA" w:rsidP="00756290" w:rsidRDefault="004A3DCA" w14:paraId="43374FDA" w14:textId="77777777">
      <w:r w:rsidRPr="00E82430">
        <w:t>4.9. Interval period</w:t>
      </w:r>
    </w:p>
    <w:p w:rsidRPr="00E82430" w:rsidR="004A3DCA" w:rsidP="00756290" w:rsidRDefault="004A3DCA" w14:paraId="3BFF393C" w14:textId="22241537">
      <w:r w:rsidRPr="00E82430">
        <w:t xml:space="preserve">There will necessarily be a quiet interval period between the interim and final evaluations (likely 18 – 24 months). During this period, we anticipate that the Supplier will need to keep in touch with BEIS and the MAGC programme by: </w:t>
      </w:r>
      <w:r w:rsidRPr="00E82430">
        <w:br/>
      </w:r>
      <w:r w:rsidRPr="00E82430">
        <w:t xml:space="preserve">• Attending Steering Group meetings once per year (half day per year) </w:t>
      </w:r>
      <w:r w:rsidRPr="00E82430">
        <w:br/>
      </w:r>
      <w:r w:rsidRPr="00E82430">
        <w:t xml:space="preserve">• Engaging in a number of relevant events, minimum 3 over this period. We suggest learning workshop(s) should be organised with BEIS and the Delivery partner to make sense of the findings, support understanding and embedding into the programme where feasible from the interim evaluation and decide how to best proceed for the rest of the programme delivery, but we are open to alternative suggestions. Bidders should detail any other proposals for staying in touch during this period and the value of this to delivering the Evaluation. Bidders should also detail mitigation measures for knowledge retention and handover during the interval period phase. </w:t>
      </w:r>
    </w:p>
    <w:p w:rsidRPr="00E82430" w:rsidR="004A3DCA" w:rsidP="00756290" w:rsidRDefault="004A3DCA" w14:paraId="494380DF" w14:textId="77777777">
      <w:r w:rsidRPr="00E82430">
        <w:t xml:space="preserve">4.10. Re-Scoping phase. </w:t>
      </w:r>
    </w:p>
    <w:p w:rsidRPr="00E82430" w:rsidR="004A3DCA" w:rsidP="004A3DCA" w:rsidRDefault="004A3DCA" w14:paraId="3DB3CF31" w14:textId="77777777">
      <w:r w:rsidRPr="00E82430">
        <w:t xml:space="preserve">Before undertaking the final evaluation, a short re-scoping phase will be required, working with BEIS and the Evaluation Partner to update the Scoping Report, considering the results from the Interim evaluation as well as any adaptation required (e.g., change of priorities, delays in the programme delivery, etc.). We are open to suggestions around the best approach and timeline for this. </w:t>
      </w:r>
    </w:p>
    <w:p w:rsidRPr="00E82430" w:rsidR="004A3DCA" w:rsidP="00756290" w:rsidRDefault="004A3DCA" w14:paraId="36205F05" w14:textId="77777777">
      <w:r w:rsidRPr="00E82430">
        <w:t xml:space="preserve">4.11. Final Evaluation. </w:t>
      </w:r>
    </w:p>
    <w:p w:rsidRPr="00E82430" w:rsidR="004A3DCA" w:rsidP="004A3DCA" w:rsidRDefault="004A3DCA" w14:paraId="12EA22F4" w14:textId="77777777">
      <w:r w:rsidRPr="00E82430">
        <w:t xml:space="preserve">The final evaluation will build on the interim evaluation. We are open to suggestions around the best approach to this, although this should include at least the following two components: </w:t>
      </w:r>
    </w:p>
    <w:p w:rsidRPr="00756290" w:rsidR="00284BA1" w:rsidP="00756290" w:rsidRDefault="004A3DCA" w14:paraId="64E09FF1" w14:textId="77777777">
      <w:r w:rsidRPr="00E82430">
        <w:t xml:space="preserve">1. </w:t>
      </w:r>
      <w:r w:rsidRPr="00756290">
        <w:t xml:space="preserve">An evaluation of MAGC outcomes/impact </w:t>
      </w:r>
    </w:p>
    <w:p w:rsidRPr="009C1DAE" w:rsidR="004A3DCA" w:rsidP="00756290" w:rsidRDefault="004A3DCA" w14:paraId="5F3FD398" w14:textId="762AD956">
      <w:r w:rsidRPr="00284BA1">
        <w:t xml:space="preserve">The final evaluation will systematically assess the MAGC contribution to its outcomes and impacts as set out in the Theory of Change, and evaluate to what extent, and through what activities, the programme has or is set to achieve transformational change in the countries it works in. It will also include a </w:t>
      </w:r>
      <w:r w:rsidRPr="00284BA1" w:rsidR="00A5555A">
        <w:t>GESI</w:t>
      </w:r>
      <w:r w:rsidRPr="00284BA1">
        <w:t xml:space="preserve"> assessment for learning purposes. The final evaluation report will be published and used to inform decisions about whether to extend the programme, or on the design of future ICF programmes. As per the interim evaluation, the final evaluation should include at least the following two components: a. Assessment of countries where MAGC activities have happened (Tier 1 of country approach, see X), using relevant evidence to review achievement of MAGC outcomes and its long-term desired impact. b. In-depth analysis of progress in the ‘deep dive’ countries (Tier 3 of country approach, see X) included in the interim evaluation. Although there will be room in the re-scoping phase to assess whether the choice of deep dive countries should be revisited. Findings should be presented in a detailed evaluation report, including programme specific recommendations that can be used to inform other ICF programmes and a technical annex, plus separate country reports. All raw data and materials should also be provided to BEIS. </w:t>
      </w:r>
    </w:p>
    <w:p w:rsidRPr="00756290" w:rsidR="00EF5283" w:rsidP="00756290" w:rsidRDefault="004A3DCA" w14:paraId="35FCD23D" w14:textId="5D4E9A3F">
      <w:r w:rsidRPr="00E82430">
        <w:t xml:space="preserve">2. </w:t>
      </w:r>
      <w:r w:rsidRPr="00756290">
        <w:t xml:space="preserve">Value for money assessment. </w:t>
      </w:r>
    </w:p>
    <w:p w:rsidRPr="00EF5283" w:rsidR="004A3DCA" w:rsidP="00756290" w:rsidRDefault="004A3DCA" w14:paraId="18C3F6DA" w14:textId="5C90B1AB">
      <w:r w:rsidRPr="00EF5283">
        <w:t xml:space="preserve">This evaluation will undertake a full value for money assessment at the MAGC programme level (Tier 0), using an established and robust framework, such as the 4E Value for Money framework, for each of the four main MAGC programme components. Findings should be presented in a VfM programme report and a technical annex. All raw data and materials should also be provided to BEIS. A shorter synthesis report will bring together key learnings from across the country deep dives as well as key findings from the programme level and lighter-level evaluation works across the other MAGC countries. We suggest a presentation should be organized with BEIS and the Delivery partner to present the findings from the final evaluation, key achievements and lessons-learnt from all strands of the evaluation, but we are open to alternative suggestions. </w:t>
      </w:r>
    </w:p>
    <w:p w:rsidRPr="00E82430" w:rsidR="004A3DCA" w:rsidP="00756290" w:rsidRDefault="004A3DCA" w14:paraId="30E1D0AE" w14:textId="77777777">
      <w:r w:rsidRPr="00E82430">
        <w:t xml:space="preserve">4.12. Learning and Dissemination </w:t>
      </w:r>
    </w:p>
    <w:p w:rsidRPr="00EF5283" w:rsidR="004A3DCA" w:rsidP="00756290" w:rsidRDefault="004A3DCA" w14:paraId="620F61A0" w14:textId="3B0C7DC6">
      <w:r w:rsidRPr="00E82430">
        <w:t xml:space="preserve">Learning and dissemination is an important part of this contract. The Supplier will be responsible for disseminating learning and encourage implementation of suggested ways of improving (for MAGC and ICF programming more widely) based on its evaluation activity throughout the whole length of the contract. Dissemination of lessons learned across government and the wider community is also vital. This should be undertaken in coordination with the delivery partner, who is organising learning events to disseminate results of the research component of the programme. We are open to innovative suggestions around the best approach to this, although we would like this to include at least the following three components: </w:t>
      </w:r>
      <w:r w:rsidRPr="00E82430">
        <w:br/>
      </w:r>
      <w:r w:rsidRPr="00E82430">
        <w:t xml:space="preserve">1. </w:t>
      </w:r>
      <w:r w:rsidRPr="00756290">
        <w:rPr>
          <w:rFonts w:asciiTheme="minorHAnsi" w:hAnsiTheme="minorHAnsi"/>
          <w:sz w:val="22"/>
        </w:rPr>
        <w:t xml:space="preserve">Intra-programme team learning workshops </w:t>
      </w:r>
      <w:proofErr w:type="gramStart"/>
      <w:r w:rsidRPr="00756290">
        <w:rPr>
          <w:rFonts w:asciiTheme="minorHAnsi" w:hAnsiTheme="minorHAnsi"/>
          <w:sz w:val="22"/>
        </w:rPr>
        <w:t>As</w:t>
      </w:r>
      <w:proofErr w:type="gramEnd"/>
      <w:r w:rsidRPr="00756290">
        <w:rPr>
          <w:rFonts w:asciiTheme="minorHAnsi" w:hAnsiTheme="minorHAnsi"/>
          <w:sz w:val="22"/>
        </w:rPr>
        <w:t xml:space="preserve"> flagged in the interim evaluation phase, the Supplier will be expected to run learning workshops with BEIS and the Delivery Partner on both process and early/final outcomes/</w:t>
      </w:r>
      <w:proofErr w:type="spellStart"/>
      <w:r w:rsidRPr="00756290">
        <w:rPr>
          <w:rFonts w:asciiTheme="minorHAnsi" w:hAnsiTheme="minorHAnsi"/>
          <w:sz w:val="22"/>
        </w:rPr>
        <w:t>vfm</w:t>
      </w:r>
      <w:proofErr w:type="spellEnd"/>
      <w:r w:rsidRPr="00756290">
        <w:rPr>
          <w:rFonts w:asciiTheme="minorHAnsi" w:hAnsiTheme="minorHAnsi"/>
          <w:sz w:val="22"/>
        </w:rPr>
        <w:t xml:space="preserve"> findings. </w:t>
      </w:r>
      <w:r w:rsidRPr="00756290">
        <w:rPr>
          <w:rFonts w:asciiTheme="minorHAnsi" w:hAnsiTheme="minorHAnsi"/>
          <w:sz w:val="22"/>
        </w:rPr>
        <w:br/>
      </w:r>
      <w:r w:rsidRPr="00E82430">
        <w:t xml:space="preserve">2. </w:t>
      </w:r>
      <w:r w:rsidRPr="00756290">
        <w:rPr>
          <w:rFonts w:asciiTheme="minorHAnsi" w:hAnsiTheme="minorHAnsi"/>
          <w:sz w:val="22"/>
        </w:rPr>
        <w:t xml:space="preserve">Cross Government learning events Undertake at least three webinars or in-person events across the UK government (including FCDO, Defra and BEIS) on specific learnings from the evaluation, spread across the </w:t>
      </w:r>
      <w:r w:rsidRPr="00756290">
        <w:rPr>
          <w:rFonts w:asciiTheme="minorHAnsi" w:hAnsiTheme="minorHAnsi"/>
          <w:sz w:val="22"/>
        </w:rPr>
        <w:t xml:space="preserve">duration of the contract. </w:t>
      </w:r>
      <w:r w:rsidRPr="00756290">
        <w:rPr>
          <w:rFonts w:asciiTheme="minorHAnsi" w:hAnsiTheme="minorHAnsi"/>
          <w:sz w:val="22"/>
        </w:rPr>
        <w:br/>
      </w:r>
      <w:r w:rsidRPr="00E82430">
        <w:t xml:space="preserve">3. </w:t>
      </w:r>
      <w:r w:rsidRPr="00EF5283">
        <w:t>Disseminate findings externally Share findings from the MAGC interim and final evaluation, by proactively identifying (jointly with BEIS) dissemination opportunities through universities, research organisations and think tanks and other relevant channels. This should include presenting the evaluation approach/findings in at least two relevant conferences or events.</w:t>
      </w:r>
    </w:p>
    <w:p w:rsidRPr="00E82430" w:rsidR="004A3DCA" w:rsidP="004A3DCA" w:rsidRDefault="004A3DCA" w14:paraId="03211CBB" w14:textId="77777777">
      <w:r w:rsidRPr="00E82430">
        <w:t xml:space="preserve">Bidders should propose their Learning and Dissemination plans. These, alongside relevant stakeholders’ identification, will be finalized with BEIS during the Scoping phase. </w:t>
      </w:r>
    </w:p>
    <w:p w:rsidRPr="00E82430" w:rsidR="004A3DCA" w:rsidP="00756290" w:rsidRDefault="004A3DCA" w14:paraId="2857F11A" w14:textId="77777777">
      <w:r w:rsidRPr="00E82430">
        <w:t xml:space="preserve">4.13. Closure Phase </w:t>
      </w:r>
    </w:p>
    <w:p w:rsidRPr="003C25DB" w:rsidR="004A3DCA" w:rsidP="00756290" w:rsidRDefault="004A3DCA" w14:paraId="50C92AA5" w14:textId="629AADD9">
      <w:r w:rsidRPr="00E82430">
        <w:t xml:space="preserve">In the final months of the Contract, the Supplier will need to undertake all work required for the programme’s closure and a smooth completion of all activities. This must comply with the Terms and Conditions of contract and will involve the following tasks: </w:t>
      </w:r>
      <w:r w:rsidRPr="00E82430">
        <w:br/>
      </w:r>
      <w:r w:rsidRPr="00E82430">
        <w:t xml:space="preserve">1. </w:t>
      </w:r>
      <w:r w:rsidRPr="00756290">
        <w:rPr>
          <w:rFonts w:asciiTheme="minorHAnsi" w:hAnsiTheme="minorHAnsi"/>
          <w:sz w:val="22"/>
        </w:rPr>
        <w:t>Completing all deliverables and sharing all raw data with BEIS</w:t>
      </w:r>
      <w:r w:rsidRPr="00E82430">
        <w:t xml:space="preserve"> </w:t>
      </w:r>
      <w:r w:rsidRPr="00E82430">
        <w:br/>
      </w:r>
      <w:r w:rsidRPr="00E82430">
        <w:t xml:space="preserve">2. </w:t>
      </w:r>
      <w:r w:rsidRPr="00756290">
        <w:rPr>
          <w:rFonts w:asciiTheme="minorHAnsi" w:hAnsiTheme="minorHAnsi"/>
          <w:sz w:val="22"/>
        </w:rPr>
        <w:t xml:space="preserve">Finalising all reporting requirements. </w:t>
      </w:r>
      <w:r w:rsidRPr="00756290">
        <w:rPr>
          <w:rFonts w:asciiTheme="minorHAnsi" w:hAnsiTheme="minorHAnsi"/>
          <w:sz w:val="22"/>
        </w:rPr>
        <w:br/>
      </w:r>
      <w:r w:rsidRPr="00E82430">
        <w:t xml:space="preserve">3. </w:t>
      </w:r>
      <w:r w:rsidRPr="003C25DB">
        <w:t xml:space="preserve">Transferring any MAGC evaluation materials which BEIS would need access to or ownership of if it were to re-tender the workstream, e.g., learning materials, reports, etc. </w:t>
      </w:r>
    </w:p>
    <w:p w:rsidRPr="00E82430" w:rsidR="004A3DCA" w:rsidP="00756290" w:rsidRDefault="004A3DCA" w14:paraId="5075CF43" w14:textId="77777777">
      <w:r w:rsidRPr="00E82430">
        <w:t xml:space="preserve">5. Timeline and Deliverables </w:t>
      </w:r>
    </w:p>
    <w:p w:rsidRPr="00E82430" w:rsidR="004A3DCA" w:rsidP="004A3DCA" w:rsidRDefault="004A3DCA" w14:paraId="529D1694" w14:textId="6BB9F9DD">
      <w:r w:rsidRPr="00E82430">
        <w:t xml:space="preserve">A high-level summary of the Evaluation Partner’s deliverables, and deadlines are set out in Table 7 below. At a minimum, the Supplier will need to meet the deadlines as per the table below. Bidders should provide in their proposal an indicative delivery timeline, including tasks under each stage of delivery, to meet these timepoints. The final timeline will be agreed with the Supplier in the scoping phase, and via ongoing assessment of overall programme progress against the Supplier’s workplan. At a minimum, the Supplier will need to deliver the following outputs as per the table below. Whilst the provision of reports is a mandatory requirement to enable BEIS to fulfil its obligations as the donor for MAGC, within these outputs, bidders are encouraged to include innovative approaches to bring the findings to life (e.g., </w:t>
      </w:r>
      <w:proofErr w:type="spellStart"/>
      <w:r w:rsidRPr="00E82430">
        <w:t>voxpop</w:t>
      </w:r>
      <w:proofErr w:type="spellEnd"/>
      <w:r w:rsidRPr="00E82430">
        <w:t xml:space="preserve"> interviews, site-visit videos, dashboards, or other digital tools) and provide outputs that will support engagement with the delivery partner and the uptake of lessons and findings. If other outputs are suggested and accepted as part of the methodology of the Supplier, these will be added to this list for the contract. Bidders should outline in their proposal how they would present these outputs and how their suggestions will add value to BEIS and the MAGC programme. The final list of deliverables will be finalised in the contract and may be varied slightly in the scoping phase with the agreement of both BEIS and the Supplier. As BEIS aims to share learning for future programmes, all final reports will be published after being edited for commercial or political sensitivities. Presentations or, for example, the minutes of workshops will not be published. It is expected that the Supplier should agree with BEIS an outline of a deliverable’s content prior to it being developed in full. The Supplier is encouraged to share draft versions of the deliverables identified well before agreed deadlines, to ensure that they are of an acceptable quality and can be finalised in a timely manner. </w:t>
      </w:r>
    </w:p>
    <w:p w:rsidRPr="00E82430" w:rsidR="004A3DCA" w:rsidP="00756290" w:rsidRDefault="004A3DCA" w14:paraId="6F78126A" w14:textId="77777777">
      <w:r w:rsidRPr="00E82430">
        <w:t>Table 7: Learning and Evaluation Partner’s Deliverables Timetable</w:t>
      </w:r>
    </w:p>
    <w:p w:rsidRPr="00E82430" w:rsidR="004A3DCA" w:rsidP="004A3DCA" w:rsidRDefault="004A3DCA" w14:paraId="6C6766DD" w14:textId="779A0C36">
      <w:r w:rsidRPr="00FC25FC">
        <w:rPr>
          <w:noProof/>
        </w:rPr>
        <w:drawing>
          <wp:inline distT="0" distB="0" distL="0" distR="0" wp14:anchorId="0D4AA4EB" wp14:editId="112C6003">
            <wp:extent cx="4171950" cy="6645813"/>
            <wp:effectExtent l="0" t="0" r="0" b="3175"/>
            <wp:docPr id="604368991" name="Picture 6" descr="Table showing the timetable and phases of the learning and evaluation partner's deliverables. The timetable starts in October of 2023 and ends in August of 2027. There are seven phases in total. This first image shows the Scoping phase, the process evaluation, the early outcome evaluation and VfM assessment, the re-scoping phase and the final evaluation. This image also shows that the contract was awarded in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68991" name="Picture 6" descr="Table showing the timetable and phases of the learning and evaluation partner's deliverables. The timetable starts in October of 2023 and ends in August of 2027. There are seven phases in total. This first image shows the Scoping phase, the process evaluation, the early outcome evaluation and VfM assessment, the re-scoping phase and the final evaluation. This image also shows that the contract was awarded in April 2023"/>
                    <pic:cNvPicPr/>
                  </pic:nvPicPr>
                  <pic:blipFill>
                    <a:blip r:embed="rId52">
                      <a:extLst>
                        <a:ext uri="{28A0092B-C50C-407E-A947-70E740481C1C}">
                          <a14:useLocalDpi xmlns:a14="http://schemas.microsoft.com/office/drawing/2010/main" val="0"/>
                        </a:ext>
                      </a:extLst>
                    </a:blip>
                    <a:stretch>
                      <a:fillRect/>
                    </a:stretch>
                  </pic:blipFill>
                  <pic:spPr>
                    <a:xfrm>
                      <a:off x="0" y="0"/>
                      <a:ext cx="4176678" cy="6653345"/>
                    </a:xfrm>
                    <a:prstGeom prst="rect">
                      <a:avLst/>
                    </a:prstGeom>
                  </pic:spPr>
                </pic:pic>
              </a:graphicData>
            </a:graphic>
          </wp:inline>
        </w:drawing>
      </w:r>
    </w:p>
    <w:p w:rsidRPr="00E82430" w:rsidR="004A3DCA" w:rsidP="004A3DCA" w:rsidRDefault="004A3DCA" w14:paraId="55E21DF3" w14:textId="086C38F8">
      <w:r w:rsidRPr="00FC25FC">
        <w:rPr>
          <w:noProof/>
        </w:rPr>
        <w:drawing>
          <wp:inline distT="0" distB="0" distL="0" distR="0" wp14:anchorId="7E5F23BE" wp14:editId="53E1FF60">
            <wp:extent cx="4299725" cy="3003550"/>
            <wp:effectExtent l="0" t="0" r="5715" b="6350"/>
            <wp:docPr id="1609993604" name="Picture 7" descr="Table showing the timetable and phases of the learning and evaluation partner's deliverables. The timetable starts in October of 2023 and ends in August of 2027. There are seven phases in total. This second image shows the Final evaluation, the learning and dissemination and the closur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3604" name="Picture 7" descr="Table showing the timetable and phases of the learning and evaluation partner's deliverables. The timetable starts in October of 2023 and ends in August of 2027. There are seven phases in total. This second image shows the Final evaluation, the learning and dissemination and the closure phase."/>
                    <pic:cNvPicPr/>
                  </pic:nvPicPr>
                  <pic:blipFill>
                    <a:blip r:embed="rId53">
                      <a:extLst>
                        <a:ext uri="{28A0092B-C50C-407E-A947-70E740481C1C}">
                          <a14:useLocalDpi xmlns:a14="http://schemas.microsoft.com/office/drawing/2010/main" val="0"/>
                        </a:ext>
                      </a:extLst>
                    </a:blip>
                    <a:stretch>
                      <a:fillRect/>
                    </a:stretch>
                  </pic:blipFill>
                  <pic:spPr>
                    <a:xfrm>
                      <a:off x="0" y="0"/>
                      <a:ext cx="4299725" cy="3003550"/>
                    </a:xfrm>
                    <a:prstGeom prst="rect">
                      <a:avLst/>
                    </a:prstGeom>
                  </pic:spPr>
                </pic:pic>
              </a:graphicData>
            </a:graphic>
          </wp:inline>
        </w:drawing>
      </w:r>
    </w:p>
    <w:p w:rsidRPr="00E82430" w:rsidR="004A3DCA" w:rsidP="004A3DCA" w:rsidRDefault="004A3DCA" w14:paraId="5EA3E23F" w14:textId="77777777"/>
    <w:p w:rsidRPr="00E82430" w:rsidR="004A3DCA" w:rsidP="004A3DCA" w:rsidRDefault="004A3DCA" w14:paraId="502B651A" w14:textId="77777777"/>
    <w:p w:rsidRPr="00E82430" w:rsidR="004A3DCA" w:rsidP="00756290" w:rsidRDefault="004A3DCA" w14:paraId="2BD26499" w14:textId="77777777">
      <w:r w:rsidRPr="00E82430">
        <w:t xml:space="preserve">6. Governance </w:t>
      </w:r>
    </w:p>
    <w:p w:rsidRPr="00E82430" w:rsidR="004A3DCA" w:rsidP="00756290" w:rsidRDefault="004A3DCA" w14:paraId="416A065E" w14:textId="77777777">
      <w:r w:rsidRPr="00E82430">
        <w:t xml:space="preserve">6.1. Governance Requirements </w:t>
      </w:r>
    </w:p>
    <w:p w:rsidRPr="00E82430" w:rsidR="004A3DCA" w:rsidP="00756290" w:rsidRDefault="004A3DCA" w14:paraId="1B831440" w14:textId="66E84A76">
      <w:r w:rsidRPr="00E82430">
        <w:t xml:space="preserve">The Supplier will manage the evaluation workstream, while adhering to the requirements below. We welcome bidders’ alternative suggestions, if the validity of these can be evidenced, and bidders should show in their proposals how they will ensure appropriate management and coordination of their work in their proposals. The following governance requirements will apply to all phases: </w:t>
      </w:r>
      <w:r w:rsidRPr="00E82430">
        <w:br/>
      </w:r>
      <w:r w:rsidRPr="00E82430">
        <w:t xml:space="preserve">• Regular working-level delivery meetings to update on progress and deliverables, including presentation of a reporting dashboard against KPIs. These will take place weekly during the scoping phase and the frequency will be reviewed for the evaluation phase. </w:t>
      </w:r>
      <w:r w:rsidRPr="00E82430">
        <w:br/>
      </w:r>
      <w:r w:rsidRPr="00E82430">
        <w:t>• Quarterly Evaluation Steering Group meetings (please see below). The Supplier will be expected to circulate minutes and actions from each of these meetings. It is expected that the Supplier will adhere to the programme management plan (see Table 5) and the evaluation deadlines (see Table 7), both of which will be finalised with BEIS in the scoping phase. Further, it is expected at the outset of each evaluation activity, the Supplier will review the delivery plan to ensure that it remains accurate and fit for purpose, and refine this as required, according to programme developments.</w:t>
      </w:r>
    </w:p>
    <w:p w:rsidRPr="00E82430" w:rsidR="004A3DCA" w:rsidP="00756290" w:rsidRDefault="004A3DCA" w14:paraId="0EAC9566" w14:textId="77777777">
      <w:r w:rsidRPr="00E82430">
        <w:t xml:space="preserve">6.2. Governance Reporting Requirements </w:t>
      </w:r>
    </w:p>
    <w:p w:rsidRPr="00E82430" w:rsidR="004A3DCA" w:rsidP="00756290" w:rsidRDefault="004A3DCA" w14:paraId="0DEC1BBC" w14:textId="42DC4E47">
      <w:r w:rsidRPr="00E82430">
        <w:t xml:space="preserve">The following reporting requirements will be required in all phases: </w:t>
      </w:r>
      <w:r w:rsidRPr="00E82430">
        <w:br/>
      </w:r>
      <w:r w:rsidRPr="00E82430">
        <w:t xml:space="preserve">• Monthly working-level reporting dashboard. The content will be agreed with BEIS during the scoping phase but will include key risks, progress updates and forward look for each phase. </w:t>
      </w:r>
      <w:r w:rsidRPr="00E82430">
        <w:br/>
      </w:r>
      <w:r w:rsidRPr="00E82430">
        <w:t xml:space="preserve">• Quarterly financial and risk reporting including breakdown of spend by workstream to </w:t>
      </w:r>
      <w:r w:rsidRPr="00E82430">
        <w:t xml:space="preserve">accompany invoicing, projected spend for the next quarter and a copy of the evaluation risk register. </w:t>
      </w:r>
    </w:p>
    <w:p w:rsidRPr="00E82430" w:rsidR="004A3DCA" w:rsidP="00756290" w:rsidRDefault="004A3DCA" w14:paraId="35F0BF2F" w14:textId="77777777">
      <w:r w:rsidRPr="00E82430">
        <w:t xml:space="preserve">6.3. Working Arrangements </w:t>
      </w:r>
    </w:p>
    <w:p w:rsidRPr="00E82430" w:rsidR="004A3DCA" w:rsidP="004A3DCA" w:rsidRDefault="004A3DCA" w14:paraId="6FE33747" w14:textId="77777777">
      <w:r w:rsidRPr="00E82430">
        <w:t xml:space="preserve">The successful Supplier will be expected to identify one named point of contract through whom all enquiries can be filtered. Both BEIS and IFC will assign Project Managers for the evaluation, and these will be the central point of contacts in their respective organisations. Please also refer to the contract management section of this ITT. </w:t>
      </w:r>
    </w:p>
    <w:p w:rsidRPr="00E82430" w:rsidR="004A3DCA" w:rsidP="00756290" w:rsidRDefault="004A3DCA" w14:paraId="7ACC8A63" w14:textId="77777777">
      <w:r w:rsidRPr="00E82430">
        <w:t xml:space="preserve">6.4. Coordination with BEIS </w:t>
      </w:r>
    </w:p>
    <w:p w:rsidRPr="00E82430" w:rsidR="004A3DCA" w:rsidP="00AB15C8" w:rsidRDefault="004A3DCA" w14:paraId="13E5F1E0" w14:textId="71A393D3">
      <w:r w:rsidRPr="00E82430">
        <w:t xml:space="preserve">The BEIS programme team for MAGC has overall responsibility for, and ownership of, the programme and will manage the contract and relationships with the Supplier. It will include programme experts and analysts with different technical expertise, depending on the task at hand and it will have sign-off responsibilities on: </w:t>
      </w:r>
      <w:r w:rsidRPr="00E82430">
        <w:br/>
      </w:r>
      <w:r w:rsidRPr="00E82430">
        <w:t xml:space="preserve">• Decisions regarding final timeline for evaluation and reports/other delivery </w:t>
      </w:r>
      <w:r w:rsidRPr="00E82430">
        <w:br/>
      </w:r>
      <w:r w:rsidRPr="00E82430">
        <w:t xml:space="preserve">• Learning and Evaluation strategy and plan </w:t>
      </w:r>
      <w:r w:rsidRPr="00E82430">
        <w:br/>
      </w:r>
      <w:r w:rsidRPr="00E82430">
        <w:t xml:space="preserve">• Final reports </w:t>
      </w:r>
      <w:r w:rsidRPr="00E82430">
        <w:br/>
      </w:r>
      <w:r w:rsidRPr="00E82430">
        <w:t xml:space="preserve">• Agree publication process for MAGC evaluation reports We suggest the BEIS team will also have sign-off responsibilities on: </w:t>
      </w:r>
      <w:r w:rsidRPr="00E82430">
        <w:br/>
      </w:r>
      <w:r w:rsidRPr="00E82430">
        <w:t xml:space="preserve">:• Draft reports for each phase of the evaluation </w:t>
      </w:r>
      <w:r w:rsidRPr="00E82430">
        <w:br/>
      </w:r>
      <w:r w:rsidRPr="00E82430">
        <w:t xml:space="preserve">• Surveys, questionnaires, interview </w:t>
      </w:r>
      <w:r w:rsidR="00DD3244">
        <w:t>topic</w:t>
      </w:r>
      <w:r w:rsidRPr="00E82430" w:rsidR="005C1EF2">
        <w:t xml:space="preserve"> </w:t>
      </w:r>
      <w:r w:rsidRPr="00E82430">
        <w:t xml:space="preserve">guides and sampling strategies </w:t>
      </w:r>
      <w:r w:rsidRPr="00E82430">
        <w:br/>
      </w:r>
      <w:r w:rsidRPr="00E82430">
        <w:t xml:space="preserve">• Stakeholder lists and engagement plans BEIS programme team will commit to providing turnaround of comments within two weeks of receiving a document. Additional time may be required for EQUALS turnaround (please see below). Details on this will be agreed during the scoping phase. We also commit to holding no more than two rounds of comments on drafts received by the Supplier where those drafts are provided to a reasonably expected good standard. Documents that are substandard or substantially incomplete may require additional reviews and resulting revisions at the expense of the Supplier. A Steering Group (see below) will be set up, and chaired by BEIS, to inform key decisions. BEIS will conduct internal peer review throughout the project and will engage external peer reviewers at key stages. All research tools and sampling methodologies will be agreed, as part of approval of the (re-) scoping report by the Steering Group, and, ultimately, by BEIS. A full proposal of roles involved in the evaluation can be found in Section 6.7. BEIS programme team will have the right to publication of its comments as an annex to the evaluation reports – including differences of opinion, with clear references to it in the introduction and summary. </w:t>
      </w:r>
    </w:p>
    <w:p w:rsidRPr="00E82430" w:rsidR="004A3DCA" w:rsidP="00756290" w:rsidRDefault="004A3DCA" w14:paraId="777CE63A" w14:textId="77777777">
      <w:r w:rsidRPr="00E82430">
        <w:t xml:space="preserve">6.5. Coordination with the Delivery Partner (IFC) </w:t>
      </w:r>
    </w:p>
    <w:p w:rsidRPr="00E82430" w:rsidR="004A3DCA" w:rsidP="004A3DCA" w:rsidRDefault="004A3DCA" w14:paraId="0D9946B2" w14:textId="0E7A66AE">
      <w:r w:rsidRPr="00E82430">
        <w:t xml:space="preserve">The successful Supplier will access the relevant MAGC documentation through coordination and an agreement with the Delivery Partner. The current agreement between BEIS and the Delivery Partner ensures in broad terms that the Delivery Partner will engage with any future Evaluation Partner. The specifics of the ask from IFC will be linked to the final approach and methodology of the Supplier and should be agreed between the parties during the scoping phase. IFC has provided two rounds of comments to a draft of this specification and </w:t>
      </w:r>
      <w:proofErr w:type="gramStart"/>
      <w:r w:rsidRPr="00E82430">
        <w:t xml:space="preserve">are in </w:t>
      </w:r>
      <w:r w:rsidRPr="00E82430">
        <w:t>agreement</w:t>
      </w:r>
      <w:proofErr w:type="gramEnd"/>
      <w:r w:rsidRPr="00E82430">
        <w:t xml:space="preserve"> with the objectives and overview provided. We expect IFC will be on the Steering Group and given opportunity to provide comments, not clearance, on both the draft and final reports at each phase of the evaluation as well as other key documents as required. During the Scoping phase, IFC will provide MAGC monitoring data to the Evaluation partner and will be able to provide contact details for up to 5/10 stakeholders for each MAGC programme component. </w:t>
      </w:r>
    </w:p>
    <w:p w:rsidRPr="00E82430" w:rsidR="004A3DCA" w:rsidP="00756290" w:rsidRDefault="004A3DCA" w14:paraId="4C39C573" w14:textId="77777777">
      <w:r w:rsidRPr="00E82430">
        <w:t xml:space="preserve">6.6. Evaluation Steering Group </w:t>
      </w:r>
    </w:p>
    <w:p w:rsidRPr="00E82430" w:rsidR="004A3DCA" w:rsidP="002C57BB" w:rsidRDefault="004A3DCA" w14:paraId="5F589BC0" w14:textId="6DD3D0FC">
      <w:r w:rsidRPr="00E82430">
        <w:t xml:space="preserve">An Evaluation Steering Group will be set up to provide an oversight and advisory role for the evaluation. Whereas the BEIS Project Manager for MAGC will undertake the day-to-day management of the evaluation and hold the delivery contract with the Supplier, and the BEIS programme team for MAGC will have sign-off responsibilities, the Steering Group will provide input on all deliverables and regarding the application and appropriateness of evaluation methodology within the context of the programme. Members of the Steering Group will be BEIS and IFC representatives responsible for supervising different aspects of the programme. It is expected that the Supplier provide senior representation to meet with the MAGC Steering Group four times per year, when evaluation work is happening. Meetings with the Steering Group may be less frequent during the gap between the interim and final evaluation phases, at a minimum this will be once per year. This will be agreed with the Supplier during the scoping phase. The Steering Group will advise on several things, including but not limited to: </w:t>
      </w:r>
      <w:r w:rsidRPr="00E82430">
        <w:br/>
      </w:r>
      <w:r w:rsidRPr="00E82430">
        <w:t>• Defining the research sub-questions in the scoping phase and own the suggestions of countries for deep dives. BEIS will have final say over IFC in the event of a disagreement.</w:t>
      </w:r>
      <w:r w:rsidRPr="00E82430">
        <w:br/>
      </w:r>
      <w:r w:rsidRPr="00E82430">
        <w:t xml:space="preserve">• Commenting on, checking and challenging, the scoping, interim and final evaluation reports, including drafts. BEIS will have final say in the event of a disagreement. </w:t>
      </w:r>
      <w:r w:rsidRPr="00E82430">
        <w:br/>
      </w:r>
      <w:r w:rsidRPr="00E82430">
        <w:t xml:space="preserve">• Participate in workshops discussing programme improvements recommendations/ implications of findings. </w:t>
      </w:r>
      <w:r w:rsidRPr="00E82430">
        <w:br/>
      </w:r>
      <w:r w:rsidRPr="00E82430">
        <w:t xml:space="preserve">• Participate in ‘lessons learnt’ presentations. The Steering group will gather ad hoc feedback from other internal experts and, where appropriate, external experts. In reviewing draft and final evaluation reports, the Steering Group may choose to draw on: </w:t>
      </w:r>
      <w:r w:rsidRPr="00E82430">
        <w:br/>
      </w:r>
      <w:r w:rsidRPr="00E82430">
        <w:t xml:space="preserve">:• The expert advice of the UK’s external Evaluation Quality Assurance and Learning Service (EQUALS), which includes external experts such as academics, to help ensure that products conform to Development Assistance Committee (DAC)-agreed international evaluation principles, quality standards and best practice (including independence). </w:t>
      </w:r>
      <w:r w:rsidRPr="00E82430">
        <w:br/>
      </w:r>
      <w:r w:rsidRPr="00E82430">
        <w:t xml:space="preserve">• Expert advice from wider BEIS colleagues, to ensure the relevance of the questions for the evaluation aims, the appropriateness of the detailed methodological approach defined in the scoping phase, the rigor of the analysis, validity of conclusions. </w:t>
      </w:r>
    </w:p>
    <w:p w:rsidRPr="00E82430" w:rsidR="004A3DCA" w:rsidP="00756290" w:rsidRDefault="004A3DCA" w14:paraId="655BFFD2" w14:textId="77777777">
      <w:r w:rsidRPr="00E82430">
        <w:t xml:space="preserve">6.7. Process for the Evaluation and Roles at Each Point </w:t>
      </w:r>
    </w:p>
    <w:p w:rsidRPr="00E82430" w:rsidR="004A3DCA" w:rsidP="004A3DCA" w:rsidRDefault="004A3DCA" w14:paraId="15720AC9" w14:textId="77777777">
      <w:r w:rsidRPr="00E82430">
        <w:t xml:space="preserve">This table is indicative of the suggested participants and roles at each phase of the evaluation. We welcome bidders’ alternative suggestions if the validity of these can be evidenced. </w:t>
      </w:r>
    </w:p>
    <w:p w:rsidRPr="00E82430" w:rsidR="004A3DCA" w:rsidP="00756290" w:rsidRDefault="004A3DCA" w14:paraId="53147F49" w14:textId="77777777">
      <w:r w:rsidRPr="00E82430">
        <w:t>Table 8: Evaluation Roles</w:t>
      </w:r>
    </w:p>
    <w:p w:rsidRPr="00E82430" w:rsidR="004A3DCA" w:rsidP="004A3DCA" w:rsidRDefault="004A3DCA" w14:paraId="5463EB2F" w14:textId="6E432A9B">
      <w:r w:rsidRPr="00FC25FC">
        <w:rPr>
          <w:noProof/>
        </w:rPr>
        <w:drawing>
          <wp:inline distT="0" distB="0" distL="0" distR="0" wp14:anchorId="33ABB28F" wp14:editId="5FFC306E">
            <wp:extent cx="4343623" cy="1949550"/>
            <wp:effectExtent l="0" t="0" r="0" b="0"/>
            <wp:docPr id="16640399" name="Picture 8" descr="Table showing a variety of activities taking place and the evaluation roles attached to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99" name="Picture 8" descr="Table showing a variety of activities taking place and the evaluation roles attached to that activity."/>
                    <pic:cNvPicPr/>
                  </pic:nvPicPr>
                  <pic:blipFill>
                    <a:blip r:embed="rId54">
                      <a:extLst>
                        <a:ext uri="{28A0092B-C50C-407E-A947-70E740481C1C}">
                          <a14:useLocalDpi xmlns:a14="http://schemas.microsoft.com/office/drawing/2010/main" val="0"/>
                        </a:ext>
                      </a:extLst>
                    </a:blip>
                    <a:stretch>
                      <a:fillRect/>
                    </a:stretch>
                  </pic:blipFill>
                  <pic:spPr>
                    <a:xfrm>
                      <a:off x="0" y="0"/>
                      <a:ext cx="4343623" cy="1949550"/>
                    </a:xfrm>
                    <a:prstGeom prst="rect">
                      <a:avLst/>
                    </a:prstGeom>
                  </pic:spPr>
                </pic:pic>
              </a:graphicData>
            </a:graphic>
          </wp:inline>
        </w:drawing>
      </w:r>
    </w:p>
    <w:p w:rsidRPr="00E82430" w:rsidR="004A3DCA" w:rsidP="004A3DCA" w:rsidRDefault="004A3DCA" w14:paraId="184257D9" w14:textId="3CA84AFA">
      <w:r w:rsidRPr="00FC25FC">
        <w:rPr>
          <w:noProof/>
        </w:rPr>
        <w:drawing>
          <wp:inline distT="0" distB="0" distL="0" distR="0" wp14:anchorId="2F1F8708" wp14:editId="233C0010">
            <wp:extent cx="4330923" cy="1644735"/>
            <wp:effectExtent l="0" t="0" r="0" b="0"/>
            <wp:docPr id="629911953" name="Picture 9" descr="Table showing a variety of activities taking place and the evaluation roles attached to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1953" name="Picture 9" descr="Table showing a variety of activities taking place and the evaluation roles attached to that activity."/>
                    <pic:cNvPicPr/>
                  </pic:nvPicPr>
                  <pic:blipFill>
                    <a:blip r:embed="rId55">
                      <a:extLst>
                        <a:ext uri="{28A0092B-C50C-407E-A947-70E740481C1C}">
                          <a14:useLocalDpi xmlns:a14="http://schemas.microsoft.com/office/drawing/2010/main" val="0"/>
                        </a:ext>
                      </a:extLst>
                    </a:blip>
                    <a:stretch>
                      <a:fillRect/>
                    </a:stretch>
                  </pic:blipFill>
                  <pic:spPr>
                    <a:xfrm>
                      <a:off x="0" y="0"/>
                      <a:ext cx="4330923" cy="1644735"/>
                    </a:xfrm>
                    <a:prstGeom prst="rect">
                      <a:avLst/>
                    </a:prstGeom>
                  </pic:spPr>
                </pic:pic>
              </a:graphicData>
            </a:graphic>
          </wp:inline>
        </w:drawing>
      </w:r>
    </w:p>
    <w:p w:rsidRPr="00E82430" w:rsidR="004A3DCA" w:rsidP="004A3DCA" w:rsidRDefault="004A3DCA" w14:paraId="4430D747" w14:textId="77777777"/>
    <w:p w:rsidRPr="00E82430" w:rsidR="004A3DCA" w:rsidP="00756290" w:rsidRDefault="004A3DCA" w14:paraId="20BFA885" w14:textId="77777777">
      <w:r w:rsidRPr="00E82430">
        <w:t xml:space="preserve">7. Team Structure, Skills, and Expertise Requirements </w:t>
      </w:r>
    </w:p>
    <w:p w:rsidRPr="00E82430" w:rsidR="004A3DCA" w:rsidP="004A3DCA" w:rsidRDefault="004A3DCA" w14:paraId="73B0B51A" w14:textId="77777777">
      <w:r w:rsidRPr="00E82430">
        <w:t xml:space="preserve">To deliver the Contract successfully, the Supplier will need to demonstrate that they have the right team structure, skills, and expertise to deliver the methodology proposed. Guidance on each of these categories is given below. </w:t>
      </w:r>
    </w:p>
    <w:p w:rsidRPr="00E82430" w:rsidR="004A3DCA" w:rsidP="00756290" w:rsidRDefault="004A3DCA" w14:paraId="5D20AEE3" w14:textId="77777777">
      <w:r w:rsidRPr="00E82430">
        <w:t xml:space="preserve">7.1. Team Structure Essential </w:t>
      </w:r>
    </w:p>
    <w:p w:rsidRPr="00E82430" w:rsidR="004A3DCA" w:rsidP="00756290" w:rsidRDefault="004A3DCA" w14:paraId="49E231D3" w14:textId="1B24C1F5">
      <w:r w:rsidRPr="00E82430">
        <w:t xml:space="preserve">• A clear operating structure is provided which explains the roles, responsibilities, and reporting lines for each member of the evaluation partner team. </w:t>
      </w:r>
      <w:r w:rsidRPr="00E82430">
        <w:br/>
      </w:r>
      <w:r w:rsidRPr="00E82430">
        <w:t xml:space="preserve">• Suitable contingency measures are in place should the project team change, giving BEIS confidence that this risk would be managed without negatively affecting to programme delivery. </w:t>
      </w:r>
      <w:r w:rsidRPr="00E82430">
        <w:br/>
      </w:r>
      <w:r w:rsidRPr="00E82430">
        <w:t xml:space="preserve">• An appropriate balance of junior and senior time on the project, ensuring enough strategic oversight but also that resources are used efficiently to successfully deliver all the objectives. Desirable </w:t>
      </w:r>
      <w:r w:rsidRPr="00E82430">
        <w:br/>
      </w:r>
      <w:r w:rsidRPr="00E82430">
        <w:t xml:space="preserve">• Named resources are provided to deliver tasks, and where individuals are not identified nor CVs provided a clear justification is provided, as well as a role description against which new joiners to the team will be assessed. </w:t>
      </w:r>
      <w:r w:rsidRPr="00E82430">
        <w:br/>
      </w:r>
      <w:r w:rsidRPr="00E82430">
        <w:t xml:space="preserve">• The Supplier will use experts who are currently based in some of the countries in which MAGC operates – ideally those suggested for deep dive case studies - to ensure that the evaluation can fully understand the local context of the programme. If named experts are not available at the time of bid the Supplier should state clearly how they will access local knowledge and context. </w:t>
      </w:r>
      <w:r w:rsidRPr="00E82430">
        <w:br/>
      </w:r>
      <w:r w:rsidRPr="00E82430">
        <w:t xml:space="preserve">• If applicable, how a consortia team would work across organisational boundaries to ensure a </w:t>
      </w:r>
      <w:r w:rsidRPr="00E82430">
        <w:t>seamless experience for BEIS as the client and other key stakeholders in the evaluation. 7.2. Skills</w:t>
      </w:r>
    </w:p>
    <w:p w:rsidRPr="00E82430" w:rsidR="004A3DCA" w:rsidP="002C57BB" w:rsidRDefault="004A3DCA" w14:paraId="059E530F" w14:textId="4D2E26F3">
      <w:r w:rsidRPr="00E82430">
        <w:t xml:space="preserve">The essential skills required by the project team are cut across four broad areas: </w:t>
      </w:r>
      <w:r w:rsidRPr="00E82430">
        <w:br/>
      </w:r>
      <w:r w:rsidRPr="00E82430">
        <w:t>ODA evaluation expertise; private/public sector finance expertise; green buildings expertise; and gender, equality &amp; social inclusion (</w:t>
      </w:r>
      <w:r w:rsidR="00A5555A">
        <w:t>GESI</w:t>
      </w:r>
      <w:r w:rsidRPr="00E82430">
        <w:t xml:space="preserve">) expertise. Within these areas there are specific skills that the project team will need to demonstrate at some level, with a desirable in-depth knowledge on some/all the areas below to support the methodology proposed. </w:t>
      </w:r>
      <w:r w:rsidRPr="00E82430">
        <w:br/>
      </w:r>
      <w:r w:rsidRPr="00E82430">
        <w:t xml:space="preserve">• </w:t>
      </w:r>
      <w:r w:rsidRPr="00756290">
        <w:t>Theory-based evaluation</w:t>
      </w:r>
      <w:r w:rsidRPr="00E82430">
        <w:t xml:space="preserve">. We suggest a theory-based evaluation is used. Although we are open to alternative suggestions if these can be evidenced, these suggestions need to come from a perspective of understanding and expertise of theory-based evaluation. Bidders will need to demonstrate key skills around this. </w:t>
      </w:r>
      <w:r w:rsidRPr="00E82430">
        <w:br/>
      </w:r>
      <w:r w:rsidRPr="00E82430">
        <w:t xml:space="preserve">• </w:t>
      </w:r>
      <w:r w:rsidRPr="00756290">
        <w:t>ODA Evaluation expertise</w:t>
      </w:r>
      <w:r w:rsidRPr="00E82430">
        <w:t>. Ideally this would be in evaluation of International Climate Finance programmes (IFC), with bidders able to demonstrate key skills around: effective scoping and framing of evaluation; delivery of bespoke/innovative methodologies; adding value through learning activity; relationship management with multilateral agencies and in</w:t>
      </w:r>
      <w:r w:rsidR="00756290">
        <w:t xml:space="preserve"> </w:t>
      </w:r>
      <w:r w:rsidRPr="00E82430">
        <w:t xml:space="preserve">country stakeholders; clear and concise reporting on complex programmes. </w:t>
      </w:r>
      <w:r w:rsidRPr="00E82430">
        <w:br/>
      </w:r>
      <w:r w:rsidRPr="00E82430">
        <w:t xml:space="preserve">• </w:t>
      </w:r>
      <w:r w:rsidRPr="00756290">
        <w:t>Private/Public sector finance expertise</w:t>
      </w:r>
      <w:r w:rsidRPr="00E82430">
        <w:t xml:space="preserve">. MAGC is intrinsically a green finance programme, using concessional finance to deliver its objectives in the green buildings sector. Bidders will need to demonstrate a solid understanding of private and public sector finance to help evaluate: the effectiveness of different financial instruments (e.g., performance-based incentives, concessional loans); where – and how - public sector finance has successfully accelerated the market; the role of different stakeholders in investments, and their role in achieving MAGC’s desired outcomes; the effectiveness of technical advisory services provided to financial institutions. </w:t>
      </w:r>
      <w:r w:rsidRPr="00E82430">
        <w:br/>
      </w:r>
      <w:r w:rsidRPr="00E82430">
        <w:t xml:space="preserve">• </w:t>
      </w:r>
      <w:r w:rsidRPr="00756290">
        <w:t>Green Buildings sector expertise</w:t>
      </w:r>
      <w:r w:rsidRPr="00E82430">
        <w:t xml:space="preserve">. To effectively assess the impact of MAGC, bidders will need to really understand the green buildings sector. In particular, bidders will need to demonstrate: understanding of the policy and market barriers to green buildings (and associated results in energy efficiency/renewable generation/water consumption); ability to review market maturity assessments and assess whether MAGC has successfully influenced target markets; awareness of definitions of green buildings and how standards can vary in each country; understanding of the role of certification in increasing green building stock globally, and how EDGE certification fits within this. </w:t>
      </w:r>
      <w:r w:rsidRPr="00E82430">
        <w:br/>
      </w:r>
      <w:r w:rsidRPr="00E82430">
        <w:t xml:space="preserve">• </w:t>
      </w:r>
      <w:r w:rsidRPr="00756290">
        <w:t>Gender, Equality and Social Inclusion expertise</w:t>
      </w:r>
      <w:r w:rsidRPr="00E82430">
        <w:t xml:space="preserve">. The team will need to be able to review the programme through a </w:t>
      </w:r>
      <w:r w:rsidR="00A5555A">
        <w:t>GESI</w:t>
      </w:r>
      <w:r w:rsidRPr="00E82430">
        <w:t xml:space="preserve"> lens, whilst recognising that this is not part of the agreed aims/theory of change/log frame for the programme, and there might not be significant data to analyse. The skills needed will include the ability to: review MAGC investments for evidence of co-benefits for </w:t>
      </w:r>
      <w:r w:rsidR="00A5555A">
        <w:t>GESI</w:t>
      </w:r>
      <w:r w:rsidRPr="00E82430">
        <w:t xml:space="preserve"> and climate mitigation; consider the design and implementation of the programme to learn lessons for how similar programmes could include </w:t>
      </w:r>
      <w:r w:rsidR="00A5555A">
        <w:t>GESI</w:t>
      </w:r>
      <w:r w:rsidRPr="00E82430">
        <w:t xml:space="preserve"> in their design. </w:t>
      </w:r>
    </w:p>
    <w:p w:rsidRPr="00E82430" w:rsidR="004A3DCA" w:rsidP="002C57BB" w:rsidRDefault="004A3DCA" w14:paraId="25E50D0A" w14:textId="77777777">
      <w:r w:rsidRPr="00E82430">
        <w:t xml:space="preserve">7.3. Team Experience </w:t>
      </w:r>
    </w:p>
    <w:p w:rsidRPr="00E82430" w:rsidR="004A3DCA" w:rsidP="002C57BB" w:rsidRDefault="004A3DCA" w14:paraId="1C5DBBC4" w14:textId="0B0E85A7">
      <w:r w:rsidRPr="00E82430">
        <w:t xml:space="preserve">The delivery team will need to demonstrate it has the right experience. It would be particularly helpful to have: </w:t>
      </w:r>
      <w:r w:rsidRPr="00E82430">
        <w:br/>
      </w:r>
      <w:r w:rsidRPr="00E82430">
        <w:t xml:space="preserve">• Evidence of – and lessons learned from - previous experience from similar evaluations </w:t>
      </w:r>
      <w:r w:rsidRPr="00E82430">
        <w:t xml:space="preserve">undertaken. Experience of working with UK government departments and the ability to work collaboratively and flexibly with them to deliver agreed outputs. </w:t>
      </w:r>
      <w:r w:rsidRPr="00E82430">
        <w:br/>
      </w:r>
      <w:r w:rsidRPr="00E82430">
        <w:t xml:space="preserve">• Experience of working internationally with a wide range of public, private and third sector stakeholders. • Experience of working with and access to local knowledge in the MAGC eligible countries to support the evaluation in general. Higher marks will be rewarded to those with evidence of working in the Tier 3 countries (specified in Section 3.5). </w:t>
      </w:r>
    </w:p>
    <w:p w:rsidRPr="00E82430" w:rsidR="004A3DCA" w:rsidP="002C57BB" w:rsidRDefault="004A3DCA" w14:paraId="52F9025A" w14:textId="77777777">
      <w:r w:rsidRPr="00E82430">
        <w:t xml:space="preserve">8. Programme Management Requirements </w:t>
      </w:r>
    </w:p>
    <w:p w:rsidRPr="00E82430" w:rsidR="004A3DCA" w:rsidP="002C57BB" w:rsidRDefault="004A3DCA" w14:paraId="35DC20B8" w14:textId="77777777">
      <w:r w:rsidRPr="00E82430">
        <w:t xml:space="preserve">8.1. Evaluation Contract Financial Management </w:t>
      </w:r>
    </w:p>
    <w:p w:rsidRPr="00E82430" w:rsidR="004A3DCA" w:rsidP="002C57BB" w:rsidRDefault="004A3DCA" w14:paraId="58E00D81" w14:textId="17055380">
      <w:r w:rsidRPr="00E82430">
        <w:t xml:space="preserve">To financially manage the evaluation contract, the following actions are requested: </w:t>
      </w:r>
      <w:r w:rsidRPr="00E82430">
        <w:br/>
      </w:r>
      <w:r w:rsidRPr="00E82430">
        <w:t xml:space="preserve">• Draft and report against annual budgets, at agreed levels of detail, and conduct ongoing financial forecasting and reporting. </w:t>
      </w:r>
      <w:r w:rsidRPr="00E82430">
        <w:br/>
      </w:r>
      <w:r w:rsidRPr="00E82430">
        <w:t xml:space="preserve">• Set up and apply robust fraud and error risk management systems that alert BEIS to any fiduciary risk or potential misuse of ODA or public funds more generally. </w:t>
      </w:r>
      <w:r w:rsidRPr="00E82430">
        <w:br/>
      </w:r>
      <w:r w:rsidRPr="00E82430">
        <w:t xml:space="preserve">• Provide quarterly financial, management and risk reporting across all programme activities for quarters where evaluation activity is taking place according to the agreed workplan. </w:t>
      </w:r>
    </w:p>
    <w:p w:rsidRPr="00E82430" w:rsidR="004A3DCA" w:rsidP="002C57BB" w:rsidRDefault="004A3DCA" w14:paraId="267305D3" w14:textId="77777777">
      <w:r w:rsidRPr="00E82430">
        <w:t xml:space="preserve">8.2. Quality Assurance </w:t>
      </w:r>
    </w:p>
    <w:p w:rsidRPr="00E82430" w:rsidR="004A3DCA" w:rsidP="004A3DCA" w:rsidRDefault="004A3DCA" w14:paraId="25B34213" w14:textId="6ECDA76D">
      <w:r w:rsidRPr="00E82430">
        <w:t xml:space="preserve">The Supplier is required to produce and implement a quality assurance plan, and quality assurance measures should be factored into workplan timelines It is expected that the Supplier should share an outline of a deliverable’s content or engagement tool prior to it being developed in full. Please refer to the Governance section for more information on BEIS Quality Assurance approach. </w:t>
      </w:r>
    </w:p>
    <w:p w:rsidRPr="00E82430" w:rsidR="004A3DCA" w:rsidP="00756290" w:rsidRDefault="004A3DCA" w14:paraId="68FAA53F" w14:textId="77777777">
      <w:r w:rsidRPr="00E82430">
        <w:t xml:space="preserve">8.3. Transparency </w:t>
      </w:r>
    </w:p>
    <w:p w:rsidRPr="00E82430" w:rsidR="004A3DCA" w:rsidP="004A3DCA" w:rsidRDefault="004A3DCA" w14:paraId="72A253A0" w14:textId="483AF673">
      <w:r w:rsidRPr="00E82430">
        <w:t xml:space="preserve">BEIS has transformed its approach to transparency, reshaping its own working practices and pressuring others across the world to do the same. BEIS requires suppliers (including the future Supplier for this contract) </w:t>
      </w:r>
      <w:r w:rsidRPr="00E82430" w:rsidR="00756290">
        <w:t>receiving</w:t>
      </w:r>
      <w:r w:rsidRPr="00E82430">
        <w:t xml:space="preserve"> and </w:t>
      </w:r>
      <w:r w:rsidRPr="00E82430" w:rsidR="00756290">
        <w:t>managing</w:t>
      </w:r>
      <w:r w:rsidRPr="00E82430">
        <w:t xml:space="preserve"> funds to release open data on how this money is spent, in a common, standard, re-usable format and to require this level of information from immediate sub-contractors, sub-agencies and partners. The results of the programme’s Annual Reviews will be published as part of this transparency effort, in full or in part. It is a contractual requirement for the Supplier to comply with this, and to ensure they have the appropriate tools to enable routine financial reporting, record keeping, publishing of accurate data, and providing evidence of this to BEIS. </w:t>
      </w:r>
    </w:p>
    <w:p w:rsidRPr="00E82430" w:rsidR="004A3DCA" w:rsidP="00756290" w:rsidRDefault="004A3DCA" w14:paraId="586F16FC" w14:textId="77777777">
      <w:r w:rsidRPr="00E82430">
        <w:t>8.4. Gender, inclusion, and equality</w:t>
      </w:r>
    </w:p>
    <w:p w:rsidRPr="00E82430" w:rsidR="004A3DCA" w:rsidP="004A3DCA" w:rsidRDefault="004A3DCA" w14:paraId="38D1B71C" w14:textId="7118F6C9">
      <w:r w:rsidRPr="00E82430">
        <w:t xml:space="preserve">One key consideration in the design and delivery of this programme, as with all UK ODA programming, is the extent to which it complies with the Gender Equality Act (GEA) 2014. The GEA applies to all ODA programmes and makes consideration of gender equality a legal requirement. This means MAGC, and in particular the MAGC evaluation, needs to meaningfully consider the impact of an intervention on gender equality and demonstrate that it </w:t>
      </w:r>
      <w:r w:rsidRPr="00E82430">
        <w:t xml:space="preserve">has done so before intervention goes ahead. The process of compliance needs to be integrated within bidding proposals, programme design and supported activities/projects. BEIS requires compliance with the GEA as a minimum. The Supplier must ensure that the principles of the UK’s Public Sector Equality Duty, including but not limited to marginalised groups, are applied to all decisions regarding personnel throughout the delivery of this programme. See annex D for more information on </w:t>
      </w:r>
      <w:r w:rsidR="00A5555A">
        <w:t>GESI</w:t>
      </w:r>
      <w:r w:rsidRPr="00E82430">
        <w:t xml:space="preserve">. </w:t>
      </w:r>
    </w:p>
    <w:p w:rsidRPr="00E82430" w:rsidR="004A3DCA" w:rsidP="00756290" w:rsidRDefault="004A3DCA" w14:paraId="606A86C9" w14:textId="77777777">
      <w:r w:rsidRPr="00E82430">
        <w:t xml:space="preserve">8.5. Risk appetite, fraud, and corruption </w:t>
      </w:r>
    </w:p>
    <w:p w:rsidRPr="00E82430" w:rsidR="004A3DCA" w:rsidP="004A3DCA" w:rsidRDefault="004A3DCA" w14:paraId="71C1B026" w14:textId="77777777">
      <w:r w:rsidRPr="00E82430">
        <w:t xml:space="preserve">BEIS has zero tolerance to fraud and corruption (including potential conflicts of interest). BEIS also has very stringent requirements regarding safeguarding of anyone who might be affected by MAGC or the MAGC Evaluation. For more information, please refer to BEIS ICF Code of Conduct provided in Annex J. </w:t>
      </w:r>
    </w:p>
    <w:p w:rsidRPr="00E82430" w:rsidR="004A3DCA" w:rsidP="00756290" w:rsidRDefault="004A3DCA" w14:paraId="2E8F878F" w14:textId="77777777">
      <w:r w:rsidRPr="00E82430">
        <w:t xml:space="preserve">8.6. Whistleblowing </w:t>
      </w:r>
    </w:p>
    <w:p w:rsidRPr="00E82430" w:rsidR="004A3DCA" w:rsidP="004A3DCA" w:rsidRDefault="004A3DCA" w14:paraId="53504633" w14:textId="404C0E44">
      <w:r w:rsidRPr="00E82430">
        <w:t xml:space="preserve">If during the evaluation you find any risk of wrongdoing by the MAGC programme or an associate of the programme, or any safeguarding complaints or incidents, these need to be reported to the BEIS ICF PMO immediately. In the first instance please report to the BEIS programme lead will pass it on to the safeguarding lead. If it is inappropriate to raise concerns of misconduct or you do not feel comfortable reporting to the MAGC programme lead, you should report it to the BEIS ODA Reporting Concerns inbox </w:t>
      </w:r>
      <w:proofErr w:type="gramStart"/>
      <w:r w:rsidRPr="00E82430">
        <w:t>at .</w:t>
      </w:r>
      <w:proofErr w:type="gramEnd"/>
      <w:r w:rsidRPr="00E82430">
        <w:t xml:space="preserve"> Whistleblowing is taken very seriously; BEIS treat every issue with the utmost importance and every issue will be investigated as a matter of urgency and will be kept confidential. Please email odasafeguardingconcerns@beis.gov.uk for any whistleblowing concerns. BEIS will follow up safeguarding reports and concerns according to policy and procedure, all while respecting any legal and statutory obligations, including ensuring the relevant authorities have been informed within 24 hours. We will take the appropriate action based on the outcome of the investigation. We will work with the programme and delivery partners to ensure that the appropriate disciplinary actions are applied to those found in breach of policy. </w:t>
      </w:r>
    </w:p>
    <w:p w:rsidRPr="00E82430" w:rsidR="004A3DCA" w:rsidP="00756290" w:rsidRDefault="004A3DCA" w14:paraId="49A1F6C8" w14:textId="77777777">
      <w:r w:rsidRPr="00E82430">
        <w:t xml:space="preserve">8.7. Ethics and Safeguarding </w:t>
      </w:r>
    </w:p>
    <w:p w:rsidRPr="00E82430" w:rsidR="004A3DCA" w:rsidP="004A3DCA" w:rsidRDefault="004A3DCA" w14:paraId="658531D8" w14:textId="77777777">
      <w:r w:rsidRPr="00E82430">
        <w:t>BEIS expects the Supplier to adhere to the following Government Social Research (GSR) principles when conducting any research or related activities:</w:t>
      </w:r>
    </w:p>
    <w:p w:rsidRPr="00E82430" w:rsidR="004A3DCA" w:rsidP="002C57BB" w:rsidRDefault="004A3DCA" w14:paraId="41D6077B" w14:textId="0E9908C4">
      <w:r w:rsidRPr="00E82430">
        <w:t xml:space="preserve">Sound application and conduct of social research methods and appropriate dissemination and utilisation of findings </w:t>
      </w:r>
      <w:r w:rsidRPr="00E82430">
        <w:br/>
      </w:r>
      <w:r w:rsidRPr="00E82430">
        <w:t xml:space="preserve">• Participation based on valid consent </w:t>
      </w:r>
      <w:r w:rsidRPr="00E82430">
        <w:br/>
      </w:r>
      <w:r w:rsidRPr="00E82430">
        <w:t xml:space="preserve">• Enabling participation (making sure that barriers to the participation of marginalised groups are addressed in the design of the research) </w:t>
      </w:r>
      <w:r w:rsidRPr="00E82430">
        <w:br/>
      </w:r>
      <w:r w:rsidRPr="00E82430">
        <w:t xml:space="preserve">• Avoidance of personal harm </w:t>
      </w:r>
      <w:r w:rsidRPr="00E82430">
        <w:br/>
      </w:r>
      <w:r w:rsidRPr="00E82430">
        <w:t xml:space="preserve">• </w:t>
      </w:r>
      <w:proofErr w:type="gramStart"/>
      <w:r w:rsidRPr="00E82430">
        <w:t>Non-disclosure</w:t>
      </w:r>
      <w:proofErr w:type="gramEnd"/>
      <w:r w:rsidRPr="00E82430">
        <w:t xml:space="preserve"> of identity and personal information </w:t>
      </w:r>
    </w:p>
    <w:p w:rsidRPr="00E82430" w:rsidR="004A3DCA" w:rsidP="004A3DCA" w:rsidRDefault="004A3DCA" w14:paraId="4AE9D59F" w14:textId="77777777">
      <w:r w:rsidRPr="00E82430">
        <w:t xml:space="preserve">Compliance with these principles is a mandatory requirement and any omissions or noncompliance will be considered a performance issue and in serious cases may be considered a breach of contract. </w:t>
      </w:r>
    </w:p>
    <w:p w:rsidRPr="00E82430" w:rsidR="004A3DCA" w:rsidP="002C57BB" w:rsidRDefault="004A3DCA" w14:paraId="07B509BC" w14:textId="77777777">
      <w:r w:rsidRPr="00E82430">
        <w:t xml:space="preserve">8.8. Data processing </w:t>
      </w:r>
    </w:p>
    <w:p w:rsidRPr="00E82430" w:rsidR="004A3DCA" w:rsidP="004A3DCA" w:rsidRDefault="004A3DCA" w14:paraId="47432406" w14:textId="77777777">
      <w:r w:rsidRPr="00E82430">
        <w:t xml:space="preserve">The Supplier will be compliant with the Data Protection Legislation, as defined in the Contract, and in existing agreements between BEIS, IFC and its clients. A guide to the General Data Protection Regulation (GDPR) published by the Information Commissioner’s Office can be found here. The only data processing that the Supplier is authorised to do is listed in the Contract Terms and Conditions. BEIS and IFC will work with the Supplier during the scoping phase to refine and agree the GDPR table, and this will then be monitored during the lifetime of the contract. </w:t>
      </w:r>
    </w:p>
    <w:p w:rsidRPr="00E82430" w:rsidR="004A3DCA" w:rsidP="002C57BB" w:rsidRDefault="004A3DCA" w14:paraId="75C9D2E4" w14:textId="77777777">
      <w:r w:rsidRPr="00E82430">
        <w:t xml:space="preserve">8.9. Transfer of Knowledge to BEIS, Business Continuity and Disaster Recovery Process </w:t>
      </w:r>
    </w:p>
    <w:p w:rsidRPr="00E82430" w:rsidR="004A3DCA" w:rsidP="004A3DCA" w:rsidRDefault="004A3DCA" w14:paraId="5AAC776D" w14:textId="74A06F48">
      <w:r w:rsidRPr="00E82430">
        <w:t xml:space="preserve">The Supplier is required to set out how they will facilitate the effective transfer of knowledge to BEIS during programme closure. This includes the use and provision of all data used for the services (subject to commercial confidentiality considerations) and the transfer of any MAGC evaluation documents (such as presentations, reports, and templates) for continued use by BEIS in any manner it chooses. Transcripts of all correspondences should also be returned to BEIS. This should also include provision for business continuity and or disaster recovery in the event of a known or unforeseeable event, for example COVID-19. Any data produced by the Supplier will be either securely destroyed or transferred back to BEIS at the end of the contract and stored by BEIS. This is to be agreed following the commencement of services. </w:t>
      </w:r>
    </w:p>
    <w:p w:rsidRPr="00E82430" w:rsidR="004A3DCA" w:rsidP="002C57BB" w:rsidRDefault="004A3DCA" w14:paraId="256E8184" w14:textId="77777777">
      <w:r w:rsidRPr="00E82430">
        <w:t xml:space="preserve">9. Social value </w:t>
      </w:r>
    </w:p>
    <w:p w:rsidRPr="00E82430" w:rsidR="004A3DCA" w:rsidP="002C57BB" w:rsidRDefault="004A3DCA" w14:paraId="1B6B7488" w14:textId="77777777">
      <w:r w:rsidRPr="00E82430">
        <w:t xml:space="preserve">9.1. Social value introduction </w:t>
      </w:r>
    </w:p>
    <w:p w:rsidRPr="00E82430" w:rsidR="004A3DCA" w:rsidP="004A3DCA" w:rsidRDefault="004A3DCA" w14:paraId="04623524" w14:textId="596ED931">
      <w:r w:rsidRPr="00E82430">
        <w:t xml:space="preserve">In addition to the aims, objectives and outcomes above, all UK Government projects are required to contribute to wider social value as an additional benefit of the contract. Social value is a broad term used to describe the wider social, environmental and economic effects of an organisation’s actions, and how they contribute to the long-term wellbeing of individuals, communities and societies. Social value is not just a policy requirement. Social value directly supports the mission of BEIS, BEIS International Net Zero and the MAGC programme. As such we expect our MAGC Evaluation Supplier(s) to mainstream social value in delivery of their work. Although the whole of the specification of the MAGC programme could be considered as contributing to social value, this element is specifically focussed on how the evaluation contract is delivered by the Supplier and is not about the evaluation methodology per se. Commitments on the inclusivity and benefits of the methodology should be included in the wider technical proposal. The eventual contract for the delivery of MAGC Evaluation will include KPIs relating to the delivery of social value commitments. Government policy requires that evaluations of proposals during the procurement process commit at least 10% of the marks to social value considerations. How this will be evaluated for this contract is detailed in Table 4. For the avoidance of doubt, social value is not a specific costed activity but is an added </w:t>
      </w:r>
      <w:proofErr w:type="spellStart"/>
      <w:r w:rsidRPr="00E82430">
        <w:t>cobenefit</w:t>
      </w:r>
      <w:proofErr w:type="spellEnd"/>
      <w:r w:rsidRPr="00E82430">
        <w:t xml:space="preserve"> of </w:t>
      </w:r>
      <w:r w:rsidRPr="00E82430">
        <w:t>delivery and an approach to delivery that is expected of all BEIS suppliers. BEIS is now taking a consistent department-wide approach to social value mapped against BEIS’s departmental priorities. BEIS is interested in the following social value themes from the social value model.</w:t>
      </w:r>
    </w:p>
    <w:p w:rsidRPr="00E82430" w:rsidR="004A3DCA" w:rsidP="004A3DCA" w:rsidRDefault="004A3DCA" w14:paraId="469D4E3D" w14:textId="70BF5336">
      <w:r w:rsidRPr="00FC25FC">
        <w:rPr>
          <w:noProof/>
        </w:rPr>
        <w:drawing>
          <wp:inline distT="0" distB="0" distL="0" distR="0" wp14:anchorId="015B8FE3" wp14:editId="3122FF41">
            <wp:extent cx="6480175" cy="3588385"/>
            <wp:effectExtent l="0" t="0" r="0" b="0"/>
            <wp:docPr id="82355645" name="Picture 10" descr="A table analysing the themes of the MAGC evaluation, followed by the outcome, the model award criteria, the evaluation weighting and the sub-award criteria. The two themes analysed are &quot;Fighting Climate Change&quot; and &quot;Tackling Economic Ine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5645" name="Picture 10" descr="A table analysing the themes of the MAGC evaluation, followed by the outcome, the model award criteria, the evaluation weighting and the sub-award criteria. The two themes analysed are &quot;Fighting Climate Change&quot; and &quot;Tackling Economic Inequality.&quot;"/>
                    <pic:cNvPicPr/>
                  </pic:nvPicPr>
                  <pic:blipFill>
                    <a:blip r:embed="rId56">
                      <a:extLst>
                        <a:ext uri="{28A0092B-C50C-407E-A947-70E740481C1C}">
                          <a14:useLocalDpi xmlns:a14="http://schemas.microsoft.com/office/drawing/2010/main" val="0"/>
                        </a:ext>
                      </a:extLst>
                    </a:blip>
                    <a:stretch>
                      <a:fillRect/>
                    </a:stretch>
                  </pic:blipFill>
                  <pic:spPr>
                    <a:xfrm>
                      <a:off x="0" y="0"/>
                      <a:ext cx="6480175" cy="3588385"/>
                    </a:xfrm>
                    <a:prstGeom prst="rect">
                      <a:avLst/>
                    </a:prstGeom>
                  </pic:spPr>
                </pic:pic>
              </a:graphicData>
            </a:graphic>
          </wp:inline>
        </w:drawing>
      </w:r>
    </w:p>
    <w:p w:rsidRPr="00E82430" w:rsidR="004A3DCA" w:rsidP="004A3DCA" w:rsidRDefault="004A3DCA" w14:paraId="1BCF61CA" w14:textId="6E228C62">
      <w:r w:rsidRPr="00FC25FC">
        <w:rPr>
          <w:noProof/>
        </w:rPr>
        <w:drawing>
          <wp:inline distT="0" distB="0" distL="0" distR="0" wp14:anchorId="4351222A" wp14:editId="1FFE8935">
            <wp:extent cx="6480175" cy="1318895"/>
            <wp:effectExtent l="0" t="0" r="0" b="0"/>
            <wp:docPr id="1594541657" name="Picture 11" descr="A table analysing the themes of the MAGC evaluation, followed by the outcome, the model award criteria, the evaluation weighting and the sub-award criteria. The two themes analysed are &quot;Fighting Climate Change&quot; and &quot;Tackling Economic Ine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41657" name="Picture 11" descr="A table analysing the themes of the MAGC evaluation, followed by the outcome, the model award criteria, the evaluation weighting and the sub-award criteria. The two themes analysed are &quot;Fighting Climate Change&quot; and &quot;Tackling Economic Inequality.&quot;"/>
                    <pic:cNvPicPr/>
                  </pic:nvPicPr>
                  <pic:blipFill>
                    <a:blip r:embed="rId57">
                      <a:extLst>
                        <a:ext uri="{28A0092B-C50C-407E-A947-70E740481C1C}">
                          <a14:useLocalDpi xmlns:a14="http://schemas.microsoft.com/office/drawing/2010/main" val="0"/>
                        </a:ext>
                      </a:extLst>
                    </a:blip>
                    <a:stretch>
                      <a:fillRect/>
                    </a:stretch>
                  </pic:blipFill>
                  <pic:spPr>
                    <a:xfrm>
                      <a:off x="0" y="0"/>
                      <a:ext cx="6480175" cy="1318895"/>
                    </a:xfrm>
                    <a:prstGeom prst="rect">
                      <a:avLst/>
                    </a:prstGeom>
                  </pic:spPr>
                </pic:pic>
              </a:graphicData>
            </a:graphic>
          </wp:inline>
        </w:drawing>
      </w:r>
    </w:p>
    <w:p w:rsidRPr="00E82430" w:rsidR="004A3DCA" w:rsidP="00756290" w:rsidRDefault="004A3DCA" w14:paraId="7DE73DDF" w14:textId="77777777">
      <w:r w:rsidRPr="00E82430">
        <w:t xml:space="preserve">9.2. Suggested social value KPIs </w:t>
      </w:r>
    </w:p>
    <w:p w:rsidRPr="00E82430" w:rsidR="004A3DCA" w:rsidP="004A3DCA" w:rsidRDefault="004A3DCA" w14:paraId="2B3D9CC2" w14:textId="77777777">
      <w:r w:rsidRPr="002C57BB">
        <w:t>Theme</w:t>
      </w:r>
      <w:r w:rsidRPr="00E82430">
        <w:t xml:space="preserve">: Fighting Climate Change </w:t>
      </w:r>
      <w:r w:rsidRPr="00E82430">
        <w:br/>
      </w:r>
      <w:r w:rsidRPr="002C57BB">
        <w:t>Model Award Criteria</w:t>
      </w:r>
      <w:r w:rsidRPr="00E82430">
        <w:t xml:space="preserve">: MAC </w:t>
      </w:r>
    </w:p>
    <w:p w:rsidRPr="00E82430" w:rsidR="004A3DCA" w:rsidP="004A3DCA" w:rsidRDefault="004A3DCA" w14:paraId="75B384FB" w14:textId="77777777">
      <w:r w:rsidRPr="00E82430">
        <w:t xml:space="preserve">4.1 Deliver additional environmental benefits in the performance of the contract including working towards net zero greenhouse gas emissions. </w:t>
      </w:r>
    </w:p>
    <w:p w:rsidRPr="00E82430" w:rsidR="004A3DCA" w:rsidP="002C57BB" w:rsidRDefault="004A3DCA" w14:paraId="03018E78" w14:textId="6BB3656D">
      <w:r w:rsidRPr="002C57BB">
        <w:t xml:space="preserve">Possible KPIs: </w:t>
      </w:r>
      <w:r w:rsidRPr="002C57BB">
        <w:br/>
      </w:r>
      <w:r w:rsidRPr="00E82430">
        <w:t xml:space="preserve">• Percentage of carbon reduction (measured in metric tonnes carbon dioxide equivalents (MTCDE) across Scope 1, Scope 2 and Scope 3 by the supplier committed within the contract at a corporate level • Supplier committed to carbon Net Zero at a corporate level by an acceptable date. </w:t>
      </w:r>
    </w:p>
    <w:p w:rsidRPr="00E82430" w:rsidR="004A3DCA" w:rsidP="004A3DCA" w:rsidRDefault="004A3DCA" w14:paraId="6DC339AE" w14:textId="77777777">
      <w:r w:rsidRPr="002C57BB">
        <w:t>Theme</w:t>
      </w:r>
      <w:r w:rsidRPr="00E82430">
        <w:t xml:space="preserve">: Tackling Economic Inequality </w:t>
      </w:r>
      <w:r w:rsidRPr="00E82430">
        <w:br/>
      </w:r>
      <w:r w:rsidRPr="002C57BB">
        <w:t>Model Award Criteria</w:t>
      </w:r>
      <w:r w:rsidRPr="00E82430">
        <w:t xml:space="preserve">: </w:t>
      </w:r>
    </w:p>
    <w:p w:rsidRPr="00E82430" w:rsidR="004A3DCA" w:rsidP="004A3DCA" w:rsidRDefault="004A3DCA" w14:paraId="7588A8DE" w14:textId="77777777">
      <w:r w:rsidRPr="002C57BB">
        <w:t>MAC 3.1</w:t>
      </w:r>
      <w:r w:rsidRPr="00E82430">
        <w:t xml:space="preserve">: Create a diverse supply chain to deliver the contract including new businesses and entrepreneurs, start-ups, SMEs, VCSEs and mutuals. </w:t>
      </w:r>
    </w:p>
    <w:p w:rsidRPr="00E82430" w:rsidR="004A3DCA" w:rsidP="004A3DCA" w:rsidRDefault="004A3DCA" w14:paraId="16C349B5" w14:textId="77777777">
      <w:r w:rsidRPr="002C57BB">
        <w:t>MAC 3.3</w:t>
      </w:r>
      <w:r w:rsidRPr="00E82430">
        <w:t xml:space="preserve">: Support the development of scalable and future-proofed new methods to modernise delivery and increase productivity. </w:t>
      </w:r>
    </w:p>
    <w:p w:rsidRPr="00E82430" w:rsidR="004A3DCA" w:rsidP="002C57BB" w:rsidRDefault="004A3DCA" w14:paraId="5CEF5E5F" w14:textId="489F1B8B">
      <w:r w:rsidRPr="002C57BB">
        <w:t>MAC 3.4</w:t>
      </w:r>
      <w:r w:rsidRPr="00E82430">
        <w:t xml:space="preserve">: Demonstrate collaboration throughout the supply chain, and a fair and responsible approach to working with supply chain partners in delivery of the contract. Possible KPIs: </w:t>
      </w:r>
      <w:r w:rsidRPr="00E82430">
        <w:br/>
      </w:r>
      <w:r w:rsidRPr="00E82430">
        <w:t xml:space="preserve">• Number of opportunities for local knowledge to be accessed in the delivery of the contract </w:t>
      </w:r>
      <w:r w:rsidRPr="00E82430">
        <w:br/>
      </w:r>
      <w:r w:rsidRPr="00E82430">
        <w:t>• Number of opportunities for local knowledge and skills to be supported and developed in the delivery of the contract</w:t>
      </w:r>
    </w:p>
    <w:p w:rsidRPr="00E82430" w:rsidR="004A3DCA" w:rsidP="002C57BB" w:rsidRDefault="004A3DCA" w14:paraId="66045680" w14:textId="0004DB6B">
      <w:r w:rsidRPr="00E82430">
        <w:t xml:space="preserve">10. Commercial Arrangements </w:t>
      </w:r>
    </w:p>
    <w:p w:rsidRPr="00E82430" w:rsidR="004A3DCA" w:rsidP="002C57BB" w:rsidRDefault="004A3DCA" w14:paraId="4F774D3B" w14:textId="77777777">
      <w:r w:rsidRPr="00E82430">
        <w:t xml:space="preserve">10.1. Available budget </w:t>
      </w:r>
    </w:p>
    <w:p w:rsidRPr="00E82430" w:rsidR="004A3DCA" w:rsidP="002C57BB" w:rsidRDefault="004A3DCA" w14:paraId="2EDABD61" w14:textId="5C24EFFC">
      <w:r w:rsidRPr="00E82430">
        <w:t xml:space="preserve">The maximum available budget for this project is £1,000,000 GBP exclusive of UK VAT and taxes but inclusive of any overseas VAT and taxes. This includes all funds to cover the fees and expenses of the Supplier and its subcontractors to deliver the specification detailed in Table 7 above. Based on budget modelling and benchmarking, BEIS has a good sense of the expected costs of this programme to deliver. BEIS is looking for a budget that offers value for money and maximises the resources available to deliver the MAGC L&amp;E. In broad terms the approximate budget ranges for each work package are as follows. Please note that these are indicative for guidance only and should not be treated as minimum or maximum budgets. Suppliers should develop their own budgets in line with their own assumptions for what the requirements will take to deliver and what offers value for money. </w:t>
      </w:r>
      <w:r w:rsidRPr="00E82430">
        <w:br/>
      </w:r>
      <w:r w:rsidRPr="00E82430">
        <w:t xml:space="preserve">• Interim Evaluation - £550,000 </w:t>
      </w:r>
      <w:r w:rsidRPr="00E82430">
        <w:br/>
      </w:r>
      <w:r w:rsidRPr="00E82430">
        <w:t xml:space="preserve">• Final Evaluation - £450,000 </w:t>
      </w:r>
    </w:p>
    <w:p w:rsidRPr="00E82430" w:rsidR="004A3DCA" w:rsidP="009F5280" w:rsidRDefault="004A3DCA" w14:paraId="18A01020" w14:textId="7EF8CE89">
      <w:r w:rsidRPr="00E82430">
        <w:t xml:space="preserve">Separate to the maximum budget the Authority will reserve a £100,000 contingency within the contract to cover the following: • Unforeseen circumstances or scope pressures particularly in the final evaluation noting that the results of the interim may alter the scope or focus of the final evaluation. • Potential inflationary pressures or cost increases between the interim and final evaluations for fees and/or expenses. The use of the contingency and modification to costs and budgets will be agreed with the Evaluation Partner in the rescoping phase prior to the final evaluation. Increases in costs must be justifiable and approved by BEIS and may not lead to an increase in the overall profit margin of the Supplier as provided at the time of bidding. Bidders should not include contingency or inflation considerations for the final evaluation in the proposed budget and please do not suggest modified day-rates for the final evaluation at this stage. Bids that are submitted that are overbudget will be considered non-complaint and will be disqualified. If bidders assert that the required scope is not possible to deliver within the available budget this should be raised as a question to the Authority and bidders should make clear which bits of the scope are not possible in any tender submission. </w:t>
      </w:r>
    </w:p>
    <w:p w:rsidRPr="00E82430" w:rsidR="004A3DCA" w:rsidP="002C57BB" w:rsidRDefault="004A3DCA" w14:paraId="4F9765F4" w14:textId="77777777">
      <w:r w:rsidRPr="00E82430">
        <w:t xml:space="preserve">10.2. Commercial proposals </w:t>
      </w:r>
    </w:p>
    <w:p w:rsidRPr="00E82430" w:rsidR="004A3DCA" w:rsidP="004A3DCA" w:rsidRDefault="004A3DCA" w14:paraId="7E2F22AB" w14:textId="77777777">
      <w:r w:rsidRPr="00E82430">
        <w:t>Bidders should complete and return Annex A; the budget template detailing the offered price for delivering the scope of work outlined above. This should include a breakdown of daily fee rates and numbers of days for each staff member or role as well as a breakdown of expenses and any other fixed costs. Suppliers must not include any financial or pricing information in their technical proposals. As such, the workplans requested in the technical proposal should include levels of effort (i.e.</w:t>
      </w:r>
      <w:r>
        <w:t>,</w:t>
      </w:r>
      <w:r w:rsidRPr="00E82430">
        <w:t xml:space="preserve"> numbers of days) only. All budgeting, forecasting, reporting and billing from the Supplier to BEIS will be in GBP only.</w:t>
      </w:r>
    </w:p>
    <w:p w:rsidRPr="00E82430" w:rsidR="004A3DCA" w:rsidP="002C57BB" w:rsidRDefault="004A3DCA" w14:paraId="715202F0" w14:textId="77777777">
      <w:r w:rsidRPr="00E82430">
        <w:t xml:space="preserve">10.3. Fee rates </w:t>
      </w:r>
    </w:p>
    <w:p w:rsidRPr="00E82430" w:rsidR="004A3DCA" w:rsidP="004A3DCA" w:rsidRDefault="004A3DCA" w14:paraId="7247A519" w14:textId="77777777">
      <w:r w:rsidRPr="00E82430">
        <w:t>Daily rates are not being capped as part of this tender. However, BEIS is looking for a budget that offers value for money and maximises the resources available to directly support the beneficiaries of MAGC. As such we expect daily rates and the appropriate balance of seniority of resources proposed to support this. Although the Authority is not capping day rates, any rate proposed over £1000 per day must be separately justified given this Contract is funded by UK Aid. 1</w:t>
      </w:r>
    </w:p>
    <w:p w:rsidRPr="00E82430" w:rsidR="004A3DCA" w:rsidP="004A3DCA" w:rsidRDefault="004A3DCA" w14:paraId="4195B049" w14:textId="77777777">
      <w:r w:rsidRPr="00E82430">
        <w:t xml:space="preserve">0.4. Expenses and fixed costs </w:t>
      </w:r>
    </w:p>
    <w:p w:rsidRPr="00E82430" w:rsidR="004A3DCA" w:rsidP="004A3DCA" w:rsidRDefault="004A3DCA" w14:paraId="2698B245" w14:textId="77777777">
      <w:r w:rsidRPr="00E82430">
        <w:t xml:space="preserve">Expenses and other fixed costs incurred by the Supplier in performing the services are eligible costs under this programme. Eligible expenses including travel and subsistence that are compliant with the expenses policy attached to this ITT at Annex D will be reimbursed at cost and should be budgeted for by the Supplier. The expenses policy will form a schedule to the eventual contract. Exceptions to the expenses policy must be agreed in writing in advance with BEIS prior to any costs being incurred. Any costs at odds with the expenses policy that are not pre-agreed are incurred at the Supplier’s own risk. </w:t>
      </w:r>
    </w:p>
    <w:p w:rsidRPr="00E82430" w:rsidR="004A3DCA" w:rsidP="002C57BB" w:rsidRDefault="004A3DCA" w14:paraId="4AFBBB10" w14:textId="77777777">
      <w:r w:rsidRPr="00E82430">
        <w:t xml:space="preserve">10.5. Pricing and payment structure </w:t>
      </w:r>
    </w:p>
    <w:p w:rsidRPr="00E82430" w:rsidR="004A3DCA" w:rsidP="002C57BB" w:rsidRDefault="004A3DCA" w14:paraId="36441EEB" w14:textId="50961B17">
      <w:r w:rsidRPr="00E82430">
        <w:t>The pricing structure for this contract is as follows: Table 10: Pricing Structure</w:t>
      </w:r>
    </w:p>
    <w:p w:rsidRPr="00E82430" w:rsidR="004A3DCA" w:rsidP="004A3DCA" w:rsidRDefault="004A3DCA" w14:paraId="6E62E97F" w14:textId="7AC21450">
      <w:r w:rsidRPr="00FC25FC">
        <w:rPr>
          <w:noProof/>
        </w:rPr>
        <w:drawing>
          <wp:inline distT="0" distB="0" distL="0" distR="0" wp14:anchorId="69630BDB" wp14:editId="42D8200A">
            <wp:extent cx="3632200" cy="1943546"/>
            <wp:effectExtent l="0" t="0" r="6350" b="0"/>
            <wp:docPr id="1059102591" name="Picture 12" descr="Table showing the pricing structure or this contract. The pricing is split between the interim evaluation, the interval period and the fi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2591" name="Picture 12" descr="Table showing the pricing structure or this contract. The pricing is split between the interim evaluation, the interval period and the final evaluation."/>
                    <pic:cNvPicPr/>
                  </pic:nvPicPr>
                  <pic:blipFill>
                    <a:blip r:embed="rId58">
                      <a:extLst>
                        <a:ext uri="{28A0092B-C50C-407E-A947-70E740481C1C}">
                          <a14:useLocalDpi xmlns:a14="http://schemas.microsoft.com/office/drawing/2010/main" val="0"/>
                        </a:ext>
                      </a:extLst>
                    </a:blip>
                    <a:stretch>
                      <a:fillRect/>
                    </a:stretch>
                  </pic:blipFill>
                  <pic:spPr>
                    <a:xfrm>
                      <a:off x="0" y="0"/>
                      <a:ext cx="3640126" cy="1947787"/>
                    </a:xfrm>
                    <a:prstGeom prst="rect">
                      <a:avLst/>
                    </a:prstGeom>
                  </pic:spPr>
                </pic:pic>
              </a:graphicData>
            </a:graphic>
          </wp:inline>
        </w:drawing>
      </w:r>
    </w:p>
    <w:p w:rsidRPr="00E82430" w:rsidR="004A3DCA" w:rsidP="004A3DCA" w:rsidRDefault="004A3DCA" w14:paraId="63A49BF4" w14:textId="3B1AD538">
      <w:r w:rsidRPr="00FC25FC">
        <w:rPr>
          <w:noProof/>
        </w:rPr>
        <w:drawing>
          <wp:inline distT="0" distB="0" distL="0" distR="0" wp14:anchorId="556AD78D" wp14:editId="69731B5F">
            <wp:extent cx="3638550" cy="5146633"/>
            <wp:effectExtent l="0" t="0" r="0" b="0"/>
            <wp:docPr id="965665301" name="Picture 13" descr="Table showing the pricing structure or this contract. The pricing is split between the interim evaluation, the interval period and the fi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65301" name="Picture 13" descr="Table showing the pricing structure or this contract. The pricing is split between the interim evaluation, the interval period and the final evaluation."/>
                    <pic:cNvPicPr/>
                  </pic:nvPicPr>
                  <pic:blipFill>
                    <a:blip r:embed="rId59">
                      <a:extLst>
                        <a:ext uri="{28A0092B-C50C-407E-A947-70E740481C1C}">
                          <a14:useLocalDpi xmlns:a14="http://schemas.microsoft.com/office/drawing/2010/main" val="0"/>
                        </a:ext>
                      </a:extLst>
                    </a:blip>
                    <a:stretch>
                      <a:fillRect/>
                    </a:stretch>
                  </pic:blipFill>
                  <pic:spPr>
                    <a:xfrm>
                      <a:off x="0" y="0"/>
                      <a:ext cx="3641440" cy="5150720"/>
                    </a:xfrm>
                    <a:prstGeom prst="rect">
                      <a:avLst/>
                    </a:prstGeom>
                  </pic:spPr>
                </pic:pic>
              </a:graphicData>
            </a:graphic>
          </wp:inline>
        </w:drawing>
      </w:r>
    </w:p>
    <w:p w:rsidRPr="00E82430" w:rsidR="004A3DCA" w:rsidP="004A3DCA" w:rsidRDefault="004A3DCA" w14:paraId="3CFFD25B" w14:textId="5F4C108B">
      <w:r w:rsidRPr="00FC25FC">
        <w:rPr>
          <w:noProof/>
        </w:rPr>
        <w:drawing>
          <wp:inline distT="0" distB="0" distL="0" distR="0" wp14:anchorId="6040C7B4" wp14:editId="71238079">
            <wp:extent cx="3644392" cy="704850"/>
            <wp:effectExtent l="0" t="0" r="0" b="0"/>
            <wp:docPr id="54562918" name="Picture 14" descr="Table showing the pricing structure or this contract. The pricing is split between the interim evaluation, the interval period and the fi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918" name="Picture 14" descr="Table showing the pricing structure or this contract. The pricing is split between the interim evaluation, the interval period and the final evaluation."/>
                    <pic:cNvPicPr/>
                  </pic:nvPicPr>
                  <pic:blipFill>
                    <a:blip r:embed="rId60">
                      <a:extLst>
                        <a:ext uri="{28A0092B-C50C-407E-A947-70E740481C1C}">
                          <a14:useLocalDpi xmlns:a14="http://schemas.microsoft.com/office/drawing/2010/main" val="0"/>
                        </a:ext>
                      </a:extLst>
                    </a:blip>
                    <a:stretch>
                      <a:fillRect/>
                    </a:stretch>
                  </pic:blipFill>
                  <pic:spPr>
                    <a:xfrm>
                      <a:off x="0" y="0"/>
                      <a:ext cx="3657288" cy="707344"/>
                    </a:xfrm>
                    <a:prstGeom prst="rect">
                      <a:avLst/>
                    </a:prstGeom>
                  </pic:spPr>
                </pic:pic>
              </a:graphicData>
            </a:graphic>
          </wp:inline>
        </w:drawing>
      </w:r>
    </w:p>
    <w:p w:rsidRPr="00E82430" w:rsidR="004A3DCA" w:rsidP="004A3DCA" w:rsidRDefault="004A3DCA" w14:paraId="3D35CA6B" w14:textId="77777777"/>
    <w:p w:rsidRPr="00E82430" w:rsidR="004A3DCA" w:rsidP="004A3DCA" w:rsidRDefault="004A3DCA" w14:paraId="53A35126" w14:textId="299A19D9">
      <w:r w:rsidRPr="00E82430">
        <w:t xml:space="preserve">Through the budgeting approach for MAGC MEL, BEIS is looking for transparency on what the programme costs to deliver and the overall profit margin being made on the programme. The overall profit margin will be declared in the commercial proposal, treated as a maximum and monitored over the duration of delivery. The Supplier shall declare the overall maximum profit margin anticipated over the lifetime of the contract and report the actual profit margin on an annual basis. This will be self-audited by the supplier, but BEIS reserves the right to request evidence if required. BEIS anticipates that the budget split for the various phases of work as received in response to this tender and reflected in the contract will be fixed for the duration of the contract period subject to revision in the rescoping phase. However, in line with agile contract management principles, BEIS expects the Supplier to actively manage the budget and discuss any concerns with regards to budget as soon as reasonably possible. Where, in the </w:t>
      </w:r>
      <w:r w:rsidRPr="00E82430">
        <w:t xml:space="preserve">opinion of BEIS, there is a clear commercial and quality justification for reconsidering the budget split during the delivery period, changes to the budget may be considered and agreed. </w:t>
      </w:r>
    </w:p>
    <w:p w:rsidRPr="00E82430" w:rsidR="004A3DCA" w:rsidP="002C57BB" w:rsidRDefault="004A3DCA" w14:paraId="3B6CF652" w14:textId="77777777">
      <w:r w:rsidRPr="00E82430">
        <w:t xml:space="preserve">10.6. Billing </w:t>
      </w:r>
    </w:p>
    <w:p w:rsidRPr="00E82430" w:rsidR="004A3DCA" w:rsidP="004A3DCA" w:rsidRDefault="004A3DCA" w14:paraId="5E32879F" w14:textId="77777777">
      <w:r w:rsidRPr="00E82430">
        <w:t xml:space="preserve">Once a payment milestone is reached, a draft invoice will be submitted to the BEIS contract officer for rapid review. Following approval, a final invoice should be submitted for payment. Invoices will be submitted accompanied by such supporting documentation as may be agreed with the BEIS contract officer. This will include expenses breakdowns and supporting receipts. The Department aims to pay all correctly submitted invoices as soon as possible with a target of 10 days from the date of receipt and within 30 days at the latest in line with standard terms and conditions of contract. </w:t>
      </w:r>
    </w:p>
    <w:p w:rsidRPr="00E82430" w:rsidR="004A3DCA" w:rsidP="002C57BB" w:rsidRDefault="004A3DCA" w14:paraId="5389C4D0" w14:textId="77777777">
      <w:r w:rsidRPr="00E82430">
        <w:t xml:space="preserve">10.7. Forecasting </w:t>
      </w:r>
    </w:p>
    <w:p w:rsidRPr="00E82430" w:rsidR="004A3DCA" w:rsidP="004A3DCA" w:rsidRDefault="004A3DCA" w14:paraId="67504889" w14:textId="77777777">
      <w:r w:rsidRPr="00E82430">
        <w:t xml:space="preserve">The Supplier will be required to provide a forecast of spend of the budget in the commercial proposal. This will be updated following the scoping and rescoping phase if required. </w:t>
      </w:r>
    </w:p>
    <w:p w:rsidRPr="00E82430" w:rsidR="004A3DCA" w:rsidP="002C57BB" w:rsidRDefault="004A3DCA" w14:paraId="0DFB9BF8" w14:textId="77777777">
      <w:r w:rsidRPr="00E82430">
        <w:t xml:space="preserve">10.8. Bid validity </w:t>
      </w:r>
    </w:p>
    <w:p w:rsidRPr="00E82430" w:rsidR="004A3DCA" w:rsidP="004A3DCA" w:rsidRDefault="004A3DCA" w14:paraId="089B37AA" w14:textId="77777777">
      <w:r w:rsidRPr="00E82430">
        <w:t xml:space="preserve">Proposals including commercial proposals will be valid for a period of at least 180 days from the date of submission. </w:t>
      </w:r>
    </w:p>
    <w:p w:rsidRPr="00E82430" w:rsidR="004A3DCA" w:rsidP="002C57BB" w:rsidRDefault="004A3DCA" w14:paraId="45B31B92" w14:textId="77777777">
      <w:r w:rsidRPr="00E82430">
        <w:t xml:space="preserve">10.9. Due diligence </w:t>
      </w:r>
    </w:p>
    <w:p w:rsidRPr="00E82430" w:rsidR="004A3DCA" w:rsidP="002C57BB" w:rsidRDefault="004A3DCA" w14:paraId="03358D54" w14:textId="79946A8A">
      <w:r w:rsidRPr="00E82430">
        <w:t xml:space="preserve">The preferred bidder will need to participate in, and satisfy, a Delivery Partner Review (DPR) carried out by a third party contracted by BEIS. This DPR is mandatory and will take place before contract signature. It will involve checks on the following areas. In the event that the supplier has other up to date due diligence with other relevant parts of HMG this may be used in part or instead of the DPR at BEIS’s discretion. </w:t>
      </w:r>
      <w:r w:rsidRPr="00E82430">
        <w:br/>
      </w:r>
      <w:r w:rsidRPr="00E82430">
        <w:t xml:space="preserve">Pillar 1 – </w:t>
      </w:r>
      <w:r w:rsidRPr="002C57BB">
        <w:t xml:space="preserve">Governance and Internal Controls: </w:t>
      </w:r>
      <w:r w:rsidRPr="00E82430">
        <w:t xml:space="preserve">• Assessment of corporate governance structures in the organisation, responsibility, accountability, risk management, value for money (VfM) approach, assurance mechanisms, and policies and procedures. Background check to understand the ownership or control structure of the organisation. Data protection and cyber security Fraud and fiduciary risk management systems and processes. </w:t>
      </w:r>
      <w:r w:rsidRPr="00E82430">
        <w:br/>
      </w:r>
      <w:r w:rsidRPr="00E82430">
        <w:t xml:space="preserve">Pillar 2 – </w:t>
      </w:r>
      <w:r w:rsidRPr="002C57BB">
        <w:t xml:space="preserve">Ability to Deliver: </w:t>
      </w:r>
      <w:r w:rsidRPr="00E82430">
        <w:t xml:space="preserve">• Human Resources – assessment of policies and procedures, and personnel capacity and capability to deliver the objectives of the arrangement. • Partner deliverability- assessment of capability and capacity to deliver the objectives of the arrangement, stakeholder engagement • Monitoring and evaluation processes and controls (both for internally delivered projects and those delivered through downstream partners). • Assessment of the partners capability and capacity to deliver the specific funded project, including an assessment of the recruitment protocols of relevant staff, performance and development processes, business continuity controls, stakeholder engagement and procurement practices. </w:t>
      </w:r>
      <w:r w:rsidRPr="00E82430">
        <w:br/>
      </w:r>
      <w:r w:rsidRPr="00E82430">
        <w:t xml:space="preserve">Pillar 3 – </w:t>
      </w:r>
      <w:r w:rsidRPr="002C57BB">
        <w:t xml:space="preserve">Financial Stability: </w:t>
      </w:r>
      <w:r w:rsidRPr="00E82430">
        <w:t xml:space="preserve">• Analysis of financial management information and accounts to assess the financial health of the organisation, its utilisation of funds and reporting thereof. The </w:t>
      </w:r>
      <w:r w:rsidRPr="00E82430">
        <w:t xml:space="preserve">section may look at key financial controls, how resources for the intervention will be used, the value for money (VFM) of any proposed arrangement and how any assets will be managed. </w:t>
      </w:r>
      <w:r w:rsidRPr="00E82430">
        <w:br/>
      </w:r>
      <w:r w:rsidRPr="00E82430">
        <w:t xml:space="preserve">Pillar 4 – </w:t>
      </w:r>
      <w:r w:rsidRPr="002C57BB">
        <w:t xml:space="preserve">Downstream Delivery: </w:t>
      </w:r>
      <w:r w:rsidRPr="00E82430">
        <w:t xml:space="preserve">• Downstream partner selection and procurement processes. • Assessment of how the funded Delivery Partner conducts due diligence, contract and risk management, monitoring and evaluation, Fraud, Bribery and Corruption (FBC), communications, policies, and procedures of any downstream delivery involved in the delivery of the project. Pillar 5 – </w:t>
      </w:r>
      <w:r w:rsidRPr="002C57BB">
        <w:t xml:space="preserve">Safeguarding: </w:t>
      </w:r>
      <w:r w:rsidRPr="00E82430">
        <w:t xml:space="preserve">• Assessment of policies and procedures safeguarding the human rights of vulnerable adults and children including protection from sexual exploitation, physical, sexual, or emotional abuse and neglect. </w:t>
      </w:r>
    </w:p>
    <w:p w:rsidRPr="00E82430" w:rsidR="004A3DCA" w:rsidP="004A3DCA" w:rsidRDefault="004A3DCA" w14:paraId="387B8876" w14:textId="7819A90C">
      <w:r w:rsidRPr="002C57BB">
        <w:t>Partnership behaviour</w:t>
      </w:r>
      <w:r w:rsidRPr="00E82430">
        <w:t xml:space="preserve">- Assessment of capacity to promote environmentally and socially responsible behaviours, including environmental risk management and gender equality, policies, and procedures. In the event that the preferred bidder cannot satisfy the DPR, BEIS reserves the right to move to the next highest scoring bidder. </w:t>
      </w:r>
    </w:p>
    <w:p w:rsidRPr="00E82430" w:rsidR="004A3DCA" w:rsidP="002C57BB" w:rsidRDefault="004A3DCA" w14:paraId="762EF281" w14:textId="77777777">
      <w:r w:rsidRPr="00E82430">
        <w:t xml:space="preserve">10.10. Key staff </w:t>
      </w:r>
    </w:p>
    <w:p w:rsidRPr="00E82430" w:rsidR="004A3DCA" w:rsidP="004A3DCA" w:rsidRDefault="004A3DCA" w14:paraId="021A3554" w14:textId="77777777">
      <w:r w:rsidRPr="00E82430">
        <w:t xml:space="preserve">Key staff put forward for delivery in the Technical Proposal will be named in the contract. In the event that any of those key staff are changed during delivery, this may only be done with the prior agreement of BEIS after review and approval of the new individual’s CV. </w:t>
      </w:r>
    </w:p>
    <w:p w:rsidRPr="00E82430" w:rsidR="004A3DCA" w:rsidP="002C57BB" w:rsidRDefault="004A3DCA" w14:paraId="427C91BC" w14:textId="77777777">
      <w:r w:rsidRPr="00E82430">
        <w:t xml:space="preserve">10.11. Supplier performance management </w:t>
      </w:r>
    </w:p>
    <w:p w:rsidRPr="00E82430" w:rsidR="004A3DCA" w:rsidP="004A3DCA" w:rsidRDefault="004A3DCA" w14:paraId="3FEFB84F" w14:textId="3C353EAE">
      <w:r w:rsidRPr="00E82430">
        <w:t xml:space="preserve">The successful supplier will be subject to the following performance management conditions and Key Performance Indicators (KPIs). Please note that this section of the ITT will form an Annex to the eventual contract. The MAGC L&amp;E programme performance will primarily be measured and managed using Key Performance Indicators (KPI). The requirements of the relevant contract schedule will apply throughout service delivery. Table 11 below provides some indicative KPIs that will be finalised and agreed with the Supplier during the contracting stage. Key Performance Indicators (KPIs) or Service Levels will be used to align the Supplier’s performance with the requirements of the Authority. KPIs must be realistic and achievable, and have to be met, in order to demonstrate that the services are being delivered to an adequate quality. BEIS reserves the right to amend the existing KPI’s detailed below or add any new KPI’s. Any changes to the KPI’s will be agreed with the Supplier and, during delivery, be confirmed by way of a formal contract amendment. KPIs will be monitored on an at least quarterly basis by BEIS and will be reported on each quarter. The Authority will reserve the right to request reporting of KPIs on a more frequent basis if performance levels would suggest increased monitoring is required. BEIS reserves the right to publish contract KPIs and performance against these in line with departmental and cross-Government requirements. Performance of each KPI will be recorded against a red, amber, green “score”, as described below, with a red score constituting a Service Level Failure. These levels of performance are detailed in the table below, along with the frequency of reporting. As a minimum, the Supplier will be required to report against KPIs (where possible) in each quarterly invoicing period. Where KPI’s have not been met because of issues outside of the Supplier’s direct control, the Authority may choose to disregard the KPI penalties and corrective measures in that instance. </w:t>
      </w:r>
    </w:p>
    <w:p w:rsidRPr="00E82430" w:rsidR="004A3DCA" w:rsidP="002C57BB" w:rsidRDefault="004A3DCA" w14:paraId="6A7E8577" w14:textId="6BAA664A">
      <w:r w:rsidRPr="002C57BB">
        <w:t>Scoring methodology for KPI criteria</w:t>
      </w:r>
      <w:r w:rsidRPr="00E82430">
        <w:t xml:space="preserve">: </w:t>
      </w:r>
      <w:r w:rsidRPr="00E82430">
        <w:br/>
      </w:r>
      <w:r w:rsidRPr="00E82430">
        <w:t xml:space="preserve">• </w:t>
      </w:r>
      <w:r w:rsidRPr="002C57BB">
        <w:t>Green Score</w:t>
      </w:r>
      <w:r w:rsidRPr="00E82430">
        <w:t xml:space="preserve">: If a green score has been awarded to a KPI then no further action is required from the Supplier, with the exception of continuing activities to maintain this score for the next reporting period. </w:t>
      </w:r>
      <w:r w:rsidRPr="00E82430">
        <w:br/>
      </w:r>
      <w:r w:rsidRPr="00E82430">
        <w:t xml:space="preserve">• </w:t>
      </w:r>
      <w:r w:rsidRPr="002C57BB">
        <w:t>Amber Score</w:t>
      </w:r>
      <w:r w:rsidRPr="00E82430">
        <w:t xml:space="preserve">: If an amber score is awarded, the Supplier should examine and implement measures to prevent this KPI being scored an amber in subsequent reporting periods. The Authority will not expect formal improvement measures at that stage. If a single KPI is awarded amber in two consecutive invoice periods, or twice in four consecutive invoicing periods then the Supplier should create and implement a Remediation Plan at their own cost. This should detail how they will change their practices to prevent another amber score being awarded for this KPI. The timeline for producing this Remediation Plan should be agreed between the Authority and the Supplier and should only be implemented following approval by the Authority. The Authority reserves the right to terminate the Contract if a satisfactory Remediation Plan cannot be agreed. </w:t>
      </w:r>
      <w:r w:rsidRPr="00E82430">
        <w:br/>
      </w:r>
      <w:r w:rsidRPr="00E82430">
        <w:t xml:space="preserve">• </w:t>
      </w:r>
      <w:r w:rsidRPr="002C57BB">
        <w:t>Red Score</w:t>
      </w:r>
      <w:r w:rsidRPr="00E82430">
        <w:t xml:space="preserve">: If a red score is awarded, this is considered a Service Level Failure. The Supplier should create and implement a Remediation Plan at their own cost. This Remediation Plan should detail how they will change practices to prevent another red score being awarded for this KPI. As above, the Authority must agree to the timelines and contents of the Remediation Plan prior to implementation and reserves the right to terminate the Contract if a satisfactory plan cannot be agreed. If, following implementation of a Remediation Plan, the Supplier scores a red in the same KPI in any subsequent period throughout the duration of the Contract, the Authority reserves the right to terminate the Contract. The Authority also reserves the right to terminate the Contract if a KPI red score has been awarded without requesting a Remediation Plan if it is of the opinion of the Authority that a Material Default has occurred. The Authority reserves the right to suspend, or partially terminate the Contract, while a Remediation Plan is being developed and agreed, where there is justification to do so. </w:t>
      </w:r>
    </w:p>
    <w:p w:rsidRPr="00E82430" w:rsidR="004A3DCA" w:rsidP="002C57BB" w:rsidRDefault="004A3DCA" w14:paraId="12D30D1C" w14:textId="77777777">
      <w:r w:rsidRPr="00E82430">
        <w:t xml:space="preserve">Key performance indicators applicable to this contract </w:t>
      </w:r>
    </w:p>
    <w:p w:rsidRPr="00E82430" w:rsidR="004A3DCA" w:rsidP="004A3DCA" w:rsidRDefault="004A3DCA" w14:paraId="45AAADB5" w14:textId="77777777">
      <w:r w:rsidRPr="00E82430">
        <w:t>The following draft KPIs will apply to this contract. These KPIs are subject to discussion with the winning bidder and may be amended by the Authority before contract signature and throughout the delivery of the programme in response to contract reviews and the needs of the programme and with the agreement of the Supplier.</w:t>
      </w:r>
    </w:p>
    <w:p w:rsidRPr="00E82430" w:rsidR="004A3DCA" w:rsidP="004A3DCA" w:rsidRDefault="004A3DCA" w14:paraId="3FD6DDFB" w14:textId="2D8C51F1">
      <w:r w:rsidRPr="00FC25FC">
        <w:rPr>
          <w:noProof/>
        </w:rPr>
        <w:drawing>
          <wp:inline distT="0" distB="0" distL="0" distR="0" wp14:anchorId="406D11B1" wp14:editId="163DA38E">
            <wp:extent cx="5715294" cy="3486329"/>
            <wp:effectExtent l="0" t="0" r="0" b="0"/>
            <wp:docPr id="1355312984" name="Picture 15" descr="Table showing the Key performance Indicators that are applicable to this contract. The service levels of the programme correlate wit ha key performance indicator and a measure on social level performance, social level threshold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2984" name="Picture 15" descr="Table showing the Key performance Indicators that are applicable to this contract. The service levels of the programme correlate wit ha key performance indicator and a measure on social level performance, social level threshold and frequency."/>
                    <pic:cNvPicPr/>
                  </pic:nvPicPr>
                  <pic:blipFill>
                    <a:blip r:embed="rId61">
                      <a:extLst>
                        <a:ext uri="{28A0092B-C50C-407E-A947-70E740481C1C}">
                          <a14:useLocalDpi xmlns:a14="http://schemas.microsoft.com/office/drawing/2010/main" val="0"/>
                        </a:ext>
                      </a:extLst>
                    </a:blip>
                    <a:stretch>
                      <a:fillRect/>
                    </a:stretch>
                  </pic:blipFill>
                  <pic:spPr>
                    <a:xfrm>
                      <a:off x="0" y="0"/>
                      <a:ext cx="5715294" cy="3486329"/>
                    </a:xfrm>
                    <a:prstGeom prst="rect">
                      <a:avLst/>
                    </a:prstGeom>
                  </pic:spPr>
                </pic:pic>
              </a:graphicData>
            </a:graphic>
          </wp:inline>
        </w:drawing>
      </w:r>
    </w:p>
    <w:p w:rsidRPr="00E82430" w:rsidR="004A3DCA" w:rsidP="004A3DCA" w:rsidRDefault="004A3DCA" w14:paraId="310ECF3C" w14:textId="77777777">
      <w:r w:rsidRPr="00FC25FC">
        <w:rPr>
          <w:noProof/>
        </w:rPr>
        <w:drawing>
          <wp:inline distT="0" distB="0" distL="0" distR="0" wp14:anchorId="1B98A6B3" wp14:editId="62714E35">
            <wp:extent cx="5696243" cy="3530781"/>
            <wp:effectExtent l="0" t="0" r="0" b="0"/>
            <wp:docPr id="1698878203" name="Picture 16" descr="Table showing the Key performance Indicators that are applicable to this contract. The service levels of the programme correlate wit ha key performance indicator and a measure on social level performance, social level threshold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8203" name="Picture 16" descr="Table showing the Key performance Indicators that are applicable to this contract. The service levels of the programme correlate wit ha key performance indicator and a measure on social level performance, social level threshold and frequency."/>
                    <pic:cNvPicPr/>
                  </pic:nvPicPr>
                  <pic:blipFill>
                    <a:blip r:embed="rId62">
                      <a:extLst>
                        <a:ext uri="{28A0092B-C50C-407E-A947-70E740481C1C}">
                          <a14:useLocalDpi xmlns:a14="http://schemas.microsoft.com/office/drawing/2010/main" val="0"/>
                        </a:ext>
                      </a:extLst>
                    </a:blip>
                    <a:stretch>
                      <a:fillRect/>
                    </a:stretch>
                  </pic:blipFill>
                  <pic:spPr>
                    <a:xfrm>
                      <a:off x="0" y="0"/>
                      <a:ext cx="5696243" cy="3530781"/>
                    </a:xfrm>
                    <a:prstGeom prst="rect">
                      <a:avLst/>
                    </a:prstGeom>
                  </pic:spPr>
                </pic:pic>
              </a:graphicData>
            </a:graphic>
          </wp:inline>
        </w:drawing>
      </w:r>
    </w:p>
    <w:p w:rsidRPr="00E667DC" w:rsidR="00E667DC" w:rsidP="00E667DC" w:rsidRDefault="00D85735" w14:paraId="6B15FA4F" w14:textId="35073F0D">
      <w:r w:rsidRPr="00FC25FC">
        <w:rPr>
          <w:rFonts w:eastAsiaTheme="majorEastAsia" w:cstheme="majorBidi"/>
          <w:noProof/>
          <w:color w:val="041E42"/>
          <w:sz w:val="52"/>
          <w:szCs w:val="32"/>
        </w:rPr>
        <w:drawing>
          <wp:inline distT="0" distB="0" distL="0" distR="0" wp14:anchorId="35D956EE" wp14:editId="75D5DE68">
            <wp:extent cx="5727994" cy="1301817"/>
            <wp:effectExtent l="0" t="0" r="6350" b="0"/>
            <wp:docPr id="890816945" name="Picture 17" descr="Table showing the Key performance Indicators that are applicable to this contract. The service levels of the programme correlate wit ha key performance indicator and a measure on social level performance, social level threshold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16945" name="Picture 17" descr="Table showing the Key performance Indicators that are applicable to this contract. The service levels of the programme correlate wit ha key performance indicator and a measure on social level performance, social level threshold and frequency."/>
                    <pic:cNvPicPr/>
                  </pic:nvPicPr>
                  <pic:blipFill>
                    <a:blip r:embed="rId63">
                      <a:extLst>
                        <a:ext uri="{28A0092B-C50C-407E-A947-70E740481C1C}">
                          <a14:useLocalDpi xmlns:a14="http://schemas.microsoft.com/office/drawing/2010/main" val="0"/>
                        </a:ext>
                      </a:extLst>
                    </a:blip>
                    <a:stretch>
                      <a:fillRect/>
                    </a:stretch>
                  </pic:blipFill>
                  <pic:spPr>
                    <a:xfrm>
                      <a:off x="0" y="0"/>
                      <a:ext cx="5727994" cy="1301817"/>
                    </a:xfrm>
                    <a:prstGeom prst="rect">
                      <a:avLst/>
                    </a:prstGeom>
                  </pic:spPr>
                </pic:pic>
              </a:graphicData>
            </a:graphic>
          </wp:inline>
        </w:drawing>
      </w:r>
    </w:p>
    <w:p w:rsidRPr="00E667DC" w:rsidR="00E667DC" w:rsidP="00E667DC" w:rsidRDefault="00E667DC" w14:paraId="4FA55261" w14:textId="77777777"/>
    <w:p w:rsidR="00975F60" w:rsidP="009D3585" w:rsidRDefault="00975F60" w14:paraId="386E3AB0" w14:textId="0C33A9D6">
      <w:pPr>
        <w:pStyle w:val="Heading1"/>
      </w:pPr>
      <w:bookmarkStart w:name="_Toc207790237" w:id="213"/>
      <w:r>
        <w:t>Annex 1</w:t>
      </w:r>
      <w:r w:rsidR="00523729">
        <w:t>1</w:t>
      </w:r>
      <w:r>
        <w:t>: Bibliography</w:t>
      </w:r>
      <w:bookmarkEnd w:id="213"/>
    </w:p>
    <w:p w:rsidR="009D3585" w:rsidP="009D3585" w:rsidRDefault="009D3585" w14:paraId="25CEBBE1" w14:textId="77777777">
      <w:r>
        <w:t xml:space="preserve">Betts, M. and Robinson, G. with Burton, C., Leonard, J., Sharda, A. and Whittington, T. (2015). </w:t>
      </w:r>
      <w:r w:rsidRPr="00906768">
        <w:t>Global Construction 2030: A global forecast for the construction industry to 2030. Global Construction Perspectives</w:t>
      </w:r>
      <w:r>
        <w:t xml:space="preserve"> and Oxford Economics. London, UK.</w:t>
      </w:r>
    </w:p>
    <w:p w:rsidR="009D3585" w:rsidP="009D3585" w:rsidRDefault="009D3585" w14:paraId="070A7B69" w14:textId="77777777">
      <w:r>
        <w:t xml:space="preserve">Davies, R. (2013). Planning Evaluability Assessments: A Synthesis of the Literature with Recommendations. Report of a Study Commissioned by the Department for International Development. Available at: </w:t>
      </w:r>
      <w:hyperlink w:history="1" r:id="rId64">
        <w:r w:rsidRPr="007D4004">
          <w:rPr>
            <w:rStyle w:val="Hyperlink"/>
          </w:rPr>
          <w:t>https://www.gov.uk/government/uploads/system/uploads/attachment_data/file/248656/wp40-planning-eval-assessments.pdf</w:t>
        </w:r>
      </w:hyperlink>
      <w:r>
        <w:t xml:space="preserve"> [Accessed on 04/11/2024].</w:t>
      </w:r>
    </w:p>
    <w:p w:rsidR="009D3585" w:rsidP="009D3585" w:rsidRDefault="009D3585" w14:paraId="382D285D" w14:textId="77777777">
      <w:r w:rsidRPr="007D23FD">
        <w:t xml:space="preserve">Department for International Development (2005). DFID’s Approach to Value for Money. Available at: </w:t>
      </w:r>
      <w:hyperlink w:history="1" r:id="rId65">
        <w:r w:rsidRPr="007D4004">
          <w:rPr>
            <w:rStyle w:val="Hyperlink"/>
          </w:rPr>
          <w:t>https://assets.publishing.service.gov.uk/government/uploads/system/uploads/attachment_data/file/49551/DFID-approach-value-money.pdf</w:t>
        </w:r>
      </w:hyperlink>
      <w:r>
        <w:t xml:space="preserve"> </w:t>
      </w:r>
      <w:r w:rsidRPr="007D23FD">
        <w:t>[Accessed 04/11/2024].</w:t>
      </w:r>
    </w:p>
    <w:p w:rsidR="009D3585" w:rsidP="009D3585" w:rsidRDefault="009D3585" w14:paraId="37723A9F" w14:textId="77777777">
      <w:r>
        <w:t xml:space="preserve">Department for International Development (2022). KPI 15 (Transformational Change) Methodology note. Available at: </w:t>
      </w:r>
      <w:hyperlink w:history="1" r:id="rId66">
        <w:r w:rsidRPr="007D4004">
          <w:rPr>
            <w:rStyle w:val="Hyperlink"/>
          </w:rPr>
          <w:t>https://assets.publishing.service.gov.uk/government/uploads/system/uploads/attachment_data/file/1139441/international-climate-finance_KPI_15_Methodology_Note_Extent_to_which_ICF_intervention_is_likely_to_lead_to_transformational_change.pdf</w:t>
        </w:r>
      </w:hyperlink>
      <w:r>
        <w:t xml:space="preserve"> [Accessed on 04/11/2024].</w:t>
      </w:r>
    </w:p>
    <w:p w:rsidR="009D3585" w:rsidP="009D3585" w:rsidRDefault="009D3585" w14:paraId="343FC080" w14:textId="77777777">
      <w:r>
        <w:t xml:space="preserve">Federation of Kenya Employers and IFC (2024). Launch Kenya 2 Equal Initiative. Available at: </w:t>
      </w:r>
      <w:hyperlink w:history="1" r:id="rId67">
        <w:r w:rsidRPr="007D4004">
          <w:rPr>
            <w:rStyle w:val="Hyperlink"/>
          </w:rPr>
          <w:t>https://www.fke-kenya.org/media-center/news/launch-kenya-2-equal-initiative-fke-and-ifc</w:t>
        </w:r>
      </w:hyperlink>
      <w:r>
        <w:t xml:space="preserve"> [Accessed on 04/11/2024].</w:t>
      </w:r>
    </w:p>
    <w:p w:rsidR="009D3585" w:rsidP="009D3585" w:rsidRDefault="009D3585" w14:paraId="0CC8C712" w14:textId="77777777">
      <w:r>
        <w:t xml:space="preserve">Global Buildings Performance Network (2022). India Ready for Change. Available at: </w:t>
      </w:r>
      <w:hyperlink w:history="1" w:anchor=":~:text=Experts%20estimate%20that%2050%25%20of,Mumbais%20or%20one%20Chicago2" r:id="rId68">
        <w:r w:rsidRPr="007D4004">
          <w:rPr>
            <w:rStyle w:val="Hyperlink"/>
          </w:rPr>
          <w:t>https://www.gbpn.org/projects/india-ready-for-change/#:~:text=Experts%20estimate%20that%2050%25%20of,Mumbais%20or%20one%20Chicago2</w:t>
        </w:r>
      </w:hyperlink>
      <w:r>
        <w:t xml:space="preserve"> [Accessed on 04/11/2024].</w:t>
      </w:r>
    </w:p>
    <w:p w:rsidR="009D3585" w:rsidP="009D3585" w:rsidRDefault="009D3585" w14:paraId="0D89A57B" w14:textId="77777777">
      <w:r>
        <w:t xml:space="preserve">Green Business Certification Inc. (2024). EDGE Certification Pricing. Available at: </w:t>
      </w:r>
      <w:hyperlink w:history="1" r:id="rId69">
        <w:r w:rsidRPr="007D4004">
          <w:rPr>
            <w:rStyle w:val="Hyperlink"/>
          </w:rPr>
          <w:t>https://edgebuildings.com/certify/certifiers-pricing/edge-certification-pricing/</w:t>
        </w:r>
      </w:hyperlink>
      <w:r>
        <w:t xml:space="preserve"> [Accessed on 04/11/2024].</w:t>
      </w:r>
    </w:p>
    <w:p w:rsidR="009D3585" w:rsidP="009D3585" w:rsidRDefault="009D3585" w14:paraId="749E0C0A" w14:textId="77777777">
      <w:r>
        <w:t xml:space="preserve">HM Government (2020). Magenta Book. Central Government guidance on evaluation. Available at: </w:t>
      </w:r>
      <w:hyperlink w:history="1" r:id="rId70">
        <w:r w:rsidRPr="007D4004">
          <w:rPr>
            <w:rStyle w:val="Hyperlink"/>
          </w:rPr>
          <w:t>https://www.gov.uk/government/publications/the-magenta-book</w:t>
        </w:r>
      </w:hyperlink>
      <w:r>
        <w:t xml:space="preserve"> [Accessed on 04/11/2024].</w:t>
      </w:r>
    </w:p>
    <w:p w:rsidR="009D3585" w:rsidP="009D3585" w:rsidRDefault="009D3585" w14:paraId="6E40C9DA" w14:textId="77777777">
      <w:r w:rsidRPr="007D23FD">
        <w:t xml:space="preserve">HM Government (2022). UK climate finance results. Available at: </w:t>
      </w:r>
      <w:hyperlink w:history="1" r:id="rId71">
        <w:r w:rsidRPr="007D4004">
          <w:rPr>
            <w:rStyle w:val="Hyperlink"/>
          </w:rPr>
          <w:t>https://www.gov.uk/government/publications/uk-climate-finance-results</w:t>
        </w:r>
      </w:hyperlink>
      <w:r>
        <w:t xml:space="preserve"> </w:t>
      </w:r>
      <w:r w:rsidRPr="007D23FD">
        <w:t>[Accessed 04/11/2024]</w:t>
      </w:r>
    </w:p>
    <w:p w:rsidR="009D3585" w:rsidP="009D3585" w:rsidRDefault="009D3585" w14:paraId="468C9187" w14:textId="77777777">
      <w:r>
        <w:t xml:space="preserve">HM Government (2023). Together for People and Planet: UK International Climate Finance Strategy. Available at: </w:t>
      </w:r>
      <w:hyperlink w:history="1" r:id="rId72">
        <w:r w:rsidRPr="007D4004">
          <w:rPr>
            <w:rStyle w:val="Hyperlink"/>
          </w:rPr>
          <w:t>https://assets.publishing.service.gov.uk/media/6482f5aa5f7bb7000c7fa775/tfpp-uk-international-climate-finance-strategy-2023.pdf</w:t>
        </w:r>
      </w:hyperlink>
      <w:r>
        <w:t xml:space="preserve"> [Accessed on 04/11/2024].</w:t>
      </w:r>
    </w:p>
    <w:p w:rsidR="003D21AF" w:rsidP="003A376E" w:rsidRDefault="003D21AF" w14:paraId="14C0B10B" w14:textId="3B3D0672">
      <w:r>
        <w:t xml:space="preserve">IFC (2019). Colombia </w:t>
      </w:r>
      <w:r w:rsidRPr="00906768">
        <w:t>Green Building Market</w:t>
      </w:r>
      <w:r>
        <w:t xml:space="preserve"> Snapshot. </w:t>
      </w:r>
      <w:r w:rsidRPr="00906768">
        <w:t>Washington, DC: International Finance Corporation.</w:t>
      </w:r>
      <w:r>
        <w:t xml:space="preserve"> Available at: </w:t>
      </w:r>
      <w:hyperlink w:history="1" r:id="rId73">
        <w:r w:rsidRPr="00295B9A">
          <w:rPr>
            <w:rStyle w:val="Hyperlink"/>
          </w:rPr>
          <w:t>https://edgebuildings.com/wp-content/uploads/2023/11/IFC0074-2023-Colombia-Green-Building-Market-Maturity-Sheet.pdf</w:t>
        </w:r>
      </w:hyperlink>
      <w:r>
        <w:t xml:space="preserve"> </w:t>
      </w:r>
      <w:r w:rsidRPr="00906768">
        <w:t xml:space="preserve">[Accessed </w:t>
      </w:r>
      <w:r>
        <w:t>04/11/2024</w:t>
      </w:r>
      <w:r w:rsidRPr="00906768">
        <w:t>].</w:t>
      </w:r>
    </w:p>
    <w:p w:rsidR="003D21AF" w:rsidP="003D21AF" w:rsidRDefault="003D21AF" w14:paraId="44BB9FD3" w14:textId="2844B749">
      <w:r>
        <w:t>IFC (2019). Indonesia</w:t>
      </w:r>
      <w:r w:rsidRPr="003D21AF">
        <w:t xml:space="preserve"> </w:t>
      </w:r>
      <w:r w:rsidRPr="00906768">
        <w:t>Market</w:t>
      </w:r>
      <w:r>
        <w:t xml:space="preserve"> Maturity Snapshot. </w:t>
      </w:r>
      <w:r w:rsidRPr="00906768">
        <w:t>Washington, DC: International Finance Corporation.</w:t>
      </w:r>
      <w:r>
        <w:t xml:space="preserve"> Available at: </w:t>
      </w:r>
      <w:hyperlink w:history="1" r:id="rId74">
        <w:r w:rsidRPr="00295B9A">
          <w:rPr>
            <w:rStyle w:val="Hyperlink"/>
          </w:rPr>
          <w:t>https://edgebuildings.com/wp-content/uploads/2023/11/IFC0077-2023-Indonesia-Green-Building-Market-Maturity-Sheet_R3.pdf</w:t>
        </w:r>
      </w:hyperlink>
      <w:r>
        <w:t xml:space="preserve"> [</w:t>
      </w:r>
      <w:r w:rsidRPr="00906768">
        <w:t xml:space="preserve">Accessed </w:t>
      </w:r>
      <w:r>
        <w:t>04/11/2024</w:t>
      </w:r>
      <w:r w:rsidRPr="00906768">
        <w:t>].</w:t>
      </w:r>
    </w:p>
    <w:p w:rsidR="003D21AF" w:rsidP="003D21AF" w:rsidRDefault="003D21AF" w14:paraId="04CF2802" w14:textId="20499545">
      <w:r>
        <w:t>IFC (2019). Peru</w:t>
      </w:r>
      <w:r w:rsidRPr="003D21AF">
        <w:t xml:space="preserve"> </w:t>
      </w:r>
      <w:r w:rsidRPr="00906768">
        <w:t>Green Building Market</w:t>
      </w:r>
      <w:r>
        <w:t xml:space="preserve"> Snapshot. </w:t>
      </w:r>
      <w:r w:rsidRPr="00906768">
        <w:t>Washington, DC: International Finance Corporation.</w:t>
      </w:r>
      <w:r>
        <w:t xml:space="preserve"> Available at: </w:t>
      </w:r>
      <w:hyperlink w:history="1" r:id="rId75">
        <w:r w:rsidRPr="00295B9A">
          <w:rPr>
            <w:rStyle w:val="Hyperlink"/>
          </w:rPr>
          <w:t>https://edgebuildings.com/wp-content/uploads/2023/11/IFC0077-2023-Peru-Green-Building-Market-Maturity-Sheet.pdf</w:t>
        </w:r>
      </w:hyperlink>
      <w:r>
        <w:t xml:space="preserve"> [</w:t>
      </w:r>
      <w:r w:rsidRPr="00906768">
        <w:t xml:space="preserve">Accessed </w:t>
      </w:r>
      <w:r>
        <w:t>04/11/2024</w:t>
      </w:r>
      <w:r w:rsidRPr="00906768">
        <w:t>].</w:t>
      </w:r>
    </w:p>
    <w:p w:rsidR="003D21AF" w:rsidP="003D21AF" w:rsidRDefault="003D21AF" w14:paraId="6CD29AFA" w14:textId="5AF9D5AF">
      <w:r>
        <w:t>IFC (2019). The Philippines</w:t>
      </w:r>
      <w:r w:rsidRPr="003D21AF">
        <w:t xml:space="preserve"> </w:t>
      </w:r>
      <w:r w:rsidRPr="00906768">
        <w:t>Green Building Market</w:t>
      </w:r>
      <w:r>
        <w:t xml:space="preserve"> Snapshot. </w:t>
      </w:r>
      <w:r w:rsidRPr="00906768">
        <w:t>Washington, DC: International Finance Corporation.</w:t>
      </w:r>
      <w:r>
        <w:t xml:space="preserve"> Available at: </w:t>
      </w:r>
      <w:hyperlink w:history="1" r:id="rId76">
        <w:r w:rsidRPr="00295B9A">
          <w:rPr>
            <w:rStyle w:val="Hyperlink"/>
          </w:rPr>
          <w:t>https://edgebuildings.com/wp-content/uploads/2023/11/IFC0077-2023-Philippines-Green-Building-Market-Maturity-Sheet.pdf</w:t>
        </w:r>
      </w:hyperlink>
      <w:r>
        <w:t xml:space="preserve"> [</w:t>
      </w:r>
      <w:r w:rsidRPr="00906768">
        <w:t xml:space="preserve">Accessed </w:t>
      </w:r>
      <w:r>
        <w:t>04/11/2024</w:t>
      </w:r>
      <w:r w:rsidRPr="00906768">
        <w:t>].</w:t>
      </w:r>
    </w:p>
    <w:p w:rsidR="003D21AF" w:rsidP="003D21AF" w:rsidRDefault="003D21AF" w14:paraId="3DE8B4DD" w14:textId="65489986">
      <w:r>
        <w:t>IFC (2019). Vietnam</w:t>
      </w:r>
      <w:r w:rsidRPr="003D21AF">
        <w:t xml:space="preserve"> </w:t>
      </w:r>
      <w:r w:rsidRPr="00906768">
        <w:t>Green Building Market</w:t>
      </w:r>
      <w:r>
        <w:t xml:space="preserve"> Snapshot. </w:t>
      </w:r>
      <w:r w:rsidRPr="00906768">
        <w:t>Washington, DC: International Finance Corporation.</w:t>
      </w:r>
      <w:r>
        <w:t xml:space="preserve"> Available at: </w:t>
      </w:r>
      <w:hyperlink w:history="1" r:id="rId77">
        <w:r w:rsidRPr="00295B9A">
          <w:rPr>
            <w:rStyle w:val="Hyperlink"/>
          </w:rPr>
          <w:t>https://edgebuildings.com/wp-content/uploads/2023/11/IFC0077-2023-Vietnam-Green-Building-Market-Maturity-Sheet.pdf</w:t>
        </w:r>
      </w:hyperlink>
      <w:r>
        <w:t xml:space="preserve"> [</w:t>
      </w:r>
      <w:r w:rsidRPr="00906768">
        <w:t xml:space="preserve">Accessed </w:t>
      </w:r>
      <w:r>
        <w:t>04/11/2024</w:t>
      </w:r>
      <w:r w:rsidRPr="00906768">
        <w:t>].</w:t>
      </w:r>
    </w:p>
    <w:p w:rsidR="003D21AF" w:rsidP="003D21AF" w:rsidRDefault="003D21AF" w14:paraId="1C469D5C" w14:textId="71580571">
      <w:r>
        <w:t xml:space="preserve">IFC (2020). Ghana </w:t>
      </w:r>
      <w:r w:rsidRPr="00906768">
        <w:t>Green Building Market</w:t>
      </w:r>
      <w:r>
        <w:t xml:space="preserve"> Snapshot. </w:t>
      </w:r>
      <w:r w:rsidRPr="00906768">
        <w:t>Washington, DC: International Finance Corporation.</w:t>
      </w:r>
      <w:r>
        <w:t xml:space="preserve"> Available at: </w:t>
      </w:r>
      <w:hyperlink w:history="1" r:id="rId78">
        <w:r w:rsidRPr="00295B9A">
          <w:rPr>
            <w:rStyle w:val="Hyperlink"/>
          </w:rPr>
          <w:t>https://edgebuildings.com/wp-content/uploads/2023/11/IFC0077-2023-Ghana-Green-Building-Market-Maturity-Sheet.pdf</w:t>
        </w:r>
      </w:hyperlink>
      <w:r>
        <w:t xml:space="preserve"> </w:t>
      </w:r>
      <w:r w:rsidRPr="00906768">
        <w:t xml:space="preserve">[Accessed </w:t>
      </w:r>
      <w:r>
        <w:t>04/11/2024</w:t>
      </w:r>
      <w:r w:rsidRPr="00906768">
        <w:t>].</w:t>
      </w:r>
    </w:p>
    <w:p w:rsidR="003D21AF" w:rsidP="003D21AF" w:rsidRDefault="003D21AF" w14:paraId="6531C109" w14:textId="5A8B0513">
      <w:r>
        <w:t xml:space="preserve">IFC (2020). India </w:t>
      </w:r>
      <w:r w:rsidRPr="00906768">
        <w:t>Green Building Market</w:t>
      </w:r>
      <w:r>
        <w:t xml:space="preserve"> Snapshot. </w:t>
      </w:r>
      <w:r w:rsidRPr="00906768">
        <w:t>Washington, DC: International Finance Corporation.</w:t>
      </w:r>
      <w:r>
        <w:t xml:space="preserve"> Available at: </w:t>
      </w:r>
      <w:hyperlink w:history="1" r:id="rId79">
        <w:r w:rsidRPr="00295B9A">
          <w:rPr>
            <w:rStyle w:val="Hyperlink"/>
          </w:rPr>
          <w:t>https://edgebuildings.com/wp-content/uploads/2023/11/IFC0077-2023-India-Green-Building-Market-Maturity-Sheet.pdf</w:t>
        </w:r>
      </w:hyperlink>
      <w:r>
        <w:t xml:space="preserve"> </w:t>
      </w:r>
      <w:r w:rsidRPr="00906768">
        <w:t xml:space="preserve">[Accessed </w:t>
      </w:r>
      <w:r>
        <w:t>04/11/2024</w:t>
      </w:r>
      <w:r w:rsidRPr="00906768">
        <w:t>].</w:t>
      </w:r>
    </w:p>
    <w:p w:rsidR="003D21AF" w:rsidP="003D21AF" w:rsidRDefault="003D21AF" w14:paraId="441E58D7" w14:textId="52F64B33">
      <w:r>
        <w:t xml:space="preserve">IFC (2020). Kenya </w:t>
      </w:r>
      <w:r w:rsidRPr="00906768">
        <w:t>Green Building Market</w:t>
      </w:r>
      <w:r>
        <w:t xml:space="preserve"> Snapshot. </w:t>
      </w:r>
      <w:r w:rsidRPr="00906768">
        <w:t>Washington, DC: International Finance Corporation.</w:t>
      </w:r>
      <w:r>
        <w:t xml:space="preserve"> Available at: </w:t>
      </w:r>
      <w:hyperlink w:history="1" r:id="rId80">
        <w:r w:rsidRPr="00295B9A">
          <w:rPr>
            <w:rStyle w:val="Hyperlink"/>
          </w:rPr>
          <w:t>https://edgebuildings.com/wp-content/uploads/2023/11/IFC0077-2023-Kenya-Green-Building-Market-Maturity-Sheet.pdf</w:t>
        </w:r>
      </w:hyperlink>
      <w:r>
        <w:t xml:space="preserve"> </w:t>
      </w:r>
      <w:r w:rsidRPr="00906768">
        <w:t xml:space="preserve">[Accessed </w:t>
      </w:r>
      <w:r>
        <w:t>04/11/2024</w:t>
      </w:r>
      <w:r w:rsidRPr="00906768">
        <w:t>].</w:t>
      </w:r>
    </w:p>
    <w:p w:rsidR="003D21AF" w:rsidP="003A376E" w:rsidRDefault="003D21AF" w14:paraId="29BAE0F2" w14:textId="4CDE4D89">
      <w:r>
        <w:t xml:space="preserve">IFC (2020). Mexico </w:t>
      </w:r>
      <w:r w:rsidRPr="00906768">
        <w:t>Green Building Market</w:t>
      </w:r>
      <w:r>
        <w:t xml:space="preserve"> Snapshot. </w:t>
      </w:r>
      <w:r w:rsidRPr="00906768">
        <w:t>Washington, DC: International Finance Corporation.</w:t>
      </w:r>
      <w:r>
        <w:t xml:space="preserve"> Available at: </w:t>
      </w:r>
      <w:hyperlink w:history="1" r:id="rId81">
        <w:r w:rsidRPr="00295B9A">
          <w:rPr>
            <w:rStyle w:val="Hyperlink"/>
          </w:rPr>
          <w:t>https://edgebuildings.com/wp-content/uploads/2023/11/IFC0077-2023-Mexico-Green-Building-Market-Maturity-Sheet.pdf</w:t>
        </w:r>
      </w:hyperlink>
      <w:r>
        <w:t xml:space="preserve"> </w:t>
      </w:r>
      <w:r w:rsidRPr="00906768">
        <w:t xml:space="preserve">[Accessed </w:t>
      </w:r>
      <w:r>
        <w:t>04/11/2024</w:t>
      </w:r>
      <w:r w:rsidRPr="00906768">
        <w:t>].</w:t>
      </w:r>
    </w:p>
    <w:p w:rsidR="003D21AF" w:rsidP="003D21AF" w:rsidRDefault="003D21AF" w14:paraId="48711129" w14:textId="3E82DA29">
      <w:r>
        <w:t xml:space="preserve">IFC (2020). </w:t>
      </w:r>
      <w:r w:rsidRPr="00906768">
        <w:t>South Africa Green Building Market</w:t>
      </w:r>
      <w:r>
        <w:t xml:space="preserve"> Snapshot. </w:t>
      </w:r>
      <w:r w:rsidRPr="00906768">
        <w:t>Washington, DC: International Finance Corporation.</w:t>
      </w:r>
      <w:r>
        <w:t xml:space="preserve"> Available at: </w:t>
      </w:r>
      <w:hyperlink w:history="1" r:id="rId82">
        <w:r w:rsidRPr="00295B9A">
          <w:rPr>
            <w:rStyle w:val="Hyperlink"/>
          </w:rPr>
          <w:t>https://edgebuildings.com/wp-content/uploads/2023/11/IFC0077-2023-South-Africa-Green-Building-Market-Maturity-Sheet.pdf</w:t>
        </w:r>
      </w:hyperlink>
      <w:r>
        <w:t xml:space="preserve"> </w:t>
      </w:r>
      <w:r w:rsidRPr="00906768">
        <w:t xml:space="preserve">[Accessed </w:t>
      </w:r>
      <w:r>
        <w:t>04/11/2024</w:t>
      </w:r>
      <w:r w:rsidRPr="00906768">
        <w:t>].</w:t>
      </w:r>
    </w:p>
    <w:p w:rsidR="003A376E" w:rsidP="003A376E" w:rsidRDefault="003A376E" w14:paraId="42C5BB69" w14:textId="3D7AC3EB">
      <w:r>
        <w:t>IFC</w:t>
      </w:r>
      <w:r w:rsidRPr="00906768">
        <w:t xml:space="preserve"> (202</w:t>
      </w:r>
      <w:r>
        <w:t>1</w:t>
      </w:r>
      <w:r w:rsidRPr="00906768">
        <w:t xml:space="preserve">). South Africa Green Building Market Stakeholder Assessment. Washington, DC: International Finance Corporation. Available at: </w:t>
      </w:r>
      <w:hyperlink w:history="1" r:id="rId83">
        <w:r w:rsidRPr="00FE5EF3">
          <w:rPr>
            <w:rStyle w:val="Hyperlink"/>
          </w:rPr>
          <w:t>https://edgebuildings.com/wp-content/uploads/2023/06/IFC-Green-Buildings-South-Africa-Stakeholder-Assessment-Report-6-28-2023.pdf</w:t>
        </w:r>
      </w:hyperlink>
      <w:r>
        <w:t xml:space="preserve"> </w:t>
      </w:r>
      <w:r w:rsidRPr="00906768">
        <w:t xml:space="preserve">[Accessed </w:t>
      </w:r>
      <w:r>
        <w:t>04/11/2024</w:t>
      </w:r>
      <w:r w:rsidRPr="00906768">
        <w:t>].</w:t>
      </w:r>
    </w:p>
    <w:p w:rsidR="009D3585" w:rsidP="009D3585" w:rsidRDefault="009D3585" w14:paraId="19B7C016" w14:textId="6C493C44">
      <w:r>
        <w:t>IFC</w:t>
      </w:r>
      <w:r w:rsidRPr="00906768">
        <w:t xml:space="preserve"> (202</w:t>
      </w:r>
      <w:r w:rsidR="006B150B">
        <w:t>2</w:t>
      </w:r>
      <w:r w:rsidRPr="00906768">
        <w:t xml:space="preserve">). Colombia Green Building Market Stakeholder Assessment. Washington, DC: International Finance Corporation. Available at: </w:t>
      </w:r>
      <w:hyperlink w:history="1" r:id="rId84">
        <w:r w:rsidRPr="00FE5EF3">
          <w:rPr>
            <w:rStyle w:val="Hyperlink"/>
          </w:rPr>
          <w:t>https://edgebuildings.com/wp-content/uploads/2023/06/IFC-Green-Buildings-Colombia-Stakeholder-Assessment-Report-6-28-2023.pdf</w:t>
        </w:r>
      </w:hyperlink>
      <w:r>
        <w:t xml:space="preserve"> </w:t>
      </w:r>
      <w:r w:rsidRPr="00906768">
        <w:t xml:space="preserve">[Accessed </w:t>
      </w:r>
      <w:r>
        <w:t>04/11/2024</w:t>
      </w:r>
      <w:r w:rsidRPr="00906768">
        <w:t>].</w:t>
      </w:r>
    </w:p>
    <w:p w:rsidR="003D21AF" w:rsidP="009D3585" w:rsidRDefault="003D21AF" w14:paraId="441B5800" w14:textId="17CF90F1">
      <w:r>
        <w:t xml:space="preserve">IFC (2023). Egypt Green Building Market Snapshot. </w:t>
      </w:r>
      <w:r w:rsidRPr="00906768">
        <w:t xml:space="preserve">Washington, DC: International Finance Corporation. </w:t>
      </w:r>
      <w:r>
        <w:t xml:space="preserve">Available at: </w:t>
      </w:r>
      <w:hyperlink w:history="1" r:id="rId85">
        <w:r w:rsidRPr="00295B9A">
          <w:rPr>
            <w:rStyle w:val="Hyperlink"/>
          </w:rPr>
          <w:t>https://edgebuildings.com/wp-content/uploads/2024/03/IFC0077-2024-Egypt-Green-Building-Market-Maturity-Sheet.pdf</w:t>
        </w:r>
      </w:hyperlink>
      <w:r>
        <w:t xml:space="preserve"> [Accessed on 04/11/2024].</w:t>
      </w:r>
    </w:p>
    <w:p w:rsidR="009D3585" w:rsidP="009D3585" w:rsidRDefault="009D3585" w14:paraId="6C43B3F1" w14:textId="10F82DC4">
      <w:r>
        <w:t>IFC</w:t>
      </w:r>
      <w:r w:rsidRPr="00906768">
        <w:t xml:space="preserve"> (202</w:t>
      </w:r>
      <w:r w:rsidR="006B150B">
        <w:t>3</w:t>
      </w:r>
      <w:r w:rsidRPr="00906768">
        <w:t xml:space="preserve">). Indonesia Green Building Market Stakeholder Assessment. Washington, DC: International Finance Corporation. Available at: </w:t>
      </w:r>
      <w:hyperlink w:history="1" r:id="rId86">
        <w:r w:rsidRPr="00FE5EF3">
          <w:rPr>
            <w:rStyle w:val="Hyperlink"/>
          </w:rPr>
          <w:t>https://edgebuildings.com/wp-content/uploads/2024/04/2024-04-02-IFC-Green-Buildings-Indonesia-Stakeholder-Assessment-Report-Final-Revised-2.pdf</w:t>
        </w:r>
      </w:hyperlink>
      <w:r>
        <w:t xml:space="preserve"> </w:t>
      </w:r>
      <w:r w:rsidRPr="00906768">
        <w:t xml:space="preserve">[Accessed </w:t>
      </w:r>
      <w:r>
        <w:t>04/11/2024</w:t>
      </w:r>
      <w:r w:rsidRPr="00906768">
        <w:t>].</w:t>
      </w:r>
    </w:p>
    <w:p w:rsidR="009D3585" w:rsidP="009D3585" w:rsidRDefault="009D3585" w14:paraId="4C875559" w14:textId="77777777">
      <w:r>
        <w:t>IFC</w:t>
      </w:r>
      <w:r w:rsidRPr="00906768">
        <w:t xml:space="preserve"> (202</w:t>
      </w:r>
      <w:r>
        <w:t>3</w:t>
      </w:r>
      <w:r w:rsidRPr="00906768">
        <w:t xml:space="preserve">). Kenya Green Building Market Stakeholder Assessment. Washington, DC: International Finance Corporation. Available at: </w:t>
      </w:r>
      <w:hyperlink w:history="1" r:id="rId87">
        <w:r w:rsidRPr="00FE5EF3">
          <w:rPr>
            <w:rStyle w:val="Hyperlink"/>
          </w:rPr>
          <w:t>https://edgebuildings.com/wp-content/uploads/2024/04/2024-04-02-IFC-Green-Buildings-Kenya-Stakeholder-Assessment-Report-Final-Revised-2.pdf</w:t>
        </w:r>
      </w:hyperlink>
      <w:r>
        <w:t xml:space="preserve"> </w:t>
      </w:r>
      <w:r w:rsidRPr="00906768">
        <w:t xml:space="preserve">[Accessed </w:t>
      </w:r>
      <w:r>
        <w:t>04/11/2024</w:t>
      </w:r>
      <w:r w:rsidRPr="00906768">
        <w:t>].</w:t>
      </w:r>
    </w:p>
    <w:p w:rsidR="009D3585" w:rsidP="009D3585" w:rsidRDefault="009D3585" w14:paraId="7EE2258C" w14:textId="77777777">
      <w:r>
        <w:t>IFC</w:t>
      </w:r>
      <w:r w:rsidRPr="00906768">
        <w:t xml:space="preserve"> (202</w:t>
      </w:r>
      <w:r>
        <w:t>3</w:t>
      </w:r>
      <w:r w:rsidRPr="00906768">
        <w:t xml:space="preserve">). Mexico Green Building Market Stakeholder Assessment. Washington, DC: International Finance Corporation. Available at: </w:t>
      </w:r>
      <w:hyperlink w:history="1" r:id="rId88">
        <w:r w:rsidRPr="00FE5EF3">
          <w:rPr>
            <w:rStyle w:val="Hyperlink"/>
          </w:rPr>
          <w:t>https://edgebuildings.com/wp-content/uploads/2024/04/IFC-Green-Buildings-Mexico-Stakeholder-Assessment-Report-2024-04-02-.pdf</w:t>
        </w:r>
      </w:hyperlink>
      <w:r>
        <w:t xml:space="preserve"> </w:t>
      </w:r>
      <w:r w:rsidRPr="00906768">
        <w:t xml:space="preserve">[Accessed </w:t>
      </w:r>
      <w:r>
        <w:t>04/11/2024</w:t>
      </w:r>
      <w:r w:rsidRPr="00906768">
        <w:t>].</w:t>
      </w:r>
    </w:p>
    <w:p w:rsidR="00382729" w:rsidP="00382729" w:rsidRDefault="00382729" w14:paraId="1B8924FD" w14:textId="224E7846">
      <w:r>
        <w:t xml:space="preserve">IFC (2023). Synthesis Report: Green Building Market Snapshots 2022/2023 Baseline, Green Building Market Snapshots 2019/2020 Baseline. </w:t>
      </w:r>
      <w:r w:rsidRPr="00906768">
        <w:t xml:space="preserve">Washington, DC: International Finance Corporation. Available at: </w:t>
      </w:r>
      <w:hyperlink w:history="1" r:id="rId89">
        <w:r w:rsidRPr="00295B9A">
          <w:rPr>
            <w:rStyle w:val="Hyperlink"/>
          </w:rPr>
          <w:t>https://edgebuildings.com/wp-content/uploads/2023/11/MAGC-Research-Market-Maturity-Snapshots-Baseline-Synthesis-Report.pdf</w:t>
        </w:r>
      </w:hyperlink>
      <w:r>
        <w:t xml:space="preserve"> </w:t>
      </w:r>
      <w:r w:rsidRPr="00906768">
        <w:t xml:space="preserve">[Accessed </w:t>
      </w:r>
      <w:r>
        <w:t>04/11/2024</w:t>
      </w:r>
      <w:r w:rsidRPr="00906768">
        <w:t>].</w:t>
      </w:r>
    </w:p>
    <w:p w:rsidR="009D3585" w:rsidP="009D3585" w:rsidRDefault="009D3585" w14:paraId="44C7737B" w14:textId="687B72B0">
      <w:r>
        <w:t>IFC</w:t>
      </w:r>
      <w:r w:rsidRPr="00906768">
        <w:t xml:space="preserve"> (202</w:t>
      </w:r>
      <w:r>
        <w:t>3</w:t>
      </w:r>
      <w:r w:rsidRPr="00906768">
        <w:t xml:space="preserve">). </w:t>
      </w:r>
      <w:r w:rsidR="00382729">
        <w:t xml:space="preserve">The </w:t>
      </w:r>
      <w:r w:rsidRPr="00906768">
        <w:t xml:space="preserve">Philippines Green Building Market Stakeholder Assessment. Washington, DC: International Finance Corporation. Available at: </w:t>
      </w:r>
      <w:hyperlink w:history="1" r:id="rId90">
        <w:r w:rsidRPr="00FE5EF3">
          <w:rPr>
            <w:rStyle w:val="Hyperlink"/>
          </w:rPr>
          <w:t>https://edgebuildings.com/wp-content/uploads/2024/03/2024-03-01-IFC-Green-Buildings-Philippines-Stakeholder-Assessment-Report-Final.pdf</w:t>
        </w:r>
      </w:hyperlink>
      <w:r>
        <w:t xml:space="preserve"> </w:t>
      </w:r>
      <w:r w:rsidRPr="00906768">
        <w:t xml:space="preserve">[Accessed </w:t>
      </w:r>
      <w:r>
        <w:t>04/11/2024</w:t>
      </w:r>
      <w:r w:rsidRPr="00906768">
        <w:t>].</w:t>
      </w:r>
    </w:p>
    <w:p w:rsidR="009D3585" w:rsidP="009D3585" w:rsidRDefault="009D3585" w14:paraId="6EBEAFC4" w14:textId="370F24BB">
      <w:r>
        <w:t>IFC</w:t>
      </w:r>
      <w:r w:rsidRPr="00906768">
        <w:t xml:space="preserve"> (202</w:t>
      </w:r>
      <w:r w:rsidR="006B150B">
        <w:t>3</w:t>
      </w:r>
      <w:r w:rsidRPr="00906768">
        <w:t xml:space="preserve">). Vietnam Green Building Market Stakeholder Assessment. Washington, DC: International Finance Corporation. Available at: </w:t>
      </w:r>
      <w:hyperlink w:history="1" r:id="rId91">
        <w:r w:rsidRPr="00FE5EF3">
          <w:rPr>
            <w:rStyle w:val="Hyperlink"/>
          </w:rPr>
          <w:t>https://edgebuildings.com/wp-content/uploads/2024/04/IFC-Green-Buildings-Vietnam-Stakeholder-Assessment-Report-2024-04-02-.pdf</w:t>
        </w:r>
      </w:hyperlink>
      <w:r>
        <w:t xml:space="preserve"> </w:t>
      </w:r>
      <w:r w:rsidRPr="00906768">
        <w:t xml:space="preserve">[Accessed </w:t>
      </w:r>
      <w:r>
        <w:t>04/11/2024</w:t>
      </w:r>
      <w:r w:rsidRPr="00906768">
        <w:t>].</w:t>
      </w:r>
    </w:p>
    <w:p w:rsidR="009D3585" w:rsidP="009D3585" w:rsidRDefault="009D3585" w14:paraId="2469E1B3" w14:textId="77777777">
      <w:r>
        <w:t>IFC</w:t>
      </w:r>
      <w:r w:rsidRPr="007D23FD">
        <w:t xml:space="preserve"> (</w:t>
      </w:r>
      <w:r>
        <w:t>2024</w:t>
      </w:r>
      <w:r w:rsidRPr="007D23FD">
        <w:t xml:space="preserve">). Sustainable Development Goals. Available at: </w:t>
      </w:r>
      <w:hyperlink w:history="1" w:anchor=":~:text=Through%20IFC%203.0%2C%20IFC%20is,while%20reserving%20scarce%20public%20resources" r:id="rId92">
        <w:r w:rsidRPr="007D4004">
          <w:rPr>
            <w:rStyle w:val="Hyperlink"/>
          </w:rPr>
          <w:t>https://www.ifc.org/en/our-impact/sustainable-development-</w:t>
        </w:r>
        <w:r w:rsidRPr="007D4004">
          <w:rPr>
            <w:rStyle w:val="Hyperlink"/>
          </w:rPr>
          <w:t>goals#:~:text=Through%20IFC%203.0%2C%20IFC%20is,while%20reserving%20scarce%20public%20resources</w:t>
        </w:r>
      </w:hyperlink>
      <w:r>
        <w:t xml:space="preserve"> </w:t>
      </w:r>
      <w:r w:rsidRPr="007D23FD">
        <w:t>[Accessed 04/11/2024].</w:t>
      </w:r>
    </w:p>
    <w:p w:rsidR="00D85735" w:rsidP="009D3585" w:rsidRDefault="009D3585" w14:paraId="214271EF" w14:textId="2FA8B316">
      <w:r w:rsidRPr="007D23FD">
        <w:t xml:space="preserve">International Trade Centre (2019). Quality Improvement Programme (QUIP). Available at: </w:t>
      </w:r>
      <w:hyperlink w:history="1" r:id="rId93">
        <w:r w:rsidRPr="007D4004">
          <w:rPr>
            <w:rStyle w:val="Hyperlink"/>
          </w:rPr>
          <w:t>https://www.intrac.org/wpcms/wp-content/uploads/2019/05/QUIP.pdf</w:t>
        </w:r>
      </w:hyperlink>
      <w:r>
        <w:t xml:space="preserve"> </w:t>
      </w:r>
      <w:r w:rsidRPr="007D23FD">
        <w:t>[Accessed 04/11/2024].</w:t>
      </w:r>
    </w:p>
    <w:p w:rsidR="00382729" w:rsidP="009A3A6F" w:rsidRDefault="00382729" w14:paraId="4D659C6D" w14:textId="77777777"/>
    <w:p w:rsidR="007255B7" w:rsidRDefault="007255B7" w14:paraId="72B84F79" w14:textId="77777777">
      <w:pPr>
        <w:spacing w:after="160" w:line="259" w:lineRule="auto"/>
        <w:rPr>
          <w:rFonts w:eastAsiaTheme="majorEastAsia" w:cstheme="majorBidi"/>
          <w:color w:val="041E42"/>
          <w:sz w:val="52"/>
          <w:szCs w:val="32"/>
        </w:rPr>
      </w:pPr>
      <w:r>
        <w:br w:type="page"/>
      </w:r>
    </w:p>
    <w:p w:rsidR="004A3DCA" w:rsidP="00D85735" w:rsidRDefault="00D85735" w14:paraId="58AC8CC0" w14:textId="70DD3E9F">
      <w:pPr>
        <w:pStyle w:val="Heading1"/>
      </w:pPr>
      <w:bookmarkStart w:name="_Toc207790238" w:id="214"/>
      <w:r>
        <w:t>Annex 12</w:t>
      </w:r>
      <w:r w:rsidR="009D3585">
        <w:t>:</w:t>
      </w:r>
      <w:r>
        <w:t xml:space="preserve"> Political Economy Analysis</w:t>
      </w:r>
      <w:bookmarkEnd w:id="214"/>
    </w:p>
    <w:p w:rsidR="007255B7" w:rsidP="009A3A6F" w:rsidRDefault="0015633A" w14:paraId="7E2D6C11" w14:textId="3ED8194C">
      <w:r>
        <w:t>The political Economy Analysis from the process evaluation can be accessed</w:t>
      </w:r>
      <w:r w:rsidR="00A26DC0">
        <w:t xml:space="preserve"> in the technical annex of the process evaluation,</w:t>
      </w:r>
      <w:r>
        <w:t xml:space="preserve"> </w:t>
      </w:r>
      <w:hyperlink w:history="1" r:id="rId94">
        <w:r w:rsidRPr="00A26DC0" w:rsidR="00A26DC0">
          <w:rPr>
            <w:rStyle w:val="Hyperlink"/>
          </w:rPr>
          <w:t>here</w:t>
        </w:r>
      </w:hyperlink>
      <w:r w:rsidR="00A26DC0">
        <w:t>.</w:t>
      </w:r>
      <w:r w:rsidR="007255B7">
        <w:br w:type="page"/>
      </w:r>
    </w:p>
    <w:p w:rsidR="00D85735" w:rsidP="002C57BB" w:rsidRDefault="007255B7" w14:paraId="22BA9463" w14:textId="4CAA7893">
      <w:pPr>
        <w:pStyle w:val="Heading1"/>
        <w:spacing w:after="120"/>
      </w:pPr>
      <w:bookmarkStart w:name="_Toc207790239" w:id="215"/>
      <w:r>
        <w:t>Annex 13: Summary of findings from the process evaluation</w:t>
      </w:r>
      <w:bookmarkEnd w:id="215"/>
    </w:p>
    <w:p w:rsidR="007255B7" w:rsidP="007255B7" w:rsidRDefault="000C1A85" w14:paraId="0DF523C6" w14:textId="492DB2B3">
      <w:r>
        <w:t>The following annex contains a summary of key findings from the process evaluation of MAGC.</w:t>
      </w:r>
    </w:p>
    <w:p w:rsidR="005156FA" w:rsidP="000C1A85" w:rsidRDefault="000C1A85" w14:paraId="46BA452F" w14:textId="36636409">
      <w:r>
        <w:t xml:space="preserve">The Department for Energy Security and Net Zero (DESNZ) has appointed Ipsos as a Monitoring, Evaluation and Learning (MEL) Partner for the International Climate Finance (ICF) Market Accelerator for Green Construction (MAGC) programme. </w:t>
      </w:r>
      <w:r w:rsidRPr="00131A97">
        <w:t>The</w:t>
      </w:r>
      <w:r>
        <w:t xml:space="preserve"> objective of the</w:t>
      </w:r>
      <w:r w:rsidRPr="00131A97">
        <w:t xml:space="preserve"> </w:t>
      </w:r>
      <w:r>
        <w:t xml:space="preserve">MEL partnership is to produce </w:t>
      </w:r>
      <w:r w:rsidRPr="00131A97">
        <w:t xml:space="preserve">a </w:t>
      </w:r>
      <w:r w:rsidRPr="00B55847">
        <w:t>process, outcome, impact, and value for money evaluation</w:t>
      </w:r>
      <w:r w:rsidRPr="00131A97">
        <w:t xml:space="preserve">, split into two phases: </w:t>
      </w:r>
    </w:p>
    <w:p w:rsidR="005156FA" w:rsidP="005156FA" w:rsidRDefault="005156FA" w14:paraId="49436635" w14:textId="0C950882">
      <w:pPr>
        <w:pStyle w:val="DESNZbulletedlist"/>
      </w:pPr>
      <w:r>
        <w:t>I</w:t>
      </w:r>
      <w:r w:rsidRPr="00131A97" w:rsidR="000C1A85">
        <w:t>nterim</w:t>
      </w:r>
      <w:r w:rsidR="000C1A85">
        <w:t>, running from July 2023 to January 2025</w:t>
      </w:r>
      <w:r>
        <w:t>.</w:t>
      </w:r>
      <w:r w:rsidRPr="00131A97" w:rsidR="000C1A85">
        <w:t xml:space="preserve"> </w:t>
      </w:r>
    </w:p>
    <w:p w:rsidR="005156FA" w:rsidP="005156FA" w:rsidRDefault="005156FA" w14:paraId="2203BD56" w14:textId="72FE47A9">
      <w:pPr>
        <w:pStyle w:val="DESNZbulletedlist"/>
      </w:pPr>
      <w:r>
        <w:t>F</w:t>
      </w:r>
      <w:r w:rsidRPr="00131A97" w:rsidR="000C1A85">
        <w:t>inal evaluation</w:t>
      </w:r>
      <w:r w:rsidR="000C1A85">
        <w:t xml:space="preserve">, running from July 2026 until the end of 2027. </w:t>
      </w:r>
    </w:p>
    <w:p w:rsidR="000C1A85" w:rsidP="002C57BB" w:rsidRDefault="000C1A85" w14:paraId="3AA55983" w14:textId="3457A939">
      <w:pPr>
        <w:spacing w:after="120"/>
      </w:pPr>
      <w:r>
        <w:t>The interim phase included a scoping phase (July-October 2023), a process evaluation phase (November 2023 – February 2024), and an early outcome evaluation phase (March 2024 – January 2025).</w:t>
      </w:r>
    </w:p>
    <w:p w:rsidR="000C1A85" w:rsidP="002C57BB" w:rsidRDefault="000C1A85" w14:paraId="4DE79B4E" w14:textId="77777777">
      <w:pPr>
        <w:pStyle w:val="Heading2"/>
        <w:spacing w:before="0" w:after="0"/>
      </w:pPr>
      <w:bookmarkStart w:name="_Toc207790240" w:id="216"/>
      <w:r w:rsidRPr="00B55847">
        <w:t>Aims, scope and methodology</w:t>
      </w:r>
      <w:bookmarkEnd w:id="216"/>
    </w:p>
    <w:p w:rsidR="000C1A85" w:rsidP="000C1A85" w:rsidRDefault="000C1A85" w14:paraId="6511E165" w14:textId="77777777">
      <w:r w:rsidRPr="007A3BED">
        <w:t>The process evaluation is the first phase of the interim evaluation of MAGC</w:t>
      </w:r>
      <w:r>
        <w:t>, which focuses on:</w:t>
      </w:r>
    </w:p>
    <w:p w:rsidR="000C1A85" w:rsidP="000C1A85" w:rsidRDefault="005156FA" w14:paraId="7A00DF24" w14:textId="4E1C0B26">
      <w:pPr>
        <w:pStyle w:val="DESNZbulletedlist"/>
        <w:ind w:left="714" w:hanging="357"/>
      </w:pPr>
      <w:r>
        <w:t>A</w:t>
      </w:r>
      <w:r w:rsidR="000C1A85">
        <w:t xml:space="preserve"> review of the programme Theory of Change (EQ2: </w:t>
      </w:r>
      <w:r w:rsidRPr="0006272B" w:rsidR="000C1A85">
        <w:rPr>
          <w:rStyle w:val="Italic"/>
        </w:rPr>
        <w:t>To what extent are the results mechanisms illustrated in the Theory of Change of MAGC accurate?</w:t>
      </w:r>
      <w:r w:rsidR="000C1A85">
        <w:t>)</w:t>
      </w:r>
      <w:r>
        <w:t>.</w:t>
      </w:r>
      <w:r w:rsidR="000C1A85">
        <w:t xml:space="preserve"> </w:t>
      </w:r>
    </w:p>
    <w:p w:rsidR="000C1A85" w:rsidP="000C1A85" w:rsidRDefault="005156FA" w14:paraId="0E7D6729" w14:textId="49145B46">
      <w:pPr>
        <w:pStyle w:val="DESNZbulletedlist"/>
        <w:ind w:left="714" w:hanging="357"/>
      </w:pPr>
      <w:r>
        <w:t>T</w:t>
      </w:r>
      <w:r w:rsidR="000C1A85">
        <w:t xml:space="preserve">he </w:t>
      </w:r>
      <w:r w:rsidRPr="0006272B" w:rsidR="000C1A85">
        <w:t xml:space="preserve">design and processes of the management approach of MAGC </w:t>
      </w:r>
      <w:r w:rsidR="000C1A85">
        <w:t xml:space="preserve">(EQ1: </w:t>
      </w:r>
      <w:r w:rsidRPr="0006272B" w:rsidR="000C1A85">
        <w:rPr>
          <w:rStyle w:val="Italic"/>
        </w:rPr>
        <w:t>To what extent, and in what ways, has the management approach agreed with the Delivery Partner been appropriate and effective for MAGC?</w:t>
      </w:r>
      <w:r w:rsidR="000C1A85">
        <w:t>)</w:t>
      </w:r>
      <w:r>
        <w:t>.</w:t>
      </w:r>
      <w:r w:rsidR="000C1A85">
        <w:t xml:space="preserve"> </w:t>
      </w:r>
    </w:p>
    <w:p w:rsidR="000C1A85" w:rsidP="000C1A85" w:rsidRDefault="005156FA" w14:paraId="7BEB45C4" w14:textId="2CFE70FC">
      <w:pPr>
        <w:pStyle w:val="DESNZbulletedlist"/>
        <w:ind w:left="714" w:hanging="357"/>
      </w:pPr>
      <w:r>
        <w:t>T</w:t>
      </w:r>
      <w:r w:rsidR="000C1A85">
        <w:t xml:space="preserve">he processes of country and project selection to assess relevance of the programme in the countries it operates (EQ3: </w:t>
      </w:r>
      <w:r w:rsidRPr="0006272B" w:rsidR="000C1A85">
        <w:rPr>
          <w:rStyle w:val="Italic"/>
        </w:rPr>
        <w:t>How effective are the choice of countries/projects in fulfilling MAGC’s objectives and supporting the UK’s International Climate Finance strategy?</w:t>
      </w:r>
      <w:r w:rsidR="000C1A85">
        <w:rPr>
          <w:rStyle w:val="FootnoteReference"/>
          <w:i/>
        </w:rPr>
        <w:footnoteReference w:id="31"/>
      </w:r>
      <w:r w:rsidR="000C1A85">
        <w:t>)</w:t>
      </w:r>
      <w:r w:rsidRPr="00FC3904" w:rsidR="000C1A85">
        <w:t>.</w:t>
      </w:r>
      <w:r w:rsidR="000C1A85">
        <w:t xml:space="preserve"> </w:t>
      </w:r>
    </w:p>
    <w:p w:rsidR="000C1A85" w:rsidP="002C57BB" w:rsidRDefault="000C1A85" w14:paraId="0BE0610C" w14:textId="3AE3F06A">
      <w:pPr>
        <w:spacing w:after="120"/>
      </w:pPr>
      <w:r>
        <w:t>The aim of this process evaluation is to provide insights and inform the current delivery of the programme.</w:t>
      </w:r>
      <w:r w:rsidRPr="009946EF">
        <w:t xml:space="preserve"> </w:t>
      </w:r>
      <w:r>
        <w:t>The report is based on primary and secondary research activities carried out between November 2023 and February 2024</w:t>
      </w:r>
      <w:r w:rsidR="005156FA">
        <w:t>.</w:t>
      </w:r>
      <w:r>
        <w:t xml:space="preserve"> </w:t>
      </w:r>
      <w:r w:rsidR="005156FA">
        <w:t xml:space="preserve">This included </w:t>
      </w:r>
      <w:r w:rsidRPr="00F87C75">
        <w:t>a review of the Theory of Change,</w:t>
      </w:r>
      <w:r>
        <w:t xml:space="preserve"> </w:t>
      </w:r>
      <w:r w:rsidRPr="00F5560E">
        <w:t>29 stakeholder consultations (15 with programme stakeholders in DESNZ and IFC and 14 with stakeholder external to MAGC),</w:t>
      </w:r>
      <w:r w:rsidRPr="00F87C75">
        <w:t xml:space="preserve"> a </w:t>
      </w:r>
      <w:r>
        <w:t xml:space="preserve">light-touch </w:t>
      </w:r>
      <w:r w:rsidRPr="00F87C75">
        <w:t>Political Economy Analysis</w:t>
      </w:r>
      <w:r>
        <w:t xml:space="preserve"> in the </w:t>
      </w:r>
      <w:r w:rsidRPr="0006272B">
        <w:t>24 countries where MAGC operates</w:t>
      </w:r>
      <w:r w:rsidRPr="00F87C75">
        <w:t xml:space="preserve">, </w:t>
      </w:r>
      <w:r>
        <w:t xml:space="preserve">a </w:t>
      </w:r>
      <w:r w:rsidRPr="00F87C75">
        <w:t>process mappin</w:t>
      </w:r>
      <w:r>
        <w:t>g</w:t>
      </w:r>
      <w:r w:rsidRPr="00F87C75">
        <w:t>, a review of</w:t>
      </w:r>
      <w:r>
        <w:t xml:space="preserve"> 30 </w:t>
      </w:r>
      <w:r w:rsidRPr="00F87C75">
        <w:t>programmes</w:t>
      </w:r>
      <w:r>
        <w:t xml:space="preserve"> (out of which 27 were ICF programmes)</w:t>
      </w:r>
      <w:r w:rsidRPr="00F87C75">
        <w:t xml:space="preserve">, and a </w:t>
      </w:r>
      <w:r>
        <w:t>Gender Equality, Disability and Social Inclusion (</w:t>
      </w:r>
      <w:r w:rsidRPr="00F87C75">
        <w:t>GE</w:t>
      </w:r>
      <w:r>
        <w:t>D</w:t>
      </w:r>
      <w:r w:rsidRPr="00F87C75">
        <w:t>SI</w:t>
      </w:r>
      <w:r>
        <w:t>)</w:t>
      </w:r>
      <w:r w:rsidRPr="00F87C75">
        <w:t xml:space="preserve"> </w:t>
      </w:r>
      <w:r>
        <w:t xml:space="preserve">learning </w:t>
      </w:r>
      <w:r w:rsidRPr="00F87C75">
        <w:t>assessment</w:t>
      </w:r>
      <w:r>
        <w:t xml:space="preserve">. </w:t>
      </w:r>
      <w:r w:rsidRPr="00574D21">
        <w:t xml:space="preserve">The </w:t>
      </w:r>
      <w:r>
        <w:t xml:space="preserve">temporal scope includes MAGC activity since 2018, and </w:t>
      </w:r>
      <w:r w:rsidRPr="00574D21">
        <w:t xml:space="preserve">geographical scope includes all 24 countries where MAGC operates, with qualitative research </w:t>
      </w:r>
      <w:r>
        <w:t>concentrated</w:t>
      </w:r>
      <w:r w:rsidRPr="00574D21">
        <w:t xml:space="preserve"> on </w:t>
      </w:r>
      <w:r>
        <w:t xml:space="preserve">the </w:t>
      </w:r>
      <w:r w:rsidRPr="00574D21">
        <w:t>countries with substantial delivery</w:t>
      </w:r>
      <w:r>
        <w:t xml:space="preserve"> to date</w:t>
      </w:r>
      <w:r>
        <w:rPr>
          <w:rStyle w:val="FootnoteReference"/>
        </w:rPr>
        <w:footnoteReference w:id="32"/>
      </w:r>
      <w:r>
        <w:t>.</w:t>
      </w:r>
    </w:p>
    <w:p w:rsidR="000C1A85" w:rsidP="002C57BB" w:rsidRDefault="000C1A85" w14:paraId="39F7D21E" w14:textId="77777777">
      <w:pPr>
        <w:pStyle w:val="Heading2"/>
        <w:spacing w:before="0" w:after="120"/>
      </w:pPr>
      <w:bookmarkStart w:name="_Toc207790241" w:id="217"/>
      <w:r w:rsidRPr="00B55847">
        <w:t>Key findings</w:t>
      </w:r>
      <w:bookmarkEnd w:id="217"/>
    </w:p>
    <w:p w:rsidRPr="005156FA" w:rsidR="005156FA" w:rsidP="002C57BB" w:rsidRDefault="000C1A85" w14:paraId="1C736492" w14:textId="77777777">
      <w:pPr>
        <w:pStyle w:val="Heading3"/>
        <w:spacing w:after="120"/>
        <w:rPr>
          <w:rStyle w:val="Italic"/>
          <w:b/>
          <w:i w:val="0"/>
          <w:iCs/>
          <w:sz w:val="26"/>
        </w:rPr>
      </w:pPr>
      <w:bookmarkStart w:name="_Toc207790242" w:id="218"/>
      <w:r w:rsidRPr="009C1DAE">
        <w:rPr>
          <w:rStyle w:val="Italic"/>
          <w:i w:val="0"/>
        </w:rPr>
        <w:t>MAGC Theory of Change</w:t>
      </w:r>
      <w:bookmarkEnd w:id="218"/>
    </w:p>
    <w:p w:rsidR="000C1A85" w:rsidP="000C1A85" w:rsidRDefault="000C1A85" w14:paraId="73448AAF" w14:textId="558AEFF1">
      <w:r w:rsidRPr="007F4479">
        <w:rPr>
          <w:rStyle w:val="Boldtext"/>
        </w:rPr>
        <w:t xml:space="preserve">The </w:t>
      </w:r>
      <w:r>
        <w:rPr>
          <w:rStyle w:val="Boldtext"/>
        </w:rPr>
        <w:t>programme</w:t>
      </w:r>
      <w:r w:rsidRPr="007F4479">
        <w:rPr>
          <w:rStyle w:val="Boldtext"/>
        </w:rPr>
        <w:t xml:space="preserve"> </w:t>
      </w:r>
      <w:r>
        <w:rPr>
          <w:rStyle w:val="Boldtext"/>
        </w:rPr>
        <w:t>Theory of Change</w:t>
      </w:r>
      <w:r w:rsidRPr="007F4479">
        <w:rPr>
          <w:rStyle w:val="Boldtext"/>
        </w:rPr>
        <w:t xml:space="preserve"> demonstrates several strengths, including clear long-term objectives, relevance to the policy context, and valid causal pathways, but there is room for improvement to enhance its effectiveness.</w:t>
      </w:r>
      <w:r w:rsidRPr="00E20116">
        <w:t xml:space="preserve"> This conclusion is supported by evidence gathered through</w:t>
      </w:r>
      <w:r>
        <w:t xml:space="preserve"> the</w:t>
      </w:r>
      <w:r w:rsidRPr="00E20116">
        <w:t xml:space="preserve"> internal and external stakeholder consultations, secondary data review, and comparisons with other program</w:t>
      </w:r>
      <w:r>
        <w:t>me</w:t>
      </w:r>
      <w:r w:rsidRPr="00E20116">
        <w:t>s.</w:t>
      </w:r>
      <w:r>
        <w:t xml:space="preserve"> </w:t>
      </w:r>
    </w:p>
    <w:p w:rsidR="000C1A85" w:rsidP="000C1A85" w:rsidRDefault="000C1A85" w14:paraId="278947D9" w14:textId="0E2846CA">
      <w:r>
        <w:t>All interventions should be underpinned by a Theory of Change that is logical, reflects how the intervention was designed or how it is currently conceived and being delivered</w:t>
      </w:r>
      <w:r w:rsidR="005156FA">
        <w:t xml:space="preserve">. It must </w:t>
      </w:r>
      <w:r w:rsidR="002C57BB">
        <w:t>also have</w:t>
      </w:r>
      <w:r w:rsidR="005156FA">
        <w:t xml:space="preserve"> </w:t>
      </w:r>
      <w:r>
        <w:t xml:space="preserve">buy-in from all relevant programme stakeholders (i.e., those who designed and will deliver the intervention agree on its scope and logic), and </w:t>
      </w:r>
      <w:r w:rsidR="005156FA">
        <w:t xml:space="preserve">be </w:t>
      </w:r>
      <w:r>
        <w:t xml:space="preserve">testable within an evaluation (i.e., is clear as to how change will be achieved, what that change looks like, and what the potential barriers to and enablers of change are). The Theory of Change should also reflect any complexities around how change will be achieved – e.g., dependencies and ‘feedback loops’, whereby change is iterative or cyclical. Taking these principles of evaluability and accuracy, the evaluation team reviewed the MAGC Theory of Change for its accuracy. </w:t>
      </w:r>
    </w:p>
    <w:p w:rsidR="000C1A85" w:rsidP="000C1A85" w:rsidRDefault="000C1A85" w14:paraId="58961570" w14:textId="308D745A">
      <w:r>
        <w:t xml:space="preserve">Stakeholder consultations and literature external to the programme validated the main mechanisms of MAGC’s Theory of Change towards the aim of accelerating the green building market. </w:t>
      </w:r>
      <w:r w:rsidRPr="004174A4">
        <w:t>While views differed on the roles of public and private sectors</w:t>
      </w:r>
      <w:r>
        <w:t xml:space="preserve"> in driving change</w:t>
      </w:r>
      <w:r w:rsidRPr="004174A4">
        <w:t xml:space="preserve">, the findings confirm the importance of a </w:t>
      </w:r>
      <w:r>
        <w:t>full ecosystem</w:t>
      </w:r>
      <w:r w:rsidRPr="004174A4">
        <w:t xml:space="preserve"> approach to accelerate green construction</w:t>
      </w:r>
      <w:r w:rsidR="005156FA">
        <w:t>.</w:t>
      </w:r>
      <w:r>
        <w:t xml:space="preserve"> </w:t>
      </w:r>
      <w:r w:rsidR="005156FA">
        <w:t xml:space="preserve">Additionally, there is </w:t>
      </w:r>
      <w:r>
        <w:t>a need for financial mechanisms, technical assistance, and regulatory support</w:t>
      </w:r>
      <w:r w:rsidRPr="004174A4">
        <w:t>.</w:t>
      </w:r>
    </w:p>
    <w:p w:rsidRPr="00D61E1D" w:rsidR="00D61E1D" w:rsidP="002C57BB" w:rsidRDefault="000C1A85" w14:paraId="73524B39" w14:textId="77777777">
      <w:pPr>
        <w:pStyle w:val="Heading3"/>
        <w:spacing w:after="120"/>
        <w:rPr>
          <w:rStyle w:val="Italic"/>
          <w:i w:val="0"/>
          <w:iCs/>
        </w:rPr>
      </w:pPr>
      <w:bookmarkStart w:name="_Toc207790243" w:id="219"/>
      <w:r w:rsidRPr="009C1DAE">
        <w:rPr>
          <w:rStyle w:val="Italic"/>
          <w:i w:val="0"/>
        </w:rPr>
        <w:t>Management approach</w:t>
      </w:r>
      <w:bookmarkEnd w:id="219"/>
    </w:p>
    <w:p w:rsidRPr="007F4479" w:rsidR="000C1A85" w:rsidP="000C1A85" w:rsidRDefault="000C1A85" w14:paraId="10C16014" w14:textId="3DB57404">
      <w:pPr>
        <w:rPr>
          <w:rStyle w:val="Boldtext"/>
        </w:rPr>
      </w:pPr>
      <w:r w:rsidRPr="007F4479">
        <w:rPr>
          <w:rStyle w:val="Boldtext"/>
        </w:rPr>
        <w:t xml:space="preserve">The management approach and monitoring and governance processes in place are generally suitable, appropriate, and working well, but communication could be improved. </w:t>
      </w:r>
      <w:r w:rsidRPr="002C57BB">
        <w:t>There were some tensions in programme management between IFC and DESNZ stakeholders around the level of involvement of DESNZ and the reporting requirements.</w:t>
      </w:r>
      <w:r w:rsidRPr="007F4479">
        <w:rPr>
          <w:rStyle w:val="Boldtext"/>
        </w:rPr>
        <w:t xml:space="preserve"> Whilst the </w:t>
      </w:r>
      <w:r>
        <w:rPr>
          <w:rStyle w:val="Boldtext"/>
        </w:rPr>
        <w:t>latter</w:t>
      </w:r>
      <w:r w:rsidRPr="007F4479">
        <w:rPr>
          <w:rStyle w:val="Boldtext"/>
        </w:rPr>
        <w:t xml:space="preserve"> were in line with the requirements across the ICF portfolio, IFC perceived it to be greater than experienced on other programmes. </w:t>
      </w:r>
    </w:p>
    <w:p w:rsidR="000C1A85" w:rsidP="000C1A85" w:rsidRDefault="000C1A85" w14:paraId="658F9271" w14:textId="184518C3">
      <w:r w:rsidRPr="00AA083D">
        <w:t>The programme’s management approach (both regarding the programme’s overall strategic decision making</w:t>
      </w:r>
      <w:r>
        <w:t xml:space="preserve">, </w:t>
      </w:r>
      <w:r w:rsidRPr="00AA083D">
        <w:t>governance processes</w:t>
      </w:r>
      <w:r>
        <w:t xml:space="preserve">, and </w:t>
      </w:r>
      <w:r w:rsidRPr="00AA083D">
        <w:t>the approach to delivery) has shown a high degree of flexibility and adaptability</w:t>
      </w:r>
      <w:r w:rsidR="00D61E1D">
        <w:t>.</w:t>
      </w:r>
      <w:r w:rsidRPr="00AA083D">
        <w:t xml:space="preserve"> </w:t>
      </w:r>
      <w:r w:rsidR="00D61E1D">
        <w:t xml:space="preserve">This </w:t>
      </w:r>
      <w:r w:rsidRPr="00AA083D">
        <w:t>has enabled the programme to react in real-time to new opportunities and to changes in context. Decision-making processes are quick due to IFC’s authority to decide on investments without DESNZ approval.</w:t>
      </w:r>
      <w:r>
        <w:t xml:space="preserve"> </w:t>
      </w:r>
      <w:r w:rsidRPr="006B400A">
        <w:t>When reviewed against other programmes in the ICF portfolio, MAGC sets itself apart through its focused approach on green buildings and its unique concessional finance model</w:t>
      </w:r>
      <w:r w:rsidR="00D61E1D">
        <w:t>.</w:t>
      </w:r>
      <w:r w:rsidRPr="006B400A">
        <w:t xml:space="preserve"> </w:t>
      </w:r>
      <w:r w:rsidR="00D61E1D">
        <w:t xml:space="preserve">This </w:t>
      </w:r>
      <w:r w:rsidRPr="006B400A">
        <w:t>contrast</w:t>
      </w:r>
      <w:r w:rsidR="00D61E1D">
        <w:t>s</w:t>
      </w:r>
      <w:r w:rsidRPr="006B400A">
        <w:t xml:space="preserve"> with the broader scope and grant funding model seen in other programmes.</w:t>
      </w:r>
      <w:r>
        <w:t xml:space="preserve"> These findings draw</w:t>
      </w:r>
      <w:r w:rsidRPr="00E026FD">
        <w:t xml:space="preserve"> on a review of relevant programme documentation and evidence from stakeholder consultations, including with stakeholders involved in other programmes similar </w:t>
      </w:r>
      <w:r>
        <w:t xml:space="preserve">in certain aspects </w:t>
      </w:r>
      <w:r w:rsidRPr="00E026FD">
        <w:t xml:space="preserve">to MAGC. The analysis is </w:t>
      </w:r>
      <w:r>
        <w:t xml:space="preserve">also </w:t>
      </w:r>
      <w:r w:rsidRPr="00E026FD">
        <w:t xml:space="preserve">underpinned by a process map of the </w:t>
      </w:r>
      <w:r>
        <w:t xml:space="preserve">MAGC </w:t>
      </w:r>
      <w:r w:rsidRPr="00E026FD">
        <w:t>management approach</w:t>
      </w:r>
      <w:r>
        <w:t xml:space="preserve">. </w:t>
      </w:r>
    </w:p>
    <w:p w:rsidR="000C1A85" w:rsidP="000C1A85" w:rsidRDefault="000C1A85" w14:paraId="4FF1D536" w14:textId="77777777">
      <w:r w:rsidRPr="00F1780A">
        <w:t>Gender Equality, Disability and Social Inclusion considerations were not part of the MAGC's design phase, as foreseen in the programme business case. The importance that GEDSI now has for DESNZ and the need for IFC to start to include GEDSI considerations in the programme emerged as a key point in the learning assessment.</w:t>
      </w:r>
    </w:p>
    <w:p w:rsidRPr="00D61E1D" w:rsidR="00D61E1D" w:rsidP="002C57BB" w:rsidRDefault="000C1A85" w14:paraId="346E6CCE" w14:textId="77777777">
      <w:pPr>
        <w:pStyle w:val="Heading3"/>
        <w:spacing w:after="0"/>
        <w:rPr>
          <w:rStyle w:val="Italic"/>
          <w:i w:val="0"/>
          <w:iCs/>
        </w:rPr>
      </w:pPr>
      <w:bookmarkStart w:name="_Toc207790244" w:id="220"/>
      <w:r w:rsidRPr="009C1DAE">
        <w:rPr>
          <w:rStyle w:val="Italic"/>
          <w:i w:val="0"/>
        </w:rPr>
        <w:t>Programme countries and projects</w:t>
      </w:r>
      <w:bookmarkEnd w:id="220"/>
    </w:p>
    <w:p w:rsidR="000C1A85" w:rsidP="000C1A85" w:rsidRDefault="000C1A85" w14:paraId="0B8D627F" w14:textId="6366B257">
      <w:r>
        <w:rPr>
          <w:rStyle w:val="Italic"/>
        </w:rPr>
        <w:br/>
      </w:r>
      <w:r w:rsidRPr="002C57BB">
        <w:t>The choice of countries for MAGC implementation is based on clear selection criteria and aligns well with the strategic objectives of both IFC and DESNZ, as well as with the needs of the countries considered.</w:t>
      </w:r>
      <w:r w:rsidRPr="007F4479">
        <w:rPr>
          <w:rStyle w:val="Boldtext"/>
        </w:rPr>
        <w:t xml:space="preserve"> However, the balance between the breadth and depth of the intervention emerged as an area of consideration in the evaluation, with the high number of countries supported potentially limiting the transformational change potential of the programme</w:t>
      </w:r>
      <w:r w:rsidRPr="00BE0BD1">
        <w:t>.</w:t>
      </w:r>
      <w:r w:rsidRPr="006B400A">
        <w:t xml:space="preserve"> </w:t>
      </w:r>
      <w:r w:rsidR="00D61E1D">
        <w:t>T</w:t>
      </w:r>
      <w:r w:rsidRPr="006B400A">
        <w:t xml:space="preserve">here was consensus among programme </w:t>
      </w:r>
      <w:r>
        <w:t xml:space="preserve">and country level </w:t>
      </w:r>
      <w:r w:rsidRPr="006B400A">
        <w:t>stakeholders that having an eligible country pool allows to pursue opportunities more flexibly</w:t>
      </w:r>
      <w:r w:rsidR="00D61E1D">
        <w:t>,</w:t>
      </w:r>
      <w:r w:rsidRPr="006B400A">
        <w:t xml:space="preserve"> </w:t>
      </w:r>
      <w:proofErr w:type="gramStart"/>
      <w:r w:rsidR="00D61E1D">
        <w:t>However</w:t>
      </w:r>
      <w:proofErr w:type="gramEnd"/>
      <w:r w:rsidR="00D61E1D">
        <w:t xml:space="preserve"> </w:t>
      </w:r>
      <w:r w:rsidRPr="006B400A">
        <w:t>there were</w:t>
      </w:r>
      <w:r w:rsidR="00D61E1D">
        <w:t xml:space="preserve"> also</w:t>
      </w:r>
      <w:r w:rsidRPr="006B400A">
        <w:t xml:space="preserve"> some concerns around diluting the funding by supporting several countries and potentially limit the achievement of transformational change.</w:t>
      </w:r>
      <w:r>
        <w:t xml:space="preserve"> Based on the evidence collected through primary and secondary data collection, the </w:t>
      </w:r>
      <w:r w:rsidRPr="00A82A07">
        <w:t>current portfolio of investments appears coherent, relevant, and capable of having a transformational impact</w:t>
      </w:r>
      <w:r>
        <w:t xml:space="preserve"> in the investment countries</w:t>
      </w:r>
      <w:r w:rsidRPr="00A82A07">
        <w:t>. It is, however, too early to establish whether the investment portfolio is achieving transformational change.</w:t>
      </w:r>
    </w:p>
    <w:p w:rsidR="000C1A85" w:rsidP="000C1A85" w:rsidRDefault="000C1A85" w14:paraId="4A084880" w14:textId="75D48D25">
      <w:r w:rsidRPr="00A82A07">
        <w:t>As of the financial year (FY) 2023, the MAGC programme had implemented 13 investment projects in six countries (Indonesia, Egypt, Colombia, Peru, South Africa</w:t>
      </w:r>
      <w:r>
        <w:t>,</w:t>
      </w:r>
      <w:r w:rsidRPr="00A82A07">
        <w:t xml:space="preserve"> and India) corresponding to a total of US$34.45 million in UK public sector financing. </w:t>
      </w:r>
      <w:r>
        <w:t>The 24 c</w:t>
      </w:r>
      <w:r w:rsidRPr="000279C5">
        <w:t>ountries eligible to participate in MAGC were selected based on assessment criteria</w:t>
      </w:r>
      <w:r w:rsidR="00D61E1D">
        <w:t>.</w:t>
      </w:r>
      <w:r w:rsidRPr="000279C5">
        <w:t xml:space="preserve"> </w:t>
      </w:r>
      <w:r w:rsidR="00D61E1D">
        <w:t>This</w:t>
      </w:r>
      <w:r w:rsidRPr="000279C5" w:rsidR="00D61E1D">
        <w:t xml:space="preserve"> </w:t>
      </w:r>
      <w:r w:rsidRPr="000279C5">
        <w:t xml:space="preserve">included the climate investment potential, alignment with country government priorities, exposure to climate risks, urbanisation and the development of the green building market. </w:t>
      </w:r>
    </w:p>
    <w:p w:rsidR="000C1A85" w:rsidP="000C1A85" w:rsidRDefault="000C1A85" w14:paraId="3AD23057" w14:textId="77777777">
      <w:pPr>
        <w:pStyle w:val="Heading4"/>
      </w:pPr>
      <w:r>
        <w:t>Recommendations</w:t>
      </w:r>
    </w:p>
    <w:p w:rsidR="000C1A85" w:rsidP="000C1A85" w:rsidRDefault="000C1A85" w14:paraId="2C954B47" w14:textId="77777777">
      <w:r w:rsidRPr="00E20116">
        <w:t>To better reflect the program</w:t>
      </w:r>
      <w:r>
        <w:t>me</w:t>
      </w:r>
      <w:r w:rsidRPr="00E20116">
        <w:t>'s complexities and interconnectedness</w:t>
      </w:r>
      <w:r>
        <w:t xml:space="preserve">, </w:t>
      </w:r>
      <w:r w:rsidRPr="0073436B">
        <w:rPr>
          <w:rStyle w:val="Boldtext"/>
        </w:rPr>
        <w:t>the Theory of Change</w:t>
      </w:r>
      <w:r w:rsidRPr="00AB2234">
        <w:t xml:space="preserve"> could be adapted </w:t>
      </w:r>
      <w:r>
        <w:t>in several ways:</w:t>
      </w:r>
    </w:p>
    <w:p w:rsidR="000C1A85" w:rsidP="000C1A85" w:rsidRDefault="000C1A85" w14:paraId="7675BC2E" w14:textId="77777777">
      <w:pPr>
        <w:pStyle w:val="DESNZbulletedlist"/>
        <w:ind w:left="714" w:hanging="357"/>
      </w:pPr>
      <w:r>
        <w:t>T</w:t>
      </w:r>
      <w:r w:rsidRPr="00E20116">
        <w:t>he connections between the program</w:t>
      </w:r>
      <w:r>
        <w:t>me</w:t>
      </w:r>
      <w:r w:rsidRPr="00E20116">
        <w:t>'s components should be more explicitly illustrated, emphasi</w:t>
      </w:r>
      <w:r>
        <w:t>s</w:t>
      </w:r>
      <w:r w:rsidRPr="00E20116">
        <w:t xml:space="preserve">ing their </w:t>
      </w:r>
      <w:r>
        <w:t>synergies</w:t>
      </w:r>
      <w:r w:rsidRPr="00E20116">
        <w:t xml:space="preserve"> in achieving MAGC's objectives</w:t>
      </w:r>
      <w:r>
        <w:t xml:space="preserve">. </w:t>
      </w:r>
    </w:p>
    <w:p w:rsidR="000C1A85" w:rsidP="000C1A85" w:rsidRDefault="000C1A85" w14:paraId="1DC1254D" w14:textId="77777777">
      <w:pPr>
        <w:pStyle w:val="DESNZbulletedlist"/>
        <w:ind w:left="714" w:hanging="357"/>
      </w:pPr>
      <w:r>
        <w:t xml:space="preserve">It should incorporate the programme’s market creating mechanism. This is currently a missing channel in the Theory of Change. </w:t>
      </w:r>
    </w:p>
    <w:p w:rsidR="000C1A85" w:rsidP="000C1A85" w:rsidRDefault="000C1A85" w14:paraId="15C0C6BA" w14:textId="77777777">
      <w:pPr>
        <w:pStyle w:val="DESNZbulletedlist"/>
        <w:ind w:left="714" w:hanging="357"/>
      </w:pPr>
      <w:r>
        <w:t>C</w:t>
      </w:r>
      <w:r w:rsidRPr="00E026FD">
        <w:t>larifying the timing of outcomes and distinguishing between outputs, outcomes, and impacts would improve alignment with Logframe indicators and provide a more accurate representation of the program</w:t>
      </w:r>
      <w:r>
        <w:t>me</w:t>
      </w:r>
      <w:r w:rsidRPr="00E026FD">
        <w:t>'s progress</w:t>
      </w:r>
      <w:r w:rsidRPr="00AB2234">
        <w:t xml:space="preserve">. </w:t>
      </w:r>
    </w:p>
    <w:p w:rsidR="000C1A85" w:rsidP="000C1A85" w:rsidRDefault="000C1A85" w14:paraId="1F94998D" w14:textId="77777777">
      <w:pPr>
        <w:pStyle w:val="DESNZbulletedlist"/>
        <w:ind w:left="714" w:hanging="357"/>
      </w:pPr>
      <w:r w:rsidRPr="00E026FD">
        <w:t xml:space="preserve">DESNZ and IFC </w:t>
      </w:r>
      <w:r>
        <w:t>should</w:t>
      </w:r>
      <w:r w:rsidRPr="00E026FD">
        <w:t xml:space="preserve"> consider periodic reviews and updates to the </w:t>
      </w:r>
      <w:r>
        <w:t>Theory of Change</w:t>
      </w:r>
      <w:r w:rsidRPr="00E026FD">
        <w:t xml:space="preserve"> </w:t>
      </w:r>
      <w:r>
        <w:t>to ensure it stays a living document/tool.</w:t>
      </w:r>
    </w:p>
    <w:p w:rsidR="000C1A85" w:rsidP="000C1A85" w:rsidRDefault="000C1A85" w14:paraId="22D370BE" w14:textId="77777777">
      <w:r>
        <w:t xml:space="preserve">To further strengthen </w:t>
      </w:r>
      <w:r w:rsidRPr="0073436B">
        <w:rPr>
          <w:rStyle w:val="Boldtext"/>
        </w:rPr>
        <w:t>the management of the programme</w:t>
      </w:r>
      <w:r>
        <w:t xml:space="preserve"> going forward, the main recommendations concern:</w:t>
      </w:r>
    </w:p>
    <w:p w:rsidR="000C1A85" w:rsidP="000C1A85" w:rsidRDefault="000C1A85" w14:paraId="2498FD8B" w14:textId="77777777">
      <w:pPr>
        <w:pStyle w:val="DESNZbulletedlist"/>
        <w:ind w:left="714" w:hanging="357"/>
      </w:pPr>
      <w:r w:rsidRPr="00AA083D">
        <w:t>Improving communication and expectation-setting between DESNZ and IFC regarding monitoring, reporting, and potential adaptations to ensure smoother program</w:t>
      </w:r>
      <w:r>
        <w:t>me</w:t>
      </w:r>
      <w:r w:rsidRPr="00AA083D">
        <w:t xml:space="preserve"> delivery</w:t>
      </w:r>
      <w:r>
        <w:t>.</w:t>
      </w:r>
    </w:p>
    <w:p w:rsidR="000C1A85" w:rsidP="000C1A85" w:rsidRDefault="000C1A85" w14:paraId="1C439324" w14:textId="77777777">
      <w:pPr>
        <w:pStyle w:val="DESNZbulletedlist"/>
        <w:ind w:left="714" w:hanging="357"/>
      </w:pPr>
      <w:r>
        <w:t>Decision</w:t>
      </w:r>
      <w:r w:rsidRPr="009417D8">
        <w:t xml:space="preserve">-making outside of formal governance processes should be </w:t>
      </w:r>
      <w:r>
        <w:t xml:space="preserve">promptly </w:t>
      </w:r>
      <w:r w:rsidRPr="009417D8">
        <w:t>formalised to ensure decisions are captured and relevant stakeholders are informed.</w:t>
      </w:r>
    </w:p>
    <w:p w:rsidR="000C1A85" w:rsidP="000C1A85" w:rsidRDefault="000C1A85" w14:paraId="67709727" w14:textId="500DAA65">
      <w:pPr>
        <w:pStyle w:val="DESNZbulletedlist"/>
        <w:ind w:left="714" w:hanging="357"/>
      </w:pPr>
      <w:r w:rsidRPr="009417D8">
        <w:t>There is room for greater communication with and involvement of DESNZ and overseas UK missions and agencies (e.g., embassies) in the delivery of the MAGC programme</w:t>
      </w:r>
      <w:r w:rsidR="00D61E1D">
        <w:t>.</w:t>
      </w:r>
      <w:r w:rsidRPr="009417D8">
        <w:t xml:space="preserve"> </w:t>
      </w:r>
      <w:r w:rsidR="00D61E1D">
        <w:t>This would be to</w:t>
      </w:r>
      <w:r w:rsidRPr="009417D8" w:rsidR="00D61E1D">
        <w:t xml:space="preserve"> </w:t>
      </w:r>
      <w:r w:rsidRPr="009417D8">
        <w:t>leverage existing networks</w:t>
      </w:r>
      <w:r>
        <w:t xml:space="preserve">, </w:t>
      </w:r>
      <w:r w:rsidRPr="009417D8">
        <w:t>support engagement particularly of public sector stakeholders</w:t>
      </w:r>
      <w:r>
        <w:t xml:space="preserve"> and better understand the country context.</w:t>
      </w:r>
    </w:p>
    <w:p w:rsidR="000C1A85" w:rsidP="000C1A85" w:rsidRDefault="000C1A85" w14:paraId="6563B385" w14:textId="77777777">
      <w:r w:rsidRPr="000279C5">
        <w:t xml:space="preserve">The </w:t>
      </w:r>
      <w:r w:rsidRPr="0073436B">
        <w:rPr>
          <w:rStyle w:val="Boldtext"/>
        </w:rPr>
        <w:t>portfolio of MAGC countries and projects</w:t>
      </w:r>
      <w:r w:rsidRPr="000279C5">
        <w:t xml:space="preserve"> could be improved by</w:t>
      </w:r>
      <w:r>
        <w:t>:</w:t>
      </w:r>
      <w:r w:rsidRPr="000279C5">
        <w:t xml:space="preserve"> </w:t>
      </w:r>
    </w:p>
    <w:p w:rsidR="000C1A85" w:rsidP="000C1A85" w:rsidRDefault="000C1A85" w14:paraId="3CEAD4ED" w14:textId="77777777">
      <w:pPr>
        <w:pStyle w:val="DESNZbulletedlist"/>
        <w:ind w:left="714" w:hanging="357"/>
      </w:pPr>
      <w:r>
        <w:t>R</w:t>
      </w:r>
      <w:r w:rsidRPr="00A756FD">
        <w:t>eassess</w:t>
      </w:r>
      <w:r>
        <w:t xml:space="preserve">ing regularly </w:t>
      </w:r>
      <w:r w:rsidRPr="00A756FD">
        <w:t>the breadth versus depth of intervention</w:t>
      </w:r>
      <w:r>
        <w:t xml:space="preserve">, for example by </w:t>
      </w:r>
      <w:r w:rsidRPr="00D56C71">
        <w:t>developing a set of criteria for assessing potential countries, which could be reviewed and updated annually. These could include the country’s current status and readiness for green construction, the potential for impact, the level of government support for green construction, and any social</w:t>
      </w:r>
      <w:r>
        <w:t>, regulatory</w:t>
      </w:r>
      <w:r w:rsidRPr="00D56C71">
        <w:t xml:space="preserve"> and environmental considerations.</w:t>
      </w:r>
    </w:p>
    <w:p w:rsidR="000C1A85" w:rsidP="000C1A85" w:rsidRDefault="000C1A85" w14:paraId="17F7593F" w14:textId="24F7DB9D">
      <w:pPr>
        <w:pStyle w:val="DESNZbulletedlist"/>
        <w:ind w:left="714" w:hanging="357"/>
      </w:pPr>
      <w:r w:rsidRPr="00A756FD">
        <w:t>Tracking transformational impact of investments</w:t>
      </w:r>
      <w:r w:rsidR="00D61E1D">
        <w:t>.</w:t>
      </w:r>
      <w:r>
        <w:t xml:space="preserve"> </w:t>
      </w:r>
      <w:r w:rsidR="00D61E1D">
        <w:t>F</w:t>
      </w:r>
      <w:r w:rsidRPr="00D56C71">
        <w:t>or example</w:t>
      </w:r>
      <w:r w:rsidR="00D61E1D">
        <w:t>,</w:t>
      </w:r>
      <w:r w:rsidRPr="00D56C71">
        <w:t xml:space="preserve"> by compiling all decisions on why an investment was considered transformational in one document (currently only tracked at programme level)</w:t>
      </w:r>
      <w:r>
        <w:t xml:space="preserve">, and/or </w:t>
      </w:r>
      <w:r w:rsidRPr="00D56C71">
        <w:t>a dynamic typology for assessing the investment opportunities</w:t>
      </w:r>
      <w:r>
        <w:t>.</w:t>
      </w:r>
    </w:p>
    <w:p w:rsidR="000C1A85" w:rsidP="000C1A85" w:rsidRDefault="000C1A85" w14:paraId="072794DD" w14:textId="77777777">
      <w:pPr>
        <w:pStyle w:val="DESNZbulletedlist"/>
        <w:ind w:left="714" w:hanging="357"/>
      </w:pPr>
      <w:r w:rsidRPr="00A756FD">
        <w:t>Coordinati</w:t>
      </w:r>
      <w:r>
        <w:t>ng</w:t>
      </w:r>
      <w:r w:rsidRPr="00A756FD">
        <w:t xml:space="preserve"> and align</w:t>
      </w:r>
      <w:r>
        <w:t>ing</w:t>
      </w:r>
      <w:r w:rsidRPr="00A756FD">
        <w:t xml:space="preserve"> with complementary interventions</w:t>
      </w:r>
      <w:r>
        <w:t>, for example by considering complementarities with resilience and adaptation-focused programmes (by UK government and other international cooperation donors) in countries most vulnerable to climate disasters, as the incentives for green construction could be facilitated.</w:t>
      </w:r>
    </w:p>
    <w:p w:rsidR="000C1A85" w:rsidP="000C1A85" w:rsidRDefault="000C1A85" w14:paraId="1486A6FF" w14:textId="77777777">
      <w:r>
        <w:t xml:space="preserve">In terms of </w:t>
      </w:r>
      <w:r w:rsidRPr="0073436B">
        <w:rPr>
          <w:rStyle w:val="Boldtext"/>
        </w:rPr>
        <w:t>GE</w:t>
      </w:r>
      <w:r>
        <w:rPr>
          <w:rStyle w:val="Boldtext"/>
        </w:rPr>
        <w:t>D</w:t>
      </w:r>
      <w:r w:rsidRPr="0073436B">
        <w:rPr>
          <w:rStyle w:val="Boldtext"/>
        </w:rPr>
        <w:t>SI Learning for future programme design</w:t>
      </w:r>
      <w:r w:rsidRPr="00ED37AE">
        <w:t>, opportunities for improvement mainly lie</w:t>
      </w:r>
      <w:r>
        <w:t>:</w:t>
      </w:r>
    </w:p>
    <w:p w:rsidR="000C1A85" w:rsidP="000C1A85" w:rsidRDefault="000C1A85" w14:paraId="0CC14DC5" w14:textId="77777777">
      <w:pPr>
        <w:pStyle w:val="DESNZbulletedlist"/>
        <w:ind w:left="714" w:hanging="357"/>
      </w:pPr>
      <w:r>
        <w:t>A</w:t>
      </w:r>
      <w:r w:rsidRPr="00ED37AE">
        <w:t>t the design stage</w:t>
      </w:r>
      <w:r>
        <w:t>,</w:t>
      </w:r>
      <w:r w:rsidRPr="00ED37AE">
        <w:t xml:space="preserve"> through detailed situation analysis and effectively disaggregating monitoring indicators. </w:t>
      </w:r>
    </w:p>
    <w:p w:rsidR="000C1A85" w:rsidP="000C1A85" w:rsidRDefault="000C1A85" w14:paraId="6ED13CD4" w14:textId="77777777">
      <w:pPr>
        <w:pStyle w:val="DESNZbulletedlist"/>
        <w:ind w:left="714" w:hanging="357"/>
      </w:pPr>
      <w:r>
        <w:t xml:space="preserve">The involvement of </w:t>
      </w:r>
      <w:r w:rsidRPr="001556AA">
        <w:t xml:space="preserve">GEDSI experts in programme management is recommended for ensuring comprehensive inclusion and accountability. </w:t>
      </w:r>
    </w:p>
    <w:p w:rsidR="00F62435" w:rsidP="000C1A85" w:rsidRDefault="000C1A85" w14:paraId="6C178F0B" w14:textId="5AF0140D">
      <w:r w:rsidRPr="001556AA">
        <w:t>These measures will ensure a more holistic approach to GEDSI, targeting not only gender but also disability, socio-economic background, and other forms of marginalisation. The incorporation of GEDSI into selection criteria and investment decisions would need an assessment of feasibility to consider other facilities currently active at IFC in this space and the potential overlap with MAGC.</w:t>
      </w:r>
    </w:p>
    <w:p w:rsidR="00F62435" w:rsidRDefault="00F62435" w14:paraId="3FEDF830" w14:textId="77777777">
      <w:pPr>
        <w:spacing w:after="160" w:line="259" w:lineRule="auto"/>
        <w:sectPr w:rsidR="00F62435" w:rsidSect="000C1A85">
          <w:footerReference w:type="default" r:id="rId95"/>
          <w:pgSz w:w="11906" w:h="16838" w:orient="portrait"/>
          <w:pgMar w:top="1418" w:right="907" w:bottom="907" w:left="907" w:header="709" w:footer="266" w:gutter="0"/>
          <w:cols w:space="720"/>
        </w:sectPr>
      </w:pPr>
    </w:p>
    <w:p w:rsidR="00F62435" w:rsidP="00F62435" w:rsidRDefault="00F62435" w14:paraId="1408F8BF" w14:textId="77777777">
      <w:pPr>
        <w:pStyle w:val="Heading1"/>
      </w:pPr>
      <w:bookmarkStart w:name="_Toc207790245" w:id="221"/>
      <w:r>
        <w:t>Annex 14: Analysis on financial instruments</w:t>
      </w:r>
      <w:bookmarkEnd w:id="221"/>
    </w:p>
    <w:p w:rsidRPr="00E13638" w:rsidR="006F5E42" w:rsidP="00E13638" w:rsidRDefault="006F5E42" w14:paraId="6AEAD73D" w14:textId="0FEDFE01">
      <w:pPr>
        <w:rPr>
          <w:b/>
          <w:bCs/>
        </w:rPr>
      </w:pPr>
      <w:r>
        <w:rPr>
          <w:b/>
          <w:bCs/>
        </w:rPr>
        <w:t>Table 19. Analysis of financial instruments</w:t>
      </w:r>
    </w:p>
    <w:tbl>
      <w:tblPr>
        <w:tblStyle w:val="TableGrid"/>
        <w:tblW w:w="14879" w:type="dxa"/>
        <w:tblLook w:val="04A0" w:firstRow="1" w:lastRow="0" w:firstColumn="1" w:lastColumn="0" w:noHBand="0" w:noVBand="1"/>
      </w:tblPr>
      <w:tblGrid>
        <w:gridCol w:w="1517"/>
        <w:gridCol w:w="3014"/>
        <w:gridCol w:w="2962"/>
        <w:gridCol w:w="2777"/>
        <w:gridCol w:w="2374"/>
        <w:gridCol w:w="2235"/>
      </w:tblGrid>
      <w:tr w:rsidRPr="004E312E" w:rsidR="004E312E" w:rsidTr="002572F9" w14:paraId="203E84E9" w14:textId="77777777">
        <w:tc>
          <w:tcPr>
            <w:tcW w:w="1517" w:type="dxa"/>
          </w:tcPr>
          <w:p w:rsidRPr="002572F9" w:rsidR="00F62435" w:rsidP="004E312E" w:rsidRDefault="00F62435" w14:paraId="0DAC21F0" w14:textId="474F263A">
            <w:pPr>
              <w:rPr>
                <w:rFonts w:cs="Arial"/>
                <w:sz w:val="20"/>
                <w:szCs w:val="20"/>
              </w:rPr>
            </w:pPr>
            <w:r w:rsidRPr="002572F9">
              <w:rPr>
                <w:rFonts w:cs="Arial"/>
                <w:b/>
                <w:bCs/>
                <w:color w:val="000000"/>
                <w:sz w:val="20"/>
                <w:szCs w:val="20"/>
              </w:rPr>
              <w:t>Instrument</w:t>
            </w:r>
          </w:p>
        </w:tc>
        <w:tc>
          <w:tcPr>
            <w:tcW w:w="3014" w:type="dxa"/>
          </w:tcPr>
          <w:p w:rsidRPr="002572F9" w:rsidR="00F62435" w:rsidP="004E312E" w:rsidRDefault="00F62435" w14:paraId="1F9EA62B" w14:textId="427A57DC">
            <w:pPr>
              <w:rPr>
                <w:rFonts w:cs="Arial"/>
                <w:sz w:val="20"/>
                <w:szCs w:val="20"/>
              </w:rPr>
            </w:pPr>
            <w:r w:rsidRPr="002572F9">
              <w:rPr>
                <w:rFonts w:cs="Arial"/>
                <w:b/>
                <w:bCs/>
                <w:color w:val="000000"/>
                <w:sz w:val="20"/>
                <w:szCs w:val="20"/>
              </w:rPr>
              <w:t>Definition</w:t>
            </w:r>
          </w:p>
        </w:tc>
        <w:tc>
          <w:tcPr>
            <w:tcW w:w="2962" w:type="dxa"/>
          </w:tcPr>
          <w:p w:rsidRPr="002572F9" w:rsidR="00F62435" w:rsidP="004E312E" w:rsidRDefault="00F62435" w14:paraId="24597905" w14:textId="6A897620">
            <w:pPr>
              <w:rPr>
                <w:rFonts w:cs="Arial"/>
                <w:sz w:val="20"/>
                <w:szCs w:val="20"/>
              </w:rPr>
            </w:pPr>
            <w:r w:rsidRPr="002572F9">
              <w:rPr>
                <w:rFonts w:cs="Arial"/>
                <w:b/>
                <w:bCs/>
                <w:color w:val="000000"/>
                <w:sz w:val="20"/>
                <w:szCs w:val="20"/>
              </w:rPr>
              <w:t>How does it leverage private finance?</w:t>
            </w:r>
          </w:p>
        </w:tc>
        <w:tc>
          <w:tcPr>
            <w:tcW w:w="2777" w:type="dxa"/>
          </w:tcPr>
          <w:p w:rsidRPr="002572F9" w:rsidR="00F62435" w:rsidP="004E312E" w:rsidRDefault="00F62435" w14:paraId="17846D8A" w14:textId="36859659">
            <w:pPr>
              <w:rPr>
                <w:rFonts w:cs="Arial"/>
                <w:sz w:val="20"/>
                <w:szCs w:val="20"/>
              </w:rPr>
            </w:pPr>
            <w:r w:rsidRPr="002572F9">
              <w:rPr>
                <w:rFonts w:cs="Arial"/>
                <w:b/>
                <w:bCs/>
                <w:color w:val="000000"/>
                <w:sz w:val="20"/>
                <w:szCs w:val="20"/>
              </w:rPr>
              <w:t>Role of the IFC</w:t>
            </w:r>
          </w:p>
        </w:tc>
        <w:tc>
          <w:tcPr>
            <w:tcW w:w="2374" w:type="dxa"/>
          </w:tcPr>
          <w:p w:rsidRPr="002572F9" w:rsidR="00F62435" w:rsidP="004E312E" w:rsidRDefault="00F62435" w14:paraId="4E6B0DDD" w14:textId="3DE59D50">
            <w:pPr>
              <w:rPr>
                <w:rFonts w:cs="Arial"/>
                <w:sz w:val="20"/>
                <w:szCs w:val="20"/>
              </w:rPr>
            </w:pPr>
            <w:r w:rsidRPr="002572F9">
              <w:rPr>
                <w:rFonts w:cs="Arial"/>
                <w:b/>
                <w:bCs/>
                <w:color w:val="000000"/>
                <w:sz w:val="20"/>
                <w:szCs w:val="20"/>
              </w:rPr>
              <w:t>How quickly might MAGC funds be disbursed</w:t>
            </w:r>
          </w:p>
        </w:tc>
        <w:tc>
          <w:tcPr>
            <w:tcW w:w="2235" w:type="dxa"/>
          </w:tcPr>
          <w:p w:rsidRPr="002572F9" w:rsidR="00F62435" w:rsidP="004E312E" w:rsidRDefault="00F62435" w14:paraId="7BFFC31B" w14:textId="2CD0DCC2">
            <w:pPr>
              <w:rPr>
                <w:rFonts w:cs="Arial"/>
                <w:sz w:val="20"/>
                <w:szCs w:val="20"/>
              </w:rPr>
            </w:pPr>
            <w:r w:rsidRPr="002572F9">
              <w:rPr>
                <w:rFonts w:cs="Arial"/>
                <w:b/>
                <w:bCs/>
                <w:color w:val="000000"/>
                <w:sz w:val="20"/>
                <w:szCs w:val="20"/>
              </w:rPr>
              <w:t>SUMMARY</w:t>
            </w:r>
          </w:p>
        </w:tc>
      </w:tr>
      <w:tr w:rsidRPr="004E312E" w:rsidR="004E312E" w:rsidTr="002572F9" w14:paraId="460E61D0" w14:textId="77777777">
        <w:tc>
          <w:tcPr>
            <w:tcW w:w="1517" w:type="dxa"/>
          </w:tcPr>
          <w:p w:rsidRPr="002572F9" w:rsidR="00F62435" w:rsidP="004E312E" w:rsidRDefault="00F62435" w14:paraId="197DA1A2" w14:textId="48DD1EC8">
            <w:pPr>
              <w:rPr>
                <w:rFonts w:cs="Arial"/>
                <w:sz w:val="20"/>
                <w:szCs w:val="20"/>
              </w:rPr>
            </w:pPr>
            <w:r w:rsidRPr="002572F9">
              <w:rPr>
                <w:rFonts w:cs="Arial"/>
                <w:b/>
                <w:bCs/>
                <w:color w:val="000000"/>
                <w:sz w:val="20"/>
                <w:szCs w:val="20"/>
              </w:rPr>
              <w:t>Concessional Equity</w:t>
            </w:r>
          </w:p>
        </w:tc>
        <w:tc>
          <w:tcPr>
            <w:tcW w:w="3014" w:type="dxa"/>
          </w:tcPr>
          <w:p w:rsidRPr="002572F9" w:rsidR="00F62435" w:rsidP="004E312E" w:rsidRDefault="00F62435" w14:paraId="03AE862B" w14:textId="68A76560">
            <w:pPr>
              <w:rPr>
                <w:rFonts w:cs="Arial"/>
                <w:sz w:val="20"/>
                <w:szCs w:val="20"/>
              </w:rPr>
            </w:pPr>
            <w:r w:rsidRPr="002572F9">
              <w:rPr>
                <w:rFonts w:cs="Arial"/>
                <w:color w:val="000000"/>
                <w:sz w:val="20"/>
                <w:szCs w:val="20"/>
              </w:rPr>
              <w:t>Provision of equity to project developers at a lower expected return rate than the developers own equity requirement (i.e. if the developer is looking for 10% return on their equity, concessional equity could provide funds with a fixed return at 8%).  This lowers the overall cost of equity in the capital structure and potentially providing a buffer to support equity returns.</w:t>
            </w:r>
          </w:p>
        </w:tc>
        <w:tc>
          <w:tcPr>
            <w:tcW w:w="2962" w:type="dxa"/>
          </w:tcPr>
          <w:p w:rsidRPr="002572F9" w:rsidR="00F62435" w:rsidP="004E312E" w:rsidRDefault="00F62435" w14:paraId="595DC994" w14:textId="78E90E01">
            <w:pPr>
              <w:rPr>
                <w:rFonts w:cs="Arial"/>
                <w:sz w:val="20"/>
                <w:szCs w:val="20"/>
              </w:rPr>
            </w:pPr>
            <w:r w:rsidRPr="002572F9">
              <w:rPr>
                <w:rFonts w:cs="Arial"/>
                <w:color w:val="000000"/>
                <w:sz w:val="20"/>
                <w:szCs w:val="20"/>
              </w:rPr>
              <w:t xml:space="preserve">Provides a co-investor to the project to share risk.  This reduces the amount of private capital which needs to be contributed to each </w:t>
            </w:r>
            <w:proofErr w:type="gramStart"/>
            <w:r w:rsidRPr="002572F9">
              <w:rPr>
                <w:rFonts w:cs="Arial"/>
                <w:color w:val="000000"/>
                <w:sz w:val="20"/>
                <w:szCs w:val="20"/>
              </w:rPr>
              <w:t>project, but</w:t>
            </w:r>
            <w:proofErr w:type="gramEnd"/>
            <w:r w:rsidRPr="002572F9">
              <w:rPr>
                <w:rFonts w:cs="Arial"/>
                <w:color w:val="000000"/>
                <w:sz w:val="20"/>
                <w:szCs w:val="20"/>
              </w:rPr>
              <w:t xml:space="preserve"> potentially increases the </w:t>
            </w:r>
            <w:proofErr w:type="gramStart"/>
            <w:r w:rsidRPr="002572F9">
              <w:rPr>
                <w:rFonts w:cs="Arial"/>
                <w:color w:val="000000"/>
                <w:sz w:val="20"/>
                <w:szCs w:val="20"/>
              </w:rPr>
              <w:t>amount</w:t>
            </w:r>
            <w:proofErr w:type="gramEnd"/>
            <w:r w:rsidRPr="002572F9">
              <w:rPr>
                <w:rFonts w:cs="Arial"/>
                <w:color w:val="000000"/>
                <w:sz w:val="20"/>
                <w:szCs w:val="20"/>
              </w:rPr>
              <w:t xml:space="preserve"> of projects that can be done, thus potentially increasing the overall leverage of private capital.  However, it may provide enough incentive to get funds to new projects that would not have been funded if it were not for concessional equity.</w:t>
            </w:r>
          </w:p>
        </w:tc>
        <w:tc>
          <w:tcPr>
            <w:tcW w:w="2777" w:type="dxa"/>
            <w:shd w:val="clear" w:color="auto" w:fill="C5E0B3" w:themeFill="accent6" w:themeFillTint="66"/>
          </w:tcPr>
          <w:p w:rsidRPr="002572F9" w:rsidR="00F62435" w:rsidP="004E312E" w:rsidRDefault="00F62435" w14:paraId="7E0B282D" w14:textId="1FCB3F6A">
            <w:pPr>
              <w:rPr>
                <w:rFonts w:cs="Arial"/>
                <w:sz w:val="20"/>
                <w:szCs w:val="20"/>
              </w:rPr>
            </w:pPr>
            <w:r w:rsidRPr="002572F9">
              <w:rPr>
                <w:rFonts w:cs="Arial"/>
                <w:color w:val="000000"/>
                <w:sz w:val="20"/>
                <w:szCs w:val="20"/>
              </w:rPr>
              <w:t xml:space="preserve">The IFC does provide equity instruments to businesses and MAGC funds could be co-invested with IFC.  This can either be undertaken as a direct investment (i.e. IFC to a company as they have already done once in India) or indirectly (i.e. IFC to a real estate fund as in Kenya with IHS).  This would require IFC to have funds available to directly invest from their mainstream business.  </w:t>
            </w:r>
          </w:p>
        </w:tc>
        <w:tc>
          <w:tcPr>
            <w:tcW w:w="2374" w:type="dxa"/>
            <w:shd w:val="clear" w:color="auto" w:fill="F7CAAC" w:themeFill="accent2" w:themeFillTint="66"/>
          </w:tcPr>
          <w:p w:rsidRPr="002572F9" w:rsidR="00F62435" w:rsidP="004E312E" w:rsidRDefault="00F62435" w14:paraId="0D113864" w14:textId="534C9382">
            <w:pPr>
              <w:rPr>
                <w:rFonts w:cs="Arial"/>
                <w:sz w:val="20"/>
                <w:szCs w:val="20"/>
              </w:rPr>
            </w:pPr>
            <w:r w:rsidRPr="002572F9">
              <w:rPr>
                <w:rFonts w:cs="Arial"/>
                <w:color w:val="000000"/>
                <w:sz w:val="20"/>
                <w:szCs w:val="20"/>
              </w:rPr>
              <w:t>Longer lead times as due diligence is required and project level understanding is needed as well as thorough supervision.  Shareholders Agreements need to also be put in place which can be time consuming and additional participation in running projects.</w:t>
            </w:r>
          </w:p>
        </w:tc>
        <w:tc>
          <w:tcPr>
            <w:tcW w:w="2235" w:type="dxa"/>
            <w:shd w:val="clear" w:color="auto" w:fill="FFF2CC" w:themeFill="accent4" w:themeFillTint="33"/>
          </w:tcPr>
          <w:p w:rsidRPr="002572F9" w:rsidR="00F62435" w:rsidP="004E312E" w:rsidRDefault="00F62435" w14:paraId="68AD197C" w14:textId="3BC3BF70">
            <w:pPr>
              <w:rPr>
                <w:rFonts w:cs="Arial"/>
                <w:sz w:val="20"/>
                <w:szCs w:val="20"/>
              </w:rPr>
            </w:pPr>
            <w:r w:rsidRPr="002572F9">
              <w:rPr>
                <w:rFonts w:cs="Arial"/>
                <w:color w:val="000000"/>
                <w:sz w:val="20"/>
                <w:szCs w:val="20"/>
              </w:rPr>
              <w:t xml:space="preserve">Helps support project developers / sponsors to "take risk" and manage costs / </w:t>
            </w:r>
            <w:proofErr w:type="gramStart"/>
            <w:r w:rsidRPr="002572F9">
              <w:rPr>
                <w:rFonts w:cs="Arial"/>
                <w:color w:val="000000"/>
                <w:sz w:val="20"/>
                <w:szCs w:val="20"/>
              </w:rPr>
              <w:t>returns, but</w:t>
            </w:r>
            <w:proofErr w:type="gramEnd"/>
            <w:r w:rsidRPr="002572F9">
              <w:rPr>
                <w:rFonts w:cs="Arial"/>
                <w:color w:val="000000"/>
                <w:sz w:val="20"/>
                <w:szCs w:val="20"/>
              </w:rPr>
              <w:t xml:space="preserve"> can take time to disburse due to due diligence and legal requirements.</w:t>
            </w:r>
          </w:p>
        </w:tc>
      </w:tr>
      <w:tr w:rsidRPr="004E312E" w:rsidR="004E312E" w:rsidTr="002572F9" w14:paraId="4BF07CB5" w14:textId="77777777">
        <w:tc>
          <w:tcPr>
            <w:tcW w:w="1517" w:type="dxa"/>
          </w:tcPr>
          <w:p w:rsidRPr="002572F9" w:rsidR="00F62435" w:rsidP="004E312E" w:rsidRDefault="00F62435" w14:paraId="30CB427A" w14:textId="7DFB0FD2">
            <w:pPr>
              <w:rPr>
                <w:rFonts w:cs="Arial"/>
                <w:sz w:val="20"/>
                <w:szCs w:val="20"/>
              </w:rPr>
            </w:pPr>
            <w:r w:rsidRPr="002572F9">
              <w:rPr>
                <w:rFonts w:cs="Arial"/>
                <w:b/>
                <w:bCs/>
                <w:color w:val="000000"/>
                <w:sz w:val="20"/>
                <w:szCs w:val="20"/>
              </w:rPr>
              <w:t>Returnable Grants</w:t>
            </w:r>
          </w:p>
        </w:tc>
        <w:tc>
          <w:tcPr>
            <w:tcW w:w="3014" w:type="dxa"/>
          </w:tcPr>
          <w:p w:rsidRPr="002572F9" w:rsidR="00F62435" w:rsidP="004E312E" w:rsidRDefault="00F62435" w14:paraId="00C21AF7" w14:textId="5F940407">
            <w:pPr>
              <w:rPr>
                <w:rFonts w:cs="Arial"/>
                <w:sz w:val="20"/>
                <w:szCs w:val="20"/>
              </w:rPr>
            </w:pPr>
            <w:r w:rsidRPr="002572F9">
              <w:rPr>
                <w:rFonts w:cs="Arial"/>
                <w:color w:val="000000"/>
                <w:sz w:val="20"/>
                <w:szCs w:val="20"/>
              </w:rPr>
              <w:t xml:space="preserve">Returnable grants can be provided to developers such that these can be treated as pseudo-equity.  This reduces the amount of equity the developer has to contribute and as it is not seeking a </w:t>
            </w:r>
            <w:r w:rsidRPr="002572F9">
              <w:rPr>
                <w:rFonts w:cs="Arial"/>
                <w:color w:val="000000"/>
                <w:sz w:val="20"/>
                <w:szCs w:val="20"/>
              </w:rPr>
              <w:t>return, reduces the cost of equity in the capital structure.  This lowers the overall project returns required.</w:t>
            </w:r>
          </w:p>
        </w:tc>
        <w:tc>
          <w:tcPr>
            <w:tcW w:w="2962" w:type="dxa"/>
          </w:tcPr>
          <w:p w:rsidRPr="002572F9" w:rsidR="00F62435" w:rsidP="004E312E" w:rsidRDefault="00F62435" w14:paraId="319124A3" w14:textId="4C6B604D">
            <w:pPr>
              <w:rPr>
                <w:rFonts w:cs="Arial"/>
                <w:sz w:val="20"/>
                <w:szCs w:val="20"/>
              </w:rPr>
            </w:pPr>
            <w:r w:rsidRPr="002572F9">
              <w:rPr>
                <w:rFonts w:cs="Arial"/>
                <w:color w:val="000000"/>
                <w:sz w:val="20"/>
                <w:szCs w:val="20"/>
              </w:rPr>
              <w:t xml:space="preserve">Provides a co-investor to the project to share risk.  This reduces the amount of private capital which needs to be contributed to each </w:t>
            </w:r>
            <w:proofErr w:type="gramStart"/>
            <w:r w:rsidRPr="002572F9">
              <w:rPr>
                <w:rFonts w:cs="Arial"/>
                <w:color w:val="000000"/>
                <w:sz w:val="20"/>
                <w:szCs w:val="20"/>
              </w:rPr>
              <w:t>project, but</w:t>
            </w:r>
            <w:proofErr w:type="gramEnd"/>
            <w:r w:rsidRPr="002572F9">
              <w:rPr>
                <w:rFonts w:cs="Arial"/>
                <w:color w:val="000000"/>
                <w:sz w:val="20"/>
                <w:szCs w:val="20"/>
              </w:rPr>
              <w:t xml:space="preserve"> potentially increases the </w:t>
            </w:r>
            <w:r w:rsidRPr="0005351F" w:rsidR="0005351F">
              <w:rPr>
                <w:rFonts w:cs="Arial"/>
                <w:color w:val="000000"/>
                <w:sz w:val="20"/>
                <w:szCs w:val="20"/>
              </w:rPr>
              <w:t>number</w:t>
            </w:r>
            <w:r w:rsidRPr="002572F9">
              <w:rPr>
                <w:rFonts w:cs="Arial"/>
                <w:color w:val="000000"/>
                <w:sz w:val="20"/>
                <w:szCs w:val="20"/>
              </w:rPr>
              <w:t xml:space="preserve"> of projects that can be </w:t>
            </w:r>
            <w:r w:rsidRPr="002572F9">
              <w:rPr>
                <w:rFonts w:cs="Arial"/>
                <w:color w:val="000000"/>
                <w:sz w:val="20"/>
                <w:szCs w:val="20"/>
              </w:rPr>
              <w:t>done, thus potentially increasing the overall leverage of private capital.  However, it may provide enough incentive to get funds to new projects that would not have been funded if it were not for concessional equity.</w:t>
            </w:r>
          </w:p>
        </w:tc>
        <w:tc>
          <w:tcPr>
            <w:tcW w:w="2777" w:type="dxa"/>
            <w:shd w:val="clear" w:color="auto" w:fill="C5E0B3" w:themeFill="accent6" w:themeFillTint="66"/>
          </w:tcPr>
          <w:p w:rsidRPr="002572F9" w:rsidR="00F62435" w:rsidP="004E312E" w:rsidRDefault="0005351F" w14:paraId="28374FD1" w14:textId="3724F1AA">
            <w:pPr>
              <w:rPr>
                <w:rFonts w:cs="Arial"/>
                <w:sz w:val="20"/>
                <w:szCs w:val="20"/>
              </w:rPr>
            </w:pPr>
            <w:r>
              <w:rPr>
                <w:rFonts w:cs="Arial"/>
                <w:color w:val="000000"/>
                <w:sz w:val="20"/>
                <w:szCs w:val="20"/>
              </w:rPr>
              <w:t>T</w:t>
            </w:r>
            <w:r w:rsidRPr="002572F9" w:rsidR="00F62435">
              <w:rPr>
                <w:rFonts w:cs="Arial"/>
                <w:color w:val="000000"/>
                <w:sz w:val="20"/>
                <w:szCs w:val="20"/>
              </w:rPr>
              <w:t>he IFC can use these returnable grants alongside their debt / equity instruments and leverage these appropriately through MAGC.</w:t>
            </w:r>
          </w:p>
        </w:tc>
        <w:tc>
          <w:tcPr>
            <w:tcW w:w="2374" w:type="dxa"/>
            <w:shd w:val="clear" w:color="auto" w:fill="FFF2CC" w:themeFill="accent4" w:themeFillTint="33"/>
          </w:tcPr>
          <w:p w:rsidRPr="002572F9" w:rsidR="00F62435" w:rsidP="004E312E" w:rsidRDefault="00F62435" w14:paraId="6CFDD8A8" w14:textId="78B18B2E">
            <w:pPr>
              <w:rPr>
                <w:rFonts w:cs="Arial"/>
                <w:sz w:val="20"/>
                <w:szCs w:val="20"/>
              </w:rPr>
            </w:pPr>
            <w:r w:rsidRPr="002572F9">
              <w:rPr>
                <w:rFonts w:cs="Arial"/>
                <w:color w:val="000000"/>
                <w:sz w:val="20"/>
                <w:szCs w:val="20"/>
              </w:rPr>
              <w:t xml:space="preserve">Medium lead times as due diligence is still required, but operational and legal requirements are less.  These can also be run through open tenders to </w:t>
            </w:r>
            <w:r w:rsidRPr="002572F9">
              <w:rPr>
                <w:rFonts w:cs="Arial"/>
                <w:color w:val="000000"/>
                <w:sz w:val="20"/>
                <w:szCs w:val="20"/>
              </w:rPr>
              <w:t>attract bids too which support strong VfM (i.e. a challenge fund structure).</w:t>
            </w:r>
          </w:p>
        </w:tc>
        <w:tc>
          <w:tcPr>
            <w:tcW w:w="2235" w:type="dxa"/>
            <w:shd w:val="clear" w:color="auto" w:fill="C5E0B3" w:themeFill="accent6" w:themeFillTint="66"/>
          </w:tcPr>
          <w:p w:rsidRPr="002572F9" w:rsidR="00F62435" w:rsidP="004E312E" w:rsidRDefault="00F62435" w14:paraId="616D916A" w14:textId="4E354F88">
            <w:pPr>
              <w:rPr>
                <w:rFonts w:cs="Arial"/>
                <w:sz w:val="20"/>
                <w:szCs w:val="20"/>
              </w:rPr>
            </w:pPr>
            <w:r w:rsidRPr="002572F9">
              <w:rPr>
                <w:rFonts w:cs="Arial"/>
                <w:color w:val="000000"/>
                <w:sz w:val="20"/>
                <w:szCs w:val="20"/>
              </w:rPr>
              <w:t xml:space="preserve">Helps support project developers / sponsors to "take risk" and manage costs / returns, and is more simple than Concessional Equity / </w:t>
            </w:r>
            <w:r w:rsidRPr="002572F9">
              <w:rPr>
                <w:rFonts w:cs="Arial"/>
                <w:color w:val="000000"/>
                <w:sz w:val="20"/>
                <w:szCs w:val="20"/>
              </w:rPr>
              <w:t>Debt to target good projects</w:t>
            </w:r>
          </w:p>
        </w:tc>
      </w:tr>
      <w:tr w:rsidRPr="004E312E" w:rsidR="004E312E" w:rsidTr="002572F9" w14:paraId="5B50411C" w14:textId="77777777">
        <w:tc>
          <w:tcPr>
            <w:tcW w:w="1517" w:type="dxa"/>
          </w:tcPr>
          <w:p w:rsidRPr="002572F9" w:rsidR="00F62435" w:rsidP="004E312E" w:rsidRDefault="00F62435" w14:paraId="63ED16F9" w14:textId="4682F894">
            <w:pPr>
              <w:rPr>
                <w:rFonts w:cs="Arial"/>
                <w:sz w:val="20"/>
                <w:szCs w:val="20"/>
              </w:rPr>
            </w:pPr>
            <w:r w:rsidRPr="002572F9">
              <w:rPr>
                <w:rFonts w:cs="Arial"/>
                <w:b/>
                <w:bCs/>
                <w:color w:val="000000"/>
                <w:sz w:val="20"/>
                <w:szCs w:val="20"/>
              </w:rPr>
              <w:t>Concessional Debt</w:t>
            </w:r>
          </w:p>
        </w:tc>
        <w:tc>
          <w:tcPr>
            <w:tcW w:w="3014" w:type="dxa"/>
          </w:tcPr>
          <w:p w:rsidRPr="002572F9" w:rsidR="00F62435" w:rsidP="004E312E" w:rsidRDefault="00F62435" w14:paraId="19974BE4" w14:textId="6E38FCEE">
            <w:pPr>
              <w:rPr>
                <w:rFonts w:cs="Arial"/>
                <w:sz w:val="20"/>
                <w:szCs w:val="20"/>
              </w:rPr>
            </w:pPr>
            <w:r w:rsidRPr="002572F9">
              <w:rPr>
                <w:rFonts w:cs="Arial"/>
                <w:color w:val="000000"/>
                <w:sz w:val="20"/>
                <w:szCs w:val="20"/>
              </w:rPr>
              <w:t xml:space="preserve">Concessional debt is like Concessional </w:t>
            </w:r>
            <w:proofErr w:type="gramStart"/>
            <w:r w:rsidRPr="002572F9">
              <w:rPr>
                <w:rFonts w:cs="Arial"/>
                <w:color w:val="000000"/>
                <w:sz w:val="20"/>
                <w:szCs w:val="20"/>
              </w:rPr>
              <w:t>Equity,</w:t>
            </w:r>
            <w:proofErr w:type="gramEnd"/>
            <w:r w:rsidRPr="002572F9">
              <w:rPr>
                <w:rFonts w:cs="Arial"/>
                <w:color w:val="000000"/>
                <w:sz w:val="20"/>
                <w:szCs w:val="20"/>
              </w:rPr>
              <w:t xml:space="preserve"> debt can be provided at lower lending margin to reduce the cost of debt to a project.</w:t>
            </w:r>
          </w:p>
        </w:tc>
        <w:tc>
          <w:tcPr>
            <w:tcW w:w="2962" w:type="dxa"/>
          </w:tcPr>
          <w:p w:rsidRPr="002572F9" w:rsidR="00F62435" w:rsidP="004E312E" w:rsidRDefault="00F62435" w14:paraId="5C471FDA" w14:textId="1B4C1F37">
            <w:pPr>
              <w:rPr>
                <w:rFonts w:cs="Arial"/>
                <w:sz w:val="20"/>
                <w:szCs w:val="20"/>
              </w:rPr>
            </w:pPr>
            <w:r w:rsidRPr="002572F9">
              <w:rPr>
                <w:rFonts w:cs="Arial"/>
                <w:color w:val="000000"/>
                <w:sz w:val="20"/>
                <w:szCs w:val="20"/>
              </w:rPr>
              <w:t>This reduces the amount of capital that the lender puts at risk so either makes the lenders capital go further or through a change in risk profile increase their appetite to lend.</w:t>
            </w:r>
          </w:p>
        </w:tc>
        <w:tc>
          <w:tcPr>
            <w:tcW w:w="2777" w:type="dxa"/>
            <w:shd w:val="clear" w:color="auto" w:fill="C5E0B3" w:themeFill="accent6" w:themeFillTint="66"/>
          </w:tcPr>
          <w:p w:rsidRPr="002572F9" w:rsidR="00F62435" w:rsidP="004E312E" w:rsidRDefault="00F62435" w14:paraId="2F9DC69D" w14:textId="5256320F">
            <w:pPr>
              <w:rPr>
                <w:rFonts w:cs="Arial"/>
                <w:sz w:val="20"/>
                <w:szCs w:val="20"/>
              </w:rPr>
            </w:pPr>
            <w:r w:rsidRPr="002572F9">
              <w:rPr>
                <w:rFonts w:cs="Arial"/>
                <w:color w:val="000000"/>
                <w:sz w:val="20"/>
                <w:szCs w:val="20"/>
              </w:rPr>
              <w:t>This would see IFC investing as they have done already and not in a significantly different way.  This can either be done as direct lending with MAGC / IFC to companies or to Lenders in on-lending facilities</w:t>
            </w:r>
          </w:p>
        </w:tc>
        <w:tc>
          <w:tcPr>
            <w:tcW w:w="2374" w:type="dxa"/>
            <w:shd w:val="clear" w:color="auto" w:fill="F7CAAC" w:themeFill="accent2" w:themeFillTint="66"/>
          </w:tcPr>
          <w:p w:rsidRPr="002572F9" w:rsidR="00F62435" w:rsidP="004E312E" w:rsidRDefault="00F62435" w14:paraId="52D93566" w14:textId="4FCB4250">
            <w:pPr>
              <w:rPr>
                <w:rFonts w:cs="Arial"/>
                <w:sz w:val="20"/>
                <w:szCs w:val="20"/>
              </w:rPr>
            </w:pPr>
            <w:r w:rsidRPr="002572F9">
              <w:rPr>
                <w:rFonts w:cs="Arial"/>
                <w:color w:val="000000"/>
                <w:sz w:val="20"/>
                <w:szCs w:val="20"/>
              </w:rPr>
              <w:t>Longer lead times as due diligence is required and project level understanding is needed as well as thorough supervision.  Shareholders Agreements need to also be put in place which can be time consuming</w:t>
            </w:r>
          </w:p>
        </w:tc>
        <w:tc>
          <w:tcPr>
            <w:tcW w:w="2235" w:type="dxa"/>
            <w:shd w:val="clear" w:color="auto" w:fill="FFF2CC" w:themeFill="accent4" w:themeFillTint="33"/>
          </w:tcPr>
          <w:p w:rsidRPr="002572F9" w:rsidR="00F62435" w:rsidP="004E312E" w:rsidRDefault="00F62435" w14:paraId="71E26504" w14:textId="43BBE13C">
            <w:pPr>
              <w:rPr>
                <w:rFonts w:cs="Arial"/>
                <w:sz w:val="20"/>
                <w:szCs w:val="20"/>
              </w:rPr>
            </w:pPr>
            <w:r w:rsidRPr="002572F9">
              <w:rPr>
                <w:rFonts w:cs="Arial"/>
                <w:color w:val="000000"/>
                <w:sz w:val="20"/>
                <w:szCs w:val="20"/>
              </w:rPr>
              <w:t xml:space="preserve">Helps support project developers / sponsors to "take risk" and manage costs / </w:t>
            </w:r>
            <w:proofErr w:type="gramStart"/>
            <w:r w:rsidRPr="002572F9">
              <w:rPr>
                <w:rFonts w:cs="Arial"/>
                <w:color w:val="000000"/>
                <w:sz w:val="20"/>
                <w:szCs w:val="20"/>
              </w:rPr>
              <w:t>returns, but</w:t>
            </w:r>
            <w:proofErr w:type="gramEnd"/>
            <w:r w:rsidRPr="002572F9">
              <w:rPr>
                <w:rFonts w:cs="Arial"/>
                <w:color w:val="000000"/>
                <w:sz w:val="20"/>
                <w:szCs w:val="20"/>
              </w:rPr>
              <w:t xml:space="preserve"> can take time to disburse due to due diligence and legal requirements.</w:t>
            </w:r>
          </w:p>
        </w:tc>
      </w:tr>
      <w:tr w:rsidRPr="004E312E" w:rsidR="004E312E" w:rsidTr="002572F9" w14:paraId="5EA7BFCD" w14:textId="77777777">
        <w:tc>
          <w:tcPr>
            <w:tcW w:w="1517" w:type="dxa"/>
          </w:tcPr>
          <w:p w:rsidRPr="002572F9" w:rsidR="00F62435" w:rsidP="004E312E" w:rsidRDefault="00F62435" w14:paraId="30DEA9FC" w14:textId="73E8D4AF">
            <w:pPr>
              <w:rPr>
                <w:rFonts w:cs="Arial"/>
                <w:sz w:val="20"/>
                <w:szCs w:val="20"/>
              </w:rPr>
            </w:pPr>
            <w:r w:rsidRPr="002572F9">
              <w:rPr>
                <w:rFonts w:cs="Arial"/>
                <w:b/>
                <w:bCs/>
                <w:color w:val="000000"/>
                <w:sz w:val="20"/>
                <w:szCs w:val="20"/>
              </w:rPr>
              <w:t>Working Capital Facility</w:t>
            </w:r>
          </w:p>
        </w:tc>
        <w:tc>
          <w:tcPr>
            <w:tcW w:w="3014" w:type="dxa"/>
          </w:tcPr>
          <w:p w:rsidRPr="002572F9" w:rsidR="00F62435" w:rsidP="004E312E" w:rsidRDefault="00F62435" w14:paraId="692C0814" w14:textId="19BCA366">
            <w:pPr>
              <w:rPr>
                <w:rFonts w:cs="Arial"/>
                <w:sz w:val="20"/>
                <w:szCs w:val="20"/>
              </w:rPr>
            </w:pPr>
            <w:r w:rsidRPr="002572F9">
              <w:rPr>
                <w:rFonts w:cs="Arial"/>
                <w:color w:val="000000"/>
                <w:sz w:val="20"/>
                <w:szCs w:val="20"/>
              </w:rPr>
              <w:t xml:space="preserve">Working capital is needed to fund the development of a project, and this could be provided at a lower interest rate (concessional) or by providing a set facility which is patient on repayment or a combination of both.  This </w:t>
            </w:r>
            <w:r w:rsidRPr="002572F9">
              <w:rPr>
                <w:rFonts w:cs="Arial"/>
                <w:color w:val="000000"/>
                <w:sz w:val="20"/>
                <w:szCs w:val="20"/>
              </w:rPr>
              <w:t>would support equity returns and encourage investors.</w:t>
            </w:r>
          </w:p>
        </w:tc>
        <w:tc>
          <w:tcPr>
            <w:tcW w:w="2962" w:type="dxa"/>
          </w:tcPr>
          <w:p w:rsidRPr="002572F9" w:rsidR="00F62435" w:rsidP="004E312E" w:rsidRDefault="00F62435" w14:paraId="593ED7CF" w14:textId="74D54968">
            <w:pPr>
              <w:rPr>
                <w:rFonts w:cs="Arial"/>
                <w:sz w:val="20"/>
                <w:szCs w:val="20"/>
              </w:rPr>
            </w:pPr>
            <w:r w:rsidRPr="002572F9">
              <w:rPr>
                <w:rFonts w:cs="Arial"/>
                <w:color w:val="000000"/>
                <w:sz w:val="20"/>
                <w:szCs w:val="20"/>
              </w:rPr>
              <w:t>Provides equity sponsor with access to or cheaper working capital in development so may increase sponsor investing appetite and hence equity.</w:t>
            </w:r>
          </w:p>
        </w:tc>
        <w:tc>
          <w:tcPr>
            <w:tcW w:w="2777" w:type="dxa"/>
            <w:shd w:val="clear" w:color="auto" w:fill="C5E0B3" w:themeFill="accent6" w:themeFillTint="66"/>
          </w:tcPr>
          <w:p w:rsidRPr="002572F9" w:rsidR="00F62435" w:rsidP="004E312E" w:rsidRDefault="00F62435" w14:paraId="5AE9F34B" w14:textId="356E1451">
            <w:pPr>
              <w:rPr>
                <w:rFonts w:cs="Arial"/>
                <w:sz w:val="20"/>
                <w:szCs w:val="20"/>
              </w:rPr>
            </w:pPr>
            <w:r w:rsidRPr="002572F9">
              <w:rPr>
                <w:rFonts w:cs="Arial"/>
                <w:color w:val="000000"/>
                <w:sz w:val="20"/>
                <w:szCs w:val="20"/>
              </w:rPr>
              <w:t>The IFC would use MAGC funds alongside their own lending instruments.  This would probably be best done through existing relationship lenders (FIs) as an on-lending facility</w:t>
            </w:r>
          </w:p>
        </w:tc>
        <w:tc>
          <w:tcPr>
            <w:tcW w:w="2374" w:type="dxa"/>
            <w:shd w:val="clear" w:color="auto" w:fill="C5E0B3" w:themeFill="accent6" w:themeFillTint="66"/>
          </w:tcPr>
          <w:p w:rsidRPr="002572F9" w:rsidR="00F62435" w:rsidP="004E312E" w:rsidRDefault="00F62435" w14:paraId="5C276EF1" w14:textId="5B0E32E1">
            <w:pPr>
              <w:rPr>
                <w:rFonts w:cs="Arial"/>
                <w:sz w:val="20"/>
                <w:szCs w:val="20"/>
              </w:rPr>
            </w:pPr>
            <w:r w:rsidRPr="002572F9">
              <w:rPr>
                <w:rFonts w:cs="Arial"/>
                <w:color w:val="000000"/>
                <w:sz w:val="20"/>
                <w:szCs w:val="20"/>
              </w:rPr>
              <w:t>Shorter lead times as can be an on-lending facility through relationship Fis and is more akin to existing lending instruments</w:t>
            </w:r>
          </w:p>
        </w:tc>
        <w:tc>
          <w:tcPr>
            <w:tcW w:w="2235" w:type="dxa"/>
            <w:shd w:val="clear" w:color="auto" w:fill="C5E0B3" w:themeFill="accent6" w:themeFillTint="66"/>
          </w:tcPr>
          <w:p w:rsidRPr="002572F9" w:rsidR="00F62435" w:rsidP="004E312E" w:rsidRDefault="00F62435" w14:paraId="6FD80690" w14:textId="4AC2B835">
            <w:pPr>
              <w:rPr>
                <w:rFonts w:cs="Arial"/>
                <w:sz w:val="20"/>
                <w:szCs w:val="20"/>
              </w:rPr>
            </w:pPr>
            <w:r w:rsidRPr="002572F9">
              <w:rPr>
                <w:rFonts w:cs="Arial"/>
                <w:color w:val="000000"/>
                <w:sz w:val="20"/>
                <w:szCs w:val="20"/>
              </w:rPr>
              <w:t xml:space="preserve">Helps support project developers / sponsors to "take risk" and manage costs / returns and can be set up more quickly using existing mechanisms </w:t>
            </w:r>
            <w:r w:rsidRPr="002572F9">
              <w:rPr>
                <w:rFonts w:cs="Arial"/>
                <w:color w:val="000000"/>
                <w:sz w:val="20"/>
                <w:szCs w:val="20"/>
              </w:rPr>
              <w:t>from Fis and their client base.</w:t>
            </w:r>
          </w:p>
        </w:tc>
      </w:tr>
      <w:tr w:rsidRPr="004E312E" w:rsidR="004E312E" w:rsidTr="002572F9" w14:paraId="460B1262" w14:textId="77777777">
        <w:tc>
          <w:tcPr>
            <w:tcW w:w="1517" w:type="dxa"/>
          </w:tcPr>
          <w:p w:rsidRPr="002572F9" w:rsidR="00F62435" w:rsidP="004E312E" w:rsidRDefault="00F62435" w14:paraId="6476026C" w14:textId="0F6C01DE">
            <w:pPr>
              <w:rPr>
                <w:rFonts w:cs="Arial"/>
                <w:sz w:val="20"/>
                <w:szCs w:val="20"/>
              </w:rPr>
            </w:pPr>
            <w:r w:rsidRPr="002572F9">
              <w:rPr>
                <w:rFonts w:cs="Arial"/>
                <w:b/>
                <w:bCs/>
                <w:color w:val="000000"/>
                <w:sz w:val="20"/>
                <w:szCs w:val="20"/>
              </w:rPr>
              <w:t>Guarantee Funds</w:t>
            </w:r>
          </w:p>
        </w:tc>
        <w:tc>
          <w:tcPr>
            <w:tcW w:w="3014" w:type="dxa"/>
          </w:tcPr>
          <w:p w:rsidRPr="002572F9" w:rsidR="00F62435" w:rsidP="004E312E" w:rsidRDefault="00F62435" w14:paraId="1E47D91B" w14:textId="2B219442">
            <w:pPr>
              <w:rPr>
                <w:rFonts w:cs="Arial"/>
                <w:sz w:val="20"/>
                <w:szCs w:val="20"/>
              </w:rPr>
            </w:pPr>
            <w:r w:rsidRPr="002572F9">
              <w:rPr>
                <w:rFonts w:cs="Arial"/>
                <w:color w:val="000000"/>
                <w:sz w:val="20"/>
                <w:szCs w:val="20"/>
              </w:rPr>
              <w:t xml:space="preserve">Foreign Exchange guarantee which then provides a guaranteed swap rate allowing currency devaluation risk to be managed by allowing a currency </w:t>
            </w:r>
            <w:proofErr w:type="spellStart"/>
            <w:r w:rsidRPr="002572F9">
              <w:rPr>
                <w:rFonts w:cs="Arial"/>
                <w:color w:val="000000"/>
                <w:sz w:val="20"/>
                <w:szCs w:val="20"/>
              </w:rPr>
              <w:t>trade</w:t>
            </w:r>
            <w:proofErr w:type="spellEnd"/>
            <w:r w:rsidRPr="002572F9">
              <w:rPr>
                <w:rFonts w:cs="Arial"/>
                <w:color w:val="000000"/>
                <w:sz w:val="20"/>
                <w:szCs w:val="20"/>
              </w:rPr>
              <w:t xml:space="preserve"> at a fixed market rate at the time of purchase.</w:t>
            </w:r>
          </w:p>
        </w:tc>
        <w:tc>
          <w:tcPr>
            <w:tcW w:w="2962" w:type="dxa"/>
          </w:tcPr>
          <w:p w:rsidRPr="002572F9" w:rsidR="00F62435" w:rsidP="004E312E" w:rsidRDefault="00F62435" w14:paraId="45609B8D" w14:textId="42417AFF">
            <w:pPr>
              <w:rPr>
                <w:rFonts w:cs="Arial"/>
                <w:sz w:val="20"/>
                <w:szCs w:val="20"/>
              </w:rPr>
            </w:pPr>
            <w:r w:rsidRPr="002572F9">
              <w:rPr>
                <w:rFonts w:cs="Arial"/>
                <w:color w:val="000000"/>
                <w:sz w:val="20"/>
                <w:szCs w:val="20"/>
              </w:rPr>
              <w:t>Reduces income risk to sponsors so may increase the amount of capital that a sponsor is willing to commit</w:t>
            </w:r>
          </w:p>
        </w:tc>
        <w:tc>
          <w:tcPr>
            <w:tcW w:w="2777" w:type="dxa"/>
            <w:shd w:val="clear" w:color="auto" w:fill="F7CAAC" w:themeFill="accent2" w:themeFillTint="66"/>
          </w:tcPr>
          <w:p w:rsidRPr="002572F9" w:rsidR="00F62435" w:rsidP="004E312E" w:rsidRDefault="0005351F" w14:paraId="263C59A6" w14:textId="7B8DC119">
            <w:pPr>
              <w:rPr>
                <w:rFonts w:cs="Arial"/>
                <w:sz w:val="20"/>
                <w:szCs w:val="20"/>
              </w:rPr>
            </w:pPr>
            <w:r>
              <w:rPr>
                <w:rFonts w:cs="Arial"/>
                <w:color w:val="000000"/>
                <w:sz w:val="20"/>
                <w:szCs w:val="20"/>
              </w:rPr>
              <w:t>T</w:t>
            </w:r>
            <w:r w:rsidRPr="002572F9" w:rsidR="00F62435">
              <w:rPr>
                <w:rFonts w:cs="Arial"/>
                <w:color w:val="000000"/>
                <w:sz w:val="20"/>
                <w:szCs w:val="20"/>
              </w:rPr>
              <w:t xml:space="preserve">end to be done through MIGA (part of the wider WBG) or other specialised vehicles like </w:t>
            </w:r>
            <w:proofErr w:type="spellStart"/>
            <w:r w:rsidRPr="002572F9" w:rsidR="00F62435">
              <w:rPr>
                <w:rFonts w:cs="Arial"/>
                <w:color w:val="000000"/>
                <w:sz w:val="20"/>
                <w:szCs w:val="20"/>
              </w:rPr>
              <w:t>GuarantCo</w:t>
            </w:r>
            <w:proofErr w:type="spellEnd"/>
            <w:r w:rsidRPr="002572F9" w:rsidR="00F62435">
              <w:rPr>
                <w:rFonts w:cs="Arial"/>
                <w:color w:val="000000"/>
                <w:sz w:val="20"/>
                <w:szCs w:val="20"/>
              </w:rPr>
              <w:t>.</w:t>
            </w:r>
          </w:p>
        </w:tc>
        <w:tc>
          <w:tcPr>
            <w:tcW w:w="2374" w:type="dxa"/>
            <w:shd w:val="clear" w:color="auto" w:fill="FFF2CC" w:themeFill="accent4" w:themeFillTint="33"/>
          </w:tcPr>
          <w:p w:rsidRPr="002572F9" w:rsidR="00F62435" w:rsidP="004E312E" w:rsidRDefault="00F62435" w14:paraId="7447FE95" w14:textId="65186C5D">
            <w:pPr>
              <w:rPr>
                <w:rFonts w:cs="Arial"/>
                <w:sz w:val="20"/>
                <w:szCs w:val="20"/>
              </w:rPr>
            </w:pPr>
            <w:r w:rsidRPr="002572F9">
              <w:rPr>
                <w:rFonts w:cs="Arial"/>
                <w:color w:val="000000"/>
                <w:sz w:val="20"/>
                <w:szCs w:val="20"/>
              </w:rPr>
              <w:t xml:space="preserve">Medium lead time and probably best done through specific guarantee funds such as </w:t>
            </w:r>
            <w:proofErr w:type="spellStart"/>
            <w:r w:rsidRPr="002572F9">
              <w:rPr>
                <w:rFonts w:cs="Arial"/>
                <w:color w:val="000000"/>
                <w:sz w:val="20"/>
                <w:szCs w:val="20"/>
              </w:rPr>
              <w:t>GuarantCo</w:t>
            </w:r>
            <w:proofErr w:type="spellEnd"/>
            <w:r w:rsidRPr="002572F9">
              <w:rPr>
                <w:rFonts w:cs="Arial"/>
                <w:color w:val="000000"/>
                <w:sz w:val="20"/>
                <w:szCs w:val="20"/>
              </w:rPr>
              <w:t xml:space="preserve"> (part of PIDG in which FCDO is already a significant investor)</w:t>
            </w:r>
          </w:p>
        </w:tc>
        <w:tc>
          <w:tcPr>
            <w:tcW w:w="2235" w:type="dxa"/>
            <w:shd w:val="clear" w:color="auto" w:fill="C5E0B3" w:themeFill="accent6" w:themeFillTint="66"/>
          </w:tcPr>
          <w:p w:rsidRPr="002572F9" w:rsidR="00F62435" w:rsidP="004E312E" w:rsidRDefault="00F62435" w14:paraId="08FE8CB3" w14:textId="750222EB">
            <w:pPr>
              <w:rPr>
                <w:rFonts w:cs="Arial"/>
                <w:sz w:val="20"/>
                <w:szCs w:val="20"/>
              </w:rPr>
            </w:pPr>
            <w:r w:rsidRPr="002572F9">
              <w:rPr>
                <w:rFonts w:cs="Arial"/>
                <w:color w:val="000000"/>
                <w:sz w:val="20"/>
                <w:szCs w:val="20"/>
              </w:rPr>
              <w:t>Helps support key project costs directly and removes risk from one aspect of the cost structure.  Fairly quick to establish (if using an existing fund</w:t>
            </w:r>
            <w:proofErr w:type="gramStart"/>
            <w:r w:rsidRPr="002572F9">
              <w:rPr>
                <w:rFonts w:cs="Arial"/>
                <w:color w:val="000000"/>
                <w:sz w:val="20"/>
                <w:szCs w:val="20"/>
              </w:rPr>
              <w:t>), but</w:t>
            </w:r>
            <w:proofErr w:type="gramEnd"/>
            <w:r w:rsidRPr="002572F9">
              <w:rPr>
                <w:rFonts w:cs="Arial"/>
                <w:color w:val="000000"/>
                <w:sz w:val="20"/>
                <w:szCs w:val="20"/>
              </w:rPr>
              <w:t xml:space="preserve"> limited in scope.</w:t>
            </w:r>
          </w:p>
        </w:tc>
      </w:tr>
      <w:tr w:rsidRPr="004E312E" w:rsidR="004E312E" w:rsidTr="002572F9" w14:paraId="6A3249A1" w14:textId="77777777">
        <w:tc>
          <w:tcPr>
            <w:tcW w:w="1517" w:type="dxa"/>
          </w:tcPr>
          <w:p w:rsidRPr="002572F9" w:rsidR="00F62435" w:rsidP="004E312E" w:rsidRDefault="00F62435" w14:paraId="03326456" w14:textId="07477449">
            <w:pPr>
              <w:rPr>
                <w:rFonts w:cs="Arial"/>
                <w:sz w:val="20"/>
                <w:szCs w:val="20"/>
              </w:rPr>
            </w:pPr>
            <w:r w:rsidRPr="002572F9">
              <w:rPr>
                <w:rFonts w:cs="Arial"/>
                <w:b/>
                <w:bCs/>
                <w:color w:val="000000"/>
                <w:sz w:val="20"/>
                <w:szCs w:val="20"/>
              </w:rPr>
              <w:t>First Loss Facility for Lenders</w:t>
            </w:r>
          </w:p>
        </w:tc>
        <w:tc>
          <w:tcPr>
            <w:tcW w:w="3014" w:type="dxa"/>
          </w:tcPr>
          <w:p w:rsidRPr="002572F9" w:rsidR="00F62435" w:rsidP="004E312E" w:rsidRDefault="00F62435" w14:paraId="3F3FF210" w14:textId="6E028A3A">
            <w:pPr>
              <w:rPr>
                <w:rFonts w:cs="Arial"/>
                <w:sz w:val="20"/>
                <w:szCs w:val="20"/>
              </w:rPr>
            </w:pPr>
            <w:r w:rsidRPr="002572F9">
              <w:rPr>
                <w:rFonts w:cs="Arial"/>
                <w:color w:val="000000"/>
                <w:sz w:val="20"/>
                <w:szCs w:val="20"/>
              </w:rPr>
              <w:t>Potential for a rental / sales guarantee setting a floor for the purchase / rental value of each unit mitigating revenue risk to lenders.  Facility only used where purchase / rental value is less than planned</w:t>
            </w:r>
          </w:p>
        </w:tc>
        <w:tc>
          <w:tcPr>
            <w:tcW w:w="2962" w:type="dxa"/>
          </w:tcPr>
          <w:p w:rsidRPr="002572F9" w:rsidR="00F62435" w:rsidP="004E312E" w:rsidRDefault="00F62435" w14:paraId="133619D9" w14:textId="727DD2D2">
            <w:pPr>
              <w:rPr>
                <w:rFonts w:cs="Arial"/>
                <w:sz w:val="20"/>
                <w:szCs w:val="20"/>
              </w:rPr>
            </w:pPr>
            <w:r w:rsidRPr="002572F9">
              <w:rPr>
                <w:rFonts w:cs="Arial"/>
                <w:color w:val="000000"/>
                <w:sz w:val="20"/>
                <w:szCs w:val="20"/>
              </w:rPr>
              <w:t>Reduces income risk to sponsors so may increase the amount of capital that a sponsor is willing to commit</w:t>
            </w:r>
          </w:p>
        </w:tc>
        <w:tc>
          <w:tcPr>
            <w:tcW w:w="2777" w:type="dxa"/>
            <w:shd w:val="clear" w:color="auto" w:fill="F7CAAC" w:themeFill="accent2" w:themeFillTint="66"/>
          </w:tcPr>
          <w:p w:rsidRPr="002572F9" w:rsidR="00F62435" w:rsidP="004E312E" w:rsidRDefault="0005351F" w14:paraId="1D8A4FA2" w14:textId="2AE1449F">
            <w:pPr>
              <w:rPr>
                <w:rFonts w:cs="Arial"/>
                <w:sz w:val="20"/>
                <w:szCs w:val="20"/>
              </w:rPr>
            </w:pPr>
            <w:r>
              <w:rPr>
                <w:rFonts w:cs="Arial"/>
                <w:color w:val="000000"/>
                <w:sz w:val="20"/>
                <w:szCs w:val="20"/>
              </w:rPr>
              <w:t>P</w:t>
            </w:r>
            <w:r w:rsidRPr="002572F9" w:rsidR="00F62435">
              <w:rPr>
                <w:rFonts w:cs="Arial"/>
                <w:color w:val="000000"/>
                <w:sz w:val="20"/>
                <w:szCs w:val="20"/>
              </w:rPr>
              <w:t>otential for IFC to provide these is more limited as these are effectively guarantees which would not achieve a commercial return.</w:t>
            </w:r>
          </w:p>
        </w:tc>
        <w:tc>
          <w:tcPr>
            <w:tcW w:w="2374" w:type="dxa"/>
            <w:shd w:val="clear" w:color="auto" w:fill="C5E0B3" w:themeFill="accent6" w:themeFillTint="66"/>
          </w:tcPr>
          <w:p w:rsidRPr="002572F9" w:rsidR="00F62435" w:rsidP="004E312E" w:rsidRDefault="00F62435" w14:paraId="5E1DBD5C" w14:textId="600DB6F3">
            <w:pPr>
              <w:rPr>
                <w:rFonts w:cs="Arial"/>
                <w:sz w:val="20"/>
                <w:szCs w:val="20"/>
              </w:rPr>
            </w:pPr>
            <w:r w:rsidRPr="002572F9">
              <w:rPr>
                <w:rFonts w:cs="Arial"/>
                <w:color w:val="000000"/>
                <w:sz w:val="20"/>
                <w:szCs w:val="20"/>
              </w:rPr>
              <w:t>Shorter lead times as can be an on-lending facility through relationship Fis and is more akin to existing lending instruments</w:t>
            </w:r>
          </w:p>
        </w:tc>
        <w:tc>
          <w:tcPr>
            <w:tcW w:w="2235" w:type="dxa"/>
            <w:shd w:val="clear" w:color="auto" w:fill="FFF2CC" w:themeFill="accent4" w:themeFillTint="33"/>
          </w:tcPr>
          <w:p w:rsidRPr="002572F9" w:rsidR="00F62435" w:rsidP="004E312E" w:rsidRDefault="00F62435" w14:paraId="35F66583" w14:textId="09308171">
            <w:pPr>
              <w:rPr>
                <w:rFonts w:cs="Arial"/>
                <w:sz w:val="20"/>
                <w:szCs w:val="20"/>
              </w:rPr>
            </w:pPr>
            <w:r w:rsidRPr="002572F9">
              <w:rPr>
                <w:rFonts w:cs="Arial"/>
                <w:color w:val="000000"/>
                <w:sz w:val="20"/>
                <w:szCs w:val="20"/>
              </w:rPr>
              <w:t>Helps to mitigate key revenue risks, and is relatively quick to establish, but has the potential to be abused by banks</w:t>
            </w:r>
          </w:p>
        </w:tc>
      </w:tr>
    </w:tbl>
    <w:p w:rsidR="00F62435" w:rsidP="00F62435" w:rsidRDefault="00F62435" w14:paraId="46C9D21C" w14:textId="77777777"/>
    <w:p w:rsidRPr="00E13638" w:rsidR="0005351F" w:rsidP="00F62435" w:rsidRDefault="006F5E42" w14:paraId="1E5D2B5A" w14:textId="21993177">
      <w:pPr>
        <w:rPr>
          <w:b/>
          <w:bCs/>
        </w:rPr>
      </w:pPr>
      <w:r>
        <w:rPr>
          <w:b/>
          <w:bCs/>
        </w:rPr>
        <w:t>Table 20. Analysis of financial instruments against market failures</w:t>
      </w:r>
    </w:p>
    <w:tbl>
      <w:tblPr>
        <w:tblStyle w:val="TableGrid"/>
        <w:tblW w:w="14879" w:type="dxa"/>
        <w:tblLook w:val="04A0" w:firstRow="1" w:lastRow="0" w:firstColumn="1" w:lastColumn="0" w:noHBand="0" w:noVBand="1"/>
      </w:tblPr>
      <w:tblGrid>
        <w:gridCol w:w="2518"/>
        <w:gridCol w:w="2010"/>
        <w:gridCol w:w="1999"/>
        <w:gridCol w:w="2010"/>
        <w:gridCol w:w="1981"/>
        <w:gridCol w:w="1998"/>
        <w:gridCol w:w="2363"/>
      </w:tblGrid>
      <w:tr w:rsidRPr="004E312E" w:rsidR="00F62435" w:rsidTr="002572F9" w14:paraId="61A6510C" w14:textId="77777777">
        <w:trPr>
          <w:tblHeader/>
        </w:trPr>
        <w:tc>
          <w:tcPr>
            <w:tcW w:w="2518" w:type="dxa"/>
          </w:tcPr>
          <w:p w:rsidRPr="002572F9" w:rsidR="00F62435" w:rsidP="004E312E" w:rsidRDefault="00F62435" w14:paraId="4130E8D2" w14:textId="347BDE12">
            <w:pPr>
              <w:rPr>
                <w:rFonts w:cs="Arial"/>
                <w:b/>
                <w:bCs/>
                <w:i/>
                <w:iCs/>
                <w:sz w:val="20"/>
                <w:szCs w:val="20"/>
              </w:rPr>
            </w:pPr>
            <w:r w:rsidRPr="002572F9">
              <w:rPr>
                <w:rFonts w:cs="Arial"/>
                <w:b/>
                <w:bCs/>
                <w:i/>
                <w:iCs/>
                <w:sz w:val="20"/>
                <w:szCs w:val="20"/>
              </w:rPr>
              <w:t>Instrument</w:t>
            </w:r>
          </w:p>
        </w:tc>
        <w:tc>
          <w:tcPr>
            <w:tcW w:w="2010" w:type="dxa"/>
          </w:tcPr>
          <w:p w:rsidRPr="002572F9" w:rsidR="00F62435" w:rsidP="004E312E" w:rsidRDefault="00F62435" w14:paraId="0C6087A9" w14:textId="6DB9FBAE">
            <w:pPr>
              <w:spacing w:after="0" w:line="240" w:lineRule="auto"/>
              <w:rPr>
                <w:rFonts w:cs="Arial"/>
                <w:b/>
                <w:bCs/>
                <w:color w:val="000000"/>
                <w:sz w:val="20"/>
                <w:szCs w:val="20"/>
              </w:rPr>
            </w:pPr>
            <w:r w:rsidRPr="002572F9">
              <w:rPr>
                <w:rFonts w:cs="Arial"/>
                <w:b/>
                <w:bCs/>
                <w:color w:val="000000"/>
                <w:sz w:val="20"/>
                <w:szCs w:val="20"/>
              </w:rPr>
              <w:t>Concessional Equity</w:t>
            </w:r>
          </w:p>
        </w:tc>
        <w:tc>
          <w:tcPr>
            <w:tcW w:w="1999" w:type="dxa"/>
          </w:tcPr>
          <w:p w:rsidRPr="002572F9" w:rsidR="00F62435" w:rsidP="004E312E" w:rsidRDefault="00F62435" w14:paraId="6E412593" w14:textId="505722D0">
            <w:pPr>
              <w:spacing w:after="0" w:line="240" w:lineRule="auto"/>
              <w:rPr>
                <w:rFonts w:cs="Arial"/>
                <w:b/>
                <w:bCs/>
                <w:color w:val="000000"/>
                <w:sz w:val="20"/>
                <w:szCs w:val="20"/>
              </w:rPr>
            </w:pPr>
            <w:r w:rsidRPr="002572F9">
              <w:rPr>
                <w:rFonts w:cs="Arial"/>
                <w:b/>
                <w:bCs/>
                <w:color w:val="000000"/>
                <w:sz w:val="20"/>
                <w:szCs w:val="20"/>
              </w:rPr>
              <w:t>Returnable Grants</w:t>
            </w:r>
          </w:p>
        </w:tc>
        <w:tc>
          <w:tcPr>
            <w:tcW w:w="2010" w:type="dxa"/>
          </w:tcPr>
          <w:p w:rsidRPr="002572F9" w:rsidR="00F62435" w:rsidP="004E312E" w:rsidRDefault="00F62435" w14:paraId="544B67AC" w14:textId="6E2E0662">
            <w:pPr>
              <w:spacing w:after="0" w:line="240" w:lineRule="auto"/>
              <w:rPr>
                <w:rFonts w:cs="Arial"/>
                <w:b/>
                <w:bCs/>
                <w:color w:val="000000"/>
                <w:sz w:val="20"/>
                <w:szCs w:val="20"/>
              </w:rPr>
            </w:pPr>
            <w:r w:rsidRPr="002572F9">
              <w:rPr>
                <w:rFonts w:cs="Arial"/>
                <w:b/>
                <w:bCs/>
                <w:color w:val="000000"/>
                <w:sz w:val="20"/>
                <w:szCs w:val="20"/>
              </w:rPr>
              <w:t>Concessional Debt</w:t>
            </w:r>
          </w:p>
        </w:tc>
        <w:tc>
          <w:tcPr>
            <w:tcW w:w="1981" w:type="dxa"/>
          </w:tcPr>
          <w:p w:rsidRPr="002572F9" w:rsidR="00F62435" w:rsidP="004E312E" w:rsidRDefault="00FE4AC9" w14:paraId="6BD50148" w14:textId="2E02F6F0">
            <w:pPr>
              <w:spacing w:after="0" w:line="240" w:lineRule="auto"/>
              <w:rPr>
                <w:rFonts w:cs="Arial"/>
                <w:b/>
                <w:bCs/>
                <w:color w:val="000000"/>
                <w:sz w:val="20"/>
                <w:szCs w:val="20"/>
              </w:rPr>
            </w:pPr>
            <w:r w:rsidRPr="002572F9">
              <w:rPr>
                <w:rFonts w:cs="Arial"/>
                <w:b/>
                <w:bCs/>
                <w:color w:val="000000"/>
                <w:sz w:val="20"/>
                <w:szCs w:val="20"/>
              </w:rPr>
              <w:t>Working Capital Facility</w:t>
            </w:r>
          </w:p>
        </w:tc>
        <w:tc>
          <w:tcPr>
            <w:tcW w:w="1998" w:type="dxa"/>
          </w:tcPr>
          <w:p w:rsidRPr="002572F9" w:rsidR="00F62435" w:rsidP="004E312E" w:rsidRDefault="00FE4AC9" w14:paraId="659F1227" w14:textId="49A0BDC4">
            <w:pPr>
              <w:spacing w:after="0" w:line="240" w:lineRule="auto"/>
              <w:rPr>
                <w:rFonts w:cs="Arial"/>
                <w:b/>
                <w:bCs/>
                <w:color w:val="000000"/>
                <w:sz w:val="20"/>
                <w:szCs w:val="20"/>
              </w:rPr>
            </w:pPr>
            <w:r w:rsidRPr="002572F9">
              <w:rPr>
                <w:rFonts w:cs="Arial"/>
                <w:b/>
                <w:bCs/>
                <w:color w:val="000000"/>
                <w:sz w:val="20"/>
                <w:szCs w:val="20"/>
              </w:rPr>
              <w:t>Guarantee Funds</w:t>
            </w:r>
          </w:p>
        </w:tc>
        <w:tc>
          <w:tcPr>
            <w:tcW w:w="2363" w:type="dxa"/>
          </w:tcPr>
          <w:p w:rsidRPr="002572F9" w:rsidR="00F62435" w:rsidP="004E312E" w:rsidRDefault="00FE4AC9" w14:paraId="22884AB2" w14:textId="33F24E66">
            <w:pPr>
              <w:spacing w:after="0" w:line="240" w:lineRule="auto"/>
              <w:rPr>
                <w:rFonts w:cs="Arial"/>
                <w:b/>
                <w:bCs/>
                <w:color w:val="000000"/>
                <w:sz w:val="20"/>
                <w:szCs w:val="20"/>
              </w:rPr>
            </w:pPr>
            <w:r w:rsidRPr="002572F9">
              <w:rPr>
                <w:rFonts w:cs="Arial"/>
                <w:b/>
                <w:bCs/>
                <w:color w:val="000000"/>
                <w:sz w:val="20"/>
                <w:szCs w:val="20"/>
              </w:rPr>
              <w:t>First Loss Facility for Lenders</w:t>
            </w:r>
          </w:p>
        </w:tc>
      </w:tr>
      <w:tr w:rsidRPr="004E312E" w:rsidR="00F62435" w:rsidTr="002572F9" w14:paraId="5C2480C3" w14:textId="77777777">
        <w:tc>
          <w:tcPr>
            <w:tcW w:w="14879" w:type="dxa"/>
            <w:gridSpan w:val="7"/>
          </w:tcPr>
          <w:p w:rsidRPr="002572F9" w:rsidR="00F62435" w:rsidP="004E312E" w:rsidRDefault="004E312E" w14:paraId="57BF2CBF" w14:textId="02091450">
            <w:pPr>
              <w:rPr>
                <w:rFonts w:cs="Arial"/>
                <w:b/>
                <w:bCs/>
                <w:i/>
                <w:iCs/>
                <w:sz w:val="20"/>
                <w:szCs w:val="20"/>
              </w:rPr>
            </w:pPr>
            <w:r w:rsidRPr="002572F9">
              <w:rPr>
                <w:rFonts w:cs="Arial"/>
                <w:b/>
                <w:bCs/>
                <w:i/>
                <w:iCs/>
                <w:sz w:val="20"/>
                <w:szCs w:val="20"/>
              </w:rPr>
              <w:t>Does it address the following market failures?</w:t>
            </w:r>
          </w:p>
        </w:tc>
      </w:tr>
      <w:tr w:rsidRPr="004E312E" w:rsidR="004E312E" w:rsidTr="002572F9" w14:paraId="6A235ED5" w14:textId="77777777">
        <w:tc>
          <w:tcPr>
            <w:tcW w:w="2518" w:type="dxa"/>
          </w:tcPr>
          <w:p w:rsidRPr="002572F9" w:rsidR="00FE4AC9" w:rsidP="002572F9" w:rsidRDefault="00FE4AC9" w14:paraId="44803704" w14:textId="02C9B39F">
            <w:pPr>
              <w:spacing w:after="0" w:line="240" w:lineRule="auto"/>
              <w:rPr>
                <w:rFonts w:cs="Arial"/>
                <w:b/>
                <w:bCs/>
                <w:sz w:val="20"/>
                <w:szCs w:val="20"/>
              </w:rPr>
            </w:pPr>
            <w:r w:rsidRPr="002572F9">
              <w:rPr>
                <w:rFonts w:cs="Arial"/>
                <w:b/>
                <w:bCs/>
                <w:sz w:val="20"/>
                <w:szCs w:val="20"/>
              </w:rPr>
              <w:t xml:space="preserve">Higher </w:t>
            </w:r>
            <w:r w:rsidR="004E312E">
              <w:rPr>
                <w:rFonts w:cs="Arial"/>
                <w:b/>
                <w:bCs/>
                <w:sz w:val="20"/>
                <w:szCs w:val="20"/>
              </w:rPr>
              <w:t>c</w:t>
            </w:r>
            <w:r w:rsidRPr="002572F9" w:rsidR="004E312E">
              <w:rPr>
                <w:rFonts w:cs="Arial"/>
                <w:b/>
                <w:bCs/>
                <w:sz w:val="20"/>
                <w:szCs w:val="20"/>
              </w:rPr>
              <w:t xml:space="preserve">ost </w:t>
            </w:r>
            <w:r w:rsidRPr="002572F9">
              <w:rPr>
                <w:rFonts w:cs="Arial"/>
                <w:b/>
                <w:bCs/>
                <w:sz w:val="20"/>
                <w:szCs w:val="20"/>
              </w:rPr>
              <w:t xml:space="preserve">of </w:t>
            </w:r>
            <w:r w:rsidR="004E312E">
              <w:rPr>
                <w:rFonts w:cs="Arial"/>
                <w:b/>
                <w:bCs/>
                <w:sz w:val="20"/>
                <w:szCs w:val="20"/>
              </w:rPr>
              <w:t>c</w:t>
            </w:r>
            <w:r w:rsidRPr="002572F9" w:rsidR="004E312E">
              <w:rPr>
                <w:rFonts w:cs="Arial"/>
                <w:b/>
                <w:bCs/>
                <w:sz w:val="20"/>
                <w:szCs w:val="20"/>
              </w:rPr>
              <w:t xml:space="preserve">ompliance </w:t>
            </w:r>
            <w:r w:rsidRPr="002572F9">
              <w:rPr>
                <w:rFonts w:cs="Arial"/>
                <w:b/>
                <w:bCs/>
                <w:sz w:val="20"/>
                <w:szCs w:val="20"/>
              </w:rPr>
              <w:t xml:space="preserve">and </w:t>
            </w:r>
            <w:r w:rsidR="004E312E">
              <w:rPr>
                <w:rFonts w:cs="Arial"/>
                <w:b/>
                <w:bCs/>
                <w:sz w:val="20"/>
                <w:szCs w:val="20"/>
              </w:rPr>
              <w:t>c</w:t>
            </w:r>
            <w:r w:rsidRPr="002572F9" w:rsidR="004E312E">
              <w:rPr>
                <w:rFonts w:cs="Arial"/>
                <w:b/>
                <w:bCs/>
                <w:sz w:val="20"/>
                <w:szCs w:val="20"/>
              </w:rPr>
              <w:t>ertification</w:t>
            </w:r>
          </w:p>
        </w:tc>
        <w:tc>
          <w:tcPr>
            <w:tcW w:w="2010" w:type="dxa"/>
            <w:shd w:val="clear" w:color="auto" w:fill="C5E0B3" w:themeFill="accent6" w:themeFillTint="66"/>
          </w:tcPr>
          <w:p w:rsidRPr="002572F9" w:rsidR="00FE4AC9" w:rsidP="002572F9" w:rsidRDefault="004E312E" w14:paraId="05CB5F63" w14:textId="43EDDBEA">
            <w:pPr>
              <w:spacing w:after="0" w:line="240" w:lineRule="auto"/>
              <w:rPr>
                <w:rFonts w:cs="Arial"/>
                <w:sz w:val="20"/>
                <w:szCs w:val="20"/>
              </w:rPr>
            </w:pPr>
            <w:r w:rsidRPr="002572F9">
              <w:rPr>
                <w:rFonts w:cs="Arial"/>
                <w:color w:val="000000"/>
                <w:sz w:val="20"/>
                <w:szCs w:val="20"/>
              </w:rPr>
              <w:t>Yes,</w:t>
            </w:r>
            <w:r w:rsidRPr="002572F9" w:rsidR="00FE4AC9">
              <w:rPr>
                <w:rFonts w:cs="Arial"/>
                <w:color w:val="000000"/>
                <w:sz w:val="20"/>
                <w:szCs w:val="20"/>
              </w:rPr>
              <w:t xml:space="preserve"> lower cost of capital can be used to absorb increased costs</w:t>
            </w:r>
            <w:r w:rsidRPr="002572F9">
              <w:rPr>
                <w:rFonts w:cs="Arial"/>
                <w:sz w:val="20"/>
                <w:szCs w:val="20"/>
              </w:rPr>
              <w:t>.</w:t>
            </w:r>
          </w:p>
        </w:tc>
        <w:tc>
          <w:tcPr>
            <w:tcW w:w="1999" w:type="dxa"/>
            <w:shd w:val="clear" w:color="auto" w:fill="C5E0B3" w:themeFill="accent6" w:themeFillTint="66"/>
          </w:tcPr>
          <w:p w:rsidRPr="002572F9" w:rsidR="00FE4AC9" w:rsidP="002572F9" w:rsidRDefault="004E312E" w14:paraId="6616FEA7" w14:textId="3CF5C926">
            <w:pPr>
              <w:spacing w:after="0" w:line="240" w:lineRule="auto"/>
              <w:rPr>
                <w:rFonts w:cs="Arial"/>
                <w:sz w:val="20"/>
                <w:szCs w:val="20"/>
              </w:rPr>
            </w:pPr>
            <w:r w:rsidRPr="002572F9">
              <w:rPr>
                <w:rFonts w:cs="Arial"/>
                <w:color w:val="000000"/>
                <w:sz w:val="20"/>
                <w:szCs w:val="20"/>
              </w:rPr>
              <w:t>Yes,</w:t>
            </w:r>
            <w:r w:rsidRPr="002572F9" w:rsidR="00FE4AC9">
              <w:rPr>
                <w:rFonts w:cs="Arial"/>
                <w:color w:val="000000"/>
                <w:sz w:val="20"/>
                <w:szCs w:val="20"/>
              </w:rPr>
              <w:t xml:space="preserve"> lower cost of capital can be used to absorb increased costs</w:t>
            </w:r>
            <w:r w:rsidRPr="002572F9">
              <w:rPr>
                <w:rFonts w:cs="Arial"/>
                <w:sz w:val="20"/>
                <w:szCs w:val="20"/>
              </w:rPr>
              <w:t>.</w:t>
            </w:r>
          </w:p>
        </w:tc>
        <w:tc>
          <w:tcPr>
            <w:tcW w:w="2010" w:type="dxa"/>
            <w:shd w:val="clear" w:color="auto" w:fill="FFF2CC" w:themeFill="accent4" w:themeFillTint="33"/>
          </w:tcPr>
          <w:p w:rsidRPr="002572F9" w:rsidR="00FE4AC9" w:rsidP="002572F9" w:rsidRDefault="00FE4AC9" w14:paraId="1B343485" w14:textId="7AAA5E32">
            <w:pPr>
              <w:spacing w:after="0" w:line="240" w:lineRule="auto"/>
              <w:rPr>
                <w:rFonts w:cs="Arial"/>
                <w:sz w:val="20"/>
                <w:szCs w:val="20"/>
              </w:rPr>
            </w:pPr>
            <w:r w:rsidRPr="002572F9">
              <w:rPr>
                <w:rFonts w:cs="Arial"/>
                <w:color w:val="000000"/>
                <w:sz w:val="20"/>
                <w:szCs w:val="20"/>
              </w:rPr>
              <w:t>Partially, but other instruments are better</w:t>
            </w:r>
            <w:r w:rsidRPr="002572F9" w:rsidR="004E312E">
              <w:rPr>
                <w:rFonts w:cs="Arial"/>
                <w:sz w:val="20"/>
                <w:szCs w:val="20"/>
              </w:rPr>
              <w:t>.</w:t>
            </w:r>
          </w:p>
        </w:tc>
        <w:tc>
          <w:tcPr>
            <w:tcW w:w="1981" w:type="dxa"/>
            <w:shd w:val="clear" w:color="auto" w:fill="FFF2CC" w:themeFill="accent4" w:themeFillTint="33"/>
          </w:tcPr>
          <w:p w:rsidRPr="002572F9" w:rsidR="00FE4AC9" w:rsidP="002572F9" w:rsidRDefault="00FE4AC9" w14:paraId="3CCFA2B7" w14:textId="3633B2D8">
            <w:pPr>
              <w:spacing w:after="0" w:line="240" w:lineRule="auto"/>
              <w:rPr>
                <w:rFonts w:cs="Arial"/>
                <w:sz w:val="20"/>
                <w:szCs w:val="20"/>
              </w:rPr>
            </w:pPr>
            <w:r w:rsidRPr="002572F9">
              <w:rPr>
                <w:rFonts w:cs="Arial"/>
                <w:color w:val="000000"/>
                <w:sz w:val="20"/>
                <w:szCs w:val="20"/>
              </w:rPr>
              <w:t>Partially, but other instruments are better</w:t>
            </w:r>
            <w:r w:rsidRPr="002572F9" w:rsidR="004E312E">
              <w:rPr>
                <w:rFonts w:cs="Arial"/>
                <w:sz w:val="20"/>
                <w:szCs w:val="20"/>
              </w:rPr>
              <w:t>.</w:t>
            </w:r>
          </w:p>
        </w:tc>
        <w:tc>
          <w:tcPr>
            <w:tcW w:w="1998" w:type="dxa"/>
            <w:shd w:val="clear" w:color="auto" w:fill="FFF2CC" w:themeFill="accent4" w:themeFillTint="33"/>
          </w:tcPr>
          <w:p w:rsidRPr="002572F9" w:rsidR="00FE4AC9" w:rsidP="002572F9" w:rsidRDefault="00FE4AC9" w14:paraId="04A21C81" w14:textId="35D71964">
            <w:pPr>
              <w:spacing w:after="0" w:line="240" w:lineRule="auto"/>
              <w:rPr>
                <w:rFonts w:cs="Arial"/>
                <w:sz w:val="20"/>
                <w:szCs w:val="20"/>
              </w:rPr>
            </w:pPr>
            <w:r w:rsidRPr="002572F9">
              <w:rPr>
                <w:rFonts w:cs="Arial"/>
                <w:color w:val="000000"/>
                <w:sz w:val="20"/>
                <w:szCs w:val="20"/>
              </w:rPr>
              <w:t>Partially, but other instruments are better</w:t>
            </w:r>
            <w:r w:rsidRPr="002572F9" w:rsidR="004E312E">
              <w:rPr>
                <w:rFonts w:cs="Arial"/>
                <w:sz w:val="20"/>
                <w:szCs w:val="20"/>
              </w:rPr>
              <w:t>.</w:t>
            </w:r>
          </w:p>
        </w:tc>
        <w:tc>
          <w:tcPr>
            <w:tcW w:w="2363" w:type="dxa"/>
            <w:shd w:val="clear" w:color="auto" w:fill="F7CAAC" w:themeFill="accent2" w:themeFillTint="66"/>
          </w:tcPr>
          <w:p w:rsidRPr="002572F9" w:rsidR="00FE4AC9" w:rsidP="004E312E" w:rsidRDefault="004E312E" w14:paraId="5A2C220E" w14:textId="50EC9B0D">
            <w:pPr>
              <w:rPr>
                <w:rFonts w:cs="Arial"/>
                <w:sz w:val="20"/>
                <w:szCs w:val="20"/>
              </w:rPr>
            </w:pPr>
            <w:r w:rsidRPr="002572F9">
              <w:rPr>
                <w:rFonts w:cs="Arial"/>
                <w:color w:val="000000"/>
                <w:sz w:val="20"/>
                <w:szCs w:val="20"/>
              </w:rPr>
              <w:t>No</w:t>
            </w:r>
          </w:p>
        </w:tc>
      </w:tr>
      <w:tr w:rsidRPr="004E312E" w:rsidR="004E312E" w:rsidTr="002572F9" w14:paraId="158C110D" w14:textId="77777777">
        <w:tc>
          <w:tcPr>
            <w:tcW w:w="2518" w:type="dxa"/>
          </w:tcPr>
          <w:p w:rsidRPr="002572F9" w:rsidR="00FE4AC9" w:rsidP="002572F9" w:rsidRDefault="00FE4AC9" w14:paraId="69F9F2DC" w14:textId="17C6B678">
            <w:pPr>
              <w:spacing w:after="0" w:line="240" w:lineRule="auto"/>
              <w:rPr>
                <w:rFonts w:cs="Arial"/>
                <w:b/>
                <w:bCs/>
                <w:sz w:val="20"/>
                <w:szCs w:val="20"/>
              </w:rPr>
            </w:pPr>
            <w:r w:rsidRPr="002572F9">
              <w:rPr>
                <w:rFonts w:cs="Arial"/>
                <w:b/>
                <w:bCs/>
                <w:sz w:val="20"/>
                <w:szCs w:val="20"/>
              </w:rPr>
              <w:t xml:space="preserve">Longer </w:t>
            </w:r>
            <w:r w:rsidR="004E312E">
              <w:rPr>
                <w:rFonts w:cs="Arial"/>
                <w:b/>
                <w:bCs/>
                <w:sz w:val="20"/>
                <w:szCs w:val="20"/>
              </w:rPr>
              <w:t>d</w:t>
            </w:r>
            <w:r w:rsidRPr="002572F9" w:rsidR="004E312E">
              <w:rPr>
                <w:rFonts w:cs="Arial"/>
                <w:b/>
                <w:bCs/>
                <w:sz w:val="20"/>
                <w:szCs w:val="20"/>
              </w:rPr>
              <w:t xml:space="preserve">esign </w:t>
            </w:r>
            <w:r w:rsidRPr="002572F9">
              <w:rPr>
                <w:rFonts w:cs="Arial"/>
                <w:b/>
                <w:bCs/>
                <w:sz w:val="20"/>
                <w:szCs w:val="20"/>
              </w:rPr>
              <w:t xml:space="preserve">&amp; </w:t>
            </w:r>
            <w:r w:rsidR="004E312E">
              <w:rPr>
                <w:rFonts w:cs="Arial"/>
                <w:b/>
                <w:bCs/>
                <w:sz w:val="20"/>
                <w:szCs w:val="20"/>
              </w:rPr>
              <w:t>d</w:t>
            </w:r>
            <w:r w:rsidRPr="002572F9">
              <w:rPr>
                <w:rFonts w:cs="Arial"/>
                <w:b/>
                <w:bCs/>
                <w:sz w:val="20"/>
                <w:szCs w:val="20"/>
              </w:rPr>
              <w:t xml:space="preserve">evelopment </w:t>
            </w:r>
            <w:r w:rsidR="004E312E">
              <w:rPr>
                <w:rFonts w:cs="Arial"/>
                <w:b/>
                <w:bCs/>
                <w:sz w:val="20"/>
                <w:szCs w:val="20"/>
              </w:rPr>
              <w:t>t</w:t>
            </w:r>
            <w:r w:rsidRPr="002572F9" w:rsidR="004E312E">
              <w:rPr>
                <w:rFonts w:cs="Arial"/>
                <w:b/>
                <w:bCs/>
                <w:sz w:val="20"/>
                <w:szCs w:val="20"/>
              </w:rPr>
              <w:t>imes</w:t>
            </w:r>
          </w:p>
        </w:tc>
        <w:tc>
          <w:tcPr>
            <w:tcW w:w="2010" w:type="dxa"/>
            <w:shd w:val="clear" w:color="auto" w:fill="FFF2CC" w:themeFill="accent4" w:themeFillTint="33"/>
          </w:tcPr>
          <w:p w:rsidRPr="002572F9" w:rsidR="00FE4AC9" w:rsidP="002572F9" w:rsidRDefault="00FE4AC9" w14:paraId="34E6C7D3" w14:textId="2FCDD7F7">
            <w:pPr>
              <w:spacing w:after="0" w:line="240" w:lineRule="auto"/>
              <w:rPr>
                <w:rFonts w:cs="Arial"/>
                <w:sz w:val="20"/>
                <w:szCs w:val="20"/>
              </w:rPr>
            </w:pPr>
            <w:r w:rsidRPr="002572F9">
              <w:rPr>
                <w:rFonts w:cs="Arial"/>
                <w:color w:val="000000"/>
                <w:sz w:val="20"/>
                <w:szCs w:val="20"/>
              </w:rPr>
              <w:t>Partially by providing extra lower cost equity, but not as good as other instruments</w:t>
            </w:r>
            <w:r w:rsidRPr="002572F9" w:rsidR="004E312E">
              <w:rPr>
                <w:rFonts w:cs="Arial"/>
                <w:color w:val="000000"/>
                <w:sz w:val="20"/>
                <w:szCs w:val="20"/>
              </w:rPr>
              <w:t>.</w:t>
            </w:r>
          </w:p>
        </w:tc>
        <w:tc>
          <w:tcPr>
            <w:tcW w:w="1999" w:type="dxa"/>
            <w:shd w:val="clear" w:color="auto" w:fill="C5E0B3" w:themeFill="accent6" w:themeFillTint="66"/>
          </w:tcPr>
          <w:p w:rsidRPr="002572F9" w:rsidR="00FE4AC9" w:rsidP="002572F9" w:rsidRDefault="00FE4AC9" w14:paraId="148CC4B1" w14:textId="4CB18759">
            <w:pPr>
              <w:spacing w:after="0" w:line="240" w:lineRule="auto"/>
              <w:rPr>
                <w:rFonts w:cs="Arial"/>
                <w:sz w:val="20"/>
                <w:szCs w:val="20"/>
              </w:rPr>
            </w:pPr>
            <w:r w:rsidRPr="002572F9">
              <w:rPr>
                <w:rFonts w:cs="Arial"/>
                <w:color w:val="000000"/>
                <w:sz w:val="20"/>
                <w:szCs w:val="20"/>
              </w:rPr>
              <w:t>Yes, a returnable grant supports this better than Concessional Equity as this has zero cost so can be super patient on return.</w:t>
            </w:r>
          </w:p>
        </w:tc>
        <w:tc>
          <w:tcPr>
            <w:tcW w:w="2010" w:type="dxa"/>
            <w:shd w:val="clear" w:color="auto" w:fill="F7CAAC" w:themeFill="accent2" w:themeFillTint="66"/>
          </w:tcPr>
          <w:p w:rsidRPr="002572F9" w:rsidR="00FE4AC9" w:rsidP="002572F9" w:rsidRDefault="004E312E" w14:paraId="7762885F" w14:textId="4939DB7D">
            <w:pPr>
              <w:spacing w:after="0" w:line="240" w:lineRule="auto"/>
              <w:rPr>
                <w:rFonts w:cs="Arial"/>
                <w:sz w:val="20"/>
                <w:szCs w:val="20"/>
              </w:rPr>
            </w:pPr>
            <w:r w:rsidRPr="002572F9">
              <w:rPr>
                <w:rFonts w:cs="Arial"/>
                <w:color w:val="000000"/>
                <w:sz w:val="20"/>
                <w:szCs w:val="20"/>
              </w:rPr>
              <w:t>No</w:t>
            </w:r>
          </w:p>
        </w:tc>
        <w:tc>
          <w:tcPr>
            <w:tcW w:w="1981" w:type="dxa"/>
            <w:shd w:val="clear" w:color="auto" w:fill="C5E0B3" w:themeFill="accent6" w:themeFillTint="66"/>
          </w:tcPr>
          <w:p w:rsidRPr="002572F9" w:rsidR="00FE4AC9" w:rsidP="002572F9" w:rsidRDefault="00FE4AC9" w14:paraId="1A16AF0F" w14:textId="3DE97285">
            <w:pPr>
              <w:spacing w:after="0" w:line="240" w:lineRule="auto"/>
              <w:rPr>
                <w:rFonts w:cs="Arial"/>
                <w:sz w:val="20"/>
                <w:szCs w:val="20"/>
              </w:rPr>
            </w:pPr>
            <w:r w:rsidRPr="002572F9">
              <w:rPr>
                <w:rFonts w:cs="Arial"/>
                <w:color w:val="000000"/>
                <w:sz w:val="20"/>
                <w:szCs w:val="20"/>
              </w:rPr>
              <w:t>Yes, developers are less sensitive to timing as debt is either easier to obtain or cheaper</w:t>
            </w:r>
            <w:r w:rsidRPr="002572F9" w:rsidR="004E312E">
              <w:rPr>
                <w:rFonts w:cs="Arial"/>
                <w:sz w:val="20"/>
                <w:szCs w:val="20"/>
              </w:rPr>
              <w:t>.</w:t>
            </w:r>
          </w:p>
        </w:tc>
        <w:tc>
          <w:tcPr>
            <w:tcW w:w="1998" w:type="dxa"/>
            <w:shd w:val="clear" w:color="auto" w:fill="FFF2CC" w:themeFill="accent4" w:themeFillTint="33"/>
          </w:tcPr>
          <w:p w:rsidRPr="002572F9" w:rsidR="00FE4AC9" w:rsidP="002572F9" w:rsidRDefault="00FE4AC9" w14:paraId="73468061" w14:textId="56B59EFD">
            <w:pPr>
              <w:spacing w:after="0" w:line="240" w:lineRule="auto"/>
              <w:rPr>
                <w:rFonts w:cs="Arial"/>
                <w:sz w:val="20"/>
                <w:szCs w:val="20"/>
              </w:rPr>
            </w:pPr>
            <w:r w:rsidRPr="002572F9">
              <w:rPr>
                <w:rFonts w:cs="Arial"/>
                <w:color w:val="000000"/>
                <w:sz w:val="20"/>
                <w:szCs w:val="20"/>
              </w:rPr>
              <w:t>Partially, but other instruments are better</w:t>
            </w:r>
            <w:r w:rsidRPr="002572F9" w:rsidR="004E312E">
              <w:rPr>
                <w:rFonts w:cs="Arial"/>
                <w:sz w:val="20"/>
                <w:szCs w:val="20"/>
              </w:rPr>
              <w:t>.</w:t>
            </w:r>
          </w:p>
        </w:tc>
        <w:tc>
          <w:tcPr>
            <w:tcW w:w="2363" w:type="dxa"/>
            <w:shd w:val="clear" w:color="auto" w:fill="F7CAAC" w:themeFill="accent2" w:themeFillTint="66"/>
          </w:tcPr>
          <w:p w:rsidRPr="002572F9" w:rsidR="00FE4AC9" w:rsidP="004E312E" w:rsidRDefault="004E312E" w14:paraId="72B7F056" w14:textId="10A12854">
            <w:pPr>
              <w:rPr>
                <w:rFonts w:cs="Arial"/>
                <w:sz w:val="20"/>
                <w:szCs w:val="20"/>
              </w:rPr>
            </w:pPr>
            <w:r w:rsidRPr="002572F9">
              <w:rPr>
                <w:rFonts w:cs="Arial"/>
                <w:color w:val="000000"/>
                <w:sz w:val="20"/>
                <w:szCs w:val="20"/>
              </w:rPr>
              <w:t>No</w:t>
            </w:r>
          </w:p>
        </w:tc>
      </w:tr>
      <w:tr w:rsidRPr="004E312E" w:rsidR="004E312E" w:rsidTr="002572F9" w14:paraId="7BA02295" w14:textId="77777777">
        <w:tc>
          <w:tcPr>
            <w:tcW w:w="2518" w:type="dxa"/>
          </w:tcPr>
          <w:p w:rsidRPr="002572F9" w:rsidR="00F62435" w:rsidP="002572F9" w:rsidRDefault="00FE4AC9" w14:paraId="3976D24D" w14:textId="173738B4">
            <w:pPr>
              <w:spacing w:after="0" w:line="240" w:lineRule="auto"/>
              <w:rPr>
                <w:rFonts w:cs="Arial"/>
                <w:b/>
                <w:bCs/>
                <w:sz w:val="20"/>
                <w:szCs w:val="20"/>
              </w:rPr>
            </w:pPr>
            <w:r w:rsidRPr="002572F9">
              <w:rPr>
                <w:rFonts w:cs="Arial"/>
                <w:b/>
                <w:bCs/>
                <w:sz w:val="20"/>
                <w:szCs w:val="20"/>
              </w:rPr>
              <w:t xml:space="preserve">Foreign Exchange (FX) fluctuations on </w:t>
            </w:r>
            <w:r w:rsidR="004E312E">
              <w:rPr>
                <w:rFonts w:cs="Arial"/>
                <w:b/>
                <w:bCs/>
                <w:sz w:val="20"/>
                <w:szCs w:val="20"/>
              </w:rPr>
              <w:t>i</w:t>
            </w:r>
            <w:r w:rsidRPr="002572F9">
              <w:rPr>
                <w:rFonts w:cs="Arial"/>
                <w:b/>
                <w:bCs/>
                <w:sz w:val="20"/>
                <w:szCs w:val="20"/>
              </w:rPr>
              <w:t xml:space="preserve">mported </w:t>
            </w:r>
            <w:r w:rsidR="004E312E">
              <w:rPr>
                <w:rFonts w:cs="Arial"/>
                <w:b/>
                <w:bCs/>
                <w:sz w:val="20"/>
                <w:szCs w:val="20"/>
              </w:rPr>
              <w:t>m</w:t>
            </w:r>
            <w:r w:rsidRPr="002572F9">
              <w:rPr>
                <w:rFonts w:cs="Arial"/>
                <w:b/>
                <w:bCs/>
                <w:sz w:val="20"/>
                <w:szCs w:val="20"/>
              </w:rPr>
              <w:t>aterials</w:t>
            </w:r>
          </w:p>
        </w:tc>
        <w:tc>
          <w:tcPr>
            <w:tcW w:w="2010" w:type="dxa"/>
            <w:shd w:val="clear" w:color="auto" w:fill="F7CAAC" w:themeFill="accent2" w:themeFillTint="66"/>
          </w:tcPr>
          <w:p w:rsidRPr="002572F9" w:rsidR="00F62435" w:rsidP="002572F9" w:rsidRDefault="004E312E" w14:paraId="1E6E9EC1" w14:textId="25C3A870">
            <w:pPr>
              <w:spacing w:after="0" w:line="240" w:lineRule="auto"/>
              <w:rPr>
                <w:rFonts w:cs="Arial"/>
                <w:sz w:val="20"/>
                <w:szCs w:val="20"/>
              </w:rPr>
            </w:pPr>
            <w:r w:rsidRPr="002572F9">
              <w:rPr>
                <w:rFonts w:cs="Arial"/>
                <w:color w:val="000000"/>
                <w:sz w:val="20"/>
                <w:szCs w:val="20"/>
              </w:rPr>
              <w:t>No</w:t>
            </w:r>
          </w:p>
        </w:tc>
        <w:tc>
          <w:tcPr>
            <w:tcW w:w="1999" w:type="dxa"/>
            <w:shd w:val="clear" w:color="auto" w:fill="F7CAAC" w:themeFill="accent2" w:themeFillTint="66"/>
          </w:tcPr>
          <w:p w:rsidRPr="002572F9" w:rsidR="00F62435" w:rsidP="002572F9" w:rsidRDefault="004E312E" w14:paraId="14CD103B" w14:textId="4BB1D90F">
            <w:pPr>
              <w:spacing w:after="0" w:line="240" w:lineRule="auto"/>
              <w:rPr>
                <w:rFonts w:cs="Arial"/>
                <w:sz w:val="20"/>
                <w:szCs w:val="20"/>
              </w:rPr>
            </w:pPr>
            <w:r w:rsidRPr="002572F9">
              <w:rPr>
                <w:rFonts w:cs="Arial"/>
                <w:color w:val="000000"/>
                <w:sz w:val="20"/>
                <w:szCs w:val="20"/>
              </w:rPr>
              <w:t>No</w:t>
            </w:r>
          </w:p>
        </w:tc>
        <w:tc>
          <w:tcPr>
            <w:tcW w:w="2010" w:type="dxa"/>
            <w:shd w:val="clear" w:color="auto" w:fill="F7CAAC" w:themeFill="accent2" w:themeFillTint="66"/>
          </w:tcPr>
          <w:p w:rsidRPr="002572F9" w:rsidR="00F62435" w:rsidP="002572F9" w:rsidRDefault="004E312E" w14:paraId="19F4712A" w14:textId="21A59F42">
            <w:pPr>
              <w:spacing w:after="0" w:line="240" w:lineRule="auto"/>
              <w:rPr>
                <w:rFonts w:cs="Arial"/>
                <w:color w:val="000000"/>
                <w:sz w:val="20"/>
                <w:szCs w:val="20"/>
              </w:rPr>
            </w:pPr>
            <w:r w:rsidRPr="002572F9">
              <w:rPr>
                <w:rFonts w:cs="Arial"/>
                <w:color w:val="000000"/>
                <w:sz w:val="20"/>
                <w:szCs w:val="20"/>
              </w:rPr>
              <w:t>No</w:t>
            </w:r>
          </w:p>
        </w:tc>
        <w:tc>
          <w:tcPr>
            <w:tcW w:w="1981" w:type="dxa"/>
            <w:shd w:val="clear" w:color="auto" w:fill="F7CAAC" w:themeFill="accent2" w:themeFillTint="66"/>
          </w:tcPr>
          <w:p w:rsidRPr="002572F9" w:rsidR="00F62435" w:rsidP="002572F9" w:rsidRDefault="004E312E" w14:paraId="51A627E8" w14:textId="15F12779">
            <w:pPr>
              <w:spacing w:after="0" w:line="240" w:lineRule="auto"/>
              <w:rPr>
                <w:rFonts w:cs="Arial"/>
                <w:color w:val="000000"/>
                <w:sz w:val="20"/>
                <w:szCs w:val="20"/>
              </w:rPr>
            </w:pPr>
            <w:r w:rsidRPr="002572F9">
              <w:rPr>
                <w:rFonts w:cs="Arial"/>
                <w:color w:val="000000"/>
                <w:sz w:val="20"/>
                <w:szCs w:val="20"/>
              </w:rPr>
              <w:t>No</w:t>
            </w:r>
          </w:p>
        </w:tc>
        <w:tc>
          <w:tcPr>
            <w:tcW w:w="1998" w:type="dxa"/>
            <w:shd w:val="clear" w:color="auto" w:fill="C5E0B3" w:themeFill="accent6" w:themeFillTint="66"/>
          </w:tcPr>
          <w:p w:rsidRPr="002572F9" w:rsidR="00F62435" w:rsidP="002572F9" w:rsidRDefault="004E312E" w14:paraId="6E55CC57" w14:textId="0E383F96">
            <w:pPr>
              <w:spacing w:after="0" w:line="240" w:lineRule="auto"/>
              <w:rPr>
                <w:rFonts w:cs="Arial"/>
                <w:color w:val="000000"/>
                <w:sz w:val="20"/>
                <w:szCs w:val="20"/>
              </w:rPr>
            </w:pPr>
            <w:r w:rsidRPr="002572F9">
              <w:rPr>
                <w:rFonts w:cs="Arial"/>
                <w:color w:val="000000"/>
                <w:sz w:val="20"/>
                <w:szCs w:val="20"/>
              </w:rPr>
              <w:t>Yes, supports better imported goods which can often be a key cost item.</w:t>
            </w:r>
          </w:p>
        </w:tc>
        <w:tc>
          <w:tcPr>
            <w:tcW w:w="2363" w:type="dxa"/>
            <w:shd w:val="clear" w:color="auto" w:fill="F7CAAC" w:themeFill="accent2" w:themeFillTint="66"/>
          </w:tcPr>
          <w:p w:rsidRPr="002572F9" w:rsidR="00F62435" w:rsidP="002572F9" w:rsidRDefault="004E312E" w14:paraId="6C8D165F" w14:textId="537AF804">
            <w:pPr>
              <w:spacing w:after="0" w:line="240" w:lineRule="auto"/>
              <w:rPr>
                <w:rFonts w:cs="Arial"/>
                <w:sz w:val="20"/>
                <w:szCs w:val="20"/>
              </w:rPr>
            </w:pPr>
            <w:r w:rsidRPr="002572F9">
              <w:rPr>
                <w:rFonts w:cs="Arial"/>
                <w:color w:val="000000"/>
                <w:sz w:val="20"/>
                <w:szCs w:val="20"/>
              </w:rPr>
              <w:t>No</w:t>
            </w:r>
          </w:p>
        </w:tc>
      </w:tr>
      <w:tr w:rsidRPr="004E312E" w:rsidR="004E312E" w:rsidTr="002572F9" w14:paraId="6FD14F78" w14:textId="77777777">
        <w:tc>
          <w:tcPr>
            <w:tcW w:w="2518" w:type="dxa"/>
          </w:tcPr>
          <w:p w:rsidRPr="002572F9" w:rsidR="00F62435" w:rsidP="002572F9" w:rsidRDefault="00FE4AC9" w14:paraId="495BB9DF" w14:textId="2876F86A">
            <w:pPr>
              <w:spacing w:after="0" w:line="240" w:lineRule="auto"/>
              <w:rPr>
                <w:rFonts w:cs="Arial"/>
                <w:b/>
                <w:bCs/>
                <w:sz w:val="20"/>
                <w:szCs w:val="20"/>
              </w:rPr>
            </w:pPr>
            <w:r w:rsidRPr="002572F9">
              <w:rPr>
                <w:rFonts w:cs="Arial"/>
                <w:b/>
                <w:bCs/>
                <w:sz w:val="20"/>
                <w:szCs w:val="20"/>
              </w:rPr>
              <w:t>Other features increasing cost</w:t>
            </w:r>
          </w:p>
        </w:tc>
        <w:tc>
          <w:tcPr>
            <w:tcW w:w="2010" w:type="dxa"/>
            <w:shd w:val="clear" w:color="auto" w:fill="C5E0B3" w:themeFill="accent6" w:themeFillTint="66"/>
          </w:tcPr>
          <w:p w:rsidRPr="002572F9" w:rsidR="00F62435" w:rsidP="002572F9" w:rsidRDefault="004E312E" w14:paraId="5EF670B5" w14:textId="2F898A65">
            <w:pPr>
              <w:spacing w:after="0" w:line="240" w:lineRule="auto"/>
              <w:rPr>
                <w:rFonts w:cs="Arial"/>
                <w:color w:val="000000"/>
                <w:sz w:val="20"/>
                <w:szCs w:val="20"/>
              </w:rPr>
            </w:pPr>
            <w:r w:rsidRPr="002572F9">
              <w:rPr>
                <w:rFonts w:cs="Arial"/>
                <w:color w:val="000000"/>
                <w:sz w:val="20"/>
                <w:szCs w:val="20"/>
              </w:rPr>
              <w:t>Yes,</w:t>
            </w:r>
            <w:r w:rsidRPr="002572F9" w:rsidR="00FE4AC9">
              <w:rPr>
                <w:rFonts w:cs="Arial"/>
                <w:color w:val="000000"/>
                <w:sz w:val="20"/>
                <w:szCs w:val="20"/>
              </w:rPr>
              <w:t xml:space="preserve"> lower cost of capital can be used to absorb increased costs</w:t>
            </w:r>
            <w:r w:rsidRPr="002572F9">
              <w:rPr>
                <w:rFonts w:cs="Arial"/>
                <w:color w:val="000000"/>
                <w:sz w:val="20"/>
                <w:szCs w:val="20"/>
              </w:rPr>
              <w:t>.</w:t>
            </w:r>
          </w:p>
        </w:tc>
        <w:tc>
          <w:tcPr>
            <w:tcW w:w="1999" w:type="dxa"/>
            <w:shd w:val="clear" w:color="auto" w:fill="C5E0B3" w:themeFill="accent6" w:themeFillTint="66"/>
          </w:tcPr>
          <w:p w:rsidRPr="002572F9" w:rsidR="00F62435" w:rsidP="002572F9" w:rsidRDefault="004E312E" w14:paraId="2F4EC1A5" w14:textId="6F091F48">
            <w:pPr>
              <w:spacing w:after="0" w:line="240" w:lineRule="auto"/>
              <w:rPr>
                <w:rFonts w:cs="Arial"/>
                <w:sz w:val="20"/>
                <w:szCs w:val="20"/>
              </w:rPr>
            </w:pPr>
            <w:r w:rsidRPr="002572F9">
              <w:rPr>
                <w:rFonts w:cs="Arial"/>
                <w:color w:val="000000"/>
                <w:sz w:val="20"/>
                <w:szCs w:val="20"/>
              </w:rPr>
              <w:t>Yes,</w:t>
            </w:r>
            <w:r w:rsidRPr="002572F9" w:rsidR="00FE4AC9">
              <w:rPr>
                <w:rFonts w:cs="Arial"/>
                <w:color w:val="000000"/>
                <w:sz w:val="20"/>
                <w:szCs w:val="20"/>
              </w:rPr>
              <w:t xml:space="preserve"> lower cost of capital can be used to absorb increased costs</w:t>
            </w:r>
            <w:r w:rsidRPr="002572F9">
              <w:rPr>
                <w:rFonts w:cs="Arial"/>
                <w:color w:val="000000"/>
                <w:sz w:val="20"/>
                <w:szCs w:val="20"/>
              </w:rPr>
              <w:t>.</w:t>
            </w:r>
          </w:p>
        </w:tc>
        <w:tc>
          <w:tcPr>
            <w:tcW w:w="2010" w:type="dxa"/>
            <w:shd w:val="clear" w:color="auto" w:fill="FFF2CC" w:themeFill="accent4" w:themeFillTint="33"/>
          </w:tcPr>
          <w:p w:rsidRPr="002572F9" w:rsidR="00F62435" w:rsidP="002572F9" w:rsidRDefault="004E312E" w14:paraId="7B67B460" w14:textId="72DFDE5E">
            <w:pPr>
              <w:spacing w:after="0" w:line="240" w:lineRule="auto"/>
              <w:rPr>
                <w:rFonts w:cs="Arial"/>
                <w:color w:val="000000"/>
                <w:sz w:val="20"/>
                <w:szCs w:val="20"/>
              </w:rPr>
            </w:pPr>
            <w:r w:rsidRPr="002572F9">
              <w:rPr>
                <w:rFonts w:cs="Arial"/>
                <w:color w:val="000000"/>
                <w:sz w:val="20"/>
                <w:szCs w:val="20"/>
              </w:rPr>
              <w:t>Partially, but other instruments are better</w:t>
            </w:r>
          </w:p>
        </w:tc>
        <w:tc>
          <w:tcPr>
            <w:tcW w:w="1981" w:type="dxa"/>
            <w:shd w:val="clear" w:color="auto" w:fill="C5E0B3" w:themeFill="accent6" w:themeFillTint="66"/>
          </w:tcPr>
          <w:p w:rsidRPr="002572F9" w:rsidR="00F62435" w:rsidP="002572F9" w:rsidRDefault="004E312E" w14:paraId="547FB41F" w14:textId="1832FD06">
            <w:pPr>
              <w:spacing w:after="0" w:line="240" w:lineRule="auto"/>
              <w:rPr>
                <w:rFonts w:cs="Arial"/>
                <w:color w:val="000000"/>
                <w:sz w:val="20"/>
                <w:szCs w:val="20"/>
              </w:rPr>
            </w:pPr>
            <w:r w:rsidRPr="002572F9">
              <w:rPr>
                <w:rFonts w:cs="Arial"/>
                <w:color w:val="000000"/>
                <w:sz w:val="20"/>
                <w:szCs w:val="20"/>
              </w:rPr>
              <w:t>Yes, developers are less sensitive to timing as debt is either easier to obtain or cheaper</w:t>
            </w:r>
          </w:p>
        </w:tc>
        <w:tc>
          <w:tcPr>
            <w:tcW w:w="1998" w:type="dxa"/>
            <w:shd w:val="clear" w:color="auto" w:fill="FFF2CC" w:themeFill="accent4" w:themeFillTint="33"/>
          </w:tcPr>
          <w:p w:rsidRPr="002572F9" w:rsidR="00F62435" w:rsidP="002572F9" w:rsidRDefault="004E312E" w14:paraId="422DDCCF" w14:textId="2FC87142">
            <w:pPr>
              <w:spacing w:after="0" w:line="240" w:lineRule="auto"/>
              <w:rPr>
                <w:rFonts w:cs="Arial"/>
                <w:color w:val="000000"/>
                <w:sz w:val="20"/>
                <w:szCs w:val="20"/>
              </w:rPr>
            </w:pPr>
            <w:r w:rsidRPr="002572F9">
              <w:rPr>
                <w:rFonts w:cs="Arial"/>
                <w:color w:val="000000"/>
                <w:sz w:val="20"/>
                <w:szCs w:val="20"/>
              </w:rPr>
              <w:t>Partially, but other instruments are better</w:t>
            </w:r>
          </w:p>
        </w:tc>
        <w:tc>
          <w:tcPr>
            <w:tcW w:w="2363" w:type="dxa"/>
            <w:shd w:val="clear" w:color="auto" w:fill="F7CAAC" w:themeFill="accent2" w:themeFillTint="66"/>
          </w:tcPr>
          <w:p w:rsidRPr="002572F9" w:rsidR="00F62435" w:rsidP="002572F9" w:rsidRDefault="004E312E" w14:paraId="747CB8FA" w14:textId="069C0A9A">
            <w:pPr>
              <w:spacing w:after="0" w:line="240" w:lineRule="auto"/>
              <w:rPr>
                <w:rFonts w:cs="Arial"/>
                <w:sz w:val="20"/>
                <w:szCs w:val="20"/>
              </w:rPr>
            </w:pPr>
            <w:r w:rsidRPr="002572F9">
              <w:rPr>
                <w:rFonts w:cs="Arial"/>
                <w:color w:val="000000"/>
                <w:sz w:val="20"/>
                <w:szCs w:val="20"/>
              </w:rPr>
              <w:t>No</w:t>
            </w:r>
          </w:p>
        </w:tc>
      </w:tr>
      <w:tr w:rsidRPr="004E312E" w:rsidR="004E312E" w:rsidTr="002572F9" w14:paraId="6A0EA743" w14:textId="77777777">
        <w:tc>
          <w:tcPr>
            <w:tcW w:w="2518" w:type="dxa"/>
          </w:tcPr>
          <w:p w:rsidRPr="002572F9" w:rsidR="004E312E" w:rsidP="002572F9" w:rsidRDefault="004E312E" w14:paraId="4BE2AA26" w14:textId="50914F31">
            <w:pPr>
              <w:spacing w:after="0" w:line="240" w:lineRule="auto"/>
              <w:rPr>
                <w:rFonts w:cs="Arial"/>
                <w:b/>
                <w:bCs/>
                <w:sz w:val="20"/>
                <w:szCs w:val="20"/>
              </w:rPr>
            </w:pPr>
            <w:r w:rsidRPr="002572F9">
              <w:rPr>
                <w:rFonts w:cs="Arial"/>
                <w:b/>
                <w:bCs/>
                <w:sz w:val="20"/>
                <w:szCs w:val="20"/>
              </w:rPr>
              <w:t>Awareness of savings</w:t>
            </w:r>
          </w:p>
        </w:tc>
        <w:tc>
          <w:tcPr>
            <w:tcW w:w="2010" w:type="dxa"/>
            <w:vMerge w:val="restart"/>
            <w:shd w:val="clear" w:color="auto" w:fill="C5E0B3" w:themeFill="accent6" w:themeFillTint="66"/>
          </w:tcPr>
          <w:p w:rsidRPr="002572F9" w:rsidR="004E312E" w:rsidP="002572F9" w:rsidRDefault="004E312E" w14:paraId="51A661E0" w14:textId="21D0F74B">
            <w:pPr>
              <w:spacing w:after="0" w:line="240" w:lineRule="auto"/>
              <w:rPr>
                <w:rFonts w:cs="Arial"/>
                <w:sz w:val="20"/>
                <w:szCs w:val="20"/>
              </w:rPr>
            </w:pPr>
            <w:r w:rsidRPr="002572F9">
              <w:rPr>
                <w:rFonts w:cs="Arial"/>
                <w:color w:val="000000"/>
                <w:sz w:val="20"/>
                <w:szCs w:val="20"/>
              </w:rPr>
              <w:t>Yes, lower costs of capital while being able to allow the private sponsor to earn their returns and would support all demand side risks</w:t>
            </w:r>
          </w:p>
        </w:tc>
        <w:tc>
          <w:tcPr>
            <w:tcW w:w="1999" w:type="dxa"/>
            <w:vMerge w:val="restart"/>
            <w:shd w:val="clear" w:color="auto" w:fill="C5E0B3" w:themeFill="accent6" w:themeFillTint="66"/>
          </w:tcPr>
          <w:p w:rsidRPr="002572F9" w:rsidR="004E312E" w:rsidP="002572F9" w:rsidRDefault="004E312E" w14:paraId="7705A1B1" w14:textId="6012E491">
            <w:pPr>
              <w:spacing w:after="0" w:line="240" w:lineRule="auto"/>
              <w:rPr>
                <w:rFonts w:cs="Arial"/>
                <w:sz w:val="20"/>
                <w:szCs w:val="20"/>
              </w:rPr>
            </w:pPr>
            <w:r w:rsidRPr="002572F9">
              <w:rPr>
                <w:rFonts w:cs="Arial"/>
                <w:color w:val="000000"/>
                <w:sz w:val="20"/>
                <w:szCs w:val="20"/>
              </w:rPr>
              <w:t>Yes, as these returnable grants are the bottom of the capital stack (i.e., are not repaid until lenders and equity have hit returns), this would support managing all demand uncertainties</w:t>
            </w:r>
            <w:r w:rsidRPr="002572F9">
              <w:rPr>
                <w:rFonts w:cs="Arial"/>
                <w:sz w:val="20"/>
                <w:szCs w:val="20"/>
              </w:rPr>
              <w:t>.</w:t>
            </w:r>
          </w:p>
        </w:tc>
        <w:tc>
          <w:tcPr>
            <w:tcW w:w="2010" w:type="dxa"/>
            <w:vMerge w:val="restart"/>
            <w:shd w:val="clear" w:color="auto" w:fill="C5E0B3" w:themeFill="accent6" w:themeFillTint="66"/>
          </w:tcPr>
          <w:p w:rsidRPr="002572F9" w:rsidR="004E312E" w:rsidP="002572F9" w:rsidRDefault="004E312E" w14:paraId="2E1902E8" w14:textId="578C0B88">
            <w:pPr>
              <w:spacing w:after="0" w:line="240" w:lineRule="auto"/>
              <w:rPr>
                <w:rFonts w:cs="Arial"/>
                <w:color w:val="000000"/>
                <w:sz w:val="20"/>
                <w:szCs w:val="20"/>
              </w:rPr>
            </w:pPr>
            <w:r w:rsidRPr="002572F9">
              <w:rPr>
                <w:rFonts w:cs="Arial"/>
                <w:color w:val="000000"/>
                <w:sz w:val="20"/>
                <w:szCs w:val="20"/>
              </w:rPr>
              <w:t>Yes, lower capital costs do mitigate return requirement risks for developers, but focusing on the equity side might yield better / quicker results.</w:t>
            </w:r>
          </w:p>
        </w:tc>
        <w:tc>
          <w:tcPr>
            <w:tcW w:w="1981" w:type="dxa"/>
            <w:vMerge w:val="restart"/>
            <w:shd w:val="clear" w:color="auto" w:fill="C5E0B3" w:themeFill="accent6" w:themeFillTint="66"/>
          </w:tcPr>
          <w:p w:rsidRPr="002572F9" w:rsidR="004E312E" w:rsidP="002572F9" w:rsidRDefault="004E312E" w14:paraId="10913EA6" w14:textId="546D9EBF">
            <w:pPr>
              <w:spacing w:after="0" w:line="240" w:lineRule="auto"/>
              <w:rPr>
                <w:rFonts w:cs="Arial"/>
                <w:color w:val="000000"/>
                <w:sz w:val="20"/>
                <w:szCs w:val="20"/>
              </w:rPr>
            </w:pPr>
            <w:r w:rsidRPr="002572F9">
              <w:rPr>
                <w:rFonts w:cs="Arial"/>
                <w:color w:val="000000"/>
                <w:sz w:val="20"/>
                <w:szCs w:val="20"/>
              </w:rPr>
              <w:t>Yes, developers are less sensitive to timing as debt is either easier to obtain or cheaper.</w:t>
            </w:r>
          </w:p>
        </w:tc>
        <w:tc>
          <w:tcPr>
            <w:tcW w:w="1998" w:type="dxa"/>
            <w:vMerge w:val="restart"/>
            <w:shd w:val="clear" w:color="auto" w:fill="FFF2CC" w:themeFill="accent4" w:themeFillTint="33"/>
          </w:tcPr>
          <w:p w:rsidRPr="002572F9" w:rsidR="004E312E" w:rsidP="002572F9" w:rsidRDefault="004E312E" w14:paraId="2F1D1AE8" w14:textId="13769F43">
            <w:pPr>
              <w:spacing w:after="0" w:line="240" w:lineRule="auto"/>
              <w:rPr>
                <w:rFonts w:cs="Arial"/>
                <w:color w:val="000000"/>
                <w:sz w:val="20"/>
                <w:szCs w:val="20"/>
              </w:rPr>
            </w:pPr>
            <w:r w:rsidRPr="002572F9">
              <w:rPr>
                <w:rFonts w:cs="Arial"/>
                <w:color w:val="000000"/>
                <w:sz w:val="20"/>
                <w:szCs w:val="20"/>
              </w:rPr>
              <w:t>Partially as this supports key cost items, so partially helps manage risk, but other options are better for managing demand uncertainties.</w:t>
            </w:r>
          </w:p>
        </w:tc>
        <w:tc>
          <w:tcPr>
            <w:tcW w:w="2363" w:type="dxa"/>
            <w:vMerge w:val="restart"/>
            <w:shd w:val="clear" w:color="auto" w:fill="C5E0B3" w:themeFill="accent6" w:themeFillTint="66"/>
          </w:tcPr>
          <w:p w:rsidRPr="002572F9" w:rsidR="004E312E" w:rsidP="002572F9" w:rsidRDefault="004E312E" w14:paraId="0A9DFD64" w14:textId="782491FC">
            <w:pPr>
              <w:spacing w:after="0" w:line="240" w:lineRule="auto"/>
              <w:rPr>
                <w:rFonts w:cs="Arial"/>
                <w:color w:val="000000"/>
                <w:sz w:val="20"/>
                <w:szCs w:val="20"/>
              </w:rPr>
            </w:pPr>
            <w:r w:rsidRPr="002572F9">
              <w:rPr>
                <w:rFonts w:cs="Arial"/>
                <w:color w:val="000000"/>
                <w:sz w:val="20"/>
                <w:szCs w:val="20"/>
              </w:rPr>
              <w:t xml:space="preserve">Yes, this manages demand risk better than any of the other </w:t>
            </w:r>
            <w:proofErr w:type="gramStart"/>
            <w:r w:rsidRPr="002572F9">
              <w:rPr>
                <w:rFonts w:cs="Arial"/>
                <w:color w:val="000000"/>
                <w:sz w:val="20"/>
                <w:szCs w:val="20"/>
              </w:rPr>
              <w:t>instruments, but</w:t>
            </w:r>
            <w:proofErr w:type="gramEnd"/>
            <w:r w:rsidRPr="002572F9">
              <w:rPr>
                <w:rFonts w:cs="Arial"/>
                <w:color w:val="000000"/>
                <w:sz w:val="20"/>
                <w:szCs w:val="20"/>
              </w:rPr>
              <w:t xml:space="preserve"> can be costly where called.</w:t>
            </w:r>
          </w:p>
        </w:tc>
      </w:tr>
      <w:tr w:rsidRPr="004E312E" w:rsidR="004E312E" w:rsidTr="002572F9" w14:paraId="5838D0AB" w14:textId="77777777">
        <w:tc>
          <w:tcPr>
            <w:tcW w:w="2518" w:type="dxa"/>
          </w:tcPr>
          <w:p w:rsidRPr="002572F9" w:rsidR="004E312E" w:rsidP="002572F9" w:rsidRDefault="004E312E" w14:paraId="384A0B60" w14:textId="5BD39549">
            <w:pPr>
              <w:spacing w:after="0" w:line="240" w:lineRule="auto"/>
              <w:rPr>
                <w:rFonts w:cs="Arial"/>
                <w:b/>
                <w:bCs/>
                <w:sz w:val="20"/>
                <w:szCs w:val="20"/>
              </w:rPr>
            </w:pPr>
            <w:r w:rsidRPr="002572F9">
              <w:rPr>
                <w:rFonts w:cs="Arial"/>
                <w:b/>
                <w:bCs/>
                <w:sz w:val="20"/>
                <w:szCs w:val="20"/>
              </w:rPr>
              <w:t>Realisation of savings</w:t>
            </w:r>
          </w:p>
        </w:tc>
        <w:tc>
          <w:tcPr>
            <w:tcW w:w="2010" w:type="dxa"/>
            <w:vMerge/>
            <w:shd w:val="clear" w:color="auto" w:fill="C5E0B3" w:themeFill="accent6" w:themeFillTint="66"/>
          </w:tcPr>
          <w:p w:rsidRPr="002572F9" w:rsidR="004E312E" w:rsidP="004E312E" w:rsidRDefault="004E312E" w14:paraId="0BA33D71" w14:textId="77777777">
            <w:pPr>
              <w:rPr>
                <w:rFonts w:cs="Arial"/>
                <w:sz w:val="20"/>
                <w:szCs w:val="20"/>
              </w:rPr>
            </w:pPr>
          </w:p>
        </w:tc>
        <w:tc>
          <w:tcPr>
            <w:tcW w:w="1999" w:type="dxa"/>
            <w:vMerge/>
            <w:shd w:val="clear" w:color="auto" w:fill="C5E0B3" w:themeFill="accent6" w:themeFillTint="66"/>
          </w:tcPr>
          <w:p w:rsidRPr="002572F9" w:rsidR="004E312E" w:rsidP="004E312E" w:rsidRDefault="004E312E" w14:paraId="1078CA2E" w14:textId="77777777">
            <w:pPr>
              <w:rPr>
                <w:rFonts w:cs="Arial"/>
                <w:sz w:val="20"/>
                <w:szCs w:val="20"/>
              </w:rPr>
            </w:pPr>
          </w:p>
        </w:tc>
        <w:tc>
          <w:tcPr>
            <w:tcW w:w="2010" w:type="dxa"/>
            <w:vMerge/>
            <w:shd w:val="clear" w:color="auto" w:fill="C5E0B3" w:themeFill="accent6" w:themeFillTint="66"/>
          </w:tcPr>
          <w:p w:rsidRPr="002572F9" w:rsidR="004E312E" w:rsidP="004E312E" w:rsidRDefault="004E312E" w14:paraId="04F10E0C" w14:textId="77777777">
            <w:pPr>
              <w:rPr>
                <w:rFonts w:cs="Arial"/>
                <w:sz w:val="20"/>
                <w:szCs w:val="20"/>
              </w:rPr>
            </w:pPr>
          </w:p>
        </w:tc>
        <w:tc>
          <w:tcPr>
            <w:tcW w:w="1981" w:type="dxa"/>
            <w:vMerge/>
            <w:shd w:val="clear" w:color="auto" w:fill="C5E0B3" w:themeFill="accent6" w:themeFillTint="66"/>
          </w:tcPr>
          <w:p w:rsidRPr="002572F9" w:rsidR="004E312E" w:rsidP="004E312E" w:rsidRDefault="004E312E" w14:paraId="2EB492D7" w14:textId="77777777">
            <w:pPr>
              <w:rPr>
                <w:rFonts w:cs="Arial"/>
                <w:sz w:val="20"/>
                <w:szCs w:val="20"/>
              </w:rPr>
            </w:pPr>
          </w:p>
        </w:tc>
        <w:tc>
          <w:tcPr>
            <w:tcW w:w="1998" w:type="dxa"/>
            <w:vMerge/>
            <w:shd w:val="clear" w:color="auto" w:fill="FFF2CC" w:themeFill="accent4" w:themeFillTint="33"/>
          </w:tcPr>
          <w:p w:rsidRPr="002572F9" w:rsidR="004E312E" w:rsidP="004E312E" w:rsidRDefault="004E312E" w14:paraId="60720996" w14:textId="77777777">
            <w:pPr>
              <w:rPr>
                <w:rFonts w:cs="Arial"/>
                <w:sz w:val="20"/>
                <w:szCs w:val="20"/>
              </w:rPr>
            </w:pPr>
          </w:p>
        </w:tc>
        <w:tc>
          <w:tcPr>
            <w:tcW w:w="2363" w:type="dxa"/>
            <w:vMerge/>
            <w:shd w:val="clear" w:color="auto" w:fill="C5E0B3" w:themeFill="accent6" w:themeFillTint="66"/>
          </w:tcPr>
          <w:p w:rsidRPr="002572F9" w:rsidR="004E312E" w:rsidP="004E312E" w:rsidRDefault="004E312E" w14:paraId="11E6A446" w14:textId="77777777">
            <w:pPr>
              <w:rPr>
                <w:rFonts w:cs="Arial"/>
                <w:sz w:val="20"/>
                <w:szCs w:val="20"/>
              </w:rPr>
            </w:pPr>
          </w:p>
        </w:tc>
      </w:tr>
      <w:tr w:rsidRPr="004E312E" w:rsidR="004E312E" w:rsidTr="002572F9" w14:paraId="4DA5CDC2" w14:textId="77777777">
        <w:tc>
          <w:tcPr>
            <w:tcW w:w="2518" w:type="dxa"/>
          </w:tcPr>
          <w:p w:rsidRPr="002572F9" w:rsidR="004E312E" w:rsidP="004E312E" w:rsidRDefault="004E312E" w14:paraId="52571677" w14:textId="24EC5E71">
            <w:pPr>
              <w:spacing w:after="0" w:line="240" w:lineRule="auto"/>
              <w:rPr>
                <w:rFonts w:cs="Arial"/>
                <w:b/>
                <w:bCs/>
                <w:sz w:val="20"/>
                <w:szCs w:val="20"/>
              </w:rPr>
            </w:pPr>
            <w:r w:rsidRPr="002572F9">
              <w:rPr>
                <w:rFonts w:cs="Arial"/>
                <w:b/>
                <w:bCs/>
                <w:sz w:val="20"/>
                <w:szCs w:val="20"/>
              </w:rPr>
              <w:t>Long payback times</w:t>
            </w:r>
          </w:p>
        </w:tc>
        <w:tc>
          <w:tcPr>
            <w:tcW w:w="2010" w:type="dxa"/>
            <w:vMerge/>
            <w:shd w:val="clear" w:color="auto" w:fill="C5E0B3" w:themeFill="accent6" w:themeFillTint="66"/>
          </w:tcPr>
          <w:p w:rsidRPr="002572F9" w:rsidR="004E312E" w:rsidP="004E312E" w:rsidRDefault="004E312E" w14:paraId="7205C02C" w14:textId="77777777">
            <w:pPr>
              <w:rPr>
                <w:rFonts w:cs="Arial"/>
                <w:sz w:val="20"/>
                <w:szCs w:val="20"/>
              </w:rPr>
            </w:pPr>
          </w:p>
        </w:tc>
        <w:tc>
          <w:tcPr>
            <w:tcW w:w="1999" w:type="dxa"/>
            <w:vMerge/>
            <w:shd w:val="clear" w:color="auto" w:fill="C5E0B3" w:themeFill="accent6" w:themeFillTint="66"/>
          </w:tcPr>
          <w:p w:rsidRPr="002572F9" w:rsidR="004E312E" w:rsidP="004E312E" w:rsidRDefault="004E312E" w14:paraId="61AA5C3B" w14:textId="77777777">
            <w:pPr>
              <w:rPr>
                <w:rFonts w:cs="Arial"/>
                <w:sz w:val="20"/>
                <w:szCs w:val="20"/>
              </w:rPr>
            </w:pPr>
          </w:p>
        </w:tc>
        <w:tc>
          <w:tcPr>
            <w:tcW w:w="2010" w:type="dxa"/>
            <w:vMerge/>
            <w:shd w:val="clear" w:color="auto" w:fill="C5E0B3" w:themeFill="accent6" w:themeFillTint="66"/>
          </w:tcPr>
          <w:p w:rsidRPr="002572F9" w:rsidR="004E312E" w:rsidP="004E312E" w:rsidRDefault="004E312E" w14:paraId="5FA13433" w14:textId="77777777">
            <w:pPr>
              <w:rPr>
                <w:rFonts w:cs="Arial"/>
                <w:sz w:val="20"/>
                <w:szCs w:val="20"/>
              </w:rPr>
            </w:pPr>
          </w:p>
        </w:tc>
        <w:tc>
          <w:tcPr>
            <w:tcW w:w="1981" w:type="dxa"/>
            <w:vMerge/>
            <w:shd w:val="clear" w:color="auto" w:fill="C5E0B3" w:themeFill="accent6" w:themeFillTint="66"/>
          </w:tcPr>
          <w:p w:rsidRPr="002572F9" w:rsidR="004E312E" w:rsidP="004E312E" w:rsidRDefault="004E312E" w14:paraId="465C7087" w14:textId="77777777">
            <w:pPr>
              <w:rPr>
                <w:rFonts w:cs="Arial"/>
                <w:sz w:val="20"/>
                <w:szCs w:val="20"/>
              </w:rPr>
            </w:pPr>
          </w:p>
        </w:tc>
        <w:tc>
          <w:tcPr>
            <w:tcW w:w="1998" w:type="dxa"/>
            <w:vMerge/>
            <w:shd w:val="clear" w:color="auto" w:fill="FFF2CC" w:themeFill="accent4" w:themeFillTint="33"/>
          </w:tcPr>
          <w:p w:rsidRPr="002572F9" w:rsidR="004E312E" w:rsidP="004E312E" w:rsidRDefault="004E312E" w14:paraId="6355C960" w14:textId="77777777">
            <w:pPr>
              <w:rPr>
                <w:rFonts w:cs="Arial"/>
                <w:sz w:val="20"/>
                <w:szCs w:val="20"/>
              </w:rPr>
            </w:pPr>
          </w:p>
        </w:tc>
        <w:tc>
          <w:tcPr>
            <w:tcW w:w="2363" w:type="dxa"/>
            <w:vMerge/>
            <w:shd w:val="clear" w:color="auto" w:fill="C5E0B3" w:themeFill="accent6" w:themeFillTint="66"/>
          </w:tcPr>
          <w:p w:rsidRPr="002572F9" w:rsidR="004E312E" w:rsidP="004E312E" w:rsidRDefault="004E312E" w14:paraId="6D1B5C03" w14:textId="77777777">
            <w:pPr>
              <w:rPr>
                <w:rFonts w:cs="Arial"/>
                <w:sz w:val="20"/>
                <w:szCs w:val="20"/>
              </w:rPr>
            </w:pPr>
          </w:p>
        </w:tc>
      </w:tr>
      <w:tr w:rsidRPr="004E312E" w:rsidR="004E312E" w:rsidTr="002572F9" w14:paraId="420D0993" w14:textId="77777777">
        <w:tc>
          <w:tcPr>
            <w:tcW w:w="2518" w:type="dxa"/>
          </w:tcPr>
          <w:p w:rsidRPr="002572F9" w:rsidR="004E312E" w:rsidP="002572F9" w:rsidRDefault="004E312E" w14:paraId="1E874386" w14:textId="1580E540">
            <w:pPr>
              <w:spacing w:after="0" w:line="240" w:lineRule="auto"/>
              <w:rPr>
                <w:rFonts w:cs="Arial"/>
                <w:b/>
                <w:bCs/>
                <w:sz w:val="20"/>
                <w:szCs w:val="20"/>
              </w:rPr>
            </w:pPr>
            <w:r w:rsidRPr="002572F9">
              <w:rPr>
                <w:rFonts w:cs="Arial"/>
                <w:b/>
                <w:bCs/>
                <w:sz w:val="20"/>
                <w:szCs w:val="20"/>
              </w:rPr>
              <w:t xml:space="preserve">Higher </w:t>
            </w:r>
            <w:r>
              <w:rPr>
                <w:rFonts w:cs="Arial"/>
                <w:b/>
                <w:bCs/>
                <w:sz w:val="20"/>
                <w:szCs w:val="20"/>
              </w:rPr>
              <w:t>c</w:t>
            </w:r>
            <w:r w:rsidRPr="002572F9">
              <w:rPr>
                <w:rFonts w:cs="Arial"/>
                <w:b/>
                <w:bCs/>
                <w:sz w:val="20"/>
                <w:szCs w:val="20"/>
              </w:rPr>
              <w:t xml:space="preserve">ost of </w:t>
            </w:r>
            <w:r>
              <w:rPr>
                <w:rFonts w:cs="Arial"/>
                <w:b/>
                <w:bCs/>
                <w:sz w:val="20"/>
                <w:szCs w:val="20"/>
              </w:rPr>
              <w:t>p</w:t>
            </w:r>
            <w:r w:rsidRPr="002572F9">
              <w:rPr>
                <w:rFonts w:cs="Arial"/>
                <w:b/>
                <w:bCs/>
                <w:sz w:val="20"/>
                <w:szCs w:val="20"/>
              </w:rPr>
              <w:t>roperty</w:t>
            </w:r>
          </w:p>
        </w:tc>
        <w:tc>
          <w:tcPr>
            <w:tcW w:w="2010" w:type="dxa"/>
            <w:vMerge/>
            <w:shd w:val="clear" w:color="auto" w:fill="C5E0B3" w:themeFill="accent6" w:themeFillTint="66"/>
          </w:tcPr>
          <w:p w:rsidRPr="002572F9" w:rsidR="004E312E" w:rsidP="004E312E" w:rsidRDefault="004E312E" w14:paraId="46362A18" w14:textId="77777777">
            <w:pPr>
              <w:rPr>
                <w:rFonts w:cs="Arial"/>
                <w:sz w:val="20"/>
                <w:szCs w:val="20"/>
              </w:rPr>
            </w:pPr>
          </w:p>
        </w:tc>
        <w:tc>
          <w:tcPr>
            <w:tcW w:w="1999" w:type="dxa"/>
            <w:vMerge/>
            <w:shd w:val="clear" w:color="auto" w:fill="C5E0B3" w:themeFill="accent6" w:themeFillTint="66"/>
          </w:tcPr>
          <w:p w:rsidRPr="002572F9" w:rsidR="004E312E" w:rsidP="004E312E" w:rsidRDefault="004E312E" w14:paraId="26F9C053" w14:textId="77777777">
            <w:pPr>
              <w:rPr>
                <w:rFonts w:cs="Arial"/>
                <w:sz w:val="20"/>
                <w:szCs w:val="20"/>
              </w:rPr>
            </w:pPr>
          </w:p>
        </w:tc>
        <w:tc>
          <w:tcPr>
            <w:tcW w:w="2010" w:type="dxa"/>
            <w:vMerge/>
            <w:shd w:val="clear" w:color="auto" w:fill="C5E0B3" w:themeFill="accent6" w:themeFillTint="66"/>
          </w:tcPr>
          <w:p w:rsidRPr="002572F9" w:rsidR="004E312E" w:rsidP="004E312E" w:rsidRDefault="004E312E" w14:paraId="5653EF51" w14:textId="77777777">
            <w:pPr>
              <w:rPr>
                <w:rFonts w:cs="Arial"/>
                <w:sz w:val="20"/>
                <w:szCs w:val="20"/>
              </w:rPr>
            </w:pPr>
          </w:p>
        </w:tc>
        <w:tc>
          <w:tcPr>
            <w:tcW w:w="1981" w:type="dxa"/>
            <w:vMerge/>
            <w:shd w:val="clear" w:color="auto" w:fill="C5E0B3" w:themeFill="accent6" w:themeFillTint="66"/>
          </w:tcPr>
          <w:p w:rsidRPr="002572F9" w:rsidR="004E312E" w:rsidP="004E312E" w:rsidRDefault="004E312E" w14:paraId="6D10D4FC" w14:textId="77777777">
            <w:pPr>
              <w:rPr>
                <w:rFonts w:cs="Arial"/>
                <w:sz w:val="20"/>
                <w:szCs w:val="20"/>
              </w:rPr>
            </w:pPr>
          </w:p>
        </w:tc>
        <w:tc>
          <w:tcPr>
            <w:tcW w:w="1998" w:type="dxa"/>
            <w:vMerge/>
            <w:shd w:val="clear" w:color="auto" w:fill="FFF2CC" w:themeFill="accent4" w:themeFillTint="33"/>
          </w:tcPr>
          <w:p w:rsidRPr="002572F9" w:rsidR="004E312E" w:rsidP="004E312E" w:rsidRDefault="004E312E" w14:paraId="39C7AA3A" w14:textId="77777777">
            <w:pPr>
              <w:rPr>
                <w:rFonts w:cs="Arial"/>
                <w:sz w:val="20"/>
                <w:szCs w:val="20"/>
              </w:rPr>
            </w:pPr>
          </w:p>
        </w:tc>
        <w:tc>
          <w:tcPr>
            <w:tcW w:w="2363" w:type="dxa"/>
            <w:vMerge/>
            <w:shd w:val="clear" w:color="auto" w:fill="C5E0B3" w:themeFill="accent6" w:themeFillTint="66"/>
          </w:tcPr>
          <w:p w:rsidRPr="002572F9" w:rsidR="004E312E" w:rsidP="004E312E" w:rsidRDefault="004E312E" w14:paraId="3BDA5574" w14:textId="77777777">
            <w:pPr>
              <w:rPr>
                <w:rFonts w:cs="Arial"/>
                <w:sz w:val="20"/>
                <w:szCs w:val="20"/>
              </w:rPr>
            </w:pPr>
          </w:p>
        </w:tc>
      </w:tr>
      <w:tr w:rsidRPr="004E312E" w:rsidR="004E312E" w:rsidTr="002572F9" w14:paraId="297A4A9C" w14:textId="77777777">
        <w:tc>
          <w:tcPr>
            <w:tcW w:w="2518" w:type="dxa"/>
          </w:tcPr>
          <w:p w:rsidRPr="002572F9" w:rsidR="004E312E" w:rsidP="002572F9" w:rsidRDefault="004E312E" w14:paraId="263C243C" w14:textId="54B00AC6">
            <w:pPr>
              <w:spacing w:after="0" w:line="240" w:lineRule="auto"/>
              <w:rPr>
                <w:rFonts w:cs="Arial"/>
                <w:b/>
                <w:bCs/>
                <w:sz w:val="20"/>
                <w:szCs w:val="20"/>
              </w:rPr>
            </w:pPr>
            <w:r w:rsidRPr="002572F9">
              <w:rPr>
                <w:rFonts w:cs="Arial"/>
                <w:b/>
                <w:bCs/>
                <w:sz w:val="20"/>
                <w:szCs w:val="20"/>
              </w:rPr>
              <w:t>Market uncertainty on the demand for Green Buildings</w:t>
            </w:r>
          </w:p>
        </w:tc>
        <w:tc>
          <w:tcPr>
            <w:tcW w:w="2010" w:type="dxa"/>
            <w:vMerge/>
            <w:shd w:val="clear" w:color="auto" w:fill="C5E0B3" w:themeFill="accent6" w:themeFillTint="66"/>
          </w:tcPr>
          <w:p w:rsidRPr="002572F9" w:rsidR="004E312E" w:rsidP="004E312E" w:rsidRDefault="004E312E" w14:paraId="6C46D48E" w14:textId="77777777">
            <w:pPr>
              <w:rPr>
                <w:rFonts w:cs="Arial"/>
                <w:sz w:val="20"/>
                <w:szCs w:val="20"/>
              </w:rPr>
            </w:pPr>
          </w:p>
        </w:tc>
        <w:tc>
          <w:tcPr>
            <w:tcW w:w="1999" w:type="dxa"/>
            <w:vMerge/>
            <w:shd w:val="clear" w:color="auto" w:fill="C5E0B3" w:themeFill="accent6" w:themeFillTint="66"/>
          </w:tcPr>
          <w:p w:rsidRPr="002572F9" w:rsidR="004E312E" w:rsidP="004E312E" w:rsidRDefault="004E312E" w14:paraId="745545B7" w14:textId="77777777">
            <w:pPr>
              <w:rPr>
                <w:rFonts w:cs="Arial"/>
                <w:sz w:val="20"/>
                <w:szCs w:val="20"/>
              </w:rPr>
            </w:pPr>
          </w:p>
        </w:tc>
        <w:tc>
          <w:tcPr>
            <w:tcW w:w="2010" w:type="dxa"/>
            <w:vMerge/>
            <w:shd w:val="clear" w:color="auto" w:fill="C5E0B3" w:themeFill="accent6" w:themeFillTint="66"/>
          </w:tcPr>
          <w:p w:rsidRPr="002572F9" w:rsidR="004E312E" w:rsidP="004E312E" w:rsidRDefault="004E312E" w14:paraId="066080AF" w14:textId="77777777">
            <w:pPr>
              <w:rPr>
                <w:rFonts w:cs="Arial"/>
                <w:sz w:val="20"/>
                <w:szCs w:val="20"/>
              </w:rPr>
            </w:pPr>
          </w:p>
        </w:tc>
        <w:tc>
          <w:tcPr>
            <w:tcW w:w="1981" w:type="dxa"/>
            <w:vMerge/>
            <w:shd w:val="clear" w:color="auto" w:fill="C5E0B3" w:themeFill="accent6" w:themeFillTint="66"/>
          </w:tcPr>
          <w:p w:rsidRPr="002572F9" w:rsidR="004E312E" w:rsidP="004E312E" w:rsidRDefault="004E312E" w14:paraId="3F356F26" w14:textId="77777777">
            <w:pPr>
              <w:rPr>
                <w:rFonts w:cs="Arial"/>
                <w:sz w:val="20"/>
                <w:szCs w:val="20"/>
              </w:rPr>
            </w:pPr>
          </w:p>
        </w:tc>
        <w:tc>
          <w:tcPr>
            <w:tcW w:w="1998" w:type="dxa"/>
            <w:vMerge/>
            <w:shd w:val="clear" w:color="auto" w:fill="FFF2CC" w:themeFill="accent4" w:themeFillTint="33"/>
          </w:tcPr>
          <w:p w:rsidRPr="002572F9" w:rsidR="004E312E" w:rsidP="004E312E" w:rsidRDefault="004E312E" w14:paraId="7FF5D9C5" w14:textId="77777777">
            <w:pPr>
              <w:rPr>
                <w:rFonts w:cs="Arial"/>
                <w:sz w:val="20"/>
                <w:szCs w:val="20"/>
              </w:rPr>
            </w:pPr>
          </w:p>
        </w:tc>
        <w:tc>
          <w:tcPr>
            <w:tcW w:w="2363" w:type="dxa"/>
            <w:vMerge/>
            <w:shd w:val="clear" w:color="auto" w:fill="C5E0B3" w:themeFill="accent6" w:themeFillTint="66"/>
          </w:tcPr>
          <w:p w:rsidRPr="002572F9" w:rsidR="004E312E" w:rsidP="004E312E" w:rsidRDefault="004E312E" w14:paraId="15B05A06" w14:textId="77777777">
            <w:pPr>
              <w:rPr>
                <w:rFonts w:cs="Arial"/>
                <w:sz w:val="20"/>
                <w:szCs w:val="20"/>
              </w:rPr>
            </w:pPr>
          </w:p>
        </w:tc>
      </w:tr>
      <w:tr w:rsidRPr="004E312E" w:rsidR="004E312E" w:rsidTr="002572F9" w14:paraId="447DCE49" w14:textId="77777777">
        <w:tc>
          <w:tcPr>
            <w:tcW w:w="2518" w:type="dxa"/>
          </w:tcPr>
          <w:p w:rsidRPr="002572F9" w:rsidR="004E312E" w:rsidP="002572F9" w:rsidRDefault="004E312E" w14:paraId="57D60CAE" w14:textId="170E508E">
            <w:pPr>
              <w:spacing w:after="0" w:line="240" w:lineRule="auto"/>
              <w:rPr>
                <w:rFonts w:cs="Arial"/>
                <w:b/>
                <w:bCs/>
                <w:sz w:val="20"/>
                <w:szCs w:val="20"/>
              </w:rPr>
            </w:pPr>
            <w:r w:rsidRPr="002572F9">
              <w:rPr>
                <w:rFonts w:cs="Arial"/>
                <w:b/>
                <w:bCs/>
                <w:sz w:val="20"/>
                <w:szCs w:val="20"/>
              </w:rPr>
              <w:t>Limited differentiation between green &amp; conventional buildings</w:t>
            </w:r>
          </w:p>
        </w:tc>
        <w:tc>
          <w:tcPr>
            <w:tcW w:w="2010" w:type="dxa"/>
            <w:vMerge/>
            <w:shd w:val="clear" w:color="auto" w:fill="C5E0B3" w:themeFill="accent6" w:themeFillTint="66"/>
          </w:tcPr>
          <w:p w:rsidRPr="002572F9" w:rsidR="004E312E" w:rsidP="004E312E" w:rsidRDefault="004E312E" w14:paraId="49B1623A" w14:textId="77777777">
            <w:pPr>
              <w:rPr>
                <w:rFonts w:cs="Arial"/>
                <w:sz w:val="20"/>
                <w:szCs w:val="20"/>
              </w:rPr>
            </w:pPr>
          </w:p>
        </w:tc>
        <w:tc>
          <w:tcPr>
            <w:tcW w:w="1999" w:type="dxa"/>
            <w:vMerge/>
            <w:shd w:val="clear" w:color="auto" w:fill="C5E0B3" w:themeFill="accent6" w:themeFillTint="66"/>
          </w:tcPr>
          <w:p w:rsidRPr="002572F9" w:rsidR="004E312E" w:rsidP="004E312E" w:rsidRDefault="004E312E" w14:paraId="35121DF1" w14:textId="77777777">
            <w:pPr>
              <w:rPr>
                <w:rFonts w:cs="Arial"/>
                <w:sz w:val="20"/>
                <w:szCs w:val="20"/>
              </w:rPr>
            </w:pPr>
          </w:p>
        </w:tc>
        <w:tc>
          <w:tcPr>
            <w:tcW w:w="2010" w:type="dxa"/>
            <w:vMerge/>
            <w:shd w:val="clear" w:color="auto" w:fill="C5E0B3" w:themeFill="accent6" w:themeFillTint="66"/>
          </w:tcPr>
          <w:p w:rsidRPr="002572F9" w:rsidR="004E312E" w:rsidP="004E312E" w:rsidRDefault="004E312E" w14:paraId="13137C59" w14:textId="77777777">
            <w:pPr>
              <w:rPr>
                <w:rFonts w:cs="Arial"/>
                <w:sz w:val="20"/>
                <w:szCs w:val="20"/>
              </w:rPr>
            </w:pPr>
          </w:p>
        </w:tc>
        <w:tc>
          <w:tcPr>
            <w:tcW w:w="1981" w:type="dxa"/>
            <w:vMerge/>
            <w:shd w:val="clear" w:color="auto" w:fill="C5E0B3" w:themeFill="accent6" w:themeFillTint="66"/>
          </w:tcPr>
          <w:p w:rsidRPr="002572F9" w:rsidR="004E312E" w:rsidP="004E312E" w:rsidRDefault="004E312E" w14:paraId="6D9614FB" w14:textId="77777777">
            <w:pPr>
              <w:rPr>
                <w:rFonts w:cs="Arial"/>
                <w:sz w:val="20"/>
                <w:szCs w:val="20"/>
              </w:rPr>
            </w:pPr>
          </w:p>
        </w:tc>
        <w:tc>
          <w:tcPr>
            <w:tcW w:w="1998" w:type="dxa"/>
            <w:vMerge/>
            <w:shd w:val="clear" w:color="auto" w:fill="FFF2CC" w:themeFill="accent4" w:themeFillTint="33"/>
          </w:tcPr>
          <w:p w:rsidRPr="002572F9" w:rsidR="004E312E" w:rsidP="004E312E" w:rsidRDefault="004E312E" w14:paraId="31AFD94B" w14:textId="77777777">
            <w:pPr>
              <w:rPr>
                <w:rFonts w:cs="Arial"/>
                <w:sz w:val="20"/>
                <w:szCs w:val="20"/>
              </w:rPr>
            </w:pPr>
          </w:p>
        </w:tc>
        <w:tc>
          <w:tcPr>
            <w:tcW w:w="2363" w:type="dxa"/>
            <w:vMerge/>
            <w:shd w:val="clear" w:color="auto" w:fill="C5E0B3" w:themeFill="accent6" w:themeFillTint="66"/>
          </w:tcPr>
          <w:p w:rsidRPr="002572F9" w:rsidR="004E312E" w:rsidP="004E312E" w:rsidRDefault="004E312E" w14:paraId="422FF2AE" w14:textId="77777777">
            <w:pPr>
              <w:rPr>
                <w:rFonts w:cs="Arial"/>
                <w:sz w:val="20"/>
                <w:szCs w:val="20"/>
              </w:rPr>
            </w:pPr>
          </w:p>
        </w:tc>
      </w:tr>
      <w:tr w:rsidRPr="0005351F" w:rsidR="0005351F" w:rsidTr="0005351F" w14:paraId="34F4B85B" w14:textId="77777777">
        <w:tc>
          <w:tcPr>
            <w:tcW w:w="2518" w:type="dxa"/>
          </w:tcPr>
          <w:p w:rsidRPr="002572F9" w:rsidR="00F62435" w:rsidP="002572F9" w:rsidRDefault="00FE4AC9" w14:paraId="4D07C777" w14:textId="209481F7">
            <w:pPr>
              <w:spacing w:after="0" w:line="240" w:lineRule="auto"/>
              <w:rPr>
                <w:rFonts w:cs="Arial"/>
                <w:b/>
                <w:bCs/>
                <w:sz w:val="20"/>
                <w:szCs w:val="20"/>
              </w:rPr>
            </w:pPr>
            <w:r w:rsidRPr="002572F9">
              <w:rPr>
                <w:rFonts w:cs="Arial"/>
                <w:b/>
                <w:bCs/>
                <w:sz w:val="20"/>
                <w:szCs w:val="20"/>
              </w:rPr>
              <w:t>Lower profitability / margin to developers</w:t>
            </w:r>
          </w:p>
        </w:tc>
        <w:tc>
          <w:tcPr>
            <w:tcW w:w="2010" w:type="dxa"/>
            <w:shd w:val="clear" w:color="auto" w:fill="C5E0B3" w:themeFill="accent6" w:themeFillTint="66"/>
          </w:tcPr>
          <w:p w:rsidRPr="002572F9" w:rsidR="00F62435" w:rsidP="002572F9" w:rsidRDefault="00FE4AC9" w14:paraId="3E7BECA8" w14:textId="277CA081">
            <w:pPr>
              <w:spacing w:after="0" w:line="240" w:lineRule="auto"/>
              <w:rPr>
                <w:rFonts w:cs="Arial"/>
                <w:sz w:val="20"/>
                <w:szCs w:val="20"/>
              </w:rPr>
            </w:pPr>
            <w:r w:rsidRPr="002572F9">
              <w:rPr>
                <w:rFonts w:cs="Arial"/>
                <w:color w:val="000000"/>
                <w:sz w:val="20"/>
                <w:szCs w:val="20"/>
              </w:rPr>
              <w:t>Yes</w:t>
            </w:r>
            <w:r w:rsidRPr="002572F9" w:rsidR="004E312E">
              <w:rPr>
                <w:rFonts w:cs="Arial"/>
                <w:color w:val="000000"/>
                <w:sz w:val="20"/>
                <w:szCs w:val="20"/>
              </w:rPr>
              <w:t>,</w:t>
            </w:r>
            <w:r w:rsidRPr="002572F9">
              <w:rPr>
                <w:rFonts w:cs="Arial"/>
                <w:color w:val="000000"/>
                <w:sz w:val="20"/>
                <w:szCs w:val="20"/>
              </w:rPr>
              <w:t xml:space="preserve"> lower cost of capital can be used to absorb increased costs</w:t>
            </w:r>
          </w:p>
        </w:tc>
        <w:tc>
          <w:tcPr>
            <w:tcW w:w="1999" w:type="dxa"/>
            <w:shd w:val="clear" w:color="auto" w:fill="C5E0B3" w:themeFill="accent6" w:themeFillTint="66"/>
          </w:tcPr>
          <w:p w:rsidRPr="002572F9" w:rsidR="00F62435" w:rsidP="002572F9" w:rsidRDefault="00FE4AC9" w14:paraId="3332CD5D" w14:textId="1B1155D4">
            <w:pPr>
              <w:spacing w:after="0" w:line="240" w:lineRule="auto"/>
              <w:rPr>
                <w:rFonts w:cs="Arial"/>
                <w:sz w:val="20"/>
                <w:szCs w:val="20"/>
              </w:rPr>
            </w:pPr>
            <w:r w:rsidRPr="002572F9">
              <w:rPr>
                <w:rFonts w:cs="Arial"/>
                <w:color w:val="000000"/>
                <w:sz w:val="20"/>
                <w:szCs w:val="20"/>
              </w:rPr>
              <w:t>Yes</w:t>
            </w:r>
            <w:r w:rsidRPr="002572F9" w:rsidR="004E312E">
              <w:rPr>
                <w:rFonts w:cs="Arial"/>
                <w:color w:val="000000"/>
                <w:sz w:val="20"/>
                <w:szCs w:val="20"/>
              </w:rPr>
              <w:t>,</w:t>
            </w:r>
            <w:r w:rsidRPr="002572F9">
              <w:rPr>
                <w:rFonts w:cs="Arial"/>
                <w:color w:val="000000"/>
                <w:sz w:val="20"/>
                <w:szCs w:val="20"/>
              </w:rPr>
              <w:t xml:space="preserve"> lower cost of capital can be used to absorb increased costs</w:t>
            </w:r>
          </w:p>
        </w:tc>
        <w:tc>
          <w:tcPr>
            <w:tcW w:w="2010" w:type="dxa"/>
            <w:shd w:val="clear" w:color="auto" w:fill="C5E0B3" w:themeFill="accent6" w:themeFillTint="66"/>
          </w:tcPr>
          <w:p w:rsidRPr="002572F9" w:rsidR="00F62435" w:rsidP="002572F9" w:rsidRDefault="004E312E" w14:paraId="3EFD2494" w14:textId="198850B9">
            <w:pPr>
              <w:spacing w:after="0" w:line="240" w:lineRule="auto"/>
              <w:rPr>
                <w:rFonts w:cs="Arial"/>
                <w:color w:val="000000"/>
                <w:sz w:val="20"/>
                <w:szCs w:val="20"/>
              </w:rPr>
            </w:pPr>
            <w:r w:rsidRPr="002572F9">
              <w:rPr>
                <w:rFonts w:cs="Arial"/>
                <w:color w:val="000000"/>
                <w:sz w:val="20"/>
                <w:szCs w:val="20"/>
              </w:rPr>
              <w:t>Yes, lower cost of capital can be used to absorb increased costs</w:t>
            </w:r>
          </w:p>
        </w:tc>
        <w:tc>
          <w:tcPr>
            <w:tcW w:w="1981" w:type="dxa"/>
            <w:shd w:val="clear" w:color="auto" w:fill="C5E0B3" w:themeFill="accent6" w:themeFillTint="66"/>
          </w:tcPr>
          <w:p w:rsidRPr="002572F9" w:rsidR="00F62435" w:rsidP="002572F9" w:rsidRDefault="004E312E" w14:paraId="107119A9" w14:textId="41DF731F">
            <w:pPr>
              <w:spacing w:after="0" w:line="240" w:lineRule="auto"/>
              <w:rPr>
                <w:rFonts w:cs="Arial"/>
                <w:color w:val="000000"/>
                <w:sz w:val="20"/>
                <w:szCs w:val="20"/>
              </w:rPr>
            </w:pPr>
            <w:r w:rsidRPr="002572F9">
              <w:rPr>
                <w:rFonts w:cs="Arial"/>
                <w:color w:val="000000"/>
                <w:sz w:val="20"/>
                <w:szCs w:val="20"/>
              </w:rPr>
              <w:t>Yes, lower cost of capital can be used to absorb increased costs</w:t>
            </w:r>
          </w:p>
        </w:tc>
        <w:tc>
          <w:tcPr>
            <w:tcW w:w="1998" w:type="dxa"/>
            <w:shd w:val="clear" w:color="auto" w:fill="C5E0B3" w:themeFill="accent6" w:themeFillTint="66"/>
          </w:tcPr>
          <w:p w:rsidRPr="002572F9" w:rsidR="00F62435" w:rsidP="002572F9" w:rsidRDefault="004E312E" w14:paraId="5DF21E57" w14:textId="3CBEEF61">
            <w:pPr>
              <w:spacing w:after="0" w:line="240" w:lineRule="auto"/>
              <w:rPr>
                <w:rFonts w:cs="Arial"/>
                <w:color w:val="000000"/>
                <w:sz w:val="20"/>
                <w:szCs w:val="20"/>
              </w:rPr>
            </w:pPr>
            <w:r w:rsidRPr="002572F9">
              <w:rPr>
                <w:rFonts w:cs="Arial"/>
                <w:color w:val="000000"/>
                <w:sz w:val="20"/>
                <w:szCs w:val="20"/>
              </w:rPr>
              <w:t>Yes, supports better imported goods which can often be a key cost item</w:t>
            </w:r>
          </w:p>
        </w:tc>
        <w:tc>
          <w:tcPr>
            <w:tcW w:w="2363" w:type="dxa"/>
            <w:shd w:val="clear" w:color="auto" w:fill="F7CAAC" w:themeFill="accent2" w:themeFillTint="66"/>
          </w:tcPr>
          <w:p w:rsidRPr="002572F9" w:rsidR="00F62435" w:rsidP="002572F9" w:rsidRDefault="004E312E" w14:paraId="2C82E76B" w14:textId="46B3D2A1">
            <w:pPr>
              <w:spacing w:after="0" w:line="240" w:lineRule="auto"/>
              <w:rPr>
                <w:rFonts w:cs="Arial"/>
                <w:color w:val="000000"/>
                <w:sz w:val="20"/>
                <w:szCs w:val="20"/>
              </w:rPr>
            </w:pPr>
            <w:r w:rsidRPr="002572F9">
              <w:rPr>
                <w:rFonts w:cs="Arial"/>
                <w:color w:val="000000"/>
                <w:sz w:val="20"/>
                <w:szCs w:val="20"/>
              </w:rPr>
              <w:t>No</w:t>
            </w:r>
          </w:p>
        </w:tc>
      </w:tr>
      <w:tr w:rsidRPr="004E312E" w:rsidR="004E312E" w:rsidTr="002572F9" w14:paraId="2DCBE415" w14:textId="77777777">
        <w:tc>
          <w:tcPr>
            <w:tcW w:w="2518" w:type="dxa"/>
          </w:tcPr>
          <w:p w:rsidRPr="002572F9" w:rsidR="00FE4AC9" w:rsidP="002572F9" w:rsidRDefault="00FE4AC9" w14:paraId="573B7594" w14:textId="5C3B45DA">
            <w:pPr>
              <w:spacing w:after="0" w:line="240" w:lineRule="auto"/>
              <w:rPr>
                <w:rFonts w:cs="Arial"/>
                <w:b/>
                <w:bCs/>
                <w:sz w:val="20"/>
                <w:szCs w:val="20"/>
              </w:rPr>
            </w:pPr>
            <w:r w:rsidRPr="002572F9">
              <w:rPr>
                <w:rFonts w:cs="Arial"/>
                <w:b/>
                <w:bCs/>
                <w:sz w:val="20"/>
                <w:szCs w:val="20"/>
              </w:rPr>
              <w:t>Lack of incentives to build green</w:t>
            </w:r>
          </w:p>
        </w:tc>
        <w:tc>
          <w:tcPr>
            <w:tcW w:w="2010" w:type="dxa"/>
            <w:shd w:val="clear" w:color="auto" w:fill="F7CAAC" w:themeFill="accent2" w:themeFillTint="66"/>
          </w:tcPr>
          <w:p w:rsidRPr="002572F9" w:rsidR="00FE4AC9" w:rsidP="004E312E" w:rsidRDefault="004E312E" w14:paraId="1F1A92A6" w14:textId="031678F7">
            <w:pPr>
              <w:rPr>
                <w:rFonts w:cs="Arial"/>
                <w:sz w:val="20"/>
                <w:szCs w:val="20"/>
              </w:rPr>
            </w:pPr>
            <w:r w:rsidRPr="002572F9">
              <w:rPr>
                <w:rFonts w:cs="Arial"/>
                <w:color w:val="000000"/>
                <w:sz w:val="20"/>
                <w:szCs w:val="20"/>
              </w:rPr>
              <w:t>No</w:t>
            </w:r>
          </w:p>
        </w:tc>
        <w:tc>
          <w:tcPr>
            <w:tcW w:w="1999" w:type="dxa"/>
            <w:shd w:val="clear" w:color="auto" w:fill="F7CAAC" w:themeFill="accent2" w:themeFillTint="66"/>
          </w:tcPr>
          <w:p w:rsidRPr="002572F9" w:rsidR="00FE4AC9" w:rsidP="004E312E" w:rsidRDefault="004E312E" w14:paraId="5978A2A6" w14:textId="102B5222">
            <w:pPr>
              <w:rPr>
                <w:rFonts w:cs="Arial"/>
                <w:sz w:val="20"/>
                <w:szCs w:val="20"/>
              </w:rPr>
            </w:pPr>
            <w:r w:rsidRPr="002572F9">
              <w:rPr>
                <w:rFonts w:cs="Arial"/>
                <w:color w:val="000000"/>
                <w:sz w:val="20"/>
                <w:szCs w:val="20"/>
              </w:rPr>
              <w:t>No</w:t>
            </w:r>
          </w:p>
        </w:tc>
        <w:tc>
          <w:tcPr>
            <w:tcW w:w="2010" w:type="dxa"/>
            <w:shd w:val="clear" w:color="auto" w:fill="F7CAAC" w:themeFill="accent2" w:themeFillTint="66"/>
          </w:tcPr>
          <w:p w:rsidRPr="002572F9" w:rsidR="00FE4AC9" w:rsidP="004E312E" w:rsidRDefault="004E312E" w14:paraId="0404AAED" w14:textId="68FA90E2">
            <w:pPr>
              <w:rPr>
                <w:rFonts w:cs="Arial"/>
                <w:sz w:val="20"/>
                <w:szCs w:val="20"/>
              </w:rPr>
            </w:pPr>
            <w:r w:rsidRPr="002572F9">
              <w:rPr>
                <w:rFonts w:cs="Arial"/>
                <w:color w:val="000000"/>
                <w:sz w:val="20"/>
                <w:szCs w:val="20"/>
              </w:rPr>
              <w:t>No</w:t>
            </w:r>
          </w:p>
        </w:tc>
        <w:tc>
          <w:tcPr>
            <w:tcW w:w="1981" w:type="dxa"/>
            <w:shd w:val="clear" w:color="auto" w:fill="F7CAAC" w:themeFill="accent2" w:themeFillTint="66"/>
          </w:tcPr>
          <w:p w:rsidRPr="002572F9" w:rsidR="00FE4AC9" w:rsidP="004E312E" w:rsidRDefault="004E312E" w14:paraId="421DF9CC" w14:textId="6F951739">
            <w:pPr>
              <w:rPr>
                <w:rFonts w:cs="Arial"/>
                <w:sz w:val="20"/>
                <w:szCs w:val="20"/>
              </w:rPr>
            </w:pPr>
            <w:r w:rsidRPr="002572F9">
              <w:rPr>
                <w:rFonts w:cs="Arial"/>
                <w:color w:val="000000"/>
                <w:sz w:val="20"/>
                <w:szCs w:val="20"/>
              </w:rPr>
              <w:t>No</w:t>
            </w:r>
          </w:p>
        </w:tc>
        <w:tc>
          <w:tcPr>
            <w:tcW w:w="1998" w:type="dxa"/>
            <w:shd w:val="clear" w:color="auto" w:fill="F7CAAC" w:themeFill="accent2" w:themeFillTint="66"/>
          </w:tcPr>
          <w:p w:rsidRPr="002572F9" w:rsidR="00FE4AC9" w:rsidP="004E312E" w:rsidRDefault="004E312E" w14:paraId="1304EDB0" w14:textId="45A8DFD7">
            <w:pPr>
              <w:rPr>
                <w:rFonts w:cs="Arial"/>
                <w:sz w:val="20"/>
                <w:szCs w:val="20"/>
              </w:rPr>
            </w:pPr>
            <w:r w:rsidRPr="002572F9">
              <w:rPr>
                <w:rFonts w:cs="Arial"/>
                <w:color w:val="000000"/>
                <w:sz w:val="20"/>
                <w:szCs w:val="20"/>
              </w:rPr>
              <w:t>No</w:t>
            </w:r>
          </w:p>
        </w:tc>
        <w:tc>
          <w:tcPr>
            <w:tcW w:w="2363" w:type="dxa"/>
            <w:shd w:val="clear" w:color="auto" w:fill="F7CAAC" w:themeFill="accent2" w:themeFillTint="66"/>
          </w:tcPr>
          <w:p w:rsidRPr="002572F9" w:rsidR="00FE4AC9" w:rsidP="004E312E" w:rsidRDefault="004E312E" w14:paraId="3F1F45F7" w14:textId="7AA017F0">
            <w:pPr>
              <w:rPr>
                <w:rFonts w:cs="Arial"/>
                <w:sz w:val="20"/>
                <w:szCs w:val="20"/>
              </w:rPr>
            </w:pPr>
            <w:r w:rsidRPr="002572F9">
              <w:rPr>
                <w:rFonts w:cs="Arial"/>
                <w:color w:val="000000"/>
                <w:sz w:val="20"/>
                <w:szCs w:val="20"/>
              </w:rPr>
              <w:t>No</w:t>
            </w:r>
          </w:p>
        </w:tc>
      </w:tr>
      <w:tr w:rsidRPr="004E312E" w:rsidR="004E312E" w:rsidTr="002572F9" w14:paraId="708F3BA5" w14:textId="77777777">
        <w:tc>
          <w:tcPr>
            <w:tcW w:w="2518" w:type="dxa"/>
          </w:tcPr>
          <w:p w:rsidRPr="002572F9" w:rsidR="00FE4AC9" w:rsidP="002572F9" w:rsidRDefault="00FE4AC9" w14:paraId="1CCED6DD" w14:textId="4958EDCD">
            <w:pPr>
              <w:spacing w:after="0" w:line="240" w:lineRule="auto"/>
              <w:rPr>
                <w:rFonts w:cs="Arial"/>
                <w:b/>
                <w:bCs/>
                <w:sz w:val="20"/>
                <w:szCs w:val="20"/>
              </w:rPr>
            </w:pPr>
            <w:r w:rsidRPr="002572F9">
              <w:rPr>
                <w:rFonts w:cs="Arial"/>
                <w:b/>
                <w:bCs/>
                <w:sz w:val="20"/>
                <w:szCs w:val="20"/>
              </w:rPr>
              <w:t>Lack of knowledge of green construction</w:t>
            </w:r>
          </w:p>
        </w:tc>
        <w:tc>
          <w:tcPr>
            <w:tcW w:w="2010" w:type="dxa"/>
            <w:shd w:val="clear" w:color="auto" w:fill="F7CAAC" w:themeFill="accent2" w:themeFillTint="66"/>
          </w:tcPr>
          <w:p w:rsidRPr="002572F9" w:rsidR="00FE4AC9" w:rsidP="004E312E" w:rsidRDefault="004E312E" w14:paraId="46158C8A" w14:textId="6AC35469">
            <w:pPr>
              <w:rPr>
                <w:rFonts w:cs="Arial"/>
                <w:sz w:val="20"/>
                <w:szCs w:val="20"/>
              </w:rPr>
            </w:pPr>
            <w:r w:rsidRPr="002572F9">
              <w:rPr>
                <w:rFonts w:cs="Arial"/>
                <w:color w:val="000000"/>
                <w:sz w:val="20"/>
                <w:szCs w:val="20"/>
              </w:rPr>
              <w:t>No</w:t>
            </w:r>
          </w:p>
        </w:tc>
        <w:tc>
          <w:tcPr>
            <w:tcW w:w="1999" w:type="dxa"/>
            <w:shd w:val="clear" w:color="auto" w:fill="F7CAAC" w:themeFill="accent2" w:themeFillTint="66"/>
          </w:tcPr>
          <w:p w:rsidRPr="002572F9" w:rsidR="00FE4AC9" w:rsidP="004E312E" w:rsidRDefault="004E312E" w14:paraId="43BD6313" w14:textId="628A34A8">
            <w:pPr>
              <w:rPr>
                <w:rFonts w:cs="Arial"/>
                <w:sz w:val="20"/>
                <w:szCs w:val="20"/>
              </w:rPr>
            </w:pPr>
            <w:r w:rsidRPr="002572F9">
              <w:rPr>
                <w:rFonts w:cs="Arial"/>
                <w:color w:val="000000"/>
                <w:sz w:val="20"/>
                <w:szCs w:val="20"/>
              </w:rPr>
              <w:t>No</w:t>
            </w:r>
          </w:p>
        </w:tc>
        <w:tc>
          <w:tcPr>
            <w:tcW w:w="2010" w:type="dxa"/>
            <w:shd w:val="clear" w:color="auto" w:fill="F7CAAC" w:themeFill="accent2" w:themeFillTint="66"/>
          </w:tcPr>
          <w:p w:rsidRPr="002572F9" w:rsidR="00FE4AC9" w:rsidP="004E312E" w:rsidRDefault="004E312E" w14:paraId="538E9AAE" w14:textId="6B12FC2D">
            <w:pPr>
              <w:rPr>
                <w:rFonts w:cs="Arial"/>
                <w:sz w:val="20"/>
                <w:szCs w:val="20"/>
              </w:rPr>
            </w:pPr>
            <w:r w:rsidRPr="002572F9">
              <w:rPr>
                <w:rFonts w:cs="Arial"/>
                <w:color w:val="000000"/>
                <w:sz w:val="20"/>
                <w:szCs w:val="20"/>
              </w:rPr>
              <w:t>No</w:t>
            </w:r>
          </w:p>
        </w:tc>
        <w:tc>
          <w:tcPr>
            <w:tcW w:w="1981" w:type="dxa"/>
            <w:shd w:val="clear" w:color="auto" w:fill="F7CAAC" w:themeFill="accent2" w:themeFillTint="66"/>
          </w:tcPr>
          <w:p w:rsidRPr="002572F9" w:rsidR="00FE4AC9" w:rsidP="004E312E" w:rsidRDefault="004E312E" w14:paraId="20D0E9B1" w14:textId="526140CF">
            <w:pPr>
              <w:rPr>
                <w:rFonts w:cs="Arial"/>
                <w:sz w:val="20"/>
                <w:szCs w:val="20"/>
              </w:rPr>
            </w:pPr>
            <w:r w:rsidRPr="002572F9">
              <w:rPr>
                <w:rFonts w:cs="Arial"/>
                <w:color w:val="000000"/>
                <w:sz w:val="20"/>
                <w:szCs w:val="20"/>
              </w:rPr>
              <w:t>No</w:t>
            </w:r>
          </w:p>
        </w:tc>
        <w:tc>
          <w:tcPr>
            <w:tcW w:w="1998" w:type="dxa"/>
            <w:shd w:val="clear" w:color="auto" w:fill="F7CAAC" w:themeFill="accent2" w:themeFillTint="66"/>
          </w:tcPr>
          <w:p w:rsidRPr="002572F9" w:rsidR="00FE4AC9" w:rsidP="004E312E" w:rsidRDefault="004E312E" w14:paraId="09A1F509" w14:textId="780025C7">
            <w:pPr>
              <w:rPr>
                <w:rFonts w:cs="Arial"/>
                <w:sz w:val="20"/>
                <w:szCs w:val="20"/>
              </w:rPr>
            </w:pPr>
            <w:r w:rsidRPr="002572F9">
              <w:rPr>
                <w:rFonts w:cs="Arial"/>
                <w:color w:val="000000"/>
                <w:sz w:val="20"/>
                <w:szCs w:val="20"/>
              </w:rPr>
              <w:t>No</w:t>
            </w:r>
          </w:p>
        </w:tc>
        <w:tc>
          <w:tcPr>
            <w:tcW w:w="2363" w:type="dxa"/>
            <w:shd w:val="clear" w:color="auto" w:fill="F7CAAC" w:themeFill="accent2" w:themeFillTint="66"/>
          </w:tcPr>
          <w:p w:rsidRPr="002572F9" w:rsidR="00FE4AC9" w:rsidP="004E312E" w:rsidRDefault="004E312E" w14:paraId="2542038F" w14:textId="38B648AB">
            <w:pPr>
              <w:rPr>
                <w:rFonts w:cs="Arial"/>
                <w:sz w:val="20"/>
                <w:szCs w:val="20"/>
              </w:rPr>
            </w:pPr>
            <w:r w:rsidRPr="002572F9">
              <w:rPr>
                <w:rFonts w:cs="Arial"/>
                <w:color w:val="000000"/>
                <w:sz w:val="20"/>
                <w:szCs w:val="20"/>
              </w:rPr>
              <w:t>No</w:t>
            </w:r>
          </w:p>
        </w:tc>
      </w:tr>
      <w:tr w:rsidRPr="004E312E" w:rsidR="004E312E" w:rsidTr="002572F9" w14:paraId="00EAF843" w14:textId="77777777">
        <w:tc>
          <w:tcPr>
            <w:tcW w:w="2518" w:type="dxa"/>
          </w:tcPr>
          <w:p w:rsidRPr="002572F9" w:rsidR="00FE4AC9" w:rsidP="002572F9" w:rsidRDefault="00FE4AC9" w14:paraId="1427ABCE" w14:textId="5CA9ACB4">
            <w:pPr>
              <w:spacing w:after="0" w:line="240" w:lineRule="auto"/>
              <w:rPr>
                <w:rFonts w:cs="Arial"/>
                <w:b/>
                <w:bCs/>
                <w:sz w:val="20"/>
                <w:szCs w:val="20"/>
              </w:rPr>
            </w:pPr>
            <w:r w:rsidRPr="002572F9">
              <w:rPr>
                <w:rFonts w:cs="Arial"/>
                <w:b/>
                <w:bCs/>
                <w:sz w:val="20"/>
                <w:szCs w:val="20"/>
              </w:rPr>
              <w:t>Regulatory barriers</w:t>
            </w:r>
          </w:p>
        </w:tc>
        <w:tc>
          <w:tcPr>
            <w:tcW w:w="2010" w:type="dxa"/>
            <w:shd w:val="clear" w:color="auto" w:fill="F7CAAC" w:themeFill="accent2" w:themeFillTint="66"/>
          </w:tcPr>
          <w:p w:rsidRPr="002572F9" w:rsidR="00FE4AC9" w:rsidP="004E312E" w:rsidRDefault="004E312E" w14:paraId="50F6C072" w14:textId="440E87E3">
            <w:pPr>
              <w:rPr>
                <w:rFonts w:cs="Arial"/>
                <w:sz w:val="20"/>
                <w:szCs w:val="20"/>
              </w:rPr>
            </w:pPr>
            <w:r w:rsidRPr="002572F9">
              <w:rPr>
                <w:rFonts w:cs="Arial"/>
                <w:color w:val="000000"/>
                <w:sz w:val="20"/>
                <w:szCs w:val="20"/>
              </w:rPr>
              <w:t>No</w:t>
            </w:r>
          </w:p>
        </w:tc>
        <w:tc>
          <w:tcPr>
            <w:tcW w:w="1999" w:type="dxa"/>
            <w:shd w:val="clear" w:color="auto" w:fill="F7CAAC" w:themeFill="accent2" w:themeFillTint="66"/>
          </w:tcPr>
          <w:p w:rsidRPr="002572F9" w:rsidR="00FE4AC9" w:rsidP="004E312E" w:rsidRDefault="004E312E" w14:paraId="2541C19D" w14:textId="7C7FD90B">
            <w:pPr>
              <w:rPr>
                <w:rFonts w:cs="Arial"/>
                <w:sz w:val="20"/>
                <w:szCs w:val="20"/>
              </w:rPr>
            </w:pPr>
            <w:r w:rsidRPr="002572F9">
              <w:rPr>
                <w:rFonts w:cs="Arial"/>
                <w:color w:val="000000"/>
                <w:sz w:val="20"/>
                <w:szCs w:val="20"/>
              </w:rPr>
              <w:t>No</w:t>
            </w:r>
          </w:p>
        </w:tc>
        <w:tc>
          <w:tcPr>
            <w:tcW w:w="2010" w:type="dxa"/>
            <w:shd w:val="clear" w:color="auto" w:fill="F7CAAC" w:themeFill="accent2" w:themeFillTint="66"/>
          </w:tcPr>
          <w:p w:rsidRPr="002572F9" w:rsidR="00FE4AC9" w:rsidP="004E312E" w:rsidRDefault="004E312E" w14:paraId="66AD6299" w14:textId="4FB66312">
            <w:pPr>
              <w:rPr>
                <w:rFonts w:cs="Arial"/>
                <w:sz w:val="20"/>
                <w:szCs w:val="20"/>
              </w:rPr>
            </w:pPr>
            <w:r w:rsidRPr="002572F9">
              <w:rPr>
                <w:rFonts w:cs="Arial"/>
                <w:color w:val="000000"/>
                <w:sz w:val="20"/>
                <w:szCs w:val="20"/>
              </w:rPr>
              <w:t>No</w:t>
            </w:r>
          </w:p>
        </w:tc>
        <w:tc>
          <w:tcPr>
            <w:tcW w:w="1981" w:type="dxa"/>
            <w:shd w:val="clear" w:color="auto" w:fill="F7CAAC" w:themeFill="accent2" w:themeFillTint="66"/>
          </w:tcPr>
          <w:p w:rsidRPr="002572F9" w:rsidR="00FE4AC9" w:rsidP="004E312E" w:rsidRDefault="004E312E" w14:paraId="24AC7B20" w14:textId="23038EEB">
            <w:pPr>
              <w:rPr>
                <w:rFonts w:cs="Arial"/>
                <w:sz w:val="20"/>
                <w:szCs w:val="20"/>
              </w:rPr>
            </w:pPr>
            <w:r w:rsidRPr="002572F9">
              <w:rPr>
                <w:rFonts w:cs="Arial"/>
                <w:color w:val="000000"/>
                <w:sz w:val="20"/>
                <w:szCs w:val="20"/>
              </w:rPr>
              <w:t>No</w:t>
            </w:r>
          </w:p>
        </w:tc>
        <w:tc>
          <w:tcPr>
            <w:tcW w:w="1998" w:type="dxa"/>
            <w:shd w:val="clear" w:color="auto" w:fill="F7CAAC" w:themeFill="accent2" w:themeFillTint="66"/>
          </w:tcPr>
          <w:p w:rsidRPr="002572F9" w:rsidR="00FE4AC9" w:rsidP="004E312E" w:rsidRDefault="004E312E" w14:paraId="07FC318D" w14:textId="5A8E9DFE">
            <w:pPr>
              <w:rPr>
                <w:rFonts w:cs="Arial"/>
                <w:sz w:val="20"/>
                <w:szCs w:val="20"/>
              </w:rPr>
            </w:pPr>
            <w:r w:rsidRPr="002572F9">
              <w:rPr>
                <w:rFonts w:cs="Arial"/>
                <w:color w:val="000000"/>
                <w:sz w:val="20"/>
                <w:szCs w:val="20"/>
              </w:rPr>
              <w:t>No</w:t>
            </w:r>
          </w:p>
        </w:tc>
        <w:tc>
          <w:tcPr>
            <w:tcW w:w="2363" w:type="dxa"/>
            <w:shd w:val="clear" w:color="auto" w:fill="F7CAAC" w:themeFill="accent2" w:themeFillTint="66"/>
          </w:tcPr>
          <w:p w:rsidRPr="002572F9" w:rsidR="00FE4AC9" w:rsidP="004E312E" w:rsidRDefault="004E312E" w14:paraId="7105A72A" w14:textId="2C500433">
            <w:pPr>
              <w:rPr>
                <w:rFonts w:cs="Arial"/>
                <w:sz w:val="20"/>
                <w:szCs w:val="20"/>
              </w:rPr>
            </w:pPr>
            <w:r w:rsidRPr="002572F9">
              <w:rPr>
                <w:rFonts w:cs="Arial"/>
                <w:color w:val="000000"/>
                <w:sz w:val="20"/>
                <w:szCs w:val="20"/>
              </w:rPr>
              <w:t>No</w:t>
            </w:r>
          </w:p>
        </w:tc>
      </w:tr>
      <w:tr w:rsidRPr="004E312E" w:rsidR="004E312E" w:rsidTr="002572F9" w14:paraId="2AA8FD19" w14:textId="77777777">
        <w:tc>
          <w:tcPr>
            <w:tcW w:w="2518" w:type="dxa"/>
          </w:tcPr>
          <w:p w:rsidRPr="002572F9" w:rsidR="00FE4AC9" w:rsidP="002572F9" w:rsidRDefault="00FE4AC9" w14:paraId="5DCE122F" w14:textId="0537321E">
            <w:pPr>
              <w:spacing w:after="0" w:line="240" w:lineRule="auto"/>
              <w:rPr>
                <w:rFonts w:cs="Arial"/>
                <w:b/>
                <w:bCs/>
                <w:sz w:val="20"/>
                <w:szCs w:val="20"/>
              </w:rPr>
            </w:pPr>
            <w:r w:rsidRPr="002572F9">
              <w:rPr>
                <w:rFonts w:cs="Arial"/>
                <w:b/>
                <w:bCs/>
                <w:sz w:val="20"/>
                <w:szCs w:val="20"/>
              </w:rPr>
              <w:t>Material availability</w:t>
            </w:r>
          </w:p>
        </w:tc>
        <w:tc>
          <w:tcPr>
            <w:tcW w:w="2010" w:type="dxa"/>
            <w:shd w:val="clear" w:color="auto" w:fill="F7CAAC" w:themeFill="accent2" w:themeFillTint="66"/>
          </w:tcPr>
          <w:p w:rsidRPr="002572F9" w:rsidR="00FE4AC9" w:rsidP="004E312E" w:rsidRDefault="004E312E" w14:paraId="459C7E80" w14:textId="14BDD3B9">
            <w:pPr>
              <w:rPr>
                <w:rFonts w:cs="Arial"/>
                <w:sz w:val="20"/>
                <w:szCs w:val="20"/>
              </w:rPr>
            </w:pPr>
            <w:r w:rsidRPr="002572F9">
              <w:rPr>
                <w:rFonts w:cs="Arial"/>
                <w:color w:val="000000"/>
                <w:sz w:val="20"/>
                <w:szCs w:val="20"/>
              </w:rPr>
              <w:t>No</w:t>
            </w:r>
          </w:p>
        </w:tc>
        <w:tc>
          <w:tcPr>
            <w:tcW w:w="1999" w:type="dxa"/>
            <w:shd w:val="clear" w:color="auto" w:fill="F7CAAC" w:themeFill="accent2" w:themeFillTint="66"/>
          </w:tcPr>
          <w:p w:rsidRPr="002572F9" w:rsidR="00FE4AC9" w:rsidP="004E312E" w:rsidRDefault="004E312E" w14:paraId="1FADBDC8" w14:textId="517026B7">
            <w:pPr>
              <w:rPr>
                <w:rFonts w:cs="Arial"/>
                <w:sz w:val="20"/>
                <w:szCs w:val="20"/>
              </w:rPr>
            </w:pPr>
            <w:r w:rsidRPr="002572F9">
              <w:rPr>
                <w:rFonts w:cs="Arial"/>
                <w:color w:val="000000"/>
                <w:sz w:val="20"/>
                <w:szCs w:val="20"/>
              </w:rPr>
              <w:t>No</w:t>
            </w:r>
          </w:p>
        </w:tc>
        <w:tc>
          <w:tcPr>
            <w:tcW w:w="2010" w:type="dxa"/>
            <w:shd w:val="clear" w:color="auto" w:fill="F7CAAC" w:themeFill="accent2" w:themeFillTint="66"/>
          </w:tcPr>
          <w:p w:rsidRPr="002572F9" w:rsidR="00FE4AC9" w:rsidP="004E312E" w:rsidRDefault="004E312E" w14:paraId="67566DDB" w14:textId="568A1165">
            <w:pPr>
              <w:rPr>
                <w:rFonts w:cs="Arial"/>
                <w:sz w:val="20"/>
                <w:szCs w:val="20"/>
              </w:rPr>
            </w:pPr>
            <w:r w:rsidRPr="002572F9">
              <w:rPr>
                <w:rFonts w:cs="Arial"/>
                <w:color w:val="000000"/>
                <w:sz w:val="20"/>
                <w:szCs w:val="20"/>
              </w:rPr>
              <w:t>No</w:t>
            </w:r>
          </w:p>
        </w:tc>
        <w:tc>
          <w:tcPr>
            <w:tcW w:w="1981" w:type="dxa"/>
            <w:shd w:val="clear" w:color="auto" w:fill="F7CAAC" w:themeFill="accent2" w:themeFillTint="66"/>
          </w:tcPr>
          <w:p w:rsidRPr="002572F9" w:rsidR="00FE4AC9" w:rsidP="004E312E" w:rsidRDefault="004E312E" w14:paraId="79C16058" w14:textId="09CA4482">
            <w:pPr>
              <w:rPr>
                <w:rFonts w:cs="Arial"/>
                <w:sz w:val="20"/>
                <w:szCs w:val="20"/>
              </w:rPr>
            </w:pPr>
            <w:r w:rsidRPr="002572F9">
              <w:rPr>
                <w:rFonts w:cs="Arial"/>
                <w:color w:val="000000"/>
                <w:sz w:val="20"/>
                <w:szCs w:val="20"/>
              </w:rPr>
              <w:t>No</w:t>
            </w:r>
          </w:p>
        </w:tc>
        <w:tc>
          <w:tcPr>
            <w:tcW w:w="1998" w:type="dxa"/>
            <w:shd w:val="clear" w:color="auto" w:fill="C5E0B3" w:themeFill="accent6" w:themeFillTint="66"/>
          </w:tcPr>
          <w:p w:rsidRPr="002572F9" w:rsidR="00FE4AC9" w:rsidP="002572F9" w:rsidRDefault="004E312E" w14:paraId="0A99FE7E" w14:textId="5CC0531C">
            <w:pPr>
              <w:spacing w:after="0" w:line="240" w:lineRule="auto"/>
              <w:rPr>
                <w:rFonts w:cs="Arial"/>
                <w:color w:val="000000"/>
                <w:sz w:val="20"/>
                <w:szCs w:val="20"/>
              </w:rPr>
            </w:pPr>
            <w:r w:rsidRPr="002572F9">
              <w:rPr>
                <w:rFonts w:cs="Arial"/>
                <w:color w:val="000000"/>
                <w:sz w:val="20"/>
                <w:szCs w:val="20"/>
              </w:rPr>
              <w:t>- Yes, to a degree as exporters / importers are willing to participate more and support projects</w:t>
            </w:r>
          </w:p>
        </w:tc>
        <w:tc>
          <w:tcPr>
            <w:tcW w:w="2363" w:type="dxa"/>
            <w:shd w:val="clear" w:color="auto" w:fill="F7CAAC" w:themeFill="accent2" w:themeFillTint="66"/>
          </w:tcPr>
          <w:p w:rsidRPr="002572F9" w:rsidR="00FE4AC9" w:rsidP="004E312E" w:rsidRDefault="004E312E" w14:paraId="50C4D840" w14:textId="2FB2E986">
            <w:pPr>
              <w:rPr>
                <w:rFonts w:cs="Arial"/>
                <w:sz w:val="20"/>
                <w:szCs w:val="20"/>
              </w:rPr>
            </w:pPr>
            <w:r w:rsidRPr="002572F9">
              <w:rPr>
                <w:rFonts w:cs="Arial"/>
                <w:color w:val="000000"/>
                <w:sz w:val="20"/>
                <w:szCs w:val="20"/>
              </w:rPr>
              <w:t>No</w:t>
            </w:r>
          </w:p>
        </w:tc>
      </w:tr>
    </w:tbl>
    <w:p w:rsidR="00F62435" w:rsidP="00E13638" w:rsidRDefault="00F62435" w14:paraId="2CB29AF9" w14:textId="3D3574AC">
      <w:r>
        <w:br w:type="page"/>
      </w:r>
    </w:p>
    <w:p w:rsidRPr="00C949C1" w:rsidR="000C1A85" w:rsidP="000C1A85" w:rsidRDefault="000C1A85" w14:paraId="17A2D6AF" w14:textId="77777777">
      <w:pPr>
        <w:sectPr w:rsidRPr="00C949C1" w:rsidR="000C1A85" w:rsidSect="00FE4AC9">
          <w:pgSz w:w="16838" w:h="11906" w:orient="landscape"/>
          <w:pgMar w:top="907" w:right="1418" w:bottom="907" w:left="907" w:header="709" w:footer="266" w:gutter="0"/>
          <w:cols w:space="720"/>
          <w:docGrid w:linePitch="326"/>
        </w:sectPr>
      </w:pPr>
    </w:p>
    <w:p w:rsidRPr="007255B7" w:rsidR="000C1A85" w:rsidP="007255B7" w:rsidRDefault="000C1A85" w14:paraId="516B84A0" w14:textId="77777777"/>
    <w:p w:rsidRPr="00D85735" w:rsidR="007255B7" w:rsidP="00D85735" w:rsidRDefault="007255B7" w14:paraId="3EBBD34D" w14:textId="77777777"/>
    <w:p w:rsidR="004A3DCA" w:rsidP="00975F60" w:rsidRDefault="004A3DCA" w14:paraId="291046D6" w14:textId="77777777"/>
    <w:p w:rsidR="004A3DCA" w:rsidP="00975F60" w:rsidRDefault="004A3DCA" w14:paraId="1DD49CF2" w14:textId="77777777"/>
    <w:p w:rsidR="004A3DCA" w:rsidP="00975F60" w:rsidRDefault="004A3DCA" w14:paraId="09AF6DBA" w14:textId="77777777"/>
    <w:p w:rsidR="004A3DCA" w:rsidP="00975F60" w:rsidRDefault="004A3DCA" w14:paraId="6DD3FC8D" w14:textId="77777777"/>
    <w:p w:rsidR="004A3DCA" w:rsidP="00975F60" w:rsidRDefault="004A3DCA" w14:paraId="44F93212" w14:textId="77777777"/>
    <w:p w:rsidR="004A3DCA" w:rsidP="00975F60" w:rsidRDefault="004A3DCA" w14:paraId="2F85A89E" w14:textId="77777777"/>
    <w:p w:rsidR="004A3DCA" w:rsidP="00975F60" w:rsidRDefault="004A3DCA" w14:paraId="35390D0B" w14:textId="77777777"/>
    <w:p w:rsidR="004A3DCA" w:rsidP="00975F60" w:rsidRDefault="004A3DCA" w14:paraId="3210F705" w14:textId="77777777"/>
    <w:p w:rsidRPr="00975F60" w:rsidR="004A3DCA" w:rsidP="00975F60" w:rsidRDefault="004A3DCA" w14:paraId="0EA82EAD" w14:textId="77777777"/>
    <w:p w:rsidR="00975F60" w:rsidP="00FC25FC" w:rsidRDefault="00975F60" w14:paraId="00D6AA90" w14:textId="77777777"/>
    <w:p w:rsidR="00975F60" w:rsidP="00FC25FC" w:rsidRDefault="00975F60" w14:paraId="3EF071F8" w14:textId="77777777"/>
    <w:p w:rsidR="00975F60" w:rsidP="00FC25FC" w:rsidRDefault="00975F60" w14:paraId="22DE96B6" w14:textId="77777777"/>
    <w:p w:rsidR="00975F60" w:rsidP="00FC25FC" w:rsidRDefault="00975F60" w14:paraId="07828F7F" w14:textId="77777777"/>
    <w:p w:rsidR="00975F60" w:rsidP="00FC25FC" w:rsidRDefault="00975F60" w14:paraId="2770F877" w14:textId="77777777"/>
    <w:p w:rsidR="00975F60" w:rsidP="00FC25FC" w:rsidRDefault="00975F60" w14:paraId="672B2F8A" w14:textId="77777777"/>
    <w:p w:rsidR="00975F60" w:rsidP="00FC25FC" w:rsidRDefault="00975F60" w14:paraId="68DEDC42" w14:textId="77777777"/>
    <w:p w:rsidR="00975F60" w:rsidP="00FC25FC" w:rsidRDefault="00975F60" w14:paraId="5941E1CC" w14:textId="77777777"/>
    <w:p w:rsidR="00975F60" w:rsidP="00FC25FC" w:rsidRDefault="00975F60" w14:paraId="0710D184" w14:textId="77777777"/>
    <w:p w:rsidR="00975F60" w:rsidP="00FC25FC" w:rsidRDefault="00975F60" w14:paraId="2E370F6D" w14:textId="77777777"/>
    <w:p w:rsidR="0038306A" w:rsidP="0038306A" w:rsidRDefault="0038306A" w14:paraId="1925867A" w14:textId="77777777">
      <w:r>
        <w:t xml:space="preserve">This publication is available from: </w:t>
      </w:r>
      <w:hyperlink w:history="1" r:id="rId96">
        <w:r w:rsidR="00A81362">
          <w:rPr>
            <w:rStyle w:val="Hyperlink"/>
          </w:rPr>
          <w:t>www.gov.uk/desnz</w:t>
        </w:r>
      </w:hyperlink>
      <w:r w:rsidR="00A55956">
        <w:t xml:space="preserve"> </w:t>
      </w:r>
      <w:r w:rsidRPr="00D92F03" w:rsidR="00A55956">
        <w:rPr>
          <w:b/>
          <w:color w:val="A5A5A5" w:themeColor="accent3"/>
        </w:rPr>
        <w:t>[replace with direct URL if known]</w:t>
      </w:r>
      <w:r w:rsidRPr="00D92F03" w:rsidR="00A55956">
        <w:rPr>
          <w:color w:val="A5A5A5" w:themeColor="accent3"/>
        </w:rPr>
        <w:t xml:space="preserve">  </w:t>
      </w:r>
    </w:p>
    <w:p w:rsidRPr="005E661B" w:rsidR="005E661B" w:rsidP="00C26D9C" w:rsidRDefault="0038306A" w14:paraId="4FA4ACCB" w14:textId="77777777">
      <w:pPr>
        <w:spacing w:after="0"/>
      </w:pPr>
      <w:r>
        <w:t xml:space="preserve">If you need a version of this document in a more accessible format, please email </w:t>
      </w:r>
      <w:hyperlink w:history="1" r:id="rId97">
        <w:r w:rsidRPr="00F34CA8" w:rsidR="007B7BC9">
          <w:rPr>
            <w:rStyle w:val="Hyperlink"/>
          </w:rPr>
          <w:t>alt.formats@energy</w:t>
        </w:r>
        <w:r w:rsidR="00C859D1">
          <w:rPr>
            <w:rStyle w:val="Hyperlink"/>
          </w:rPr>
          <w:t>security</w:t>
        </w:r>
        <w:r w:rsidRPr="00F34CA8" w:rsidR="007B7BC9">
          <w:rPr>
            <w:rStyle w:val="Hyperlink"/>
          </w:rPr>
          <w:t>.gov.uk</w:t>
        </w:r>
      </w:hyperlink>
      <w:r>
        <w:t>. Please tell us what format you need. It will help us if you say what assistive technology you use.</w:t>
      </w:r>
    </w:p>
    <w:sectPr w:rsidRPr="005E661B" w:rsidR="005E661B" w:rsidSect="009A3A6F">
      <w:pgSz w:w="11906" w:h="16838" w:orient="portrait" w:code="9"/>
      <w:pgMar w:top="1418" w:right="907" w:bottom="567" w:left="90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5EC5" w:rsidP="00490BD3" w:rsidRDefault="00535EC5" w14:paraId="2829D630" w14:textId="77777777">
      <w:pPr>
        <w:spacing w:after="0"/>
      </w:pPr>
      <w:r>
        <w:separator/>
      </w:r>
    </w:p>
  </w:endnote>
  <w:endnote w:type="continuationSeparator" w:id="0">
    <w:p w:rsidR="00535EC5" w:rsidP="00490BD3" w:rsidRDefault="00535EC5" w14:paraId="7D912039" w14:textId="77777777">
      <w:pPr>
        <w:spacing w:after="0"/>
      </w:pPr>
      <w:r>
        <w:continuationSeparator/>
      </w:r>
    </w:p>
  </w:endnote>
  <w:endnote w:type="continuationNotice" w:id="1">
    <w:p w:rsidR="00535EC5" w:rsidRDefault="00535EC5" w14:paraId="421C26D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03" w:rsidP="00FC1A03" w:rsidRDefault="00371F99" w14:paraId="0B391DB7" w14:textId="4085B462">
    <w:pPr>
      <w:pStyle w:val="DESNZDate"/>
    </w:pPr>
    <w:r>
      <w:t xml:space="preserve">January </w:t>
    </w:r>
    <w:r w:rsidR="00871A41">
      <w:t>202</w:t>
    </w:r>
    <w: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26D9C" w:rsidR="00EE178D" w:rsidP="00C26D9C" w:rsidRDefault="00EE178D" w14:paraId="2005070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9743565"/>
      <w:docPartObj>
        <w:docPartGallery w:val="Page Numbers (Bottom of Page)"/>
        <w:docPartUnique/>
      </w:docPartObj>
    </w:sdtPr>
    <w:sdtEndPr/>
    <w:sdtContent>
      <w:p w:rsidRPr="0030075C" w:rsidR="0030075C" w:rsidRDefault="0030075C" w14:paraId="17C63BA9" w14:textId="194B275B">
        <w:pPr>
          <w:pStyle w:val="Footer"/>
        </w:pPr>
        <w:r w:rsidRPr="0030075C">
          <w:fldChar w:fldCharType="begin"/>
        </w:r>
        <w:r w:rsidRPr="0030075C">
          <w:instrText xml:space="preserve"> PAGE   \* MERGEFORMAT </w:instrText>
        </w:r>
        <w:r w:rsidRPr="0030075C">
          <w:fldChar w:fldCharType="separate"/>
        </w:r>
        <w:r w:rsidRPr="0030075C">
          <w:t>2</w:t>
        </w:r>
        <w:r w:rsidRPr="0030075C">
          <w:fldChar w:fldCharType="end"/>
        </w:r>
      </w:p>
    </w:sdtContent>
  </w:sdt>
  <w:p w:rsidR="0038306A" w:rsidRDefault="0038306A" w14:paraId="5B19D02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25914" w:rsidR="000C1A85" w:rsidRDefault="000C1A85" w14:paraId="12A60A04" w14:textId="77777777">
    <w:pPr>
      <w:pStyle w:val="Footer"/>
    </w:pPr>
  </w:p>
  <w:p w:rsidRPr="00A43D70" w:rsidR="000C1A85" w:rsidP="00483BA0" w:rsidRDefault="000C1A85" w14:paraId="06DAF082" w14:textId="77777777">
    <w:pPr>
      <w:pStyle w:val="Footer"/>
      <w:spacing w:after="240"/>
      <w:jc w:val="righ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5EC5" w:rsidP="00490BD3" w:rsidRDefault="00535EC5" w14:paraId="6F7A4CF4" w14:textId="77777777">
      <w:pPr>
        <w:spacing w:after="0"/>
      </w:pPr>
      <w:r>
        <w:separator/>
      </w:r>
    </w:p>
  </w:footnote>
  <w:footnote w:type="continuationSeparator" w:id="0">
    <w:p w:rsidR="00535EC5" w:rsidP="00490BD3" w:rsidRDefault="00535EC5" w14:paraId="5CFDC8CC" w14:textId="77777777">
      <w:pPr>
        <w:spacing w:after="0"/>
      </w:pPr>
      <w:r>
        <w:continuationSeparator/>
      </w:r>
    </w:p>
  </w:footnote>
  <w:footnote w:type="continuationNotice" w:id="1">
    <w:p w:rsidR="00535EC5" w:rsidRDefault="00535EC5" w14:paraId="065B2514" w14:textId="77777777">
      <w:pPr>
        <w:spacing w:after="0" w:line="240" w:lineRule="auto"/>
      </w:pPr>
    </w:p>
  </w:footnote>
  <w:footnote w:id="2">
    <w:p w:rsidR="00871A41" w:rsidP="00871A41" w:rsidRDefault="00871A41" w14:paraId="64849905" w14:textId="77777777">
      <w:pPr>
        <w:pStyle w:val="FootnoteText"/>
      </w:pPr>
      <w:r>
        <w:rPr>
          <w:rStyle w:val="FootnoteReference"/>
        </w:rPr>
        <w:footnoteRef/>
      </w:r>
      <w:r>
        <w:t xml:space="preserve"> Undertaken in early 2024 and published here: [ADD LINK WHEN PUBLISHED]</w:t>
      </w:r>
    </w:p>
  </w:footnote>
  <w:footnote w:id="3">
    <w:p w:rsidR="00EA1E4E" w:rsidP="00EA1E4E" w:rsidRDefault="00EA1E4E" w14:paraId="1F758CCC" w14:textId="77777777">
      <w:pPr>
        <w:pStyle w:val="FootnoteText"/>
      </w:pPr>
      <w:r>
        <w:rPr>
          <w:rStyle w:val="FootnoteReference"/>
        </w:rPr>
        <w:footnoteRef/>
      </w:r>
      <w:r>
        <w:t xml:space="preserve"> </w:t>
      </w:r>
      <w:r w:rsidRPr="003C67F7">
        <w:rPr>
          <w:rStyle w:val="FootnoteReference"/>
        </w:rPr>
        <w:t>https://assets.publishing.service.gov.uk/government/uploads/system/uploads/attachment_data/file/1139441/international-climate-finance_KPI_15_Methodology_Note_Extent_to_which_ICF_intervention_is_likely_to_lead_to_transformational_change.pdf</w:t>
      </w:r>
    </w:p>
  </w:footnote>
  <w:footnote w:id="4">
    <w:p w:rsidR="00EA1E4E" w:rsidP="00EA1E4E" w:rsidRDefault="00EA1E4E" w14:paraId="7BA724BB" w14:textId="77777777">
      <w:pPr>
        <w:pStyle w:val="FootnoteText"/>
      </w:pPr>
      <w:r>
        <w:rPr>
          <w:rStyle w:val="FootnoteReference"/>
        </w:rPr>
        <w:footnoteRef/>
      </w:r>
      <w:r>
        <w:t xml:space="preserve"> </w:t>
      </w:r>
      <w:r w:rsidRPr="002C57BB">
        <w:rPr>
          <w:rStyle w:val="FootnoteReference"/>
        </w:rPr>
        <w:t>MAGC Programme business case</w:t>
      </w:r>
    </w:p>
  </w:footnote>
  <w:footnote w:id="5">
    <w:p w:rsidR="00224900" w:rsidRDefault="00224900" w14:paraId="58065CC1" w14:textId="558A9154">
      <w:pPr>
        <w:pStyle w:val="FootnoteText"/>
      </w:pPr>
      <w:r>
        <w:rPr>
          <w:rStyle w:val="FootnoteReference"/>
        </w:rPr>
        <w:footnoteRef/>
      </w:r>
      <w:r>
        <w:t xml:space="preserve"> </w:t>
      </w:r>
      <w:r w:rsidRPr="002C57BB" w:rsidR="00582DE5">
        <w:rPr>
          <w:rStyle w:val="FootnoteReference"/>
        </w:rPr>
        <w:t xml:space="preserve">This section refers to the version of the Logframe that </w:t>
      </w:r>
      <w:r w:rsidRPr="002C57BB" w:rsidR="0000224C">
        <w:rPr>
          <w:rStyle w:val="FootnoteReference"/>
        </w:rPr>
        <w:t xml:space="preserve">was </w:t>
      </w:r>
      <w:r w:rsidRPr="002C57BB" w:rsidR="00582DE5">
        <w:rPr>
          <w:rStyle w:val="FootnoteReference"/>
        </w:rPr>
        <w:t>used up to June 2023.</w:t>
      </w:r>
    </w:p>
  </w:footnote>
  <w:footnote w:id="6">
    <w:p w:rsidR="00A13E48" w:rsidRDefault="00A13E48" w14:paraId="43AC7C34" w14:textId="4BAF63DC">
      <w:pPr>
        <w:pStyle w:val="FootnoteText"/>
      </w:pPr>
      <w:r>
        <w:rPr>
          <w:rStyle w:val="FootnoteReference"/>
        </w:rPr>
        <w:footnoteRef/>
      </w:r>
      <w:r>
        <w:t xml:space="preserve"> </w:t>
      </w:r>
      <w:r w:rsidRPr="002C57BB">
        <w:rPr>
          <w:rStyle w:val="FootnoteReference"/>
        </w:rPr>
        <w:t>Indicators 3.2 and 3.3 are closed as of October 2024.</w:t>
      </w:r>
    </w:p>
  </w:footnote>
  <w:footnote w:id="7">
    <w:p w:rsidR="00EA1E4E" w:rsidP="00EA1E4E" w:rsidRDefault="00EA1E4E" w14:paraId="563903BB" w14:textId="7F654112">
      <w:pPr>
        <w:pStyle w:val="FootnoteText"/>
      </w:pPr>
      <w:r>
        <w:rPr>
          <w:rStyle w:val="FootnoteReference"/>
        </w:rPr>
        <w:footnoteRef/>
      </w:r>
      <w:r>
        <w:t xml:space="preserve"> </w:t>
      </w:r>
      <w:r w:rsidRPr="00E94EE2">
        <w:t>Collecting data on financial institutions was discontinued by DESNZ and did not go ahead.</w:t>
      </w:r>
      <w:r w:rsidRPr="00E94EE2" w:rsidR="00F25CBE">
        <w:t xml:space="preserve"> It is still in the Theory of Change that is currently being updated</w:t>
      </w:r>
      <w:r w:rsidRPr="00E94EE2" w:rsidR="00156222">
        <w:t>.</w:t>
      </w:r>
    </w:p>
  </w:footnote>
  <w:footnote w:id="8">
    <w:p w:rsidR="00EA1E4E" w:rsidP="00EA1E4E" w:rsidRDefault="00EA1E4E" w14:paraId="6451090E" w14:textId="3011989B">
      <w:pPr>
        <w:pStyle w:val="FootnoteText"/>
      </w:pPr>
      <w:r>
        <w:rPr>
          <w:rStyle w:val="FootnoteReference"/>
        </w:rPr>
        <w:footnoteRef/>
      </w:r>
      <w:r>
        <w:t xml:space="preserve"> </w:t>
      </w:r>
      <w:r w:rsidRPr="002C57BB">
        <w:rPr>
          <w:rStyle w:val="FootnoteReference"/>
        </w:rPr>
        <w:t xml:space="preserve">Collecting data on financial institutions to </w:t>
      </w:r>
      <w:r w:rsidRPr="002C57BB" w:rsidR="2372B9AC">
        <w:rPr>
          <w:rStyle w:val="FootnoteReference"/>
        </w:rPr>
        <w:t>m</w:t>
      </w:r>
      <w:r w:rsidRPr="002C57BB">
        <w:rPr>
          <w:rStyle w:val="FootnoteReference"/>
        </w:rPr>
        <w:t>easure financial performance was discontinued by DESNZ and therefore is no longer an outcome that MAGC will achieve.</w:t>
      </w:r>
      <w:r w:rsidRPr="002C57BB" w:rsidR="00E05F8D">
        <w:rPr>
          <w:rStyle w:val="FootnoteReference"/>
        </w:rPr>
        <w:t xml:space="preserve"> The Theory of Change is currently</w:t>
      </w:r>
      <w:r w:rsidRPr="002C57BB" w:rsidR="001F6147">
        <w:rPr>
          <w:rStyle w:val="FootnoteReference"/>
        </w:rPr>
        <w:t xml:space="preserve"> being updated.</w:t>
      </w:r>
    </w:p>
  </w:footnote>
  <w:footnote w:id="9">
    <w:p w:rsidR="00C93E47" w:rsidRDefault="00C93E47" w14:paraId="46EF6D62" w14:textId="4230225F">
      <w:pPr>
        <w:pStyle w:val="FootnoteText"/>
      </w:pPr>
      <w:r>
        <w:rPr>
          <w:rStyle w:val="FootnoteReference"/>
        </w:rPr>
        <w:footnoteRef/>
      </w:r>
      <w:r>
        <w:t xml:space="preserve"> </w:t>
      </w:r>
      <w:r w:rsidRPr="002C57BB">
        <w:rPr>
          <w:rStyle w:val="FootnoteReference"/>
        </w:rPr>
        <w:t xml:space="preserve">Component 4 is not a focus of the early outcome evaluation and will be further examined </w:t>
      </w:r>
      <w:r w:rsidR="00D76567">
        <w:rPr>
          <w:rStyle w:val="FootnoteReference"/>
        </w:rPr>
        <w:t>in the final p</w:t>
      </w:r>
      <w:r w:rsidRPr="002C57BB">
        <w:rPr>
          <w:rStyle w:val="FootnoteReference"/>
        </w:rPr>
        <w:t xml:space="preserve">hase </w:t>
      </w:r>
      <w:r w:rsidRPr="002C57BB" w:rsidR="00123DFF">
        <w:rPr>
          <w:rStyle w:val="FootnoteReference"/>
        </w:rPr>
        <w:t>of the evaluation</w:t>
      </w:r>
      <w:r w:rsidRPr="002C57BB">
        <w:rPr>
          <w:rStyle w:val="FootnoteReference"/>
        </w:rPr>
        <w:t>.</w:t>
      </w:r>
    </w:p>
  </w:footnote>
  <w:footnote w:id="10">
    <w:p w:rsidR="00CF1C42" w:rsidP="00CF1C42" w:rsidRDefault="00CF1C42" w14:paraId="705EDE80" w14:textId="77777777">
      <w:pPr>
        <w:pStyle w:val="FootnoteText"/>
      </w:pPr>
      <w:r>
        <w:rPr>
          <w:rStyle w:val="FootnoteReference"/>
        </w:rPr>
        <w:footnoteRef/>
      </w:r>
      <w:r>
        <w:t xml:space="preserve"> </w:t>
      </w:r>
      <w:hyperlink w:history="1" r:id="rId1">
        <w:r w:rsidRPr="0025637E">
          <w:rPr>
            <w:rStyle w:val="FootnoteReference"/>
          </w:rPr>
          <w:t>https://assets.publishing.service.gov.uk/government/uploads/system/uploads/attachment_data/file/49551/DFID-approach-value-money.pdf</w:t>
        </w:r>
      </w:hyperlink>
      <w:r w:rsidRPr="0025637E">
        <w:rPr>
          <w:rStyle w:val="FootnoteReference"/>
        </w:rPr>
        <w:t xml:space="preserve"> DFID’s Approach to Value for Money is designed to support a better understanding of costs and results to inform more evidence-based choices on investment and helping ensure the best </w:t>
      </w:r>
      <w:r w:rsidRPr="002C57BB">
        <w:rPr>
          <w:rStyle w:val="FootnoteReference"/>
        </w:rPr>
        <w:t>Value for Money</w:t>
      </w:r>
      <w:r w:rsidRPr="0025637E">
        <w:rPr>
          <w:rStyle w:val="FootnoteReference"/>
        </w:rPr>
        <w:t xml:space="preserve"> at the desired quality.</w:t>
      </w:r>
    </w:p>
  </w:footnote>
  <w:footnote w:id="11">
    <w:p w:rsidR="000A48EC" w:rsidRDefault="000A48EC" w14:paraId="635ABD49" w14:textId="1C8136E6">
      <w:pPr>
        <w:pStyle w:val="FootnoteText"/>
      </w:pPr>
      <w:r>
        <w:rPr>
          <w:rStyle w:val="FootnoteReference"/>
        </w:rPr>
        <w:footnoteRef/>
      </w:r>
      <w:r>
        <w:t xml:space="preserve"> </w:t>
      </w:r>
      <w:hyperlink w:history="1" r:id="rId2">
        <w:r w:rsidRPr="002C57BB" w:rsidR="00AA0C4E">
          <w:rPr>
            <w:rStyle w:val="Hyperlink"/>
          </w:rPr>
          <w:t>https://www.intrac.org/wpcms/wp-content/uploads/2019/05/QUIP.pdf</w:t>
        </w:r>
      </w:hyperlink>
      <w:r w:rsidR="00AA0C4E">
        <w:t xml:space="preserve"> </w:t>
      </w:r>
    </w:p>
  </w:footnote>
  <w:footnote w:id="12">
    <w:p w:rsidR="00A35A4B" w:rsidRDefault="00A35A4B" w14:paraId="1D8E31E1" w14:textId="57B34D73">
      <w:pPr>
        <w:pStyle w:val="FootnoteText"/>
      </w:pPr>
      <w:r>
        <w:rPr>
          <w:rStyle w:val="FootnoteReference"/>
        </w:rPr>
        <w:footnoteRef/>
      </w:r>
      <w:r>
        <w:t xml:space="preserve"> </w:t>
      </w:r>
      <w:r w:rsidRPr="002C57BB">
        <w:rPr>
          <w:rStyle w:val="FootnoteReference"/>
        </w:rPr>
        <w:t>Ibid</w:t>
      </w:r>
      <w:r>
        <w:t>.</w:t>
      </w:r>
    </w:p>
  </w:footnote>
  <w:footnote w:id="13">
    <w:p w:rsidR="00EA1E4E" w:rsidP="00EA1E4E" w:rsidRDefault="00EA1E4E" w14:paraId="66672A66" w14:textId="77777777">
      <w:pPr>
        <w:pStyle w:val="FootnoteText"/>
      </w:pPr>
      <w:r>
        <w:rPr>
          <w:rStyle w:val="FootnoteReference"/>
        </w:rPr>
        <w:footnoteRef/>
      </w:r>
      <w:r>
        <w:t xml:space="preserve"> </w:t>
      </w:r>
      <w:r w:rsidRPr="002C57BB">
        <w:t>Purposive sampling, also known as judgmental, selective, or subjective sampling, is a form of non-probability sampling in which researchers rely on their own judgment when choosing members of the population to participate in their surveys.</w:t>
      </w:r>
    </w:p>
  </w:footnote>
  <w:footnote w:id="14">
    <w:p w:rsidR="00EA1E4E" w:rsidP="00EA1E4E" w:rsidRDefault="00EA1E4E" w14:paraId="1ED26D4A" w14:textId="77777777">
      <w:pPr>
        <w:pStyle w:val="FootnoteText"/>
      </w:pPr>
      <w:r>
        <w:rPr>
          <w:rStyle w:val="FootnoteReference"/>
        </w:rPr>
        <w:footnoteRef/>
      </w:r>
      <w:r>
        <w:t xml:space="preserve"> </w:t>
      </w:r>
      <w:r w:rsidRPr="002C57BB">
        <w:t>Convenience or snowball sampling in qualitative research refers to a non-probability sampling technique where existing study subjects recruit future subjects among their acquaintances.</w:t>
      </w:r>
      <w:r w:rsidRPr="002C57BB">
        <w:rPr>
          <w:rStyle w:val="FootnoteReference"/>
        </w:rPr>
        <w:t xml:space="preserve"> </w:t>
      </w:r>
      <w:r w:rsidRPr="002C57BB">
        <w:t>This method is often used when the</w:t>
      </w:r>
      <w:r w:rsidRPr="00A75FDF">
        <w:t xml:space="preserve"> </w:t>
      </w:r>
      <w:r w:rsidRPr="002C57BB">
        <w:t>population is hard to reach or difficult to identify.</w:t>
      </w:r>
      <w:r w:rsidRPr="002C57BB">
        <w:rPr>
          <w:rStyle w:val="FootnoteReference"/>
        </w:rPr>
        <w:t xml:space="preserve"> </w:t>
      </w:r>
      <w:r w:rsidRPr="002C57BB">
        <w:t>However, it may not provide a representative sample of the population, which can limit the generali</w:t>
      </w:r>
      <w:r w:rsidRPr="002C57BB">
        <w:rPr>
          <w:rStyle w:val="FootnoteReference"/>
        </w:rPr>
        <w:t>s</w:t>
      </w:r>
      <w:r w:rsidRPr="002C57BB">
        <w:t>ability of the research findings.</w:t>
      </w:r>
    </w:p>
  </w:footnote>
  <w:footnote w:id="15">
    <w:p w:rsidR="00C40C1C" w:rsidP="00C40C1C" w:rsidRDefault="00C40C1C" w14:paraId="54C699B5" w14:textId="77777777">
      <w:pPr>
        <w:pStyle w:val="FootnoteText"/>
      </w:pPr>
      <w:r>
        <w:rPr>
          <w:rStyle w:val="FootnoteReference"/>
        </w:rPr>
        <w:footnoteRef/>
      </w:r>
      <w:r>
        <w:t xml:space="preserve"> Initially 25, then rounded up to 30 in order to have five interviews per T2 country.</w:t>
      </w:r>
    </w:p>
  </w:footnote>
  <w:footnote w:id="16">
    <w:p w:rsidR="004C7322" w:rsidP="004C7322" w:rsidRDefault="004C7322" w14:paraId="6D4D51C5" w14:textId="559B98AC">
      <w:pPr>
        <w:pStyle w:val="FootnoteText"/>
      </w:pPr>
      <w:r>
        <w:rPr>
          <w:rStyle w:val="FootnoteReference"/>
        </w:rPr>
        <w:footnoteRef/>
      </w:r>
      <w:r>
        <w:t xml:space="preserve"> </w:t>
      </w:r>
      <w:r w:rsidR="00A26DC0">
        <w:t xml:space="preserve">Published </w:t>
      </w:r>
      <w:r w:rsidR="00A26DC0">
        <w:fldChar w:fldCharType="begin"/>
      </w:r>
      <w:r w:rsidR="00A26DC0">
        <w:instrText>HYPERLINK "https://devtracker.fcdo.gov.uk/programme/GB-GOV-13-ICF-0032-MAGC/documents"</w:instrText>
      </w:r>
      <w:r w:rsidR="00A26DC0">
        <w:fldChar w:fldCharType="separate"/>
      </w:r>
      <w:r w:rsidRPr="00A26DC0" w:rsidR="00A26DC0">
        <w:rPr>
          <w:rStyle w:val="Hyperlink"/>
        </w:rPr>
        <w:t>here</w:t>
      </w:r>
      <w:r w:rsidR="00A26DC0">
        <w:fldChar w:fldCharType="end"/>
      </w:r>
      <w:r w:rsidR="00A26DC0">
        <w:t>.</w:t>
      </w:r>
    </w:p>
  </w:footnote>
  <w:footnote w:id="17">
    <w:p w:rsidR="00DD3244" w:rsidRDefault="00DD3244" w14:paraId="362FA0B5" w14:textId="358B1410">
      <w:pPr>
        <w:pStyle w:val="FootnoteText"/>
      </w:pPr>
      <w:r>
        <w:rPr>
          <w:rStyle w:val="FootnoteReference"/>
        </w:rPr>
        <w:footnoteRef/>
      </w:r>
      <w:r>
        <w:t xml:space="preserve"> </w:t>
      </w:r>
      <w:r w:rsidR="00A26DC0">
        <w:t xml:space="preserve">Published </w:t>
      </w:r>
      <w:r w:rsidR="00A26DC0">
        <w:fldChar w:fldCharType="begin"/>
      </w:r>
      <w:r w:rsidR="00A26DC0">
        <w:instrText>HYPERLINK "https://devtracker.fcdo.gov.uk/programme/GB-GOV-13-ICF-0032-MAGC/documents"</w:instrText>
      </w:r>
      <w:r w:rsidR="00A26DC0">
        <w:fldChar w:fldCharType="separate"/>
      </w:r>
      <w:r w:rsidRPr="00A26DC0" w:rsidR="00A26DC0">
        <w:rPr>
          <w:rStyle w:val="Hyperlink"/>
        </w:rPr>
        <w:t>here</w:t>
      </w:r>
      <w:r w:rsidR="00A26DC0">
        <w:fldChar w:fldCharType="end"/>
      </w:r>
      <w:r w:rsidR="00A26DC0">
        <w:t>.</w:t>
      </w:r>
    </w:p>
  </w:footnote>
  <w:footnote w:id="18">
    <w:p w:rsidR="00780987" w:rsidP="00780987" w:rsidRDefault="00780987" w14:paraId="3BD9DCC5" w14:textId="77777777">
      <w:pPr>
        <w:pStyle w:val="FootnoteText"/>
      </w:pPr>
      <w:r>
        <w:rPr>
          <w:rStyle w:val="FootnoteReference"/>
        </w:rPr>
        <w:footnoteRef/>
      </w:r>
      <w:r>
        <w:t xml:space="preserve"> </w:t>
      </w:r>
      <w:r w:rsidRPr="00B45F73">
        <w:t>https://assets.publishing.service.gov.uk/media/63fe28fb8fa8f527fb67caf8/international-climate-finance_KPI_15_Methodology_Note_Extent_to_which_ICF_intervention_is_likely_to_lead_to_transformational_change.pdf</w:t>
      </w:r>
    </w:p>
  </w:footnote>
  <w:footnote w:id="19">
    <w:p w:rsidR="00780987" w:rsidP="00780987" w:rsidRDefault="00780987" w14:paraId="10302AC6" w14:textId="77777777">
      <w:pPr>
        <w:pStyle w:val="FootnoteText"/>
      </w:pPr>
      <w:r>
        <w:rPr>
          <w:rStyle w:val="FootnoteReference"/>
        </w:rPr>
        <w:footnoteRef/>
      </w:r>
      <w:r>
        <w:t xml:space="preserve"> Ibid.</w:t>
      </w:r>
    </w:p>
  </w:footnote>
  <w:footnote w:id="20">
    <w:p w:rsidR="00803391" w:rsidRDefault="00803391" w14:paraId="173BF581" w14:textId="28AD9019">
      <w:pPr>
        <w:pStyle w:val="FootnoteText"/>
      </w:pPr>
      <w:r>
        <w:rPr>
          <w:rStyle w:val="FootnoteReference"/>
        </w:rPr>
        <w:footnoteRef/>
      </w:r>
      <w:r>
        <w:t xml:space="preserve"> </w:t>
      </w:r>
      <w:r w:rsidR="007B40EB">
        <w:t>Overall, a</w:t>
      </w:r>
      <w:r>
        <w:t xml:space="preserve"> score of 5 has been given to the results that </w:t>
      </w:r>
      <w:r w:rsidR="000C5D27">
        <w:t>exceed the expected target by more than 50%, while a score of 4 has been given to results that exceed the target by less than 50%.</w:t>
      </w:r>
      <w:r w:rsidR="00CA3338">
        <w:t xml:space="preserve"> </w:t>
      </w:r>
      <w:r w:rsidR="00F67417">
        <w:t>The score was also adjusted based on t</w:t>
      </w:r>
      <w:r w:rsidR="00CA3338">
        <w:t xml:space="preserve">he </w:t>
      </w:r>
      <w:r w:rsidR="007773A0">
        <w:t xml:space="preserve">expected results consider the </w:t>
      </w:r>
      <w:r w:rsidR="00CA3338">
        <w:t>stage of the programme</w:t>
      </w:r>
      <w:r w:rsidR="00F67417">
        <w:t>, and the overall number achieved</w:t>
      </w:r>
      <w:r w:rsidR="007773A0">
        <w:t>.</w:t>
      </w:r>
    </w:p>
  </w:footnote>
  <w:footnote w:id="21">
    <w:p w:rsidR="008817FE" w:rsidRDefault="008817FE" w14:paraId="5CA02865" w14:textId="4CAD8C35">
      <w:pPr>
        <w:pStyle w:val="FootnoteText"/>
      </w:pPr>
      <w:r>
        <w:rPr>
          <w:rStyle w:val="FootnoteReference"/>
        </w:rPr>
        <w:footnoteRef/>
      </w:r>
      <w:r>
        <w:t xml:space="preserve"> </w:t>
      </w:r>
      <w:r w:rsidRPr="002C57BB">
        <w:rPr>
          <w:rStyle w:val="FootnoteReference"/>
        </w:rPr>
        <w:t>Defined as “Where the need for change is agreed locally, and the process is locally owned. Where high-level political buy-in and broad support from across societies, cultures, and interest groups enable widespread changes to patterns of development;”</w:t>
      </w:r>
    </w:p>
  </w:footnote>
  <w:footnote w:id="22">
    <w:p w:rsidR="00D10057" w:rsidP="00D10057" w:rsidRDefault="00D10057" w14:paraId="48F7D243" w14:textId="77777777">
      <w:pPr>
        <w:pStyle w:val="FootnoteText"/>
      </w:pPr>
      <w:r>
        <w:rPr>
          <w:rStyle w:val="FootnoteReference"/>
        </w:rPr>
        <w:footnoteRef/>
      </w:r>
      <w:r>
        <w:t xml:space="preserve"> Separately: cost for financial intermediary technical assistance (Component 1), cost for country-level capacity-building activities (Component 2), </w:t>
      </w:r>
      <w:r w:rsidRPr="00AE7FF4">
        <w:t>EDGE certification platform maintenance, operation and improvements</w:t>
      </w:r>
      <w:r>
        <w:t xml:space="preserve"> cost (Component 3), cost for d</w:t>
      </w:r>
      <w:r w:rsidRPr="00037375">
        <w:t>ata capture, analysis, dissemination, evaluation</w:t>
      </w:r>
      <w:r>
        <w:t xml:space="preserve"> activities (Component 4)</w:t>
      </w:r>
    </w:p>
  </w:footnote>
  <w:footnote w:id="23">
    <w:p w:rsidR="00D10057" w:rsidP="00D10057" w:rsidRDefault="00D10057" w14:paraId="664A36DE" w14:textId="77777777">
      <w:pPr>
        <w:pStyle w:val="FootnoteText"/>
      </w:pPr>
      <w:r>
        <w:rPr>
          <w:rStyle w:val="FootnoteReference"/>
        </w:rPr>
        <w:footnoteRef/>
      </w:r>
      <w:r>
        <w:t xml:space="preserve"> The extent to which outcomes and impacts can be quantified will be dependent on the underlying data quality. </w:t>
      </w:r>
    </w:p>
  </w:footnote>
  <w:footnote w:id="24">
    <w:p w:rsidR="00D10057" w:rsidP="00D10057" w:rsidRDefault="00D10057" w14:paraId="4827DD61" w14:textId="77777777">
      <w:pPr>
        <w:pStyle w:val="FootnoteText"/>
      </w:pPr>
      <w:r>
        <w:rPr>
          <w:rStyle w:val="FootnoteReference"/>
        </w:rPr>
        <w:footnoteRef/>
      </w:r>
      <w:r>
        <w:t xml:space="preserve"> Referring to the outcomes and impacts captured directly in the programme log-frame related to changes in the market, expected to be explored in the impact evaluation (see evaluation framework in section 3).</w:t>
      </w:r>
    </w:p>
  </w:footnote>
  <w:footnote w:id="25">
    <w:p w:rsidR="00D10057" w:rsidP="00D10057" w:rsidRDefault="00D10057" w14:paraId="3C64C04F" w14:textId="77777777">
      <w:pPr>
        <w:pStyle w:val="FootnoteText"/>
      </w:pPr>
      <w:r>
        <w:rPr>
          <w:rStyle w:val="FootnoteReference"/>
        </w:rPr>
        <w:footnoteRef/>
      </w:r>
      <w:r>
        <w:t xml:space="preserve"> Calculated as e</w:t>
      </w:r>
      <w:r w:rsidRPr="00A1704C">
        <w:t>nergy use expected to be avoided multiplied by utility cost, plus, for EDGE buildings only, water use expected to be avoided multiplied by utility cost</w:t>
      </w:r>
      <w:r>
        <w:t xml:space="preserve">. </w:t>
      </w:r>
    </w:p>
  </w:footnote>
  <w:footnote w:id="26">
    <w:p w:rsidR="00D10057" w:rsidP="00D10057" w:rsidRDefault="00D10057" w14:paraId="00326A06" w14:textId="77777777">
      <w:pPr>
        <w:pStyle w:val="FootnoteText"/>
      </w:pPr>
      <w:r>
        <w:rPr>
          <w:rStyle w:val="FootnoteReference"/>
        </w:rPr>
        <w:footnoteRef/>
      </w:r>
      <w:r>
        <w:t xml:space="preserve"> While qualitative, the evaluation will consider a quantitative assessment of incremental cost of buildings / GHG emissions </w:t>
      </w:r>
      <w:r w:rsidRPr="007A021F">
        <w:t>expected to be avoided</w:t>
      </w:r>
      <w:r>
        <w:t xml:space="preserve"> to feed into this, dependent on data availability. This may be conducted for a sample of cases, e.g., within case study countries.   </w:t>
      </w:r>
    </w:p>
  </w:footnote>
  <w:footnote w:id="27">
    <w:p w:rsidR="00D10057" w:rsidP="00D10057" w:rsidRDefault="00D10057" w14:paraId="291A1B0F" w14:textId="77777777">
      <w:pPr>
        <w:pStyle w:val="FootnoteText"/>
      </w:pPr>
      <w:r>
        <w:rPr>
          <w:rStyle w:val="FootnoteReference"/>
        </w:rPr>
        <w:footnoteRef/>
      </w:r>
      <w:r>
        <w:t xml:space="preserve"> Aligned with IFC indicator on SDG 5: Direct Female Employment (#of jobs). </w:t>
      </w:r>
      <w:hyperlink w:history="1" w:anchor=":~:text=Through%20IFC%203.0%2C%20IFC%20is,while%20reserving%20scarce%20public%20resources" r:id="rId3">
        <w:r w:rsidRPr="76703D2B">
          <w:rPr>
            <w:rStyle w:val="Hyperlink"/>
            <w:sz w:val="16"/>
            <w:szCs w:val="16"/>
          </w:rPr>
          <w:t>https://www.ifc.org/en/our-impact/sustainable-development-goals#:~:text=Through%20IFC%203.0%2C%20IFC%20is,while%20reserving%20scarce%20public%20resources</w:t>
        </w:r>
      </w:hyperlink>
      <w:r>
        <w:t xml:space="preserve"> </w:t>
      </w:r>
    </w:p>
  </w:footnote>
  <w:footnote w:id="28">
    <w:p w:rsidR="00D10057" w:rsidP="00D10057" w:rsidRDefault="00D10057" w14:paraId="698CCEBD" w14:textId="77777777">
      <w:pPr>
        <w:pStyle w:val="FootnoteText"/>
      </w:pPr>
      <w:r>
        <w:rPr>
          <w:rStyle w:val="FootnoteReference"/>
        </w:rPr>
        <w:footnoteRef/>
      </w:r>
      <w:r>
        <w:t xml:space="preserve"> Aligned with IFC indicator on SDG 5 they report on:  Students reached, Female (#). </w:t>
      </w:r>
      <w:hyperlink w:history="1" w:anchor=":~:text=Through%20IFC%203.0%2C%20IFC%20is,while%20reserving%20scarce%20public%20resources" r:id="rId4">
        <w:r w:rsidRPr="76703D2B">
          <w:rPr>
            <w:rStyle w:val="Hyperlink"/>
            <w:sz w:val="16"/>
            <w:szCs w:val="16"/>
          </w:rPr>
          <w:t>https://www.ifc.org/en/our-impact/sustainable-development-goals#:~:text=Through%20IFC%203.0%2C%20IFC%20is,while%20reserving%20scarce%20public%20resources</w:t>
        </w:r>
      </w:hyperlink>
      <w:r>
        <w:t xml:space="preserve"> </w:t>
      </w:r>
    </w:p>
  </w:footnote>
  <w:footnote w:id="29">
    <w:p w:rsidR="00D10057" w:rsidP="00D10057" w:rsidRDefault="00D10057" w14:paraId="59E40B0A" w14:textId="77777777">
      <w:pPr>
        <w:pStyle w:val="FootnoteText"/>
      </w:pPr>
      <w:r>
        <w:rPr>
          <w:rStyle w:val="FootnoteReference"/>
        </w:rPr>
        <w:footnoteRef/>
      </w:r>
      <w:r>
        <w:t xml:space="preserve"> </w:t>
      </w:r>
      <w:r w:rsidRPr="00942394">
        <w:t>Monitoring started from FY23</w:t>
      </w:r>
    </w:p>
  </w:footnote>
  <w:footnote w:id="30">
    <w:p w:rsidR="004A3DCA" w:rsidP="004A3DCA" w:rsidRDefault="004A3DCA" w14:paraId="714F5AC8" w14:textId="77777777">
      <w:pPr>
        <w:pStyle w:val="FootnoteText"/>
      </w:pPr>
      <w:r>
        <w:rPr>
          <w:rStyle w:val="FootnoteReference"/>
        </w:rPr>
        <w:footnoteRef/>
      </w:r>
      <w:r>
        <w:t xml:space="preserve"> </w:t>
      </w:r>
      <w:r w:rsidRPr="00083F72">
        <w:t xml:space="preserve">5 Given the duration of the Supplier contract, the scoping plan will likely need to be adapted as the programme progresses, particularly the workplan, risk register and the budget/financial forecast. The supplier should revisit the plan at the outset of each evaluation activity and refine this as required, according to programme developments. 6 More info on Key Performance Indicators (KPIs) for ICF can be found here: https://www.gov.uk/government/publications/uk-climate-finance-results. Accessed </w:t>
      </w:r>
      <w:proofErr w:type="gramStart"/>
      <w:r w:rsidRPr="00083F72">
        <w:t>on</w:t>
      </w:r>
      <w:proofErr w:type="gramEnd"/>
      <w:r w:rsidRPr="00083F72">
        <w:t xml:space="preserve"> October 2022</w:t>
      </w:r>
    </w:p>
  </w:footnote>
  <w:footnote w:id="31">
    <w:p w:rsidR="000C1A85" w:rsidP="000C1A85" w:rsidRDefault="000C1A85" w14:paraId="0D5FAAD5" w14:textId="77777777">
      <w:pPr>
        <w:pStyle w:val="FootnoteText"/>
      </w:pPr>
      <w:r>
        <w:rPr>
          <w:rStyle w:val="FootnoteReference"/>
        </w:rPr>
        <w:footnoteRef/>
      </w:r>
      <w:r>
        <w:t xml:space="preserve"> The EQ numbering </w:t>
      </w:r>
      <w:r w:rsidRPr="00E94490">
        <w:t>reflect</w:t>
      </w:r>
      <w:r>
        <w:t>s</w:t>
      </w:r>
      <w:r w:rsidRPr="00E94490">
        <w:t xml:space="preserve"> the original order of planning</w:t>
      </w:r>
      <w:r>
        <w:t>. F</w:t>
      </w:r>
      <w:r w:rsidRPr="00E94490">
        <w:t>or thematic and narrative flow, the chapters themselves appear in a rearranged sequence.</w:t>
      </w:r>
    </w:p>
  </w:footnote>
  <w:footnote w:id="32">
    <w:p w:rsidRPr="0006272B" w:rsidR="000C1A85" w:rsidP="000C1A85" w:rsidRDefault="000C1A85" w14:paraId="2A296F78" w14:textId="77777777">
      <w:pPr>
        <w:pStyle w:val="FootnoteText"/>
      </w:pPr>
      <w:r>
        <w:rPr>
          <w:rStyle w:val="FootnoteReference"/>
        </w:rPr>
        <w:footnoteRef/>
      </w:r>
      <w:r w:rsidRPr="0006272B">
        <w:t xml:space="preserve"> Colombia, Mexico, Peru</w:t>
      </w:r>
      <w:r>
        <w:t xml:space="preserve">, </w:t>
      </w:r>
      <w:r w:rsidRPr="0006272B">
        <w:t>Ghana, Kenya, South Africa</w:t>
      </w:r>
      <w:r>
        <w:t xml:space="preserve">, </w:t>
      </w:r>
      <w:r w:rsidRPr="0006272B">
        <w:t>Egypt</w:t>
      </w:r>
      <w:r>
        <w:t xml:space="preserve">, </w:t>
      </w:r>
      <w:r w:rsidRPr="0006272B">
        <w:t>India</w:t>
      </w:r>
      <w:r>
        <w:t>,</w:t>
      </w:r>
      <w:r w:rsidRPr="0006272B">
        <w:t xml:space="preserve"> Indonesia, Philippines, Vietnam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0BD3" w:rsidP="00FC1A03" w:rsidRDefault="00A81362" w14:paraId="08EC52DF" w14:textId="77777777">
    <w:pPr>
      <w:pStyle w:val="Header"/>
      <w:ind w:left="-142"/>
    </w:pPr>
    <w:r>
      <w:rPr>
        <w:noProof/>
        <w:lang w:eastAsia="en-GB"/>
      </w:rPr>
      <w:drawing>
        <wp:anchor distT="0" distB="0" distL="114300" distR="114300" simplePos="0" relativeHeight="251658240" behindDoc="0" locked="0" layoutInCell="1" allowOverlap="1" wp14:anchorId="299B3942" wp14:editId="42F068DA">
          <wp:simplePos x="0" y="0"/>
          <wp:positionH relativeFrom="margin">
            <wp:align>left</wp:align>
          </wp:positionH>
          <wp:positionV relativeFrom="paragraph">
            <wp:posOffset>-19714</wp:posOffset>
          </wp:positionV>
          <wp:extent cx="2058035" cy="12103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58035" cy="12103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00598" w:rsidR="00490BD3" w:rsidP="00582C8C" w:rsidRDefault="00490BD3" w14:paraId="6ADAEED0" w14:textId="1566B661">
    <w:pPr>
      <w:pStyle w:val="Header"/>
      <w:ind w:left="-567"/>
      <w:rPr>
        <w:color w:val="041E42"/>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4200D" w:rsidR="00D91B0E" w:rsidP="00A4200D" w:rsidRDefault="00A4200D" w14:paraId="082AE677" w14:textId="6BE3673C">
    <w:pPr>
      <w:pStyle w:val="Header"/>
    </w:pPr>
    <w:r w:rsidRPr="00A4200D">
      <w:t>Evaluation of the Market Accelerator for Green Construction</w:t>
    </w:r>
    <w:r w:rsidR="00191B7E">
      <w:t xml:space="preserve"> | Technical Annex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00598" w:rsidR="0038306A" w:rsidP="00C26D9C" w:rsidRDefault="0038306A" w14:paraId="2FA95E40" w14:textId="77777777">
    <w:pPr>
      <w:pStyle w:val="Header"/>
      <w:pBdr>
        <w:bottom w:val="single" w:color="2B7EE2" w:sz="2" w:space="3"/>
      </w:pBdr>
      <w:rPr>
        <w:color w:val="041E42"/>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7AE"/>
    <w:multiLevelType w:val="hybridMultilevel"/>
    <w:tmpl w:val="BA9A165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 w15:restartNumberingAfterBreak="0">
    <w:nsid w:val="00E200BE"/>
    <w:multiLevelType w:val="hybridMultilevel"/>
    <w:tmpl w:val="CD3C1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1010B"/>
    <w:multiLevelType w:val="hybridMultilevel"/>
    <w:tmpl w:val="34A8915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05934"/>
    <w:multiLevelType w:val="hybridMultilevel"/>
    <w:tmpl w:val="AAC6E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AF1CB7"/>
    <w:multiLevelType w:val="hybridMultilevel"/>
    <w:tmpl w:val="940E7724"/>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6AF1F68"/>
    <w:multiLevelType w:val="hybridMultilevel"/>
    <w:tmpl w:val="0FCC6770"/>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6" w15:restartNumberingAfterBreak="0">
    <w:nsid w:val="07631649"/>
    <w:multiLevelType w:val="hybridMultilevel"/>
    <w:tmpl w:val="FE2A47E6"/>
    <w:lvl w:ilvl="0" w:tplc="74B6C5C0">
      <w:start w:val="1"/>
      <w:numFmt w:val="lowerLetter"/>
      <w:lvlText w:val="%1."/>
      <w:lvlJc w:val="left"/>
      <w:pPr>
        <w:ind w:left="1440" w:hanging="720"/>
      </w:pPr>
      <w:rPr>
        <w:rFonts w:hint="default"/>
      </w:rPr>
    </w:lvl>
    <w:lvl w:ilvl="1" w:tplc="AA200C8E">
      <w:start w:val="1"/>
      <w:numFmt w:val="bullet"/>
      <w:lvlText w:val="-"/>
      <w:lvlJc w:val="left"/>
      <w:pPr>
        <w:ind w:left="1800" w:hanging="360"/>
      </w:pPr>
      <w:rPr>
        <w:rFonts w:hint="default" w:ascii="Calibri" w:hAnsi="Calibri" w:cs="Calibri" w:eastAsiaTheme="minorHAnsi"/>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7BB47A4"/>
    <w:multiLevelType w:val="hybridMultilevel"/>
    <w:tmpl w:val="96ACC73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95244FE"/>
    <w:multiLevelType w:val="hybridMultilevel"/>
    <w:tmpl w:val="98207198"/>
    <w:lvl w:ilvl="0" w:tplc="A2F41C6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9966998"/>
    <w:multiLevelType w:val="hybridMultilevel"/>
    <w:tmpl w:val="CAA84D92"/>
    <w:lvl w:ilvl="0" w:tplc="2ED64BB8">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AD3D15"/>
    <w:multiLevelType w:val="hybridMultilevel"/>
    <w:tmpl w:val="86C23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BA64CB"/>
    <w:multiLevelType w:val="hybridMultilevel"/>
    <w:tmpl w:val="A484C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1C194C"/>
    <w:multiLevelType w:val="hybridMultilevel"/>
    <w:tmpl w:val="80CEBFAC"/>
    <w:lvl w:ilvl="0" w:tplc="AA782C00">
      <w:start w:val="1"/>
      <w:numFmt w:val="bullet"/>
      <w:lvlText w:val=""/>
      <w:lvlJc w:val="left"/>
      <w:pPr>
        <w:ind w:left="1020" w:hanging="360"/>
      </w:pPr>
      <w:rPr>
        <w:rFonts w:ascii="Symbol" w:hAnsi="Symbol"/>
      </w:rPr>
    </w:lvl>
    <w:lvl w:ilvl="1" w:tplc="49966292">
      <w:start w:val="1"/>
      <w:numFmt w:val="bullet"/>
      <w:lvlText w:val=""/>
      <w:lvlJc w:val="left"/>
      <w:pPr>
        <w:ind w:left="1020" w:hanging="360"/>
      </w:pPr>
      <w:rPr>
        <w:rFonts w:ascii="Symbol" w:hAnsi="Symbol"/>
      </w:rPr>
    </w:lvl>
    <w:lvl w:ilvl="2" w:tplc="E1C85C08">
      <w:start w:val="1"/>
      <w:numFmt w:val="bullet"/>
      <w:lvlText w:val=""/>
      <w:lvlJc w:val="left"/>
      <w:pPr>
        <w:ind w:left="1020" w:hanging="360"/>
      </w:pPr>
      <w:rPr>
        <w:rFonts w:ascii="Symbol" w:hAnsi="Symbol"/>
      </w:rPr>
    </w:lvl>
    <w:lvl w:ilvl="3" w:tplc="2E68ADDE">
      <w:start w:val="1"/>
      <w:numFmt w:val="bullet"/>
      <w:lvlText w:val=""/>
      <w:lvlJc w:val="left"/>
      <w:pPr>
        <w:ind w:left="1020" w:hanging="360"/>
      </w:pPr>
      <w:rPr>
        <w:rFonts w:ascii="Symbol" w:hAnsi="Symbol"/>
      </w:rPr>
    </w:lvl>
    <w:lvl w:ilvl="4" w:tplc="91CE20EE">
      <w:start w:val="1"/>
      <w:numFmt w:val="bullet"/>
      <w:lvlText w:val=""/>
      <w:lvlJc w:val="left"/>
      <w:pPr>
        <w:ind w:left="1020" w:hanging="360"/>
      </w:pPr>
      <w:rPr>
        <w:rFonts w:ascii="Symbol" w:hAnsi="Symbol"/>
      </w:rPr>
    </w:lvl>
    <w:lvl w:ilvl="5" w:tplc="9EE0618E">
      <w:start w:val="1"/>
      <w:numFmt w:val="bullet"/>
      <w:lvlText w:val=""/>
      <w:lvlJc w:val="left"/>
      <w:pPr>
        <w:ind w:left="1020" w:hanging="360"/>
      </w:pPr>
      <w:rPr>
        <w:rFonts w:ascii="Symbol" w:hAnsi="Symbol"/>
      </w:rPr>
    </w:lvl>
    <w:lvl w:ilvl="6" w:tplc="FA507DBC">
      <w:start w:val="1"/>
      <w:numFmt w:val="bullet"/>
      <w:lvlText w:val=""/>
      <w:lvlJc w:val="left"/>
      <w:pPr>
        <w:ind w:left="1020" w:hanging="360"/>
      </w:pPr>
      <w:rPr>
        <w:rFonts w:ascii="Symbol" w:hAnsi="Symbol"/>
      </w:rPr>
    </w:lvl>
    <w:lvl w:ilvl="7" w:tplc="3664FA4C">
      <w:start w:val="1"/>
      <w:numFmt w:val="bullet"/>
      <w:lvlText w:val=""/>
      <w:lvlJc w:val="left"/>
      <w:pPr>
        <w:ind w:left="1020" w:hanging="360"/>
      </w:pPr>
      <w:rPr>
        <w:rFonts w:ascii="Symbol" w:hAnsi="Symbol"/>
      </w:rPr>
    </w:lvl>
    <w:lvl w:ilvl="8" w:tplc="EB720AD4">
      <w:start w:val="1"/>
      <w:numFmt w:val="bullet"/>
      <w:lvlText w:val=""/>
      <w:lvlJc w:val="left"/>
      <w:pPr>
        <w:ind w:left="1020" w:hanging="360"/>
      </w:pPr>
      <w:rPr>
        <w:rFonts w:ascii="Symbol" w:hAnsi="Symbol"/>
      </w:rPr>
    </w:lvl>
  </w:abstractNum>
  <w:abstractNum w:abstractNumId="13" w15:restartNumberingAfterBreak="0">
    <w:nsid w:val="11325E9F"/>
    <w:multiLevelType w:val="hybridMultilevel"/>
    <w:tmpl w:val="A79ED260"/>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4" w15:restartNumberingAfterBreak="0">
    <w:nsid w:val="11FE7996"/>
    <w:multiLevelType w:val="hybridMultilevel"/>
    <w:tmpl w:val="9656CF5A"/>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5" w15:restartNumberingAfterBreak="0">
    <w:nsid w:val="1356030D"/>
    <w:multiLevelType w:val="hybridMultilevel"/>
    <w:tmpl w:val="8F8089FE"/>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3CC2BFF"/>
    <w:multiLevelType w:val="hybridMultilevel"/>
    <w:tmpl w:val="1DD0FC4A"/>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4BE713E"/>
    <w:multiLevelType w:val="hybridMultilevel"/>
    <w:tmpl w:val="F25C550E"/>
    <w:lvl w:ilvl="0" w:tplc="781C6AC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51869BA"/>
    <w:multiLevelType w:val="hybridMultilevel"/>
    <w:tmpl w:val="D8A6E2E2"/>
    <w:lvl w:ilvl="0" w:tplc="74B6C5C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6363C2B"/>
    <w:multiLevelType w:val="hybridMultilevel"/>
    <w:tmpl w:val="E9EEEFC8"/>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20" w15:restartNumberingAfterBreak="0">
    <w:nsid w:val="1A0A29A2"/>
    <w:multiLevelType w:val="hybridMultilevel"/>
    <w:tmpl w:val="E4F64B44"/>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21" w15:restartNumberingAfterBreak="0">
    <w:nsid w:val="1A48761E"/>
    <w:multiLevelType w:val="hybridMultilevel"/>
    <w:tmpl w:val="485A23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1D84151D"/>
    <w:multiLevelType w:val="hybridMultilevel"/>
    <w:tmpl w:val="FCD03E30"/>
    <w:lvl w:ilvl="0" w:tplc="42F66C66">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1FE26741"/>
    <w:multiLevelType w:val="multilevel"/>
    <w:tmpl w:val="9F7E4A52"/>
    <w:lvl w:ilvl="0">
      <w:start w:val="1"/>
      <w:numFmt w:val="decimal"/>
      <w:pStyle w:val="NumberedparagraphSimple"/>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0977E59"/>
    <w:multiLevelType w:val="hybridMultilevel"/>
    <w:tmpl w:val="CE5887CA"/>
    <w:lvl w:ilvl="0" w:tplc="36E456F8">
      <w:start w:val="1"/>
      <w:numFmt w:val="lowerLetter"/>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0CB3580"/>
    <w:multiLevelType w:val="hybridMultilevel"/>
    <w:tmpl w:val="7B3409B8"/>
    <w:lvl w:ilvl="0" w:tplc="36E456F8">
      <w:start w:val="1"/>
      <w:numFmt w:val="lowerLetter"/>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20F76BF5"/>
    <w:multiLevelType w:val="hybridMultilevel"/>
    <w:tmpl w:val="DB84F638"/>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27" w15:restartNumberingAfterBreak="0">
    <w:nsid w:val="22D62ACF"/>
    <w:multiLevelType w:val="hybridMultilevel"/>
    <w:tmpl w:val="D3EEDF10"/>
    <w:lvl w:ilvl="0" w:tplc="36E456F8">
      <w:start w:val="1"/>
      <w:numFmt w:val="lowerLetter"/>
      <w:lvlText w:val="%1."/>
      <w:lvlJc w:val="left"/>
      <w:pPr>
        <w:ind w:left="2160" w:hanging="720"/>
      </w:pPr>
      <w:rPr>
        <w:rFonts w:hint="default"/>
      </w:rPr>
    </w:lvl>
    <w:lvl w:ilvl="1" w:tplc="3056BFCA">
      <w:start w:val="1"/>
      <w:numFmt w:val="decimal"/>
      <w:lvlText w:val="%2."/>
      <w:lvlJc w:val="left"/>
      <w:pPr>
        <w:ind w:left="2880" w:hanging="72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2569664C"/>
    <w:multiLevelType w:val="hybridMultilevel"/>
    <w:tmpl w:val="DDB2A16E"/>
    <w:lvl w:ilvl="0" w:tplc="74B6C5C0">
      <w:start w:val="1"/>
      <w:numFmt w:val="lowerLetter"/>
      <w:lvlText w:val="%1."/>
      <w:lvlJc w:val="left"/>
      <w:pPr>
        <w:ind w:left="1440" w:hanging="720"/>
      </w:pPr>
      <w:rPr>
        <w:rFonts w:hint="default"/>
      </w:rPr>
    </w:lvl>
    <w:lvl w:ilvl="1" w:tplc="76CE1BE4">
      <w:start w:val="1"/>
      <w:numFmt w:val="decimal"/>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27B174D2"/>
    <w:multiLevelType w:val="hybridMultilevel"/>
    <w:tmpl w:val="D3D29A84"/>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82B259F"/>
    <w:multiLevelType w:val="hybridMultilevel"/>
    <w:tmpl w:val="4788A0DA"/>
    <w:lvl w:ilvl="0" w:tplc="E24E69B4">
      <w:start w:val="1"/>
      <w:numFmt w:val="bullet"/>
      <w:pStyle w:val="DESNZbulletedlist"/>
      <w:lvlText w:val=""/>
      <w:lvlJc w:val="left"/>
      <w:pPr>
        <w:ind w:left="717" w:hanging="360"/>
      </w:pPr>
      <w:rPr>
        <w:rFonts w:hint="default" w:ascii="Symbol" w:hAnsi="Symbol"/>
        <w:color w:val="041E4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A8D1B16"/>
    <w:multiLevelType w:val="hybridMultilevel"/>
    <w:tmpl w:val="B6BCDFAE"/>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32" w15:restartNumberingAfterBreak="0">
    <w:nsid w:val="2B8017DF"/>
    <w:multiLevelType w:val="hybridMultilevel"/>
    <w:tmpl w:val="97202E10"/>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33" w15:restartNumberingAfterBreak="0">
    <w:nsid w:val="2C0A4355"/>
    <w:multiLevelType w:val="hybridMultilevel"/>
    <w:tmpl w:val="8D2AEDEC"/>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34" w15:restartNumberingAfterBreak="0">
    <w:nsid w:val="2E2C19E8"/>
    <w:multiLevelType w:val="hybridMultilevel"/>
    <w:tmpl w:val="3BA8E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3029D3"/>
    <w:multiLevelType w:val="hybridMultilevel"/>
    <w:tmpl w:val="695A191C"/>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36" w15:restartNumberingAfterBreak="0">
    <w:nsid w:val="2E6D599B"/>
    <w:multiLevelType w:val="hybridMultilevel"/>
    <w:tmpl w:val="C2A25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0E50E8E"/>
    <w:multiLevelType w:val="hybridMultilevel"/>
    <w:tmpl w:val="42067462"/>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31AD68CD"/>
    <w:multiLevelType w:val="hybridMultilevel"/>
    <w:tmpl w:val="4EA48376"/>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39" w15:restartNumberingAfterBreak="0">
    <w:nsid w:val="31B51706"/>
    <w:multiLevelType w:val="hybridMultilevel"/>
    <w:tmpl w:val="743819D6"/>
    <w:lvl w:ilvl="0" w:tplc="E37EDB08">
      <w:start w:val="1"/>
      <w:numFmt w:val="decimal"/>
      <w:lvlText w:val="%1."/>
      <w:lvlJc w:val="left"/>
      <w:pPr>
        <w:ind w:left="1211"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29D6F97"/>
    <w:multiLevelType w:val="hybridMultilevel"/>
    <w:tmpl w:val="3BE06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5554476"/>
    <w:multiLevelType w:val="hybridMultilevel"/>
    <w:tmpl w:val="4E2448F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35D858D8"/>
    <w:multiLevelType w:val="multilevel"/>
    <w:tmpl w:val="618A6124"/>
    <w:lvl w:ilvl="0">
      <w:start w:val="1"/>
      <w:numFmt w:val="decimal"/>
      <w:pStyle w:val="Heading1Legal-Level1"/>
      <w:lvlText w:val="%1"/>
      <w:lvlJc w:val="left"/>
      <w:pPr>
        <w:ind w:left="720" w:hanging="720"/>
      </w:pPr>
      <w:rPr>
        <w:rFonts w:hint="default"/>
      </w:rPr>
    </w:lvl>
    <w:lvl w:ilvl="1">
      <w:start w:val="1"/>
      <w:numFmt w:val="decimal"/>
      <w:pStyle w:val="NumberedparagraphLegal-Level2"/>
      <w:lvlText w:val="%1.%2"/>
      <w:lvlJc w:val="left"/>
      <w:pPr>
        <w:ind w:left="720" w:hanging="720"/>
      </w:pPr>
      <w:rPr>
        <w:rFonts w:hint="default"/>
      </w:rPr>
    </w:lvl>
    <w:lvl w:ilvl="2">
      <w:start w:val="1"/>
      <w:numFmt w:val="decimal"/>
      <w:pStyle w:val="NumberedparagraphLegal-Leve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6A21C06"/>
    <w:multiLevelType w:val="hybridMultilevel"/>
    <w:tmpl w:val="FF60CED8"/>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38497F0C"/>
    <w:multiLevelType w:val="hybridMultilevel"/>
    <w:tmpl w:val="7D2A4972"/>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392A3BDF"/>
    <w:multiLevelType w:val="hybridMultilevel"/>
    <w:tmpl w:val="C96852B6"/>
    <w:lvl w:ilvl="0" w:tplc="A266AB8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896F6B"/>
    <w:multiLevelType w:val="hybridMultilevel"/>
    <w:tmpl w:val="FCEA698E"/>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47" w15:restartNumberingAfterBreak="0">
    <w:nsid w:val="3992631D"/>
    <w:multiLevelType w:val="hybridMultilevel"/>
    <w:tmpl w:val="3BA8E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AED5052"/>
    <w:multiLevelType w:val="hybridMultilevel"/>
    <w:tmpl w:val="26C22D4E"/>
    <w:lvl w:ilvl="0" w:tplc="4A2A861C">
      <w:start w:val="1"/>
      <w:numFmt w:val="decimal"/>
      <w:lvlText w:val="%1."/>
      <w:lvlJc w:val="left"/>
      <w:pPr>
        <w:ind w:left="2081" w:hanging="641"/>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3C511DAB"/>
    <w:multiLevelType w:val="hybridMultilevel"/>
    <w:tmpl w:val="B53A1E2C"/>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3ED53B84"/>
    <w:multiLevelType w:val="hybridMultilevel"/>
    <w:tmpl w:val="D05AA9CC"/>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F4923B8"/>
    <w:multiLevelType w:val="hybridMultilevel"/>
    <w:tmpl w:val="A73666AA"/>
    <w:lvl w:ilvl="0" w:tplc="3CC48B6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3F70722C"/>
    <w:multiLevelType w:val="hybridMultilevel"/>
    <w:tmpl w:val="A5F41542"/>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3FF37FC3"/>
    <w:multiLevelType w:val="hybridMultilevel"/>
    <w:tmpl w:val="7BAE659E"/>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41B6286C"/>
    <w:multiLevelType w:val="hybridMultilevel"/>
    <w:tmpl w:val="C010C78A"/>
    <w:lvl w:ilvl="0" w:tplc="36E456F8">
      <w:start w:val="1"/>
      <w:numFmt w:val="lowerLetter"/>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426E250D"/>
    <w:multiLevelType w:val="hybridMultilevel"/>
    <w:tmpl w:val="07CEC620"/>
    <w:lvl w:ilvl="0" w:tplc="74B6C5C0">
      <w:start w:val="1"/>
      <w:numFmt w:val="lowerLetter"/>
      <w:lvlText w:val="%1."/>
      <w:lvlJc w:val="left"/>
      <w:pPr>
        <w:ind w:left="2081" w:hanging="720"/>
      </w:pPr>
      <w:rPr>
        <w:rFonts w:hint="default"/>
      </w:rPr>
    </w:lvl>
    <w:lvl w:ilvl="1" w:tplc="344E230C">
      <w:start w:val="1"/>
      <w:numFmt w:val="decimal"/>
      <w:lvlText w:val="%2."/>
      <w:lvlJc w:val="left"/>
      <w:pPr>
        <w:ind w:left="1440" w:hanging="720"/>
      </w:pPr>
      <w:rPr>
        <w:rFonts w:hint="default"/>
        <w:i w:val="0"/>
        <w:iCs/>
      </w:r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56" w15:restartNumberingAfterBreak="0">
    <w:nsid w:val="442F1403"/>
    <w:multiLevelType w:val="hybridMultilevel"/>
    <w:tmpl w:val="B5900DCA"/>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57" w15:restartNumberingAfterBreak="0">
    <w:nsid w:val="44651ACE"/>
    <w:multiLevelType w:val="hybridMultilevel"/>
    <w:tmpl w:val="176292F2"/>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15:restartNumberingAfterBreak="0">
    <w:nsid w:val="45D671DE"/>
    <w:multiLevelType w:val="hybridMultilevel"/>
    <w:tmpl w:val="FBA21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6A14264"/>
    <w:multiLevelType w:val="hybridMultilevel"/>
    <w:tmpl w:val="8426468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60" w15:restartNumberingAfterBreak="0">
    <w:nsid w:val="4934106E"/>
    <w:multiLevelType w:val="hybridMultilevel"/>
    <w:tmpl w:val="0B4E2732"/>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4A41536D"/>
    <w:multiLevelType w:val="hybridMultilevel"/>
    <w:tmpl w:val="4D6E0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BB80D53"/>
    <w:multiLevelType w:val="hybridMultilevel"/>
    <w:tmpl w:val="E6029356"/>
    <w:lvl w:ilvl="0" w:tplc="74B6C5C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E6240C2"/>
    <w:multiLevelType w:val="hybridMultilevel"/>
    <w:tmpl w:val="24C031D4"/>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15:restartNumberingAfterBreak="0">
    <w:nsid w:val="4E961E9A"/>
    <w:multiLevelType w:val="hybridMultilevel"/>
    <w:tmpl w:val="834C5FB2"/>
    <w:lvl w:ilvl="0" w:tplc="74B6C5C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4F606CB9"/>
    <w:multiLevelType w:val="hybridMultilevel"/>
    <w:tmpl w:val="9C5E64D4"/>
    <w:lvl w:ilvl="0" w:tplc="CAE2EEF0">
      <w:start w:val="1"/>
      <w:numFmt w:val="decimal"/>
      <w:lvlText w:val="%1."/>
      <w:lvlJc w:val="left"/>
      <w:pPr>
        <w:ind w:left="2160" w:hanging="720"/>
      </w:pPr>
      <w:rPr>
        <w:rFonts w:hint="default" w:ascii="Arial" w:hAnsi="Arial" w:cs="Arial"/>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4FC73EA8"/>
    <w:multiLevelType w:val="hybridMultilevel"/>
    <w:tmpl w:val="FAB228CE"/>
    <w:lvl w:ilvl="0" w:tplc="DCECF03E">
      <w:start w:val="1"/>
      <w:numFmt w:val="bullet"/>
      <w:lvlText w:val=""/>
      <w:lvlJc w:val="left"/>
      <w:pPr>
        <w:ind w:left="1020" w:hanging="360"/>
      </w:pPr>
      <w:rPr>
        <w:rFonts w:ascii="Symbol" w:hAnsi="Symbol"/>
      </w:rPr>
    </w:lvl>
    <w:lvl w:ilvl="1" w:tplc="0B589156">
      <w:start w:val="1"/>
      <w:numFmt w:val="bullet"/>
      <w:lvlText w:val=""/>
      <w:lvlJc w:val="left"/>
      <w:pPr>
        <w:ind w:left="1020" w:hanging="360"/>
      </w:pPr>
      <w:rPr>
        <w:rFonts w:ascii="Symbol" w:hAnsi="Symbol"/>
      </w:rPr>
    </w:lvl>
    <w:lvl w:ilvl="2" w:tplc="084CB2C8">
      <w:start w:val="1"/>
      <w:numFmt w:val="bullet"/>
      <w:lvlText w:val=""/>
      <w:lvlJc w:val="left"/>
      <w:pPr>
        <w:ind w:left="1020" w:hanging="360"/>
      </w:pPr>
      <w:rPr>
        <w:rFonts w:ascii="Symbol" w:hAnsi="Symbol"/>
      </w:rPr>
    </w:lvl>
    <w:lvl w:ilvl="3" w:tplc="3B10650A">
      <w:start w:val="1"/>
      <w:numFmt w:val="bullet"/>
      <w:lvlText w:val=""/>
      <w:lvlJc w:val="left"/>
      <w:pPr>
        <w:ind w:left="1020" w:hanging="360"/>
      </w:pPr>
      <w:rPr>
        <w:rFonts w:ascii="Symbol" w:hAnsi="Symbol"/>
      </w:rPr>
    </w:lvl>
    <w:lvl w:ilvl="4" w:tplc="A1244F2E">
      <w:start w:val="1"/>
      <w:numFmt w:val="bullet"/>
      <w:lvlText w:val=""/>
      <w:lvlJc w:val="left"/>
      <w:pPr>
        <w:ind w:left="1020" w:hanging="360"/>
      </w:pPr>
      <w:rPr>
        <w:rFonts w:ascii="Symbol" w:hAnsi="Symbol"/>
      </w:rPr>
    </w:lvl>
    <w:lvl w:ilvl="5" w:tplc="176E1C62">
      <w:start w:val="1"/>
      <w:numFmt w:val="bullet"/>
      <w:lvlText w:val=""/>
      <w:lvlJc w:val="left"/>
      <w:pPr>
        <w:ind w:left="1020" w:hanging="360"/>
      </w:pPr>
      <w:rPr>
        <w:rFonts w:ascii="Symbol" w:hAnsi="Symbol"/>
      </w:rPr>
    </w:lvl>
    <w:lvl w:ilvl="6" w:tplc="654468D4">
      <w:start w:val="1"/>
      <w:numFmt w:val="bullet"/>
      <w:lvlText w:val=""/>
      <w:lvlJc w:val="left"/>
      <w:pPr>
        <w:ind w:left="1020" w:hanging="360"/>
      </w:pPr>
      <w:rPr>
        <w:rFonts w:ascii="Symbol" w:hAnsi="Symbol"/>
      </w:rPr>
    </w:lvl>
    <w:lvl w:ilvl="7" w:tplc="1CD0DE08">
      <w:start w:val="1"/>
      <w:numFmt w:val="bullet"/>
      <w:lvlText w:val=""/>
      <w:lvlJc w:val="left"/>
      <w:pPr>
        <w:ind w:left="1020" w:hanging="360"/>
      </w:pPr>
      <w:rPr>
        <w:rFonts w:ascii="Symbol" w:hAnsi="Symbol"/>
      </w:rPr>
    </w:lvl>
    <w:lvl w:ilvl="8" w:tplc="5DD8AC3E">
      <w:start w:val="1"/>
      <w:numFmt w:val="bullet"/>
      <w:lvlText w:val=""/>
      <w:lvlJc w:val="left"/>
      <w:pPr>
        <w:ind w:left="1020" w:hanging="360"/>
      </w:pPr>
      <w:rPr>
        <w:rFonts w:ascii="Symbol" w:hAnsi="Symbol"/>
      </w:rPr>
    </w:lvl>
  </w:abstractNum>
  <w:abstractNum w:abstractNumId="67" w15:restartNumberingAfterBreak="0">
    <w:nsid w:val="5006378A"/>
    <w:multiLevelType w:val="hybridMultilevel"/>
    <w:tmpl w:val="AF6AF086"/>
    <w:lvl w:ilvl="0" w:tplc="74B6C5C0">
      <w:start w:val="1"/>
      <w:numFmt w:val="lowerLetter"/>
      <w:lvlText w:val="%1."/>
      <w:lvlJc w:val="left"/>
      <w:pPr>
        <w:ind w:left="2160" w:hanging="72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506860F1"/>
    <w:multiLevelType w:val="hybridMultilevel"/>
    <w:tmpl w:val="43BCD7B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15:restartNumberingAfterBreak="0">
    <w:nsid w:val="50B037FE"/>
    <w:multiLevelType w:val="hybridMultilevel"/>
    <w:tmpl w:val="35ECF26C"/>
    <w:lvl w:ilvl="0" w:tplc="D46271EA">
      <w:start w:val="1"/>
      <w:numFmt w:val="decimal"/>
      <w:lvlText w:val="%1."/>
      <w:lvlJc w:val="left"/>
      <w:pPr>
        <w:ind w:left="1440" w:hanging="720"/>
      </w:pPr>
      <w:rPr>
        <w:rFonts w:hint="default" w:ascii="Arial" w:hAnsi="Arial" w:cs="Arial"/>
        <w:i w:val="0"/>
        <w:iCs/>
        <w:sz w:val="24"/>
      </w:rPr>
    </w:lvl>
    <w:lvl w:ilvl="1" w:tplc="4B52EDCE">
      <w:start w:val="1"/>
      <w:numFmt w:val="lowerLetter"/>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2A55A99"/>
    <w:multiLevelType w:val="hybridMultilevel"/>
    <w:tmpl w:val="EDFC6D86"/>
    <w:lvl w:ilvl="0" w:tplc="4C6AD992">
      <w:start w:val="1"/>
      <w:numFmt w:val="decimal"/>
      <w:lvlText w:val="%1."/>
      <w:lvlJc w:val="left"/>
      <w:pPr>
        <w:ind w:left="1020" w:hanging="360"/>
      </w:pPr>
    </w:lvl>
    <w:lvl w:ilvl="1" w:tplc="3ADC55BE">
      <w:start w:val="1"/>
      <w:numFmt w:val="decimal"/>
      <w:lvlText w:val="%2."/>
      <w:lvlJc w:val="left"/>
      <w:pPr>
        <w:ind w:left="1020" w:hanging="360"/>
      </w:pPr>
    </w:lvl>
    <w:lvl w:ilvl="2" w:tplc="EFB0B19E">
      <w:start w:val="1"/>
      <w:numFmt w:val="decimal"/>
      <w:lvlText w:val="%3."/>
      <w:lvlJc w:val="left"/>
      <w:pPr>
        <w:ind w:left="1020" w:hanging="360"/>
      </w:pPr>
    </w:lvl>
    <w:lvl w:ilvl="3" w:tplc="7BB67228">
      <w:start w:val="1"/>
      <w:numFmt w:val="decimal"/>
      <w:lvlText w:val="%4."/>
      <w:lvlJc w:val="left"/>
      <w:pPr>
        <w:ind w:left="1020" w:hanging="360"/>
      </w:pPr>
    </w:lvl>
    <w:lvl w:ilvl="4" w:tplc="E09C7A6C">
      <w:start w:val="1"/>
      <w:numFmt w:val="decimal"/>
      <w:lvlText w:val="%5."/>
      <w:lvlJc w:val="left"/>
      <w:pPr>
        <w:ind w:left="1020" w:hanging="360"/>
      </w:pPr>
    </w:lvl>
    <w:lvl w:ilvl="5" w:tplc="208047BA">
      <w:start w:val="1"/>
      <w:numFmt w:val="decimal"/>
      <w:lvlText w:val="%6."/>
      <w:lvlJc w:val="left"/>
      <w:pPr>
        <w:ind w:left="1020" w:hanging="360"/>
      </w:pPr>
    </w:lvl>
    <w:lvl w:ilvl="6" w:tplc="2BD84A34">
      <w:start w:val="1"/>
      <w:numFmt w:val="decimal"/>
      <w:lvlText w:val="%7."/>
      <w:lvlJc w:val="left"/>
      <w:pPr>
        <w:ind w:left="1020" w:hanging="360"/>
      </w:pPr>
    </w:lvl>
    <w:lvl w:ilvl="7" w:tplc="226AB404">
      <w:start w:val="1"/>
      <w:numFmt w:val="decimal"/>
      <w:lvlText w:val="%8."/>
      <w:lvlJc w:val="left"/>
      <w:pPr>
        <w:ind w:left="1020" w:hanging="360"/>
      </w:pPr>
    </w:lvl>
    <w:lvl w:ilvl="8" w:tplc="A7808A18">
      <w:start w:val="1"/>
      <w:numFmt w:val="decimal"/>
      <w:lvlText w:val="%9."/>
      <w:lvlJc w:val="left"/>
      <w:pPr>
        <w:ind w:left="1020" w:hanging="360"/>
      </w:pPr>
    </w:lvl>
  </w:abstractNum>
  <w:abstractNum w:abstractNumId="71" w15:restartNumberingAfterBreak="0">
    <w:nsid w:val="52ED1101"/>
    <w:multiLevelType w:val="hybridMultilevel"/>
    <w:tmpl w:val="8B3C1BEE"/>
    <w:lvl w:ilvl="0" w:tplc="30CA0F54">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15:restartNumberingAfterBreak="0">
    <w:nsid w:val="53314756"/>
    <w:multiLevelType w:val="hybridMultilevel"/>
    <w:tmpl w:val="CB7627D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73" w15:restartNumberingAfterBreak="0">
    <w:nsid w:val="53872426"/>
    <w:multiLevelType w:val="hybridMultilevel"/>
    <w:tmpl w:val="F32225E6"/>
    <w:lvl w:ilvl="0" w:tplc="74B6C5C0">
      <w:start w:val="1"/>
      <w:numFmt w:val="lowerLetter"/>
      <w:lvlText w:val="%1."/>
      <w:lvlJc w:val="left"/>
      <w:pPr>
        <w:ind w:left="1440" w:hanging="720"/>
      </w:pPr>
      <w:rPr>
        <w:rFonts w:hint="default"/>
      </w:rPr>
    </w:lvl>
    <w:lvl w:ilvl="1" w:tplc="4A2A861C">
      <w:start w:val="1"/>
      <w:numFmt w:val="decimal"/>
      <w:lvlText w:val="%2."/>
      <w:lvlJc w:val="left"/>
      <w:pPr>
        <w:ind w:left="1361" w:hanging="641"/>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6276541"/>
    <w:multiLevelType w:val="hybridMultilevel"/>
    <w:tmpl w:val="5A18BD3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75" w15:restartNumberingAfterBreak="0">
    <w:nsid w:val="56472886"/>
    <w:multiLevelType w:val="hybridMultilevel"/>
    <w:tmpl w:val="B53E7832"/>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15:restartNumberingAfterBreak="0">
    <w:nsid w:val="56CF1E3E"/>
    <w:multiLevelType w:val="hybridMultilevel"/>
    <w:tmpl w:val="D17ACEC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8C2637D"/>
    <w:multiLevelType w:val="hybridMultilevel"/>
    <w:tmpl w:val="21E2454A"/>
    <w:lvl w:ilvl="0" w:tplc="36E456F8">
      <w:start w:val="1"/>
      <w:numFmt w:val="lowerLetter"/>
      <w:lvlText w:val="%1."/>
      <w:lvlJc w:val="left"/>
      <w:pPr>
        <w:ind w:left="2880" w:hanging="72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5ACF03DF"/>
    <w:multiLevelType w:val="hybridMultilevel"/>
    <w:tmpl w:val="0F64F50C"/>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79" w15:restartNumberingAfterBreak="0">
    <w:nsid w:val="5B080DC3"/>
    <w:multiLevelType w:val="hybridMultilevel"/>
    <w:tmpl w:val="1414A190"/>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15:restartNumberingAfterBreak="0">
    <w:nsid w:val="5C870270"/>
    <w:multiLevelType w:val="hybridMultilevel"/>
    <w:tmpl w:val="4E70B21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5C9B00C5"/>
    <w:multiLevelType w:val="multilevel"/>
    <w:tmpl w:val="3EE08A70"/>
    <w:styleLink w:val="Legalnumbering"/>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CBD02C2"/>
    <w:multiLevelType w:val="hybridMultilevel"/>
    <w:tmpl w:val="E4D45E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 w15:restartNumberingAfterBreak="0">
    <w:nsid w:val="5E4A7692"/>
    <w:multiLevelType w:val="hybridMultilevel"/>
    <w:tmpl w:val="99107360"/>
    <w:lvl w:ilvl="0" w:tplc="94D2A52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5EF24545"/>
    <w:multiLevelType w:val="hybridMultilevel"/>
    <w:tmpl w:val="743C9F76"/>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 w15:restartNumberingAfterBreak="0">
    <w:nsid w:val="5FC97947"/>
    <w:multiLevelType w:val="hybridMultilevel"/>
    <w:tmpl w:val="B5AE847A"/>
    <w:lvl w:ilvl="0" w:tplc="346C8402">
      <w:start w:val="1"/>
      <w:numFmt w:val="decimal"/>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60EB72F5"/>
    <w:multiLevelType w:val="hybridMultilevel"/>
    <w:tmpl w:val="F59AD55A"/>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87" w15:restartNumberingAfterBreak="0">
    <w:nsid w:val="612F1F93"/>
    <w:multiLevelType w:val="hybridMultilevel"/>
    <w:tmpl w:val="F8547954"/>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617F182C"/>
    <w:multiLevelType w:val="hybridMultilevel"/>
    <w:tmpl w:val="100AA9B4"/>
    <w:lvl w:ilvl="0" w:tplc="36E456F8">
      <w:start w:val="1"/>
      <w:numFmt w:val="lowerLetter"/>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61804623"/>
    <w:multiLevelType w:val="hybridMultilevel"/>
    <w:tmpl w:val="02666B2E"/>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90" w15:restartNumberingAfterBreak="0">
    <w:nsid w:val="62104868"/>
    <w:multiLevelType w:val="hybridMultilevel"/>
    <w:tmpl w:val="097E967C"/>
    <w:lvl w:ilvl="0" w:tplc="74B6C5C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2774507"/>
    <w:multiLevelType w:val="hybridMultilevel"/>
    <w:tmpl w:val="EBE08BD2"/>
    <w:lvl w:ilvl="0" w:tplc="D80AB0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63964384"/>
    <w:multiLevelType w:val="hybridMultilevel"/>
    <w:tmpl w:val="A0FEA1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4E45DA3"/>
    <w:multiLevelType w:val="hybridMultilevel"/>
    <w:tmpl w:val="1ADA866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660939B0"/>
    <w:multiLevelType w:val="hybridMultilevel"/>
    <w:tmpl w:val="A96ABB10"/>
    <w:lvl w:ilvl="0" w:tplc="46DCF856">
      <w:start w:val="3"/>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5" w15:restartNumberingAfterBreak="0">
    <w:nsid w:val="667F66D7"/>
    <w:multiLevelType w:val="hybridMultilevel"/>
    <w:tmpl w:val="0E1EFFE8"/>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6" w15:restartNumberingAfterBreak="0">
    <w:nsid w:val="69B45F37"/>
    <w:multiLevelType w:val="hybridMultilevel"/>
    <w:tmpl w:val="1D0EFBF4"/>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97" w15:restartNumberingAfterBreak="0">
    <w:nsid w:val="6AA045C7"/>
    <w:multiLevelType w:val="hybridMultilevel"/>
    <w:tmpl w:val="44EA3D62"/>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6BAF67F5"/>
    <w:multiLevelType w:val="hybridMultilevel"/>
    <w:tmpl w:val="AA6446B0"/>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99" w15:restartNumberingAfterBreak="0">
    <w:nsid w:val="6D6B77C8"/>
    <w:multiLevelType w:val="hybridMultilevel"/>
    <w:tmpl w:val="24263236"/>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0" w15:restartNumberingAfterBreak="0">
    <w:nsid w:val="6D7333F8"/>
    <w:multiLevelType w:val="hybridMultilevel"/>
    <w:tmpl w:val="BCB03AD2"/>
    <w:lvl w:ilvl="0" w:tplc="36E456F8">
      <w:start w:val="1"/>
      <w:numFmt w:val="lowerLetter"/>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1" w15:restartNumberingAfterBreak="0">
    <w:nsid w:val="6E144E76"/>
    <w:multiLevelType w:val="hybridMultilevel"/>
    <w:tmpl w:val="2362E9A4"/>
    <w:lvl w:ilvl="0" w:tplc="1C9CF85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6E1E3B21"/>
    <w:multiLevelType w:val="multilevel"/>
    <w:tmpl w:val="CD386BF2"/>
    <w:styleLink w:val="Numberlist"/>
    <w:lvl w:ilvl="0">
      <w:start w:val="1"/>
      <w:numFmt w:val="decimal"/>
      <w:lvlText w:val="%1."/>
      <w:lvlJc w:val="left"/>
      <w:pPr>
        <w:ind w:left="862" w:hanging="357"/>
      </w:pPr>
      <w:rPr>
        <w:rFonts w:hint="default" w:ascii="Arial" w:hAnsi="Arial" w:cs="Times New Roman"/>
        <w:sz w:val="24"/>
      </w:rPr>
    </w:lvl>
    <w:lvl w:ilvl="1">
      <w:start w:val="1"/>
      <w:numFmt w:val="lowerLetter"/>
      <w:lvlText w:val="%2."/>
      <w:lvlJc w:val="left"/>
      <w:pPr>
        <w:ind w:left="1440" w:hanging="360"/>
      </w:pPr>
      <w:rPr>
        <w:rFonts w:hint="default" w:cs="Times New Roman"/>
      </w:rPr>
    </w:lvl>
    <w:lvl w:ilvl="2">
      <w:start w:val="1"/>
      <w:numFmt w:val="lowerRoman"/>
      <w:lvlText w:val="%3."/>
      <w:lvlJc w:val="right"/>
      <w:pPr>
        <w:ind w:left="2160" w:hanging="180"/>
      </w:pPr>
      <w:rPr>
        <w:rFonts w:hint="default" w:cs="Times New Roman"/>
      </w:rPr>
    </w:lvl>
    <w:lvl w:ilvl="3">
      <w:start w:val="1"/>
      <w:numFmt w:val="decimal"/>
      <w:lvlText w:val="%4."/>
      <w:lvlJc w:val="left"/>
      <w:pPr>
        <w:ind w:left="2880" w:hanging="360"/>
      </w:pPr>
      <w:rPr>
        <w:rFonts w:hint="default" w:cs="Times New Roman"/>
      </w:rPr>
    </w:lvl>
    <w:lvl w:ilvl="4">
      <w:start w:val="1"/>
      <w:numFmt w:val="lowerLetter"/>
      <w:lvlText w:val="%5."/>
      <w:lvlJc w:val="left"/>
      <w:pPr>
        <w:ind w:left="3600" w:hanging="360"/>
      </w:pPr>
      <w:rPr>
        <w:rFonts w:hint="default" w:cs="Times New Roman"/>
      </w:rPr>
    </w:lvl>
    <w:lvl w:ilvl="5">
      <w:start w:val="1"/>
      <w:numFmt w:val="lowerRoman"/>
      <w:lvlText w:val="%6."/>
      <w:lvlJc w:val="right"/>
      <w:pPr>
        <w:ind w:left="4320" w:hanging="180"/>
      </w:pPr>
      <w:rPr>
        <w:rFonts w:hint="default" w:cs="Times New Roman"/>
      </w:rPr>
    </w:lvl>
    <w:lvl w:ilvl="6">
      <w:start w:val="1"/>
      <w:numFmt w:val="decimal"/>
      <w:lvlText w:val="%7."/>
      <w:lvlJc w:val="left"/>
      <w:pPr>
        <w:ind w:left="5040" w:hanging="360"/>
      </w:pPr>
      <w:rPr>
        <w:rFonts w:hint="default" w:cs="Times New Roman"/>
      </w:rPr>
    </w:lvl>
    <w:lvl w:ilvl="7">
      <w:start w:val="1"/>
      <w:numFmt w:val="lowerLetter"/>
      <w:lvlText w:val="%8."/>
      <w:lvlJc w:val="left"/>
      <w:pPr>
        <w:ind w:left="5760" w:hanging="360"/>
      </w:pPr>
      <w:rPr>
        <w:rFonts w:hint="default" w:cs="Times New Roman"/>
      </w:rPr>
    </w:lvl>
    <w:lvl w:ilvl="8">
      <w:start w:val="1"/>
      <w:numFmt w:val="lowerRoman"/>
      <w:lvlText w:val="%9."/>
      <w:lvlJc w:val="right"/>
      <w:pPr>
        <w:ind w:left="6480" w:hanging="180"/>
      </w:pPr>
      <w:rPr>
        <w:rFonts w:hint="default" w:cs="Times New Roman"/>
      </w:rPr>
    </w:lvl>
  </w:abstractNum>
  <w:abstractNum w:abstractNumId="103" w15:restartNumberingAfterBreak="0">
    <w:nsid w:val="6E267F12"/>
    <w:multiLevelType w:val="hybridMultilevel"/>
    <w:tmpl w:val="7250C9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011093E"/>
    <w:multiLevelType w:val="hybridMultilevel"/>
    <w:tmpl w:val="8D8CC60A"/>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707C0D03"/>
    <w:multiLevelType w:val="hybridMultilevel"/>
    <w:tmpl w:val="D0BE9558"/>
    <w:lvl w:ilvl="0" w:tplc="D46271EA">
      <w:start w:val="1"/>
      <w:numFmt w:val="decimal"/>
      <w:lvlText w:val="%1."/>
      <w:lvlJc w:val="left"/>
      <w:pPr>
        <w:ind w:left="2160" w:hanging="720"/>
      </w:pPr>
      <w:rPr>
        <w:rFonts w:hint="default" w:ascii="Arial" w:hAnsi="Arial" w:cs="Arial"/>
        <w:i w:val="0"/>
        <w:iCs/>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71063507"/>
    <w:multiLevelType w:val="hybridMultilevel"/>
    <w:tmpl w:val="06C4EF36"/>
    <w:lvl w:ilvl="0" w:tplc="D46271EA">
      <w:start w:val="1"/>
      <w:numFmt w:val="decimal"/>
      <w:lvlText w:val="%1."/>
      <w:lvlJc w:val="left"/>
      <w:pPr>
        <w:ind w:left="2160" w:hanging="720"/>
      </w:pPr>
      <w:rPr>
        <w:rFonts w:hint="default" w:ascii="Arial" w:hAnsi="Arial" w:cs="Arial"/>
        <w:i w:val="0"/>
        <w:iCs/>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72DD6593"/>
    <w:multiLevelType w:val="hybridMultilevel"/>
    <w:tmpl w:val="2C367110"/>
    <w:lvl w:ilvl="0" w:tplc="BDACE8B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73152D88"/>
    <w:multiLevelType w:val="hybridMultilevel"/>
    <w:tmpl w:val="EE54953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09" w15:restartNumberingAfterBreak="0">
    <w:nsid w:val="749B3F6A"/>
    <w:multiLevelType w:val="hybridMultilevel"/>
    <w:tmpl w:val="1096C986"/>
    <w:lvl w:ilvl="0" w:tplc="08090019" w:tentative="1">
      <w:start w:val="1"/>
      <w:numFmt w:val="lowerLetter"/>
      <w:lvlText w:val="%1."/>
      <w:lvlJc w:val="left"/>
      <w:pPr>
        <w:ind w:left="252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15:restartNumberingAfterBreak="0">
    <w:nsid w:val="75823F88"/>
    <w:multiLevelType w:val="hybridMultilevel"/>
    <w:tmpl w:val="8D14ACEA"/>
    <w:lvl w:ilvl="0" w:tplc="74B6C5C0">
      <w:start w:val="1"/>
      <w:numFmt w:val="lowerLetter"/>
      <w:lvlText w:val="%1."/>
      <w:lvlJc w:val="left"/>
      <w:pPr>
        <w:ind w:left="2081" w:hanging="72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111" w15:restartNumberingAfterBreak="0">
    <w:nsid w:val="758D7E5F"/>
    <w:multiLevelType w:val="hybridMultilevel"/>
    <w:tmpl w:val="A2D8B6E2"/>
    <w:lvl w:ilvl="0" w:tplc="74B6C5C0">
      <w:start w:val="1"/>
      <w:numFmt w:val="lowerLetter"/>
      <w:lvlText w:val="%1."/>
      <w:lvlJc w:val="left"/>
      <w:pPr>
        <w:ind w:left="2160" w:hanging="72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2" w15:restartNumberingAfterBreak="0">
    <w:nsid w:val="76184CFF"/>
    <w:multiLevelType w:val="hybridMultilevel"/>
    <w:tmpl w:val="7604E83C"/>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13" w15:restartNumberingAfterBreak="0">
    <w:nsid w:val="791B4271"/>
    <w:multiLevelType w:val="hybridMultilevel"/>
    <w:tmpl w:val="51DCBBAE"/>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14" w15:restartNumberingAfterBreak="0">
    <w:nsid w:val="791F663A"/>
    <w:multiLevelType w:val="hybridMultilevel"/>
    <w:tmpl w:val="A4EC5C6A"/>
    <w:lvl w:ilvl="0" w:tplc="F9DCFBA2">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5" w15:restartNumberingAfterBreak="0">
    <w:nsid w:val="7AF3018E"/>
    <w:multiLevelType w:val="hybridMultilevel"/>
    <w:tmpl w:val="9DB6FBAE"/>
    <w:lvl w:ilvl="0" w:tplc="74B6C5C0">
      <w:start w:val="1"/>
      <w:numFmt w:val="lowerLetter"/>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6" w15:restartNumberingAfterBreak="0">
    <w:nsid w:val="7EA2501E"/>
    <w:multiLevelType w:val="hybridMultilevel"/>
    <w:tmpl w:val="1D780966"/>
    <w:lvl w:ilvl="0" w:tplc="74B6C5C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7EAF4331"/>
    <w:multiLevelType w:val="hybridMultilevel"/>
    <w:tmpl w:val="319EE496"/>
    <w:lvl w:ilvl="0" w:tplc="74B6C5C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7F123805"/>
    <w:multiLevelType w:val="hybridMultilevel"/>
    <w:tmpl w:val="99AA897C"/>
    <w:lvl w:ilvl="0" w:tplc="D384F7DC">
      <w:start w:val="1"/>
      <w:numFmt w:val="bullet"/>
      <w:lvlText w:val=""/>
      <w:lvlJc w:val="left"/>
      <w:pPr>
        <w:ind w:left="1020" w:hanging="360"/>
      </w:pPr>
      <w:rPr>
        <w:rFonts w:ascii="Symbol" w:hAnsi="Symbol"/>
      </w:rPr>
    </w:lvl>
    <w:lvl w:ilvl="1" w:tplc="6EB20B20">
      <w:start w:val="1"/>
      <w:numFmt w:val="bullet"/>
      <w:lvlText w:val=""/>
      <w:lvlJc w:val="left"/>
      <w:pPr>
        <w:ind w:left="1020" w:hanging="360"/>
      </w:pPr>
      <w:rPr>
        <w:rFonts w:ascii="Symbol" w:hAnsi="Symbol"/>
      </w:rPr>
    </w:lvl>
    <w:lvl w:ilvl="2" w:tplc="36748D92">
      <w:start w:val="1"/>
      <w:numFmt w:val="bullet"/>
      <w:lvlText w:val=""/>
      <w:lvlJc w:val="left"/>
      <w:pPr>
        <w:ind w:left="1020" w:hanging="360"/>
      </w:pPr>
      <w:rPr>
        <w:rFonts w:ascii="Symbol" w:hAnsi="Symbol"/>
      </w:rPr>
    </w:lvl>
    <w:lvl w:ilvl="3" w:tplc="A4CC9842">
      <w:start w:val="1"/>
      <w:numFmt w:val="bullet"/>
      <w:lvlText w:val=""/>
      <w:lvlJc w:val="left"/>
      <w:pPr>
        <w:ind w:left="1020" w:hanging="360"/>
      </w:pPr>
      <w:rPr>
        <w:rFonts w:ascii="Symbol" w:hAnsi="Symbol"/>
      </w:rPr>
    </w:lvl>
    <w:lvl w:ilvl="4" w:tplc="B21A34FE">
      <w:start w:val="1"/>
      <w:numFmt w:val="bullet"/>
      <w:lvlText w:val=""/>
      <w:lvlJc w:val="left"/>
      <w:pPr>
        <w:ind w:left="1020" w:hanging="360"/>
      </w:pPr>
      <w:rPr>
        <w:rFonts w:ascii="Symbol" w:hAnsi="Symbol"/>
      </w:rPr>
    </w:lvl>
    <w:lvl w:ilvl="5" w:tplc="52726CD4">
      <w:start w:val="1"/>
      <w:numFmt w:val="bullet"/>
      <w:lvlText w:val=""/>
      <w:lvlJc w:val="left"/>
      <w:pPr>
        <w:ind w:left="1020" w:hanging="360"/>
      </w:pPr>
      <w:rPr>
        <w:rFonts w:ascii="Symbol" w:hAnsi="Symbol"/>
      </w:rPr>
    </w:lvl>
    <w:lvl w:ilvl="6" w:tplc="A2088E80">
      <w:start w:val="1"/>
      <w:numFmt w:val="bullet"/>
      <w:lvlText w:val=""/>
      <w:lvlJc w:val="left"/>
      <w:pPr>
        <w:ind w:left="1020" w:hanging="360"/>
      </w:pPr>
      <w:rPr>
        <w:rFonts w:ascii="Symbol" w:hAnsi="Symbol"/>
      </w:rPr>
    </w:lvl>
    <w:lvl w:ilvl="7" w:tplc="377C223E">
      <w:start w:val="1"/>
      <w:numFmt w:val="bullet"/>
      <w:lvlText w:val=""/>
      <w:lvlJc w:val="left"/>
      <w:pPr>
        <w:ind w:left="1020" w:hanging="360"/>
      </w:pPr>
      <w:rPr>
        <w:rFonts w:ascii="Symbol" w:hAnsi="Symbol"/>
      </w:rPr>
    </w:lvl>
    <w:lvl w:ilvl="8" w:tplc="12FC9B98">
      <w:start w:val="1"/>
      <w:numFmt w:val="bullet"/>
      <w:lvlText w:val=""/>
      <w:lvlJc w:val="left"/>
      <w:pPr>
        <w:ind w:left="1020" w:hanging="360"/>
      </w:pPr>
      <w:rPr>
        <w:rFonts w:ascii="Symbol" w:hAnsi="Symbol"/>
      </w:rPr>
    </w:lvl>
  </w:abstractNum>
  <w:num w:numId="1" w16cid:durableId="511073909">
    <w:abstractNumId w:val="45"/>
  </w:num>
  <w:num w:numId="2" w16cid:durableId="1824927166">
    <w:abstractNumId w:val="102"/>
  </w:num>
  <w:num w:numId="3" w16cid:durableId="395202613">
    <w:abstractNumId w:val="23"/>
  </w:num>
  <w:num w:numId="4" w16cid:durableId="2003501849">
    <w:abstractNumId w:val="30"/>
  </w:num>
  <w:num w:numId="5" w16cid:durableId="197204742">
    <w:abstractNumId w:val="42"/>
  </w:num>
  <w:num w:numId="6" w16cid:durableId="1337852561">
    <w:abstractNumId w:val="81"/>
  </w:num>
  <w:num w:numId="7" w16cid:durableId="1063212182">
    <w:abstractNumId w:val="10"/>
  </w:num>
  <w:num w:numId="8" w16cid:durableId="1521159375">
    <w:abstractNumId w:val="118"/>
  </w:num>
  <w:num w:numId="9" w16cid:durableId="1751150929">
    <w:abstractNumId w:val="12"/>
  </w:num>
  <w:num w:numId="10" w16cid:durableId="582959743">
    <w:abstractNumId w:val="66"/>
  </w:num>
  <w:num w:numId="11" w16cid:durableId="587471146">
    <w:abstractNumId w:val="70"/>
  </w:num>
  <w:num w:numId="12" w16cid:durableId="904606049">
    <w:abstractNumId w:val="40"/>
  </w:num>
  <w:num w:numId="13" w16cid:durableId="1984387202">
    <w:abstractNumId w:val="103"/>
  </w:num>
  <w:num w:numId="14" w16cid:durableId="2106998183">
    <w:abstractNumId w:val="89"/>
  </w:num>
  <w:num w:numId="15" w16cid:durableId="1634945640">
    <w:abstractNumId w:val="35"/>
  </w:num>
  <w:num w:numId="16" w16cid:durableId="160630680">
    <w:abstractNumId w:val="108"/>
  </w:num>
  <w:num w:numId="17" w16cid:durableId="61949250">
    <w:abstractNumId w:val="33"/>
  </w:num>
  <w:num w:numId="18" w16cid:durableId="309096965">
    <w:abstractNumId w:val="5"/>
  </w:num>
  <w:num w:numId="19" w16cid:durableId="2135826894">
    <w:abstractNumId w:val="14"/>
  </w:num>
  <w:num w:numId="20" w16cid:durableId="614867821">
    <w:abstractNumId w:val="74"/>
  </w:num>
  <w:num w:numId="21" w16cid:durableId="1122769694">
    <w:abstractNumId w:val="19"/>
  </w:num>
  <w:num w:numId="22" w16cid:durableId="623314697">
    <w:abstractNumId w:val="26"/>
  </w:num>
  <w:num w:numId="23" w16cid:durableId="767963695">
    <w:abstractNumId w:val="113"/>
  </w:num>
  <w:num w:numId="24" w16cid:durableId="344289085">
    <w:abstractNumId w:val="56"/>
  </w:num>
  <w:num w:numId="25" w16cid:durableId="699747461">
    <w:abstractNumId w:val="59"/>
  </w:num>
  <w:num w:numId="26" w16cid:durableId="794176430">
    <w:abstractNumId w:val="96"/>
  </w:num>
  <w:num w:numId="27" w16cid:durableId="1387336284">
    <w:abstractNumId w:val="13"/>
  </w:num>
  <w:num w:numId="28" w16cid:durableId="1335110163">
    <w:abstractNumId w:val="72"/>
  </w:num>
  <w:num w:numId="29" w16cid:durableId="151415060">
    <w:abstractNumId w:val="112"/>
  </w:num>
  <w:num w:numId="30" w16cid:durableId="832641663">
    <w:abstractNumId w:val="31"/>
  </w:num>
  <w:num w:numId="31" w16cid:durableId="1574924369">
    <w:abstractNumId w:val="20"/>
  </w:num>
  <w:num w:numId="32" w16cid:durableId="386875912">
    <w:abstractNumId w:val="0"/>
  </w:num>
  <w:num w:numId="33" w16cid:durableId="1095203598">
    <w:abstractNumId w:val="61"/>
  </w:num>
  <w:num w:numId="34" w16cid:durableId="427654321">
    <w:abstractNumId w:val="1"/>
  </w:num>
  <w:num w:numId="35" w16cid:durableId="170921179">
    <w:abstractNumId w:val="11"/>
  </w:num>
  <w:num w:numId="36" w16cid:durableId="1551650350">
    <w:abstractNumId w:val="39"/>
  </w:num>
  <w:num w:numId="37" w16cid:durableId="201400671">
    <w:abstractNumId w:val="9"/>
  </w:num>
  <w:num w:numId="38" w16cid:durableId="334378930">
    <w:abstractNumId w:val="58"/>
  </w:num>
  <w:num w:numId="39" w16cid:durableId="1684287111">
    <w:abstractNumId w:val="94"/>
  </w:num>
  <w:num w:numId="40" w16cid:durableId="803962059">
    <w:abstractNumId w:val="3"/>
  </w:num>
  <w:num w:numId="41" w16cid:durableId="608854817">
    <w:abstractNumId w:val="2"/>
  </w:num>
  <w:num w:numId="42" w16cid:durableId="361977620">
    <w:abstractNumId w:val="92"/>
  </w:num>
  <w:num w:numId="43" w16cid:durableId="249824296">
    <w:abstractNumId w:val="36"/>
  </w:num>
  <w:num w:numId="44" w16cid:durableId="621427427">
    <w:abstractNumId w:val="47"/>
  </w:num>
  <w:num w:numId="45" w16cid:durableId="523371223">
    <w:abstractNumId w:val="34"/>
  </w:num>
  <w:num w:numId="46" w16cid:durableId="1928492725">
    <w:abstractNumId w:val="76"/>
  </w:num>
  <w:num w:numId="47" w16cid:durableId="1598635408">
    <w:abstractNumId w:val="4"/>
  </w:num>
  <w:num w:numId="48" w16cid:durableId="1600335340">
    <w:abstractNumId w:val="69"/>
  </w:num>
  <w:num w:numId="49" w16cid:durableId="1077900429">
    <w:abstractNumId w:val="16"/>
  </w:num>
  <w:num w:numId="50" w16cid:durableId="802044002">
    <w:abstractNumId w:val="49"/>
  </w:num>
  <w:num w:numId="51" w16cid:durableId="902570333">
    <w:abstractNumId w:val="22"/>
  </w:num>
  <w:num w:numId="52" w16cid:durableId="1345283737">
    <w:abstractNumId w:val="65"/>
  </w:num>
  <w:num w:numId="53" w16cid:durableId="1635332207">
    <w:abstractNumId w:val="52"/>
  </w:num>
  <w:num w:numId="54" w16cid:durableId="766851379">
    <w:abstractNumId w:val="15"/>
  </w:num>
  <w:num w:numId="55" w16cid:durableId="750585934">
    <w:abstractNumId w:val="50"/>
  </w:num>
  <w:num w:numId="56" w16cid:durableId="337926356">
    <w:abstractNumId w:val="114"/>
  </w:num>
  <w:num w:numId="57" w16cid:durableId="320620980">
    <w:abstractNumId w:val="83"/>
  </w:num>
  <w:num w:numId="58" w16cid:durableId="614747572">
    <w:abstractNumId w:val="60"/>
  </w:num>
  <w:num w:numId="59" w16cid:durableId="869302160">
    <w:abstractNumId w:val="27"/>
  </w:num>
  <w:num w:numId="60" w16cid:durableId="524944870">
    <w:abstractNumId w:val="106"/>
  </w:num>
  <w:num w:numId="61" w16cid:durableId="1569685208">
    <w:abstractNumId w:val="105"/>
  </w:num>
  <w:num w:numId="62" w16cid:durableId="903566690">
    <w:abstractNumId w:val="82"/>
  </w:num>
  <w:num w:numId="63" w16cid:durableId="1010958502">
    <w:abstractNumId w:val="51"/>
  </w:num>
  <w:num w:numId="64" w16cid:durableId="1916429348">
    <w:abstractNumId w:val="109"/>
  </w:num>
  <w:num w:numId="65" w16cid:durableId="693505960">
    <w:abstractNumId w:val="107"/>
  </w:num>
  <w:num w:numId="66" w16cid:durableId="1098522841">
    <w:abstractNumId w:val="91"/>
  </w:num>
  <w:num w:numId="67" w16cid:durableId="559874863">
    <w:abstractNumId w:val="77"/>
  </w:num>
  <w:num w:numId="68" w16cid:durableId="70933414">
    <w:abstractNumId w:val="18"/>
  </w:num>
  <w:num w:numId="69" w16cid:durableId="823468532">
    <w:abstractNumId w:val="8"/>
  </w:num>
  <w:num w:numId="70" w16cid:durableId="414940708">
    <w:abstractNumId w:val="101"/>
  </w:num>
  <w:num w:numId="71" w16cid:durableId="798572392">
    <w:abstractNumId w:val="17"/>
  </w:num>
  <w:num w:numId="72" w16cid:durableId="331221323">
    <w:abstractNumId w:val="54"/>
  </w:num>
  <w:num w:numId="73" w16cid:durableId="511724609">
    <w:abstractNumId w:val="24"/>
  </w:num>
  <w:num w:numId="74" w16cid:durableId="1894655718">
    <w:abstractNumId w:val="100"/>
  </w:num>
  <w:num w:numId="75" w16cid:durableId="1800568327">
    <w:abstractNumId w:val="25"/>
  </w:num>
  <w:num w:numId="76" w16cid:durableId="1525291031">
    <w:abstractNumId w:val="67"/>
  </w:num>
  <w:num w:numId="77" w16cid:durableId="1708604005">
    <w:abstractNumId w:val="6"/>
  </w:num>
  <w:num w:numId="78" w16cid:durableId="829255918">
    <w:abstractNumId w:val="28"/>
  </w:num>
  <w:num w:numId="79" w16cid:durableId="1257520072">
    <w:abstractNumId w:val="29"/>
  </w:num>
  <w:num w:numId="80" w16cid:durableId="1840927758">
    <w:abstractNumId w:val="88"/>
  </w:num>
  <w:num w:numId="81" w16cid:durableId="1288467414">
    <w:abstractNumId w:val="71"/>
  </w:num>
  <w:num w:numId="82" w16cid:durableId="428281999">
    <w:abstractNumId w:val="104"/>
  </w:num>
  <w:num w:numId="83" w16cid:durableId="1477337033">
    <w:abstractNumId w:val="62"/>
  </w:num>
  <w:num w:numId="84" w16cid:durableId="666590504">
    <w:abstractNumId w:val="116"/>
  </w:num>
  <w:num w:numId="85" w16cid:durableId="2070229182">
    <w:abstractNumId w:val="117"/>
  </w:num>
  <w:num w:numId="86" w16cid:durableId="740061719">
    <w:abstractNumId w:val="53"/>
  </w:num>
  <w:num w:numId="87" w16cid:durableId="1886404800">
    <w:abstractNumId w:val="41"/>
  </w:num>
  <w:num w:numId="88" w16cid:durableId="871259173">
    <w:abstractNumId w:val="37"/>
  </w:num>
  <w:num w:numId="89" w16cid:durableId="1558512956">
    <w:abstractNumId w:val="111"/>
  </w:num>
  <w:num w:numId="90" w16cid:durableId="532114849">
    <w:abstractNumId w:val="90"/>
  </w:num>
  <w:num w:numId="91" w16cid:durableId="897786696">
    <w:abstractNumId w:val="64"/>
  </w:num>
  <w:num w:numId="92" w16cid:durableId="659502772">
    <w:abstractNumId w:val="73"/>
  </w:num>
  <w:num w:numId="93" w16cid:durableId="1925605680">
    <w:abstractNumId w:val="21"/>
  </w:num>
  <w:num w:numId="94" w16cid:durableId="1679844841">
    <w:abstractNumId w:val="115"/>
  </w:num>
  <w:num w:numId="95" w16cid:durableId="320891316">
    <w:abstractNumId w:val="93"/>
  </w:num>
  <w:num w:numId="96" w16cid:durableId="1688170574">
    <w:abstractNumId w:val="48"/>
  </w:num>
  <w:num w:numId="97" w16cid:durableId="707992656">
    <w:abstractNumId w:val="80"/>
  </w:num>
  <w:num w:numId="98" w16cid:durableId="1062143975">
    <w:abstractNumId w:val="97"/>
  </w:num>
  <w:num w:numId="99" w16cid:durableId="513692352">
    <w:abstractNumId w:val="110"/>
  </w:num>
  <w:num w:numId="100" w16cid:durableId="111169969">
    <w:abstractNumId w:val="32"/>
  </w:num>
  <w:num w:numId="101" w16cid:durableId="730344140">
    <w:abstractNumId w:val="78"/>
  </w:num>
  <w:num w:numId="102" w16cid:durableId="105780898">
    <w:abstractNumId w:val="46"/>
  </w:num>
  <w:num w:numId="103" w16cid:durableId="1757288050">
    <w:abstractNumId w:val="98"/>
  </w:num>
  <w:num w:numId="104" w16cid:durableId="27877094">
    <w:abstractNumId w:val="86"/>
  </w:num>
  <w:num w:numId="105" w16cid:durableId="47581088">
    <w:abstractNumId w:val="38"/>
  </w:num>
  <w:num w:numId="106" w16cid:durableId="463163345">
    <w:abstractNumId w:val="55"/>
  </w:num>
  <w:num w:numId="107" w16cid:durableId="202246">
    <w:abstractNumId w:val="63"/>
  </w:num>
  <w:num w:numId="108" w16cid:durableId="1039431683">
    <w:abstractNumId w:val="85"/>
  </w:num>
  <w:num w:numId="109" w16cid:durableId="1692032227">
    <w:abstractNumId w:val="84"/>
  </w:num>
  <w:num w:numId="110" w16cid:durableId="1183474299">
    <w:abstractNumId w:val="75"/>
  </w:num>
  <w:num w:numId="111" w16cid:durableId="2123185723">
    <w:abstractNumId w:val="57"/>
  </w:num>
  <w:num w:numId="112" w16cid:durableId="1507792393">
    <w:abstractNumId w:val="99"/>
  </w:num>
  <w:num w:numId="113" w16cid:durableId="509372593">
    <w:abstractNumId w:val="68"/>
  </w:num>
  <w:num w:numId="114" w16cid:durableId="1063985248">
    <w:abstractNumId w:val="44"/>
  </w:num>
  <w:num w:numId="115" w16cid:durableId="595754403">
    <w:abstractNumId w:val="43"/>
  </w:num>
  <w:num w:numId="116" w16cid:durableId="177961665">
    <w:abstractNumId w:val="79"/>
  </w:num>
  <w:num w:numId="117" w16cid:durableId="409809095">
    <w:abstractNumId w:val="95"/>
  </w:num>
  <w:num w:numId="118" w16cid:durableId="1324894117">
    <w:abstractNumId w:val="7"/>
  </w:num>
  <w:num w:numId="119" w16cid:durableId="1966737126">
    <w:abstractNumId w:val="87"/>
  </w:num>
  <w:numIdMacAtCleanup w:val="1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DateAndTime/>
  <w:activeWritingStyle w:lang="fr-FR" w:vendorID="64" w:dllVersion="0" w:nlCheck="1" w:checkStyle="0" w:appName="MSWord"/>
  <w:proofState w:spelling="clean" w:grammar="dirty"/>
  <w:attachedTemplate r:id="rId1"/>
  <w:trackRevisions w:val="false"/>
  <w:documentProtection w:enforcement="0"/>
  <w:autoFormatOverride/>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K3sDQytDQwMTcztLRU0lEKTi0uzszPAykwrAUAz4Z7eiwAAAA="/>
  </w:docVars>
  <w:rsids>
    <w:rsidRoot w:val="00A600B7"/>
    <w:rsid w:val="00001899"/>
    <w:rsid w:val="0000224C"/>
    <w:rsid w:val="0000277E"/>
    <w:rsid w:val="000029D8"/>
    <w:rsid w:val="00004C03"/>
    <w:rsid w:val="00005311"/>
    <w:rsid w:val="00005386"/>
    <w:rsid w:val="000054BF"/>
    <w:rsid w:val="00006217"/>
    <w:rsid w:val="0000785D"/>
    <w:rsid w:val="000139D9"/>
    <w:rsid w:val="000142B8"/>
    <w:rsid w:val="00015845"/>
    <w:rsid w:val="00015EAF"/>
    <w:rsid w:val="000167BD"/>
    <w:rsid w:val="000202B8"/>
    <w:rsid w:val="00020F34"/>
    <w:rsid w:val="00020FEA"/>
    <w:rsid w:val="00021592"/>
    <w:rsid w:val="000242CD"/>
    <w:rsid w:val="00024E57"/>
    <w:rsid w:val="00024E7F"/>
    <w:rsid w:val="00025357"/>
    <w:rsid w:val="000256F9"/>
    <w:rsid w:val="00025F07"/>
    <w:rsid w:val="000309DB"/>
    <w:rsid w:val="00031117"/>
    <w:rsid w:val="000320A4"/>
    <w:rsid w:val="000325FC"/>
    <w:rsid w:val="00032C37"/>
    <w:rsid w:val="00033597"/>
    <w:rsid w:val="00033A51"/>
    <w:rsid w:val="00033B19"/>
    <w:rsid w:val="00033D5A"/>
    <w:rsid w:val="0003469E"/>
    <w:rsid w:val="00035164"/>
    <w:rsid w:val="0003775A"/>
    <w:rsid w:val="00040961"/>
    <w:rsid w:val="00041D02"/>
    <w:rsid w:val="00041DE9"/>
    <w:rsid w:val="00042178"/>
    <w:rsid w:val="0004261E"/>
    <w:rsid w:val="0004386E"/>
    <w:rsid w:val="00044971"/>
    <w:rsid w:val="000460AE"/>
    <w:rsid w:val="0004623A"/>
    <w:rsid w:val="00046FD8"/>
    <w:rsid w:val="000470E1"/>
    <w:rsid w:val="00047137"/>
    <w:rsid w:val="00050631"/>
    <w:rsid w:val="0005159D"/>
    <w:rsid w:val="00053427"/>
    <w:rsid w:val="0005351F"/>
    <w:rsid w:val="00054AD2"/>
    <w:rsid w:val="00055339"/>
    <w:rsid w:val="00055382"/>
    <w:rsid w:val="00055CA3"/>
    <w:rsid w:val="00056CA2"/>
    <w:rsid w:val="0006011C"/>
    <w:rsid w:val="000602C1"/>
    <w:rsid w:val="00060846"/>
    <w:rsid w:val="00060EB0"/>
    <w:rsid w:val="000662A1"/>
    <w:rsid w:val="00067AD8"/>
    <w:rsid w:val="00072FB3"/>
    <w:rsid w:val="00074E61"/>
    <w:rsid w:val="000759F4"/>
    <w:rsid w:val="000760D6"/>
    <w:rsid w:val="00077201"/>
    <w:rsid w:val="00081D4D"/>
    <w:rsid w:val="00082490"/>
    <w:rsid w:val="00083441"/>
    <w:rsid w:val="00084EEB"/>
    <w:rsid w:val="00085281"/>
    <w:rsid w:val="000853F8"/>
    <w:rsid w:val="00085A27"/>
    <w:rsid w:val="00086277"/>
    <w:rsid w:val="000867AB"/>
    <w:rsid w:val="000878BC"/>
    <w:rsid w:val="0008798F"/>
    <w:rsid w:val="00087E49"/>
    <w:rsid w:val="00090FB4"/>
    <w:rsid w:val="00091B04"/>
    <w:rsid w:val="00092508"/>
    <w:rsid w:val="00093759"/>
    <w:rsid w:val="00093D7A"/>
    <w:rsid w:val="00094667"/>
    <w:rsid w:val="00094ABF"/>
    <w:rsid w:val="00094C40"/>
    <w:rsid w:val="00095331"/>
    <w:rsid w:val="00096DB5"/>
    <w:rsid w:val="00097989"/>
    <w:rsid w:val="000A0AF2"/>
    <w:rsid w:val="000A2B7E"/>
    <w:rsid w:val="000A4706"/>
    <w:rsid w:val="000A47F2"/>
    <w:rsid w:val="000A48EC"/>
    <w:rsid w:val="000A48EF"/>
    <w:rsid w:val="000A4EFE"/>
    <w:rsid w:val="000A7A61"/>
    <w:rsid w:val="000B0DCA"/>
    <w:rsid w:val="000B1793"/>
    <w:rsid w:val="000B3D2A"/>
    <w:rsid w:val="000B58BC"/>
    <w:rsid w:val="000C0884"/>
    <w:rsid w:val="000C1A85"/>
    <w:rsid w:val="000C22BF"/>
    <w:rsid w:val="000C2AB7"/>
    <w:rsid w:val="000C2FDC"/>
    <w:rsid w:val="000C3FD4"/>
    <w:rsid w:val="000C5D27"/>
    <w:rsid w:val="000C63F1"/>
    <w:rsid w:val="000C7946"/>
    <w:rsid w:val="000D2E8C"/>
    <w:rsid w:val="000D3AA7"/>
    <w:rsid w:val="000D3CF4"/>
    <w:rsid w:val="000D502C"/>
    <w:rsid w:val="000D66FF"/>
    <w:rsid w:val="000E1663"/>
    <w:rsid w:val="000E2503"/>
    <w:rsid w:val="000E2D24"/>
    <w:rsid w:val="000E37D2"/>
    <w:rsid w:val="000E38A9"/>
    <w:rsid w:val="000E38D2"/>
    <w:rsid w:val="000E3D6B"/>
    <w:rsid w:val="000E7A85"/>
    <w:rsid w:val="000F001A"/>
    <w:rsid w:val="000F0E92"/>
    <w:rsid w:val="000F16C6"/>
    <w:rsid w:val="000F1732"/>
    <w:rsid w:val="000F2C9A"/>
    <w:rsid w:val="000F2D4A"/>
    <w:rsid w:val="000F31E0"/>
    <w:rsid w:val="000F57AC"/>
    <w:rsid w:val="000F71FD"/>
    <w:rsid w:val="0010098B"/>
    <w:rsid w:val="00100D1D"/>
    <w:rsid w:val="00101723"/>
    <w:rsid w:val="0010414E"/>
    <w:rsid w:val="001042B9"/>
    <w:rsid w:val="001051BD"/>
    <w:rsid w:val="00105B2A"/>
    <w:rsid w:val="00106E0C"/>
    <w:rsid w:val="00107297"/>
    <w:rsid w:val="00107C73"/>
    <w:rsid w:val="00110022"/>
    <w:rsid w:val="00114D3B"/>
    <w:rsid w:val="00116F85"/>
    <w:rsid w:val="001205C6"/>
    <w:rsid w:val="001217E5"/>
    <w:rsid w:val="001226B6"/>
    <w:rsid w:val="00123DFF"/>
    <w:rsid w:val="001253B2"/>
    <w:rsid w:val="0012577A"/>
    <w:rsid w:val="0012612E"/>
    <w:rsid w:val="00126AF7"/>
    <w:rsid w:val="00126DAB"/>
    <w:rsid w:val="00131A0C"/>
    <w:rsid w:val="00131EBC"/>
    <w:rsid w:val="00132FE7"/>
    <w:rsid w:val="001337A0"/>
    <w:rsid w:val="00136B79"/>
    <w:rsid w:val="00136DAC"/>
    <w:rsid w:val="0013708D"/>
    <w:rsid w:val="001373D2"/>
    <w:rsid w:val="0014055B"/>
    <w:rsid w:val="00141617"/>
    <w:rsid w:val="00142804"/>
    <w:rsid w:val="00142C58"/>
    <w:rsid w:val="00142C79"/>
    <w:rsid w:val="001433F1"/>
    <w:rsid w:val="0014505C"/>
    <w:rsid w:val="001470E1"/>
    <w:rsid w:val="00147D55"/>
    <w:rsid w:val="00150349"/>
    <w:rsid w:val="00150B5D"/>
    <w:rsid w:val="0015164A"/>
    <w:rsid w:val="001516A5"/>
    <w:rsid w:val="001516E2"/>
    <w:rsid w:val="00151D9D"/>
    <w:rsid w:val="001523A6"/>
    <w:rsid w:val="00152958"/>
    <w:rsid w:val="00152FA5"/>
    <w:rsid w:val="001533A2"/>
    <w:rsid w:val="001539D0"/>
    <w:rsid w:val="001545D9"/>
    <w:rsid w:val="00156222"/>
    <w:rsid w:val="0015633A"/>
    <w:rsid w:val="00156B3D"/>
    <w:rsid w:val="00156B53"/>
    <w:rsid w:val="00157DB4"/>
    <w:rsid w:val="00157F32"/>
    <w:rsid w:val="0016065A"/>
    <w:rsid w:val="00160935"/>
    <w:rsid w:val="00161C21"/>
    <w:rsid w:val="00162202"/>
    <w:rsid w:val="001634DD"/>
    <w:rsid w:val="001639C0"/>
    <w:rsid w:val="001643FC"/>
    <w:rsid w:val="00165BB1"/>
    <w:rsid w:val="00165D65"/>
    <w:rsid w:val="00165E8E"/>
    <w:rsid w:val="00165FD6"/>
    <w:rsid w:val="0016678F"/>
    <w:rsid w:val="00166B96"/>
    <w:rsid w:val="0016712D"/>
    <w:rsid w:val="00167D10"/>
    <w:rsid w:val="00171A91"/>
    <w:rsid w:val="0017384B"/>
    <w:rsid w:val="00173F20"/>
    <w:rsid w:val="00174872"/>
    <w:rsid w:val="00176E7A"/>
    <w:rsid w:val="00177134"/>
    <w:rsid w:val="00182339"/>
    <w:rsid w:val="00182821"/>
    <w:rsid w:val="00182DF7"/>
    <w:rsid w:val="001830A7"/>
    <w:rsid w:val="00183936"/>
    <w:rsid w:val="0018587A"/>
    <w:rsid w:val="00187FE1"/>
    <w:rsid w:val="0019045B"/>
    <w:rsid w:val="00191B7E"/>
    <w:rsid w:val="00191E53"/>
    <w:rsid w:val="00192237"/>
    <w:rsid w:val="00193A68"/>
    <w:rsid w:val="00197395"/>
    <w:rsid w:val="00197805"/>
    <w:rsid w:val="00197AD9"/>
    <w:rsid w:val="001A1995"/>
    <w:rsid w:val="001A2EAD"/>
    <w:rsid w:val="001A37DB"/>
    <w:rsid w:val="001A3F86"/>
    <w:rsid w:val="001A56C9"/>
    <w:rsid w:val="001A5703"/>
    <w:rsid w:val="001A598D"/>
    <w:rsid w:val="001A6FAD"/>
    <w:rsid w:val="001B1A34"/>
    <w:rsid w:val="001B3C75"/>
    <w:rsid w:val="001B54CE"/>
    <w:rsid w:val="001B6671"/>
    <w:rsid w:val="001B6CB2"/>
    <w:rsid w:val="001B73AE"/>
    <w:rsid w:val="001C1A04"/>
    <w:rsid w:val="001C1EF9"/>
    <w:rsid w:val="001C2503"/>
    <w:rsid w:val="001C3BF6"/>
    <w:rsid w:val="001C3C40"/>
    <w:rsid w:val="001C3FFC"/>
    <w:rsid w:val="001C441E"/>
    <w:rsid w:val="001C45A2"/>
    <w:rsid w:val="001C46CB"/>
    <w:rsid w:val="001C4F1C"/>
    <w:rsid w:val="001D1E36"/>
    <w:rsid w:val="001D2658"/>
    <w:rsid w:val="001D2C42"/>
    <w:rsid w:val="001D305F"/>
    <w:rsid w:val="001D5853"/>
    <w:rsid w:val="001D7E13"/>
    <w:rsid w:val="001E45BE"/>
    <w:rsid w:val="001E4760"/>
    <w:rsid w:val="001E4811"/>
    <w:rsid w:val="001E4C79"/>
    <w:rsid w:val="001E677A"/>
    <w:rsid w:val="001E7ADF"/>
    <w:rsid w:val="001F023F"/>
    <w:rsid w:val="001F091E"/>
    <w:rsid w:val="001F1469"/>
    <w:rsid w:val="001F1732"/>
    <w:rsid w:val="001F1F6A"/>
    <w:rsid w:val="001F2A9B"/>
    <w:rsid w:val="001F30E6"/>
    <w:rsid w:val="001F5473"/>
    <w:rsid w:val="001F5B8E"/>
    <w:rsid w:val="001F6147"/>
    <w:rsid w:val="001F6691"/>
    <w:rsid w:val="001F731C"/>
    <w:rsid w:val="001F7A44"/>
    <w:rsid w:val="00200B7E"/>
    <w:rsid w:val="00201358"/>
    <w:rsid w:val="00201CC5"/>
    <w:rsid w:val="002023F2"/>
    <w:rsid w:val="00202B4B"/>
    <w:rsid w:val="00202EDD"/>
    <w:rsid w:val="002031F7"/>
    <w:rsid w:val="00205EFD"/>
    <w:rsid w:val="00207486"/>
    <w:rsid w:val="00207B3B"/>
    <w:rsid w:val="002102BD"/>
    <w:rsid w:val="00211042"/>
    <w:rsid w:val="00212024"/>
    <w:rsid w:val="0021308E"/>
    <w:rsid w:val="002134F3"/>
    <w:rsid w:val="0021450E"/>
    <w:rsid w:val="002145E6"/>
    <w:rsid w:val="00214852"/>
    <w:rsid w:val="00217741"/>
    <w:rsid w:val="002178D9"/>
    <w:rsid w:val="00217E6A"/>
    <w:rsid w:val="00220EF3"/>
    <w:rsid w:val="002214C6"/>
    <w:rsid w:val="00221A72"/>
    <w:rsid w:val="0022200A"/>
    <w:rsid w:val="0022207A"/>
    <w:rsid w:val="0022234B"/>
    <w:rsid w:val="00222928"/>
    <w:rsid w:val="0022333B"/>
    <w:rsid w:val="002240EC"/>
    <w:rsid w:val="00224900"/>
    <w:rsid w:val="002258A3"/>
    <w:rsid w:val="00225D4B"/>
    <w:rsid w:val="0022668B"/>
    <w:rsid w:val="0023186C"/>
    <w:rsid w:val="00232184"/>
    <w:rsid w:val="00233219"/>
    <w:rsid w:val="002352DC"/>
    <w:rsid w:val="00236DA1"/>
    <w:rsid w:val="00237DF9"/>
    <w:rsid w:val="002400F5"/>
    <w:rsid w:val="00241254"/>
    <w:rsid w:val="002418E9"/>
    <w:rsid w:val="0024214A"/>
    <w:rsid w:val="002434F9"/>
    <w:rsid w:val="00244520"/>
    <w:rsid w:val="00244AC5"/>
    <w:rsid w:val="002452B8"/>
    <w:rsid w:val="00245479"/>
    <w:rsid w:val="00246638"/>
    <w:rsid w:val="00251633"/>
    <w:rsid w:val="002518F9"/>
    <w:rsid w:val="00252CD8"/>
    <w:rsid w:val="00252DE4"/>
    <w:rsid w:val="00252F63"/>
    <w:rsid w:val="00254620"/>
    <w:rsid w:val="0025585E"/>
    <w:rsid w:val="002558AC"/>
    <w:rsid w:val="00255D16"/>
    <w:rsid w:val="0025637E"/>
    <w:rsid w:val="00256396"/>
    <w:rsid w:val="002572F9"/>
    <w:rsid w:val="0026169D"/>
    <w:rsid w:val="00261B96"/>
    <w:rsid w:val="00261C29"/>
    <w:rsid w:val="00261F29"/>
    <w:rsid w:val="002628C9"/>
    <w:rsid w:val="002642C7"/>
    <w:rsid w:val="002645AF"/>
    <w:rsid w:val="00264679"/>
    <w:rsid w:val="00265D33"/>
    <w:rsid w:val="002678F0"/>
    <w:rsid w:val="00267CB5"/>
    <w:rsid w:val="002708E4"/>
    <w:rsid w:val="00270CAB"/>
    <w:rsid w:val="00272A6F"/>
    <w:rsid w:val="00273A27"/>
    <w:rsid w:val="00273EF5"/>
    <w:rsid w:val="0027418D"/>
    <w:rsid w:val="0027442F"/>
    <w:rsid w:val="00274A96"/>
    <w:rsid w:val="00276531"/>
    <w:rsid w:val="0027720C"/>
    <w:rsid w:val="00277AA3"/>
    <w:rsid w:val="00280332"/>
    <w:rsid w:val="00280943"/>
    <w:rsid w:val="00280FED"/>
    <w:rsid w:val="00281FD4"/>
    <w:rsid w:val="002826FB"/>
    <w:rsid w:val="00282725"/>
    <w:rsid w:val="00283349"/>
    <w:rsid w:val="002835AB"/>
    <w:rsid w:val="00284BA1"/>
    <w:rsid w:val="00284E6C"/>
    <w:rsid w:val="00285502"/>
    <w:rsid w:val="002856F4"/>
    <w:rsid w:val="0028593D"/>
    <w:rsid w:val="00285FC9"/>
    <w:rsid w:val="00287DE0"/>
    <w:rsid w:val="00287EBB"/>
    <w:rsid w:val="00290245"/>
    <w:rsid w:val="002912C9"/>
    <w:rsid w:val="00291BFA"/>
    <w:rsid w:val="00292CB2"/>
    <w:rsid w:val="002939EA"/>
    <w:rsid w:val="00294BFA"/>
    <w:rsid w:val="002962B8"/>
    <w:rsid w:val="002A1C94"/>
    <w:rsid w:val="002A1D6C"/>
    <w:rsid w:val="002A31D9"/>
    <w:rsid w:val="002A46FD"/>
    <w:rsid w:val="002A5850"/>
    <w:rsid w:val="002A7868"/>
    <w:rsid w:val="002B1005"/>
    <w:rsid w:val="002B16CF"/>
    <w:rsid w:val="002B1AE4"/>
    <w:rsid w:val="002B240A"/>
    <w:rsid w:val="002B3E78"/>
    <w:rsid w:val="002B4D9C"/>
    <w:rsid w:val="002B56D4"/>
    <w:rsid w:val="002B64C3"/>
    <w:rsid w:val="002B6EEB"/>
    <w:rsid w:val="002C14D9"/>
    <w:rsid w:val="002C2310"/>
    <w:rsid w:val="002C3064"/>
    <w:rsid w:val="002C3101"/>
    <w:rsid w:val="002C3C0F"/>
    <w:rsid w:val="002C4840"/>
    <w:rsid w:val="002C57BB"/>
    <w:rsid w:val="002C5E7B"/>
    <w:rsid w:val="002C798F"/>
    <w:rsid w:val="002D173B"/>
    <w:rsid w:val="002D25BE"/>
    <w:rsid w:val="002D2BE0"/>
    <w:rsid w:val="002D336F"/>
    <w:rsid w:val="002D4A4D"/>
    <w:rsid w:val="002D5441"/>
    <w:rsid w:val="002D6371"/>
    <w:rsid w:val="002E06CE"/>
    <w:rsid w:val="002E0A01"/>
    <w:rsid w:val="002E1B54"/>
    <w:rsid w:val="002E1BCA"/>
    <w:rsid w:val="002E2172"/>
    <w:rsid w:val="002E3DD4"/>
    <w:rsid w:val="002E4BDD"/>
    <w:rsid w:val="002E5A72"/>
    <w:rsid w:val="002E7BA7"/>
    <w:rsid w:val="002E7C16"/>
    <w:rsid w:val="002E7CC0"/>
    <w:rsid w:val="002F0A32"/>
    <w:rsid w:val="002F1B5D"/>
    <w:rsid w:val="002F1DB1"/>
    <w:rsid w:val="002F28E4"/>
    <w:rsid w:val="002F2ED7"/>
    <w:rsid w:val="002F4722"/>
    <w:rsid w:val="002F538B"/>
    <w:rsid w:val="002F6863"/>
    <w:rsid w:val="002F73E7"/>
    <w:rsid w:val="0030075C"/>
    <w:rsid w:val="00300EF2"/>
    <w:rsid w:val="00301613"/>
    <w:rsid w:val="00301A86"/>
    <w:rsid w:val="003024F6"/>
    <w:rsid w:val="00302AD8"/>
    <w:rsid w:val="00302BFB"/>
    <w:rsid w:val="00303E2A"/>
    <w:rsid w:val="003064E0"/>
    <w:rsid w:val="003100C3"/>
    <w:rsid w:val="003104E4"/>
    <w:rsid w:val="00311B9B"/>
    <w:rsid w:val="00311FB3"/>
    <w:rsid w:val="00312480"/>
    <w:rsid w:val="003132DA"/>
    <w:rsid w:val="00313A2E"/>
    <w:rsid w:val="0031519F"/>
    <w:rsid w:val="00315D30"/>
    <w:rsid w:val="00316306"/>
    <w:rsid w:val="003206EC"/>
    <w:rsid w:val="003213D4"/>
    <w:rsid w:val="00321F1C"/>
    <w:rsid w:val="00322180"/>
    <w:rsid w:val="00323193"/>
    <w:rsid w:val="00323213"/>
    <w:rsid w:val="003232CB"/>
    <w:rsid w:val="003247DF"/>
    <w:rsid w:val="0032488E"/>
    <w:rsid w:val="00324CD1"/>
    <w:rsid w:val="00324F65"/>
    <w:rsid w:val="0032532C"/>
    <w:rsid w:val="00327DFE"/>
    <w:rsid w:val="00330BF4"/>
    <w:rsid w:val="00332D0B"/>
    <w:rsid w:val="0033361E"/>
    <w:rsid w:val="003336E3"/>
    <w:rsid w:val="003340D4"/>
    <w:rsid w:val="00336941"/>
    <w:rsid w:val="00337569"/>
    <w:rsid w:val="00337BFE"/>
    <w:rsid w:val="003400D0"/>
    <w:rsid w:val="003401BB"/>
    <w:rsid w:val="00341816"/>
    <w:rsid w:val="00341C1C"/>
    <w:rsid w:val="00343EFB"/>
    <w:rsid w:val="003459B7"/>
    <w:rsid w:val="003513CE"/>
    <w:rsid w:val="00354D2B"/>
    <w:rsid w:val="00355A91"/>
    <w:rsid w:val="00355F95"/>
    <w:rsid w:val="00356027"/>
    <w:rsid w:val="0035647D"/>
    <w:rsid w:val="00357BFB"/>
    <w:rsid w:val="00357E8C"/>
    <w:rsid w:val="003600E2"/>
    <w:rsid w:val="00360FBB"/>
    <w:rsid w:val="00361317"/>
    <w:rsid w:val="00361C77"/>
    <w:rsid w:val="00361DBC"/>
    <w:rsid w:val="00361F53"/>
    <w:rsid w:val="00363FFE"/>
    <w:rsid w:val="003649E8"/>
    <w:rsid w:val="003651B2"/>
    <w:rsid w:val="00365A55"/>
    <w:rsid w:val="0036606C"/>
    <w:rsid w:val="0036789B"/>
    <w:rsid w:val="003679D0"/>
    <w:rsid w:val="003718FB"/>
    <w:rsid w:val="00371E4C"/>
    <w:rsid w:val="00371F99"/>
    <w:rsid w:val="003735C7"/>
    <w:rsid w:val="00373983"/>
    <w:rsid w:val="00374D04"/>
    <w:rsid w:val="00375F8D"/>
    <w:rsid w:val="00377A5E"/>
    <w:rsid w:val="00377CE6"/>
    <w:rsid w:val="00380616"/>
    <w:rsid w:val="00382729"/>
    <w:rsid w:val="00382886"/>
    <w:rsid w:val="00382AD7"/>
    <w:rsid w:val="0038306A"/>
    <w:rsid w:val="003833F8"/>
    <w:rsid w:val="003843DE"/>
    <w:rsid w:val="003853C5"/>
    <w:rsid w:val="00385504"/>
    <w:rsid w:val="00385617"/>
    <w:rsid w:val="00385FCA"/>
    <w:rsid w:val="003868AD"/>
    <w:rsid w:val="00387891"/>
    <w:rsid w:val="00387EB4"/>
    <w:rsid w:val="00390F10"/>
    <w:rsid w:val="00390F4F"/>
    <w:rsid w:val="00391163"/>
    <w:rsid w:val="00391EEE"/>
    <w:rsid w:val="00391FEA"/>
    <w:rsid w:val="0039271C"/>
    <w:rsid w:val="003A0F44"/>
    <w:rsid w:val="003A193F"/>
    <w:rsid w:val="003A1A00"/>
    <w:rsid w:val="003A1C39"/>
    <w:rsid w:val="003A1ED5"/>
    <w:rsid w:val="003A376E"/>
    <w:rsid w:val="003A4405"/>
    <w:rsid w:val="003A6237"/>
    <w:rsid w:val="003A625F"/>
    <w:rsid w:val="003A6BA8"/>
    <w:rsid w:val="003B14E3"/>
    <w:rsid w:val="003B1EB5"/>
    <w:rsid w:val="003B2642"/>
    <w:rsid w:val="003B2977"/>
    <w:rsid w:val="003B2A4D"/>
    <w:rsid w:val="003B2F39"/>
    <w:rsid w:val="003B3881"/>
    <w:rsid w:val="003B4FAF"/>
    <w:rsid w:val="003B50A1"/>
    <w:rsid w:val="003B5AD6"/>
    <w:rsid w:val="003B60EA"/>
    <w:rsid w:val="003B68BA"/>
    <w:rsid w:val="003B6B5A"/>
    <w:rsid w:val="003B6EFE"/>
    <w:rsid w:val="003C0F74"/>
    <w:rsid w:val="003C25DB"/>
    <w:rsid w:val="003C311D"/>
    <w:rsid w:val="003C33D0"/>
    <w:rsid w:val="003C3A1A"/>
    <w:rsid w:val="003C412A"/>
    <w:rsid w:val="003C48E6"/>
    <w:rsid w:val="003C60F3"/>
    <w:rsid w:val="003C67F7"/>
    <w:rsid w:val="003D0C81"/>
    <w:rsid w:val="003D1A05"/>
    <w:rsid w:val="003D1CF0"/>
    <w:rsid w:val="003D21AF"/>
    <w:rsid w:val="003D259E"/>
    <w:rsid w:val="003D379D"/>
    <w:rsid w:val="003D486F"/>
    <w:rsid w:val="003D657D"/>
    <w:rsid w:val="003D742C"/>
    <w:rsid w:val="003D7687"/>
    <w:rsid w:val="003D7EA9"/>
    <w:rsid w:val="003E0723"/>
    <w:rsid w:val="003E250D"/>
    <w:rsid w:val="003E2E8F"/>
    <w:rsid w:val="003E3076"/>
    <w:rsid w:val="003E30E0"/>
    <w:rsid w:val="003E33FC"/>
    <w:rsid w:val="003E3623"/>
    <w:rsid w:val="003E3907"/>
    <w:rsid w:val="003E5105"/>
    <w:rsid w:val="003E513A"/>
    <w:rsid w:val="003E545C"/>
    <w:rsid w:val="003E5F36"/>
    <w:rsid w:val="003E619A"/>
    <w:rsid w:val="003E65E8"/>
    <w:rsid w:val="003E777A"/>
    <w:rsid w:val="003F0B15"/>
    <w:rsid w:val="003F2A3E"/>
    <w:rsid w:val="003F55B1"/>
    <w:rsid w:val="003F6F2A"/>
    <w:rsid w:val="003F7980"/>
    <w:rsid w:val="003F7A5E"/>
    <w:rsid w:val="00402486"/>
    <w:rsid w:val="00402C79"/>
    <w:rsid w:val="0040344C"/>
    <w:rsid w:val="0040780E"/>
    <w:rsid w:val="00407C9C"/>
    <w:rsid w:val="00412595"/>
    <w:rsid w:val="00412ED4"/>
    <w:rsid w:val="0041354B"/>
    <w:rsid w:val="00413EB9"/>
    <w:rsid w:val="004140C7"/>
    <w:rsid w:val="00414ED5"/>
    <w:rsid w:val="00416563"/>
    <w:rsid w:val="00416CB4"/>
    <w:rsid w:val="00417D45"/>
    <w:rsid w:val="004204F9"/>
    <w:rsid w:val="00421A1E"/>
    <w:rsid w:val="00421F19"/>
    <w:rsid w:val="00423E7C"/>
    <w:rsid w:val="00423F49"/>
    <w:rsid w:val="004241EA"/>
    <w:rsid w:val="00426670"/>
    <w:rsid w:val="00426A8D"/>
    <w:rsid w:val="00427598"/>
    <w:rsid w:val="0042768B"/>
    <w:rsid w:val="00427B2A"/>
    <w:rsid w:val="00430030"/>
    <w:rsid w:val="00430628"/>
    <w:rsid w:val="00431F5B"/>
    <w:rsid w:val="004328CD"/>
    <w:rsid w:val="00432A26"/>
    <w:rsid w:val="00432B35"/>
    <w:rsid w:val="00434D5B"/>
    <w:rsid w:val="00436BEF"/>
    <w:rsid w:val="00437F83"/>
    <w:rsid w:val="004407B4"/>
    <w:rsid w:val="00441485"/>
    <w:rsid w:val="004419FB"/>
    <w:rsid w:val="004423AD"/>
    <w:rsid w:val="004430C0"/>
    <w:rsid w:val="004437FC"/>
    <w:rsid w:val="0044473F"/>
    <w:rsid w:val="0044484A"/>
    <w:rsid w:val="00446542"/>
    <w:rsid w:val="00446919"/>
    <w:rsid w:val="00446E8D"/>
    <w:rsid w:val="004474A8"/>
    <w:rsid w:val="004503DC"/>
    <w:rsid w:val="00452108"/>
    <w:rsid w:val="004522A8"/>
    <w:rsid w:val="0045257F"/>
    <w:rsid w:val="00452B7A"/>
    <w:rsid w:val="00453733"/>
    <w:rsid w:val="004543F9"/>
    <w:rsid w:val="00456921"/>
    <w:rsid w:val="00461034"/>
    <w:rsid w:val="004610D9"/>
    <w:rsid w:val="004629ED"/>
    <w:rsid w:val="00462D1E"/>
    <w:rsid w:val="00463443"/>
    <w:rsid w:val="00463633"/>
    <w:rsid w:val="00464414"/>
    <w:rsid w:val="004654D7"/>
    <w:rsid w:val="00466876"/>
    <w:rsid w:val="004708B8"/>
    <w:rsid w:val="00471A27"/>
    <w:rsid w:val="00472B1F"/>
    <w:rsid w:val="00472D08"/>
    <w:rsid w:val="004739F2"/>
    <w:rsid w:val="00477400"/>
    <w:rsid w:val="00477489"/>
    <w:rsid w:val="00477A93"/>
    <w:rsid w:val="004800AA"/>
    <w:rsid w:val="00480156"/>
    <w:rsid w:val="0048033E"/>
    <w:rsid w:val="004814EB"/>
    <w:rsid w:val="00481ECA"/>
    <w:rsid w:val="00483BA0"/>
    <w:rsid w:val="0048441B"/>
    <w:rsid w:val="00485BF1"/>
    <w:rsid w:val="00487BFC"/>
    <w:rsid w:val="00490BD3"/>
    <w:rsid w:val="00493D52"/>
    <w:rsid w:val="0049462B"/>
    <w:rsid w:val="004949DB"/>
    <w:rsid w:val="00496C21"/>
    <w:rsid w:val="00497F20"/>
    <w:rsid w:val="004A0B1C"/>
    <w:rsid w:val="004A188A"/>
    <w:rsid w:val="004A18C8"/>
    <w:rsid w:val="004A1FF8"/>
    <w:rsid w:val="004A343F"/>
    <w:rsid w:val="004A3DCA"/>
    <w:rsid w:val="004A3F58"/>
    <w:rsid w:val="004A6591"/>
    <w:rsid w:val="004B248F"/>
    <w:rsid w:val="004B2FDD"/>
    <w:rsid w:val="004B3113"/>
    <w:rsid w:val="004B430B"/>
    <w:rsid w:val="004B4813"/>
    <w:rsid w:val="004B4E9F"/>
    <w:rsid w:val="004B6002"/>
    <w:rsid w:val="004B6358"/>
    <w:rsid w:val="004B6420"/>
    <w:rsid w:val="004B648B"/>
    <w:rsid w:val="004B6653"/>
    <w:rsid w:val="004B6963"/>
    <w:rsid w:val="004B74AA"/>
    <w:rsid w:val="004B7585"/>
    <w:rsid w:val="004C006A"/>
    <w:rsid w:val="004C09A6"/>
    <w:rsid w:val="004C09A9"/>
    <w:rsid w:val="004C0B8C"/>
    <w:rsid w:val="004C1B6A"/>
    <w:rsid w:val="004C271E"/>
    <w:rsid w:val="004C293D"/>
    <w:rsid w:val="004C3F17"/>
    <w:rsid w:val="004C57F3"/>
    <w:rsid w:val="004C6F9E"/>
    <w:rsid w:val="004C7322"/>
    <w:rsid w:val="004D0016"/>
    <w:rsid w:val="004D043F"/>
    <w:rsid w:val="004D04C7"/>
    <w:rsid w:val="004D0780"/>
    <w:rsid w:val="004D1482"/>
    <w:rsid w:val="004D2476"/>
    <w:rsid w:val="004D3707"/>
    <w:rsid w:val="004D4AC6"/>
    <w:rsid w:val="004D51D1"/>
    <w:rsid w:val="004D558A"/>
    <w:rsid w:val="004D60DE"/>
    <w:rsid w:val="004D63A3"/>
    <w:rsid w:val="004D6CBF"/>
    <w:rsid w:val="004D7316"/>
    <w:rsid w:val="004D750E"/>
    <w:rsid w:val="004E0AEC"/>
    <w:rsid w:val="004E312E"/>
    <w:rsid w:val="004E66C0"/>
    <w:rsid w:val="004E6EF5"/>
    <w:rsid w:val="004F07A0"/>
    <w:rsid w:val="004F11CF"/>
    <w:rsid w:val="004F1258"/>
    <w:rsid w:val="004F17D2"/>
    <w:rsid w:val="004F2616"/>
    <w:rsid w:val="004F355E"/>
    <w:rsid w:val="004F7560"/>
    <w:rsid w:val="00500097"/>
    <w:rsid w:val="00505A62"/>
    <w:rsid w:val="005065F4"/>
    <w:rsid w:val="005100EA"/>
    <w:rsid w:val="00511631"/>
    <w:rsid w:val="00511D37"/>
    <w:rsid w:val="00514CB6"/>
    <w:rsid w:val="00514D23"/>
    <w:rsid w:val="005156FA"/>
    <w:rsid w:val="00515896"/>
    <w:rsid w:val="005172B4"/>
    <w:rsid w:val="005176D0"/>
    <w:rsid w:val="00522247"/>
    <w:rsid w:val="00523729"/>
    <w:rsid w:val="00525178"/>
    <w:rsid w:val="00525393"/>
    <w:rsid w:val="00525C19"/>
    <w:rsid w:val="00525DC1"/>
    <w:rsid w:val="00525DDB"/>
    <w:rsid w:val="0052746E"/>
    <w:rsid w:val="00527E2C"/>
    <w:rsid w:val="00527EB7"/>
    <w:rsid w:val="005317E7"/>
    <w:rsid w:val="00531F04"/>
    <w:rsid w:val="005322A0"/>
    <w:rsid w:val="0053501B"/>
    <w:rsid w:val="0053582B"/>
    <w:rsid w:val="00535EC5"/>
    <w:rsid w:val="00536EFC"/>
    <w:rsid w:val="00537973"/>
    <w:rsid w:val="00537984"/>
    <w:rsid w:val="00540130"/>
    <w:rsid w:val="005415A5"/>
    <w:rsid w:val="0054325C"/>
    <w:rsid w:val="005434F7"/>
    <w:rsid w:val="00543731"/>
    <w:rsid w:val="00543C64"/>
    <w:rsid w:val="00545137"/>
    <w:rsid w:val="00545655"/>
    <w:rsid w:val="00545C09"/>
    <w:rsid w:val="005469AA"/>
    <w:rsid w:val="00550382"/>
    <w:rsid w:val="00550839"/>
    <w:rsid w:val="00551529"/>
    <w:rsid w:val="005519FE"/>
    <w:rsid w:val="0055207F"/>
    <w:rsid w:val="005523E9"/>
    <w:rsid w:val="00552E5D"/>
    <w:rsid w:val="00552F0C"/>
    <w:rsid w:val="00555671"/>
    <w:rsid w:val="0055606A"/>
    <w:rsid w:val="00557ABE"/>
    <w:rsid w:val="00557C16"/>
    <w:rsid w:val="00557D1A"/>
    <w:rsid w:val="00562C2F"/>
    <w:rsid w:val="00563EF1"/>
    <w:rsid w:val="00564CCA"/>
    <w:rsid w:val="00566199"/>
    <w:rsid w:val="00567A69"/>
    <w:rsid w:val="00570AF0"/>
    <w:rsid w:val="00573AD9"/>
    <w:rsid w:val="00574312"/>
    <w:rsid w:val="00574A3E"/>
    <w:rsid w:val="00574FD3"/>
    <w:rsid w:val="005754CE"/>
    <w:rsid w:val="005760D5"/>
    <w:rsid w:val="005761DD"/>
    <w:rsid w:val="00576F9C"/>
    <w:rsid w:val="00577168"/>
    <w:rsid w:val="00577AB7"/>
    <w:rsid w:val="00580E00"/>
    <w:rsid w:val="00581A1E"/>
    <w:rsid w:val="00582564"/>
    <w:rsid w:val="00582C8C"/>
    <w:rsid w:val="00582DE5"/>
    <w:rsid w:val="00585E01"/>
    <w:rsid w:val="005867BB"/>
    <w:rsid w:val="0058728C"/>
    <w:rsid w:val="00590525"/>
    <w:rsid w:val="0059190E"/>
    <w:rsid w:val="00591B0C"/>
    <w:rsid w:val="0059228C"/>
    <w:rsid w:val="00592602"/>
    <w:rsid w:val="00592689"/>
    <w:rsid w:val="00593D4A"/>
    <w:rsid w:val="00594EFB"/>
    <w:rsid w:val="005957D8"/>
    <w:rsid w:val="005959A2"/>
    <w:rsid w:val="005A258D"/>
    <w:rsid w:val="005A299E"/>
    <w:rsid w:val="005A33B8"/>
    <w:rsid w:val="005A33F1"/>
    <w:rsid w:val="005A51C7"/>
    <w:rsid w:val="005A575C"/>
    <w:rsid w:val="005A7547"/>
    <w:rsid w:val="005A7556"/>
    <w:rsid w:val="005A78CF"/>
    <w:rsid w:val="005B0AFD"/>
    <w:rsid w:val="005B0E5C"/>
    <w:rsid w:val="005B1043"/>
    <w:rsid w:val="005B1DED"/>
    <w:rsid w:val="005B5666"/>
    <w:rsid w:val="005B57BA"/>
    <w:rsid w:val="005B78A0"/>
    <w:rsid w:val="005C0676"/>
    <w:rsid w:val="005C1EF2"/>
    <w:rsid w:val="005C1F0A"/>
    <w:rsid w:val="005C3521"/>
    <w:rsid w:val="005C40A0"/>
    <w:rsid w:val="005C427B"/>
    <w:rsid w:val="005C4325"/>
    <w:rsid w:val="005C69BF"/>
    <w:rsid w:val="005C72CE"/>
    <w:rsid w:val="005C790C"/>
    <w:rsid w:val="005D0046"/>
    <w:rsid w:val="005D17B5"/>
    <w:rsid w:val="005D1C1E"/>
    <w:rsid w:val="005D25A1"/>
    <w:rsid w:val="005D27B9"/>
    <w:rsid w:val="005D3204"/>
    <w:rsid w:val="005D338F"/>
    <w:rsid w:val="005D35E1"/>
    <w:rsid w:val="005D3DB9"/>
    <w:rsid w:val="005D3EB7"/>
    <w:rsid w:val="005D47B8"/>
    <w:rsid w:val="005D5659"/>
    <w:rsid w:val="005D5D40"/>
    <w:rsid w:val="005D75AE"/>
    <w:rsid w:val="005D7D94"/>
    <w:rsid w:val="005E1788"/>
    <w:rsid w:val="005E1A83"/>
    <w:rsid w:val="005E2919"/>
    <w:rsid w:val="005E3EE7"/>
    <w:rsid w:val="005E43AF"/>
    <w:rsid w:val="005E59A6"/>
    <w:rsid w:val="005E5A1F"/>
    <w:rsid w:val="005E5B35"/>
    <w:rsid w:val="005E661B"/>
    <w:rsid w:val="005E7910"/>
    <w:rsid w:val="005F037D"/>
    <w:rsid w:val="005F138B"/>
    <w:rsid w:val="005F1873"/>
    <w:rsid w:val="005F255F"/>
    <w:rsid w:val="005F28A6"/>
    <w:rsid w:val="005F29FE"/>
    <w:rsid w:val="005F364E"/>
    <w:rsid w:val="005F374A"/>
    <w:rsid w:val="005F43DB"/>
    <w:rsid w:val="005F49B4"/>
    <w:rsid w:val="005F51DC"/>
    <w:rsid w:val="005F6839"/>
    <w:rsid w:val="005F7435"/>
    <w:rsid w:val="006000DE"/>
    <w:rsid w:val="00600D25"/>
    <w:rsid w:val="00600F7D"/>
    <w:rsid w:val="006019E7"/>
    <w:rsid w:val="00603310"/>
    <w:rsid w:val="0060442E"/>
    <w:rsid w:val="00604756"/>
    <w:rsid w:val="00605219"/>
    <w:rsid w:val="00606C08"/>
    <w:rsid w:val="00610295"/>
    <w:rsid w:val="006107EF"/>
    <w:rsid w:val="006127E4"/>
    <w:rsid w:val="00613D7C"/>
    <w:rsid w:val="00616054"/>
    <w:rsid w:val="00616F1F"/>
    <w:rsid w:val="00620BDC"/>
    <w:rsid w:val="00621713"/>
    <w:rsid w:val="00621748"/>
    <w:rsid w:val="006232F0"/>
    <w:rsid w:val="00623369"/>
    <w:rsid w:val="0062491C"/>
    <w:rsid w:val="00624C65"/>
    <w:rsid w:val="00624DD0"/>
    <w:rsid w:val="0062780C"/>
    <w:rsid w:val="0063140D"/>
    <w:rsid w:val="0063303A"/>
    <w:rsid w:val="00637306"/>
    <w:rsid w:val="00637D6A"/>
    <w:rsid w:val="0064032D"/>
    <w:rsid w:val="0064071C"/>
    <w:rsid w:val="0064148A"/>
    <w:rsid w:val="006423A5"/>
    <w:rsid w:val="0064297B"/>
    <w:rsid w:val="00643664"/>
    <w:rsid w:val="00643C7D"/>
    <w:rsid w:val="006447A8"/>
    <w:rsid w:val="00644CF0"/>
    <w:rsid w:val="00644D88"/>
    <w:rsid w:val="00646E3A"/>
    <w:rsid w:val="0064779C"/>
    <w:rsid w:val="00651EBA"/>
    <w:rsid w:val="00653519"/>
    <w:rsid w:val="00653848"/>
    <w:rsid w:val="0065387B"/>
    <w:rsid w:val="00655BCF"/>
    <w:rsid w:val="00656432"/>
    <w:rsid w:val="00656BD2"/>
    <w:rsid w:val="00657B41"/>
    <w:rsid w:val="00657F16"/>
    <w:rsid w:val="006604C6"/>
    <w:rsid w:val="0066050A"/>
    <w:rsid w:val="006607E9"/>
    <w:rsid w:val="00660938"/>
    <w:rsid w:val="006619D9"/>
    <w:rsid w:val="00661D9E"/>
    <w:rsid w:val="00663793"/>
    <w:rsid w:val="006642BE"/>
    <w:rsid w:val="00664C59"/>
    <w:rsid w:val="00665EAC"/>
    <w:rsid w:val="006662F1"/>
    <w:rsid w:val="0066650A"/>
    <w:rsid w:val="00666E8A"/>
    <w:rsid w:val="006706DF"/>
    <w:rsid w:val="0067080A"/>
    <w:rsid w:val="00670B5E"/>
    <w:rsid w:val="006714D4"/>
    <w:rsid w:val="006727EE"/>
    <w:rsid w:val="00673834"/>
    <w:rsid w:val="0067534F"/>
    <w:rsid w:val="00675721"/>
    <w:rsid w:val="00676833"/>
    <w:rsid w:val="00681682"/>
    <w:rsid w:val="006834FD"/>
    <w:rsid w:val="00683E47"/>
    <w:rsid w:val="0068481D"/>
    <w:rsid w:val="0068482F"/>
    <w:rsid w:val="0068524E"/>
    <w:rsid w:val="006856DB"/>
    <w:rsid w:val="006866B8"/>
    <w:rsid w:val="006877AC"/>
    <w:rsid w:val="006879C6"/>
    <w:rsid w:val="00691C34"/>
    <w:rsid w:val="006938F7"/>
    <w:rsid w:val="006949F9"/>
    <w:rsid w:val="00697B7B"/>
    <w:rsid w:val="00697BF4"/>
    <w:rsid w:val="006A0322"/>
    <w:rsid w:val="006A0CCB"/>
    <w:rsid w:val="006A13E3"/>
    <w:rsid w:val="006A1892"/>
    <w:rsid w:val="006A26C2"/>
    <w:rsid w:val="006A2A62"/>
    <w:rsid w:val="006A312C"/>
    <w:rsid w:val="006A3925"/>
    <w:rsid w:val="006A4A9B"/>
    <w:rsid w:val="006A53F3"/>
    <w:rsid w:val="006A5D0A"/>
    <w:rsid w:val="006A64E6"/>
    <w:rsid w:val="006A7CBF"/>
    <w:rsid w:val="006B06AF"/>
    <w:rsid w:val="006B150B"/>
    <w:rsid w:val="006B175F"/>
    <w:rsid w:val="006B1DC4"/>
    <w:rsid w:val="006B3452"/>
    <w:rsid w:val="006B446A"/>
    <w:rsid w:val="006B5991"/>
    <w:rsid w:val="006B64B2"/>
    <w:rsid w:val="006C25B2"/>
    <w:rsid w:val="006C3315"/>
    <w:rsid w:val="006C5BE7"/>
    <w:rsid w:val="006C6F9D"/>
    <w:rsid w:val="006C706C"/>
    <w:rsid w:val="006C73E7"/>
    <w:rsid w:val="006C7D7E"/>
    <w:rsid w:val="006D02B3"/>
    <w:rsid w:val="006D0A98"/>
    <w:rsid w:val="006D0D83"/>
    <w:rsid w:val="006D1F4D"/>
    <w:rsid w:val="006D2190"/>
    <w:rsid w:val="006D447B"/>
    <w:rsid w:val="006D4A8D"/>
    <w:rsid w:val="006D58B6"/>
    <w:rsid w:val="006D5CCB"/>
    <w:rsid w:val="006E00A7"/>
    <w:rsid w:val="006E023A"/>
    <w:rsid w:val="006E32E6"/>
    <w:rsid w:val="006E3395"/>
    <w:rsid w:val="006E374C"/>
    <w:rsid w:val="006E3E9D"/>
    <w:rsid w:val="006E4AE6"/>
    <w:rsid w:val="006E542C"/>
    <w:rsid w:val="006E59DB"/>
    <w:rsid w:val="006E5EF8"/>
    <w:rsid w:val="006E690B"/>
    <w:rsid w:val="006E6CFE"/>
    <w:rsid w:val="006E7018"/>
    <w:rsid w:val="006E7DD1"/>
    <w:rsid w:val="006F02AC"/>
    <w:rsid w:val="006F24B9"/>
    <w:rsid w:val="006F256F"/>
    <w:rsid w:val="006F2C33"/>
    <w:rsid w:val="006F2F1A"/>
    <w:rsid w:val="006F3970"/>
    <w:rsid w:val="006F463F"/>
    <w:rsid w:val="006F5E42"/>
    <w:rsid w:val="007002F9"/>
    <w:rsid w:val="00702D59"/>
    <w:rsid w:val="00703E5A"/>
    <w:rsid w:val="0070552C"/>
    <w:rsid w:val="00705F7A"/>
    <w:rsid w:val="00706979"/>
    <w:rsid w:val="007069D2"/>
    <w:rsid w:val="00710284"/>
    <w:rsid w:val="00710306"/>
    <w:rsid w:val="00710638"/>
    <w:rsid w:val="00710BB2"/>
    <w:rsid w:val="007131B7"/>
    <w:rsid w:val="00714834"/>
    <w:rsid w:val="007172B0"/>
    <w:rsid w:val="00720365"/>
    <w:rsid w:val="00720ED6"/>
    <w:rsid w:val="00721924"/>
    <w:rsid w:val="00723753"/>
    <w:rsid w:val="00723760"/>
    <w:rsid w:val="007241AD"/>
    <w:rsid w:val="00725023"/>
    <w:rsid w:val="007255B7"/>
    <w:rsid w:val="0072563D"/>
    <w:rsid w:val="00726EBF"/>
    <w:rsid w:val="00727C3B"/>
    <w:rsid w:val="00730608"/>
    <w:rsid w:val="00730640"/>
    <w:rsid w:val="00730D94"/>
    <w:rsid w:val="00731797"/>
    <w:rsid w:val="00731E38"/>
    <w:rsid w:val="007329D4"/>
    <w:rsid w:val="007338EB"/>
    <w:rsid w:val="00734A56"/>
    <w:rsid w:val="00735C6A"/>
    <w:rsid w:val="0073626E"/>
    <w:rsid w:val="007369E8"/>
    <w:rsid w:val="00736FD0"/>
    <w:rsid w:val="00737E42"/>
    <w:rsid w:val="007415EB"/>
    <w:rsid w:val="007426F5"/>
    <w:rsid w:val="007439C3"/>
    <w:rsid w:val="0074501C"/>
    <w:rsid w:val="007453F5"/>
    <w:rsid w:val="00745829"/>
    <w:rsid w:val="00750A0E"/>
    <w:rsid w:val="00750D70"/>
    <w:rsid w:val="00752B74"/>
    <w:rsid w:val="00755070"/>
    <w:rsid w:val="007559FB"/>
    <w:rsid w:val="00756290"/>
    <w:rsid w:val="00757D9A"/>
    <w:rsid w:val="0076244D"/>
    <w:rsid w:val="007669F7"/>
    <w:rsid w:val="0077063E"/>
    <w:rsid w:val="00770829"/>
    <w:rsid w:val="0077163C"/>
    <w:rsid w:val="00771EAA"/>
    <w:rsid w:val="00772ADF"/>
    <w:rsid w:val="00773837"/>
    <w:rsid w:val="00775636"/>
    <w:rsid w:val="00776F19"/>
    <w:rsid w:val="007773A0"/>
    <w:rsid w:val="00780987"/>
    <w:rsid w:val="007809B0"/>
    <w:rsid w:val="007810D3"/>
    <w:rsid w:val="00781886"/>
    <w:rsid w:val="0078216E"/>
    <w:rsid w:val="00782B8A"/>
    <w:rsid w:val="00782F05"/>
    <w:rsid w:val="00783C35"/>
    <w:rsid w:val="0078609C"/>
    <w:rsid w:val="00786B74"/>
    <w:rsid w:val="00787081"/>
    <w:rsid w:val="00787452"/>
    <w:rsid w:val="00791300"/>
    <w:rsid w:val="00792C4D"/>
    <w:rsid w:val="00793111"/>
    <w:rsid w:val="00793617"/>
    <w:rsid w:val="00794368"/>
    <w:rsid w:val="00794B80"/>
    <w:rsid w:val="00794D45"/>
    <w:rsid w:val="00795D92"/>
    <w:rsid w:val="00795EEB"/>
    <w:rsid w:val="007973F6"/>
    <w:rsid w:val="00797DDE"/>
    <w:rsid w:val="007A06FD"/>
    <w:rsid w:val="007A2013"/>
    <w:rsid w:val="007A2757"/>
    <w:rsid w:val="007A325C"/>
    <w:rsid w:val="007A41AA"/>
    <w:rsid w:val="007A4534"/>
    <w:rsid w:val="007A47C3"/>
    <w:rsid w:val="007A552D"/>
    <w:rsid w:val="007B00BB"/>
    <w:rsid w:val="007B1A05"/>
    <w:rsid w:val="007B2F68"/>
    <w:rsid w:val="007B3171"/>
    <w:rsid w:val="007B37E7"/>
    <w:rsid w:val="007B40EB"/>
    <w:rsid w:val="007B7A1B"/>
    <w:rsid w:val="007B7BC9"/>
    <w:rsid w:val="007C0045"/>
    <w:rsid w:val="007C021F"/>
    <w:rsid w:val="007C272C"/>
    <w:rsid w:val="007C3454"/>
    <w:rsid w:val="007C3719"/>
    <w:rsid w:val="007C3E04"/>
    <w:rsid w:val="007C4485"/>
    <w:rsid w:val="007C4EF3"/>
    <w:rsid w:val="007C59C8"/>
    <w:rsid w:val="007C5BB4"/>
    <w:rsid w:val="007C64BA"/>
    <w:rsid w:val="007C7B80"/>
    <w:rsid w:val="007D053F"/>
    <w:rsid w:val="007D1868"/>
    <w:rsid w:val="007D192F"/>
    <w:rsid w:val="007D1D7D"/>
    <w:rsid w:val="007D25AD"/>
    <w:rsid w:val="007D2D75"/>
    <w:rsid w:val="007D3001"/>
    <w:rsid w:val="007D4211"/>
    <w:rsid w:val="007D6CBE"/>
    <w:rsid w:val="007D7412"/>
    <w:rsid w:val="007D7B7D"/>
    <w:rsid w:val="007E0F3A"/>
    <w:rsid w:val="007E1D2A"/>
    <w:rsid w:val="007E2D0A"/>
    <w:rsid w:val="007E32BB"/>
    <w:rsid w:val="007E3AC8"/>
    <w:rsid w:val="007E3FAD"/>
    <w:rsid w:val="007E520E"/>
    <w:rsid w:val="007E52CB"/>
    <w:rsid w:val="007E5F37"/>
    <w:rsid w:val="007E66DB"/>
    <w:rsid w:val="007E777C"/>
    <w:rsid w:val="007E7D37"/>
    <w:rsid w:val="007E7DE3"/>
    <w:rsid w:val="007F3DEE"/>
    <w:rsid w:val="007F61E0"/>
    <w:rsid w:val="00802B8E"/>
    <w:rsid w:val="00803391"/>
    <w:rsid w:val="00803766"/>
    <w:rsid w:val="00804CE0"/>
    <w:rsid w:val="008065E7"/>
    <w:rsid w:val="00806A69"/>
    <w:rsid w:val="00806C7D"/>
    <w:rsid w:val="008101B6"/>
    <w:rsid w:val="00810A28"/>
    <w:rsid w:val="00813AC7"/>
    <w:rsid w:val="008144E8"/>
    <w:rsid w:val="008145FF"/>
    <w:rsid w:val="0081482D"/>
    <w:rsid w:val="00815E9B"/>
    <w:rsid w:val="00816130"/>
    <w:rsid w:val="00816182"/>
    <w:rsid w:val="008207CF"/>
    <w:rsid w:val="00820835"/>
    <w:rsid w:val="008230CD"/>
    <w:rsid w:val="008236AB"/>
    <w:rsid w:val="00825D6E"/>
    <w:rsid w:val="00826A8F"/>
    <w:rsid w:val="00826B29"/>
    <w:rsid w:val="00826F0A"/>
    <w:rsid w:val="00827C5D"/>
    <w:rsid w:val="00827C92"/>
    <w:rsid w:val="0083019F"/>
    <w:rsid w:val="00830B61"/>
    <w:rsid w:val="008315BB"/>
    <w:rsid w:val="00832235"/>
    <w:rsid w:val="0083664D"/>
    <w:rsid w:val="00837280"/>
    <w:rsid w:val="00840152"/>
    <w:rsid w:val="00841959"/>
    <w:rsid w:val="00843A63"/>
    <w:rsid w:val="00843DFB"/>
    <w:rsid w:val="008447FD"/>
    <w:rsid w:val="0084650D"/>
    <w:rsid w:val="00846E1B"/>
    <w:rsid w:val="008473B1"/>
    <w:rsid w:val="00847773"/>
    <w:rsid w:val="0085009F"/>
    <w:rsid w:val="0085090B"/>
    <w:rsid w:val="00851621"/>
    <w:rsid w:val="008526D5"/>
    <w:rsid w:val="00852FA3"/>
    <w:rsid w:val="008537AC"/>
    <w:rsid w:val="008546FE"/>
    <w:rsid w:val="00854A29"/>
    <w:rsid w:val="00854C2F"/>
    <w:rsid w:val="00854FB1"/>
    <w:rsid w:val="00856364"/>
    <w:rsid w:val="008565F5"/>
    <w:rsid w:val="00856977"/>
    <w:rsid w:val="00856F09"/>
    <w:rsid w:val="00860CD1"/>
    <w:rsid w:val="008626FB"/>
    <w:rsid w:val="00864222"/>
    <w:rsid w:val="008650A3"/>
    <w:rsid w:val="008656D2"/>
    <w:rsid w:val="00865C32"/>
    <w:rsid w:val="00866052"/>
    <w:rsid w:val="0087028A"/>
    <w:rsid w:val="00870997"/>
    <w:rsid w:val="008714AA"/>
    <w:rsid w:val="0087159B"/>
    <w:rsid w:val="00871A41"/>
    <w:rsid w:val="00876719"/>
    <w:rsid w:val="008778E6"/>
    <w:rsid w:val="00877A99"/>
    <w:rsid w:val="008817FE"/>
    <w:rsid w:val="00881A67"/>
    <w:rsid w:val="0088383F"/>
    <w:rsid w:val="008848C4"/>
    <w:rsid w:val="00887640"/>
    <w:rsid w:val="008902EC"/>
    <w:rsid w:val="008903EE"/>
    <w:rsid w:val="00891B45"/>
    <w:rsid w:val="00891EB9"/>
    <w:rsid w:val="00893A05"/>
    <w:rsid w:val="00894256"/>
    <w:rsid w:val="00894626"/>
    <w:rsid w:val="00895398"/>
    <w:rsid w:val="00897253"/>
    <w:rsid w:val="008A0117"/>
    <w:rsid w:val="008A15F8"/>
    <w:rsid w:val="008A29D7"/>
    <w:rsid w:val="008A399B"/>
    <w:rsid w:val="008A4611"/>
    <w:rsid w:val="008A5501"/>
    <w:rsid w:val="008A6FED"/>
    <w:rsid w:val="008A7F53"/>
    <w:rsid w:val="008B0927"/>
    <w:rsid w:val="008B0D6C"/>
    <w:rsid w:val="008B2D71"/>
    <w:rsid w:val="008B3BEC"/>
    <w:rsid w:val="008B4FCF"/>
    <w:rsid w:val="008B6507"/>
    <w:rsid w:val="008B6635"/>
    <w:rsid w:val="008C165F"/>
    <w:rsid w:val="008C1C8D"/>
    <w:rsid w:val="008C228F"/>
    <w:rsid w:val="008C2C59"/>
    <w:rsid w:val="008C32EC"/>
    <w:rsid w:val="008C3CAC"/>
    <w:rsid w:val="008C466A"/>
    <w:rsid w:val="008C5640"/>
    <w:rsid w:val="008C6532"/>
    <w:rsid w:val="008D20B8"/>
    <w:rsid w:val="008D2970"/>
    <w:rsid w:val="008D2DA7"/>
    <w:rsid w:val="008D449D"/>
    <w:rsid w:val="008D4548"/>
    <w:rsid w:val="008D4FAF"/>
    <w:rsid w:val="008D5CB4"/>
    <w:rsid w:val="008D5D08"/>
    <w:rsid w:val="008D740E"/>
    <w:rsid w:val="008D7C93"/>
    <w:rsid w:val="008E05A7"/>
    <w:rsid w:val="008E0722"/>
    <w:rsid w:val="008E255A"/>
    <w:rsid w:val="008E3486"/>
    <w:rsid w:val="008E3A85"/>
    <w:rsid w:val="008E5A2E"/>
    <w:rsid w:val="008E5F0E"/>
    <w:rsid w:val="008E7737"/>
    <w:rsid w:val="008E7948"/>
    <w:rsid w:val="008F06A2"/>
    <w:rsid w:val="008F131F"/>
    <w:rsid w:val="008F422D"/>
    <w:rsid w:val="008F5018"/>
    <w:rsid w:val="008F63B7"/>
    <w:rsid w:val="00901066"/>
    <w:rsid w:val="00901490"/>
    <w:rsid w:val="00902146"/>
    <w:rsid w:val="00902E98"/>
    <w:rsid w:val="009036CD"/>
    <w:rsid w:val="00904B7F"/>
    <w:rsid w:val="00905013"/>
    <w:rsid w:val="0090542E"/>
    <w:rsid w:val="00905AB7"/>
    <w:rsid w:val="00907273"/>
    <w:rsid w:val="0091019F"/>
    <w:rsid w:val="00910745"/>
    <w:rsid w:val="009109B0"/>
    <w:rsid w:val="00912049"/>
    <w:rsid w:val="009145BD"/>
    <w:rsid w:val="00914C93"/>
    <w:rsid w:val="0091712D"/>
    <w:rsid w:val="009178AB"/>
    <w:rsid w:val="009178B0"/>
    <w:rsid w:val="009179C7"/>
    <w:rsid w:val="009213D8"/>
    <w:rsid w:val="00921C87"/>
    <w:rsid w:val="00923803"/>
    <w:rsid w:val="00923E85"/>
    <w:rsid w:val="00924DCF"/>
    <w:rsid w:val="00924DFE"/>
    <w:rsid w:val="0092536B"/>
    <w:rsid w:val="00925F43"/>
    <w:rsid w:val="00926CF4"/>
    <w:rsid w:val="00927443"/>
    <w:rsid w:val="0092799E"/>
    <w:rsid w:val="00927BAA"/>
    <w:rsid w:val="00932A97"/>
    <w:rsid w:val="00932FC9"/>
    <w:rsid w:val="00935083"/>
    <w:rsid w:val="0093545F"/>
    <w:rsid w:val="0093649A"/>
    <w:rsid w:val="009364F3"/>
    <w:rsid w:val="00936B35"/>
    <w:rsid w:val="00937CA8"/>
    <w:rsid w:val="0094215C"/>
    <w:rsid w:val="00942861"/>
    <w:rsid w:val="00942989"/>
    <w:rsid w:val="00942BBB"/>
    <w:rsid w:val="00942FB7"/>
    <w:rsid w:val="00945B70"/>
    <w:rsid w:val="00945DA5"/>
    <w:rsid w:val="009461AD"/>
    <w:rsid w:val="00951B33"/>
    <w:rsid w:val="009521D1"/>
    <w:rsid w:val="0095511C"/>
    <w:rsid w:val="009560BA"/>
    <w:rsid w:val="009569E7"/>
    <w:rsid w:val="00956FD7"/>
    <w:rsid w:val="0096031A"/>
    <w:rsid w:val="00960807"/>
    <w:rsid w:val="00960E03"/>
    <w:rsid w:val="0096338D"/>
    <w:rsid w:val="00964AB3"/>
    <w:rsid w:val="009652E3"/>
    <w:rsid w:val="0096533F"/>
    <w:rsid w:val="0096538B"/>
    <w:rsid w:val="009658BD"/>
    <w:rsid w:val="0096699D"/>
    <w:rsid w:val="009713E2"/>
    <w:rsid w:val="009714AB"/>
    <w:rsid w:val="00972D3A"/>
    <w:rsid w:val="0097390E"/>
    <w:rsid w:val="00973A20"/>
    <w:rsid w:val="00973E66"/>
    <w:rsid w:val="00975436"/>
    <w:rsid w:val="00975F60"/>
    <w:rsid w:val="00977943"/>
    <w:rsid w:val="00977B07"/>
    <w:rsid w:val="00977FD6"/>
    <w:rsid w:val="0098019F"/>
    <w:rsid w:val="00981724"/>
    <w:rsid w:val="00981F35"/>
    <w:rsid w:val="00982C3F"/>
    <w:rsid w:val="0098307E"/>
    <w:rsid w:val="00984781"/>
    <w:rsid w:val="00984C0A"/>
    <w:rsid w:val="00985819"/>
    <w:rsid w:val="00986C93"/>
    <w:rsid w:val="00987671"/>
    <w:rsid w:val="009908B7"/>
    <w:rsid w:val="00991312"/>
    <w:rsid w:val="00991561"/>
    <w:rsid w:val="00991F77"/>
    <w:rsid w:val="00993919"/>
    <w:rsid w:val="00997037"/>
    <w:rsid w:val="00997272"/>
    <w:rsid w:val="009A0670"/>
    <w:rsid w:val="009A06F9"/>
    <w:rsid w:val="009A1CB5"/>
    <w:rsid w:val="009A3A6F"/>
    <w:rsid w:val="009A3AF2"/>
    <w:rsid w:val="009A48FC"/>
    <w:rsid w:val="009A71CF"/>
    <w:rsid w:val="009B1F36"/>
    <w:rsid w:val="009B4054"/>
    <w:rsid w:val="009B4585"/>
    <w:rsid w:val="009B46AB"/>
    <w:rsid w:val="009B593A"/>
    <w:rsid w:val="009B6A4C"/>
    <w:rsid w:val="009B7940"/>
    <w:rsid w:val="009B7D12"/>
    <w:rsid w:val="009B7D61"/>
    <w:rsid w:val="009B7F0F"/>
    <w:rsid w:val="009C0345"/>
    <w:rsid w:val="009C102C"/>
    <w:rsid w:val="009C103C"/>
    <w:rsid w:val="009C1115"/>
    <w:rsid w:val="009C1429"/>
    <w:rsid w:val="009C1A2C"/>
    <w:rsid w:val="009C1A6E"/>
    <w:rsid w:val="009C1D79"/>
    <w:rsid w:val="009C1DAE"/>
    <w:rsid w:val="009C3E0F"/>
    <w:rsid w:val="009C56D8"/>
    <w:rsid w:val="009C5E64"/>
    <w:rsid w:val="009C6812"/>
    <w:rsid w:val="009D0343"/>
    <w:rsid w:val="009D0425"/>
    <w:rsid w:val="009D0B00"/>
    <w:rsid w:val="009D10D9"/>
    <w:rsid w:val="009D1FBB"/>
    <w:rsid w:val="009D3585"/>
    <w:rsid w:val="009D38C2"/>
    <w:rsid w:val="009D575C"/>
    <w:rsid w:val="009E0C5B"/>
    <w:rsid w:val="009E104C"/>
    <w:rsid w:val="009E1F30"/>
    <w:rsid w:val="009E2327"/>
    <w:rsid w:val="009E2749"/>
    <w:rsid w:val="009E47CA"/>
    <w:rsid w:val="009E6888"/>
    <w:rsid w:val="009F080F"/>
    <w:rsid w:val="009F0A02"/>
    <w:rsid w:val="009F12BD"/>
    <w:rsid w:val="009F20B0"/>
    <w:rsid w:val="009F2D01"/>
    <w:rsid w:val="009F2E2D"/>
    <w:rsid w:val="009F5280"/>
    <w:rsid w:val="009F60B5"/>
    <w:rsid w:val="00A00500"/>
    <w:rsid w:val="00A012E9"/>
    <w:rsid w:val="00A030D9"/>
    <w:rsid w:val="00A04ACE"/>
    <w:rsid w:val="00A05401"/>
    <w:rsid w:val="00A0588C"/>
    <w:rsid w:val="00A06EF2"/>
    <w:rsid w:val="00A07406"/>
    <w:rsid w:val="00A103B4"/>
    <w:rsid w:val="00A104D4"/>
    <w:rsid w:val="00A10BA6"/>
    <w:rsid w:val="00A10EEE"/>
    <w:rsid w:val="00A10EF6"/>
    <w:rsid w:val="00A11779"/>
    <w:rsid w:val="00A11E77"/>
    <w:rsid w:val="00A125B0"/>
    <w:rsid w:val="00A129DB"/>
    <w:rsid w:val="00A1329F"/>
    <w:rsid w:val="00A13E48"/>
    <w:rsid w:val="00A16160"/>
    <w:rsid w:val="00A1749B"/>
    <w:rsid w:val="00A17BB0"/>
    <w:rsid w:val="00A20390"/>
    <w:rsid w:val="00A21708"/>
    <w:rsid w:val="00A21B70"/>
    <w:rsid w:val="00A22181"/>
    <w:rsid w:val="00A22302"/>
    <w:rsid w:val="00A2457B"/>
    <w:rsid w:val="00A25DE4"/>
    <w:rsid w:val="00A264FA"/>
    <w:rsid w:val="00A26DC0"/>
    <w:rsid w:val="00A30032"/>
    <w:rsid w:val="00A3044C"/>
    <w:rsid w:val="00A32341"/>
    <w:rsid w:val="00A328AE"/>
    <w:rsid w:val="00A34CBC"/>
    <w:rsid w:val="00A35531"/>
    <w:rsid w:val="00A35A4B"/>
    <w:rsid w:val="00A36F58"/>
    <w:rsid w:val="00A4028B"/>
    <w:rsid w:val="00A410D7"/>
    <w:rsid w:val="00A4200D"/>
    <w:rsid w:val="00A42213"/>
    <w:rsid w:val="00A42579"/>
    <w:rsid w:val="00A43A60"/>
    <w:rsid w:val="00A43DA0"/>
    <w:rsid w:val="00A450E3"/>
    <w:rsid w:val="00A4588C"/>
    <w:rsid w:val="00A46A20"/>
    <w:rsid w:val="00A4775D"/>
    <w:rsid w:val="00A50A8C"/>
    <w:rsid w:val="00A518A0"/>
    <w:rsid w:val="00A53646"/>
    <w:rsid w:val="00A53B49"/>
    <w:rsid w:val="00A53F4D"/>
    <w:rsid w:val="00A542F8"/>
    <w:rsid w:val="00A546A2"/>
    <w:rsid w:val="00A5555A"/>
    <w:rsid w:val="00A55956"/>
    <w:rsid w:val="00A55E4E"/>
    <w:rsid w:val="00A570D9"/>
    <w:rsid w:val="00A57A56"/>
    <w:rsid w:val="00A600B7"/>
    <w:rsid w:val="00A62DA2"/>
    <w:rsid w:val="00A62FC3"/>
    <w:rsid w:val="00A64375"/>
    <w:rsid w:val="00A647C1"/>
    <w:rsid w:val="00A66BC4"/>
    <w:rsid w:val="00A721DA"/>
    <w:rsid w:val="00A73A2E"/>
    <w:rsid w:val="00A748A3"/>
    <w:rsid w:val="00A7560F"/>
    <w:rsid w:val="00A77E6C"/>
    <w:rsid w:val="00A807F9"/>
    <w:rsid w:val="00A81271"/>
    <w:rsid w:val="00A81362"/>
    <w:rsid w:val="00A81818"/>
    <w:rsid w:val="00A82FF6"/>
    <w:rsid w:val="00A83618"/>
    <w:rsid w:val="00A84E77"/>
    <w:rsid w:val="00A85BE1"/>
    <w:rsid w:val="00A86866"/>
    <w:rsid w:val="00A91C05"/>
    <w:rsid w:val="00A92933"/>
    <w:rsid w:val="00A94C0F"/>
    <w:rsid w:val="00A954CF"/>
    <w:rsid w:val="00A970E3"/>
    <w:rsid w:val="00A9778A"/>
    <w:rsid w:val="00AA0C4E"/>
    <w:rsid w:val="00AA105F"/>
    <w:rsid w:val="00AA191C"/>
    <w:rsid w:val="00AA1DF8"/>
    <w:rsid w:val="00AA20CD"/>
    <w:rsid w:val="00AA657F"/>
    <w:rsid w:val="00AB15C8"/>
    <w:rsid w:val="00AB2183"/>
    <w:rsid w:val="00AB2349"/>
    <w:rsid w:val="00AB272E"/>
    <w:rsid w:val="00AB3DA6"/>
    <w:rsid w:val="00AB4575"/>
    <w:rsid w:val="00AB4652"/>
    <w:rsid w:val="00AB4AE6"/>
    <w:rsid w:val="00AB59E3"/>
    <w:rsid w:val="00AB5F5E"/>
    <w:rsid w:val="00AB686A"/>
    <w:rsid w:val="00AC0607"/>
    <w:rsid w:val="00AC1326"/>
    <w:rsid w:val="00AC4919"/>
    <w:rsid w:val="00AC4FF0"/>
    <w:rsid w:val="00AC5316"/>
    <w:rsid w:val="00AC5B06"/>
    <w:rsid w:val="00AC5F10"/>
    <w:rsid w:val="00AD0A96"/>
    <w:rsid w:val="00AD15F4"/>
    <w:rsid w:val="00AD26B0"/>
    <w:rsid w:val="00AD2E92"/>
    <w:rsid w:val="00AD31FB"/>
    <w:rsid w:val="00AD3BAF"/>
    <w:rsid w:val="00AD445F"/>
    <w:rsid w:val="00AD4ED8"/>
    <w:rsid w:val="00AD5006"/>
    <w:rsid w:val="00AD5044"/>
    <w:rsid w:val="00AD56F3"/>
    <w:rsid w:val="00AD5C32"/>
    <w:rsid w:val="00AD6070"/>
    <w:rsid w:val="00AE1534"/>
    <w:rsid w:val="00AE2D57"/>
    <w:rsid w:val="00AE3669"/>
    <w:rsid w:val="00AE3AD2"/>
    <w:rsid w:val="00AE4A24"/>
    <w:rsid w:val="00AE4C01"/>
    <w:rsid w:val="00AE4D62"/>
    <w:rsid w:val="00AE5854"/>
    <w:rsid w:val="00AE6AE0"/>
    <w:rsid w:val="00AE6AF9"/>
    <w:rsid w:val="00AE7090"/>
    <w:rsid w:val="00AE72BE"/>
    <w:rsid w:val="00AF10E9"/>
    <w:rsid w:val="00AF43BF"/>
    <w:rsid w:val="00AF4EE1"/>
    <w:rsid w:val="00AF54AD"/>
    <w:rsid w:val="00AF740E"/>
    <w:rsid w:val="00B00559"/>
    <w:rsid w:val="00B00598"/>
    <w:rsid w:val="00B01CF9"/>
    <w:rsid w:val="00B0365D"/>
    <w:rsid w:val="00B038D5"/>
    <w:rsid w:val="00B03D28"/>
    <w:rsid w:val="00B04667"/>
    <w:rsid w:val="00B048D0"/>
    <w:rsid w:val="00B04B38"/>
    <w:rsid w:val="00B0533E"/>
    <w:rsid w:val="00B06AFE"/>
    <w:rsid w:val="00B0756D"/>
    <w:rsid w:val="00B079B3"/>
    <w:rsid w:val="00B1017A"/>
    <w:rsid w:val="00B108EC"/>
    <w:rsid w:val="00B111FC"/>
    <w:rsid w:val="00B1190F"/>
    <w:rsid w:val="00B11B7B"/>
    <w:rsid w:val="00B153CF"/>
    <w:rsid w:val="00B203DA"/>
    <w:rsid w:val="00B20FE2"/>
    <w:rsid w:val="00B2200F"/>
    <w:rsid w:val="00B2327A"/>
    <w:rsid w:val="00B23519"/>
    <w:rsid w:val="00B235A8"/>
    <w:rsid w:val="00B23B55"/>
    <w:rsid w:val="00B27577"/>
    <w:rsid w:val="00B2765F"/>
    <w:rsid w:val="00B27CE1"/>
    <w:rsid w:val="00B3043D"/>
    <w:rsid w:val="00B30C3A"/>
    <w:rsid w:val="00B31274"/>
    <w:rsid w:val="00B3164B"/>
    <w:rsid w:val="00B31E02"/>
    <w:rsid w:val="00B32311"/>
    <w:rsid w:val="00B32EAB"/>
    <w:rsid w:val="00B338EE"/>
    <w:rsid w:val="00B34E5B"/>
    <w:rsid w:val="00B363C5"/>
    <w:rsid w:val="00B36BE3"/>
    <w:rsid w:val="00B37D41"/>
    <w:rsid w:val="00B402FD"/>
    <w:rsid w:val="00B43543"/>
    <w:rsid w:val="00B43643"/>
    <w:rsid w:val="00B44B21"/>
    <w:rsid w:val="00B45833"/>
    <w:rsid w:val="00B45946"/>
    <w:rsid w:val="00B45F73"/>
    <w:rsid w:val="00B4653E"/>
    <w:rsid w:val="00B53D1B"/>
    <w:rsid w:val="00B545E6"/>
    <w:rsid w:val="00B55328"/>
    <w:rsid w:val="00B56A9F"/>
    <w:rsid w:val="00B63851"/>
    <w:rsid w:val="00B642E9"/>
    <w:rsid w:val="00B64693"/>
    <w:rsid w:val="00B65DF5"/>
    <w:rsid w:val="00B668EB"/>
    <w:rsid w:val="00B671F3"/>
    <w:rsid w:val="00B67E4E"/>
    <w:rsid w:val="00B70302"/>
    <w:rsid w:val="00B70342"/>
    <w:rsid w:val="00B70519"/>
    <w:rsid w:val="00B7094A"/>
    <w:rsid w:val="00B70EDC"/>
    <w:rsid w:val="00B72CAA"/>
    <w:rsid w:val="00B72EB4"/>
    <w:rsid w:val="00B75C29"/>
    <w:rsid w:val="00B76975"/>
    <w:rsid w:val="00B774C7"/>
    <w:rsid w:val="00B77A27"/>
    <w:rsid w:val="00B80A9E"/>
    <w:rsid w:val="00B81964"/>
    <w:rsid w:val="00B835D4"/>
    <w:rsid w:val="00B835EB"/>
    <w:rsid w:val="00B835F4"/>
    <w:rsid w:val="00B83879"/>
    <w:rsid w:val="00B83972"/>
    <w:rsid w:val="00B84C53"/>
    <w:rsid w:val="00B8529D"/>
    <w:rsid w:val="00B85B64"/>
    <w:rsid w:val="00B85F0C"/>
    <w:rsid w:val="00B85F4F"/>
    <w:rsid w:val="00B86417"/>
    <w:rsid w:val="00B86A23"/>
    <w:rsid w:val="00B86CF3"/>
    <w:rsid w:val="00B871EF"/>
    <w:rsid w:val="00B90164"/>
    <w:rsid w:val="00B90EA8"/>
    <w:rsid w:val="00B91CA3"/>
    <w:rsid w:val="00B92947"/>
    <w:rsid w:val="00B933F1"/>
    <w:rsid w:val="00B93C7D"/>
    <w:rsid w:val="00B94996"/>
    <w:rsid w:val="00B95F85"/>
    <w:rsid w:val="00B964A1"/>
    <w:rsid w:val="00B976C4"/>
    <w:rsid w:val="00BA0D64"/>
    <w:rsid w:val="00BA1653"/>
    <w:rsid w:val="00BA1F80"/>
    <w:rsid w:val="00BA2B02"/>
    <w:rsid w:val="00BA2FE4"/>
    <w:rsid w:val="00BA332A"/>
    <w:rsid w:val="00BA567F"/>
    <w:rsid w:val="00BA6BF8"/>
    <w:rsid w:val="00BA7841"/>
    <w:rsid w:val="00BB010D"/>
    <w:rsid w:val="00BB1321"/>
    <w:rsid w:val="00BB1628"/>
    <w:rsid w:val="00BB17FD"/>
    <w:rsid w:val="00BB1C70"/>
    <w:rsid w:val="00BB321B"/>
    <w:rsid w:val="00BB337D"/>
    <w:rsid w:val="00BB3475"/>
    <w:rsid w:val="00BB3586"/>
    <w:rsid w:val="00BB4733"/>
    <w:rsid w:val="00BB67F5"/>
    <w:rsid w:val="00BB7251"/>
    <w:rsid w:val="00BC00CF"/>
    <w:rsid w:val="00BC0A6D"/>
    <w:rsid w:val="00BC2706"/>
    <w:rsid w:val="00BC3513"/>
    <w:rsid w:val="00BC3D50"/>
    <w:rsid w:val="00BC5AC6"/>
    <w:rsid w:val="00BC67B7"/>
    <w:rsid w:val="00BC750D"/>
    <w:rsid w:val="00BC751F"/>
    <w:rsid w:val="00BC7C84"/>
    <w:rsid w:val="00BC7FCB"/>
    <w:rsid w:val="00BD057A"/>
    <w:rsid w:val="00BD12FC"/>
    <w:rsid w:val="00BD40B7"/>
    <w:rsid w:val="00BD5C6E"/>
    <w:rsid w:val="00BE0951"/>
    <w:rsid w:val="00BE195F"/>
    <w:rsid w:val="00BE19BF"/>
    <w:rsid w:val="00BE1AFA"/>
    <w:rsid w:val="00BE2306"/>
    <w:rsid w:val="00BE2973"/>
    <w:rsid w:val="00BE3316"/>
    <w:rsid w:val="00BE3A00"/>
    <w:rsid w:val="00BE3A36"/>
    <w:rsid w:val="00BE44BE"/>
    <w:rsid w:val="00BE4E06"/>
    <w:rsid w:val="00BE56CE"/>
    <w:rsid w:val="00BE6077"/>
    <w:rsid w:val="00BE61C1"/>
    <w:rsid w:val="00BE7DA2"/>
    <w:rsid w:val="00BF034F"/>
    <w:rsid w:val="00BF1A23"/>
    <w:rsid w:val="00BF29F8"/>
    <w:rsid w:val="00BF385D"/>
    <w:rsid w:val="00BF474E"/>
    <w:rsid w:val="00BF4CA8"/>
    <w:rsid w:val="00BF4D46"/>
    <w:rsid w:val="00BF5A42"/>
    <w:rsid w:val="00BF5BD0"/>
    <w:rsid w:val="00BF78EE"/>
    <w:rsid w:val="00BF7FC0"/>
    <w:rsid w:val="00C004DA"/>
    <w:rsid w:val="00C012A3"/>
    <w:rsid w:val="00C01951"/>
    <w:rsid w:val="00C01CD9"/>
    <w:rsid w:val="00C025D0"/>
    <w:rsid w:val="00C0410A"/>
    <w:rsid w:val="00C04BC3"/>
    <w:rsid w:val="00C05AE1"/>
    <w:rsid w:val="00C07B4D"/>
    <w:rsid w:val="00C104A6"/>
    <w:rsid w:val="00C11E1E"/>
    <w:rsid w:val="00C1268B"/>
    <w:rsid w:val="00C13A4B"/>
    <w:rsid w:val="00C16A3F"/>
    <w:rsid w:val="00C176A4"/>
    <w:rsid w:val="00C20341"/>
    <w:rsid w:val="00C20F91"/>
    <w:rsid w:val="00C2170C"/>
    <w:rsid w:val="00C23AEC"/>
    <w:rsid w:val="00C24094"/>
    <w:rsid w:val="00C24268"/>
    <w:rsid w:val="00C252BE"/>
    <w:rsid w:val="00C2691D"/>
    <w:rsid w:val="00C26D9C"/>
    <w:rsid w:val="00C271C3"/>
    <w:rsid w:val="00C30BD6"/>
    <w:rsid w:val="00C30D3C"/>
    <w:rsid w:val="00C3116E"/>
    <w:rsid w:val="00C31C52"/>
    <w:rsid w:val="00C31FD7"/>
    <w:rsid w:val="00C32378"/>
    <w:rsid w:val="00C33A9D"/>
    <w:rsid w:val="00C34343"/>
    <w:rsid w:val="00C3649A"/>
    <w:rsid w:val="00C368DB"/>
    <w:rsid w:val="00C36CFB"/>
    <w:rsid w:val="00C404F6"/>
    <w:rsid w:val="00C40C1C"/>
    <w:rsid w:val="00C41D6C"/>
    <w:rsid w:val="00C440FE"/>
    <w:rsid w:val="00C446FC"/>
    <w:rsid w:val="00C451D4"/>
    <w:rsid w:val="00C4585E"/>
    <w:rsid w:val="00C45C1A"/>
    <w:rsid w:val="00C46254"/>
    <w:rsid w:val="00C4692C"/>
    <w:rsid w:val="00C52F38"/>
    <w:rsid w:val="00C54721"/>
    <w:rsid w:val="00C54787"/>
    <w:rsid w:val="00C5582E"/>
    <w:rsid w:val="00C56A3F"/>
    <w:rsid w:val="00C57849"/>
    <w:rsid w:val="00C60B0D"/>
    <w:rsid w:val="00C629B2"/>
    <w:rsid w:val="00C644A8"/>
    <w:rsid w:val="00C64C6D"/>
    <w:rsid w:val="00C65526"/>
    <w:rsid w:val="00C66C8A"/>
    <w:rsid w:val="00C671C4"/>
    <w:rsid w:val="00C67B12"/>
    <w:rsid w:val="00C707C8"/>
    <w:rsid w:val="00C7103E"/>
    <w:rsid w:val="00C755C1"/>
    <w:rsid w:val="00C7629E"/>
    <w:rsid w:val="00C77960"/>
    <w:rsid w:val="00C77DD7"/>
    <w:rsid w:val="00C80D41"/>
    <w:rsid w:val="00C81745"/>
    <w:rsid w:val="00C82168"/>
    <w:rsid w:val="00C83778"/>
    <w:rsid w:val="00C84128"/>
    <w:rsid w:val="00C84DE8"/>
    <w:rsid w:val="00C85125"/>
    <w:rsid w:val="00C856AF"/>
    <w:rsid w:val="00C859D1"/>
    <w:rsid w:val="00C859D6"/>
    <w:rsid w:val="00C85BC2"/>
    <w:rsid w:val="00C862F2"/>
    <w:rsid w:val="00C9008B"/>
    <w:rsid w:val="00C90F83"/>
    <w:rsid w:val="00C9185B"/>
    <w:rsid w:val="00C937BD"/>
    <w:rsid w:val="00C93E47"/>
    <w:rsid w:val="00C94A2C"/>
    <w:rsid w:val="00C94BAE"/>
    <w:rsid w:val="00C960AE"/>
    <w:rsid w:val="00C960BB"/>
    <w:rsid w:val="00C9663A"/>
    <w:rsid w:val="00C96F47"/>
    <w:rsid w:val="00C970DC"/>
    <w:rsid w:val="00C97A0D"/>
    <w:rsid w:val="00CA21DD"/>
    <w:rsid w:val="00CA2AF4"/>
    <w:rsid w:val="00CA3338"/>
    <w:rsid w:val="00CA3F5B"/>
    <w:rsid w:val="00CA4343"/>
    <w:rsid w:val="00CA5339"/>
    <w:rsid w:val="00CA565B"/>
    <w:rsid w:val="00CA5778"/>
    <w:rsid w:val="00CA7242"/>
    <w:rsid w:val="00CA79FE"/>
    <w:rsid w:val="00CB01C4"/>
    <w:rsid w:val="00CB4A1C"/>
    <w:rsid w:val="00CB619D"/>
    <w:rsid w:val="00CB6422"/>
    <w:rsid w:val="00CB650B"/>
    <w:rsid w:val="00CC06E8"/>
    <w:rsid w:val="00CC08E6"/>
    <w:rsid w:val="00CC11F7"/>
    <w:rsid w:val="00CC1AAE"/>
    <w:rsid w:val="00CC1B73"/>
    <w:rsid w:val="00CC5278"/>
    <w:rsid w:val="00CC57FA"/>
    <w:rsid w:val="00CC5858"/>
    <w:rsid w:val="00CC7150"/>
    <w:rsid w:val="00CC7A35"/>
    <w:rsid w:val="00CD11DD"/>
    <w:rsid w:val="00CD1276"/>
    <w:rsid w:val="00CD2B27"/>
    <w:rsid w:val="00CD30FA"/>
    <w:rsid w:val="00CD3464"/>
    <w:rsid w:val="00CD34FA"/>
    <w:rsid w:val="00CD4C06"/>
    <w:rsid w:val="00CD5852"/>
    <w:rsid w:val="00CD59A2"/>
    <w:rsid w:val="00CD59F3"/>
    <w:rsid w:val="00CD64A0"/>
    <w:rsid w:val="00CD7C3B"/>
    <w:rsid w:val="00CE09F5"/>
    <w:rsid w:val="00CE25F8"/>
    <w:rsid w:val="00CE2A01"/>
    <w:rsid w:val="00CE2B57"/>
    <w:rsid w:val="00CE3E66"/>
    <w:rsid w:val="00CE432C"/>
    <w:rsid w:val="00CE4CD8"/>
    <w:rsid w:val="00CE5C37"/>
    <w:rsid w:val="00CE6E72"/>
    <w:rsid w:val="00CE7B37"/>
    <w:rsid w:val="00CF0805"/>
    <w:rsid w:val="00CF1C42"/>
    <w:rsid w:val="00CF2D11"/>
    <w:rsid w:val="00CF36F4"/>
    <w:rsid w:val="00CF37BF"/>
    <w:rsid w:val="00CF38BD"/>
    <w:rsid w:val="00CF7234"/>
    <w:rsid w:val="00CF764E"/>
    <w:rsid w:val="00CF77E0"/>
    <w:rsid w:val="00D00FDC"/>
    <w:rsid w:val="00D02B00"/>
    <w:rsid w:val="00D04E2D"/>
    <w:rsid w:val="00D056EB"/>
    <w:rsid w:val="00D063BC"/>
    <w:rsid w:val="00D075AB"/>
    <w:rsid w:val="00D10057"/>
    <w:rsid w:val="00D10B6C"/>
    <w:rsid w:val="00D11799"/>
    <w:rsid w:val="00D12B56"/>
    <w:rsid w:val="00D135FA"/>
    <w:rsid w:val="00D13B21"/>
    <w:rsid w:val="00D13F5C"/>
    <w:rsid w:val="00D177B0"/>
    <w:rsid w:val="00D2114C"/>
    <w:rsid w:val="00D2150F"/>
    <w:rsid w:val="00D21518"/>
    <w:rsid w:val="00D2171B"/>
    <w:rsid w:val="00D2179E"/>
    <w:rsid w:val="00D226C4"/>
    <w:rsid w:val="00D23ED7"/>
    <w:rsid w:val="00D241B5"/>
    <w:rsid w:val="00D26CD7"/>
    <w:rsid w:val="00D27AF9"/>
    <w:rsid w:val="00D27DBB"/>
    <w:rsid w:val="00D30E47"/>
    <w:rsid w:val="00D321E1"/>
    <w:rsid w:val="00D32502"/>
    <w:rsid w:val="00D32A2F"/>
    <w:rsid w:val="00D32EBD"/>
    <w:rsid w:val="00D34C4A"/>
    <w:rsid w:val="00D3671B"/>
    <w:rsid w:val="00D40811"/>
    <w:rsid w:val="00D438E2"/>
    <w:rsid w:val="00D44E4F"/>
    <w:rsid w:val="00D45515"/>
    <w:rsid w:val="00D460D2"/>
    <w:rsid w:val="00D471E2"/>
    <w:rsid w:val="00D510A0"/>
    <w:rsid w:val="00D51AFB"/>
    <w:rsid w:val="00D53826"/>
    <w:rsid w:val="00D545E0"/>
    <w:rsid w:val="00D54717"/>
    <w:rsid w:val="00D54DB6"/>
    <w:rsid w:val="00D54EF3"/>
    <w:rsid w:val="00D54F4C"/>
    <w:rsid w:val="00D55730"/>
    <w:rsid w:val="00D557E4"/>
    <w:rsid w:val="00D55E95"/>
    <w:rsid w:val="00D5736A"/>
    <w:rsid w:val="00D601A9"/>
    <w:rsid w:val="00D605B9"/>
    <w:rsid w:val="00D61253"/>
    <w:rsid w:val="00D61E1D"/>
    <w:rsid w:val="00D62A97"/>
    <w:rsid w:val="00D64385"/>
    <w:rsid w:val="00D651E2"/>
    <w:rsid w:val="00D660D7"/>
    <w:rsid w:val="00D67CAC"/>
    <w:rsid w:val="00D70725"/>
    <w:rsid w:val="00D71350"/>
    <w:rsid w:val="00D72161"/>
    <w:rsid w:val="00D72AF4"/>
    <w:rsid w:val="00D72D03"/>
    <w:rsid w:val="00D72E51"/>
    <w:rsid w:val="00D72E53"/>
    <w:rsid w:val="00D740F1"/>
    <w:rsid w:val="00D761F6"/>
    <w:rsid w:val="00D76567"/>
    <w:rsid w:val="00D773DC"/>
    <w:rsid w:val="00D779A5"/>
    <w:rsid w:val="00D77B78"/>
    <w:rsid w:val="00D8029C"/>
    <w:rsid w:val="00D82225"/>
    <w:rsid w:val="00D82892"/>
    <w:rsid w:val="00D836A3"/>
    <w:rsid w:val="00D847FD"/>
    <w:rsid w:val="00D85735"/>
    <w:rsid w:val="00D87192"/>
    <w:rsid w:val="00D90CE7"/>
    <w:rsid w:val="00D91B0E"/>
    <w:rsid w:val="00D91F6B"/>
    <w:rsid w:val="00D922C7"/>
    <w:rsid w:val="00D92F03"/>
    <w:rsid w:val="00D9342C"/>
    <w:rsid w:val="00D94440"/>
    <w:rsid w:val="00D946ED"/>
    <w:rsid w:val="00D94893"/>
    <w:rsid w:val="00D95C60"/>
    <w:rsid w:val="00D9602D"/>
    <w:rsid w:val="00D9638F"/>
    <w:rsid w:val="00D964C2"/>
    <w:rsid w:val="00D96C39"/>
    <w:rsid w:val="00D97775"/>
    <w:rsid w:val="00DA00A7"/>
    <w:rsid w:val="00DA0A8D"/>
    <w:rsid w:val="00DA17A3"/>
    <w:rsid w:val="00DA27EE"/>
    <w:rsid w:val="00DA55F2"/>
    <w:rsid w:val="00DA5D93"/>
    <w:rsid w:val="00DA62FE"/>
    <w:rsid w:val="00DA6677"/>
    <w:rsid w:val="00DA66DB"/>
    <w:rsid w:val="00DA6D4D"/>
    <w:rsid w:val="00DB13A6"/>
    <w:rsid w:val="00DB1C53"/>
    <w:rsid w:val="00DB4769"/>
    <w:rsid w:val="00DB49EA"/>
    <w:rsid w:val="00DB4E0D"/>
    <w:rsid w:val="00DB57E0"/>
    <w:rsid w:val="00DB6400"/>
    <w:rsid w:val="00DB7640"/>
    <w:rsid w:val="00DB7879"/>
    <w:rsid w:val="00DC10EB"/>
    <w:rsid w:val="00DC459C"/>
    <w:rsid w:val="00DC5F8C"/>
    <w:rsid w:val="00DC6256"/>
    <w:rsid w:val="00DC6371"/>
    <w:rsid w:val="00DC6EBA"/>
    <w:rsid w:val="00DD0630"/>
    <w:rsid w:val="00DD1AD4"/>
    <w:rsid w:val="00DD1B4F"/>
    <w:rsid w:val="00DD1C18"/>
    <w:rsid w:val="00DD23CE"/>
    <w:rsid w:val="00DD3244"/>
    <w:rsid w:val="00DD3A04"/>
    <w:rsid w:val="00DD3A1B"/>
    <w:rsid w:val="00DD3AD8"/>
    <w:rsid w:val="00DD5548"/>
    <w:rsid w:val="00DD61BB"/>
    <w:rsid w:val="00DD6309"/>
    <w:rsid w:val="00DE1BBB"/>
    <w:rsid w:val="00DE226A"/>
    <w:rsid w:val="00DE35CE"/>
    <w:rsid w:val="00DE3B99"/>
    <w:rsid w:val="00DE3F32"/>
    <w:rsid w:val="00DE46EF"/>
    <w:rsid w:val="00DE749B"/>
    <w:rsid w:val="00DF039C"/>
    <w:rsid w:val="00DF1EFF"/>
    <w:rsid w:val="00DF406B"/>
    <w:rsid w:val="00DF4478"/>
    <w:rsid w:val="00DF4E17"/>
    <w:rsid w:val="00DF4FB4"/>
    <w:rsid w:val="00E00266"/>
    <w:rsid w:val="00E00883"/>
    <w:rsid w:val="00E01A81"/>
    <w:rsid w:val="00E01AEC"/>
    <w:rsid w:val="00E01DF0"/>
    <w:rsid w:val="00E02646"/>
    <w:rsid w:val="00E04054"/>
    <w:rsid w:val="00E0475A"/>
    <w:rsid w:val="00E04D8C"/>
    <w:rsid w:val="00E05F8D"/>
    <w:rsid w:val="00E06502"/>
    <w:rsid w:val="00E1086C"/>
    <w:rsid w:val="00E12094"/>
    <w:rsid w:val="00E1238F"/>
    <w:rsid w:val="00E12523"/>
    <w:rsid w:val="00E127B6"/>
    <w:rsid w:val="00E13638"/>
    <w:rsid w:val="00E14796"/>
    <w:rsid w:val="00E1585D"/>
    <w:rsid w:val="00E1712B"/>
    <w:rsid w:val="00E217BB"/>
    <w:rsid w:val="00E22A09"/>
    <w:rsid w:val="00E23F16"/>
    <w:rsid w:val="00E26833"/>
    <w:rsid w:val="00E26B24"/>
    <w:rsid w:val="00E276DC"/>
    <w:rsid w:val="00E3037F"/>
    <w:rsid w:val="00E30678"/>
    <w:rsid w:val="00E3244A"/>
    <w:rsid w:val="00E33278"/>
    <w:rsid w:val="00E34407"/>
    <w:rsid w:val="00E3506E"/>
    <w:rsid w:val="00E429C6"/>
    <w:rsid w:val="00E43A8C"/>
    <w:rsid w:val="00E441E7"/>
    <w:rsid w:val="00E44BFC"/>
    <w:rsid w:val="00E44D58"/>
    <w:rsid w:val="00E4528A"/>
    <w:rsid w:val="00E4566C"/>
    <w:rsid w:val="00E45851"/>
    <w:rsid w:val="00E45EC0"/>
    <w:rsid w:val="00E467A3"/>
    <w:rsid w:val="00E47090"/>
    <w:rsid w:val="00E50208"/>
    <w:rsid w:val="00E508B2"/>
    <w:rsid w:val="00E52F88"/>
    <w:rsid w:val="00E539D8"/>
    <w:rsid w:val="00E541FC"/>
    <w:rsid w:val="00E54E7C"/>
    <w:rsid w:val="00E559CB"/>
    <w:rsid w:val="00E56978"/>
    <w:rsid w:val="00E57C12"/>
    <w:rsid w:val="00E60247"/>
    <w:rsid w:val="00E60C07"/>
    <w:rsid w:val="00E61776"/>
    <w:rsid w:val="00E617F0"/>
    <w:rsid w:val="00E625FC"/>
    <w:rsid w:val="00E63548"/>
    <w:rsid w:val="00E647A1"/>
    <w:rsid w:val="00E64E0C"/>
    <w:rsid w:val="00E65522"/>
    <w:rsid w:val="00E667DC"/>
    <w:rsid w:val="00E6684E"/>
    <w:rsid w:val="00E7022A"/>
    <w:rsid w:val="00E708AE"/>
    <w:rsid w:val="00E709AD"/>
    <w:rsid w:val="00E710E7"/>
    <w:rsid w:val="00E713D1"/>
    <w:rsid w:val="00E723D1"/>
    <w:rsid w:val="00E741F5"/>
    <w:rsid w:val="00E7485F"/>
    <w:rsid w:val="00E7521F"/>
    <w:rsid w:val="00E75330"/>
    <w:rsid w:val="00E76FCC"/>
    <w:rsid w:val="00E77417"/>
    <w:rsid w:val="00E77D12"/>
    <w:rsid w:val="00E8022B"/>
    <w:rsid w:val="00E809AD"/>
    <w:rsid w:val="00E81A63"/>
    <w:rsid w:val="00E81F32"/>
    <w:rsid w:val="00E827A7"/>
    <w:rsid w:val="00E83007"/>
    <w:rsid w:val="00E83468"/>
    <w:rsid w:val="00E8381A"/>
    <w:rsid w:val="00E83B04"/>
    <w:rsid w:val="00E83B32"/>
    <w:rsid w:val="00E83B54"/>
    <w:rsid w:val="00E84A89"/>
    <w:rsid w:val="00E84C5E"/>
    <w:rsid w:val="00E8512A"/>
    <w:rsid w:val="00E85A3C"/>
    <w:rsid w:val="00E85E0B"/>
    <w:rsid w:val="00E86E27"/>
    <w:rsid w:val="00E87BA8"/>
    <w:rsid w:val="00E906FE"/>
    <w:rsid w:val="00E909D4"/>
    <w:rsid w:val="00E90C33"/>
    <w:rsid w:val="00E90DBC"/>
    <w:rsid w:val="00E94EE2"/>
    <w:rsid w:val="00E95E5A"/>
    <w:rsid w:val="00E9676C"/>
    <w:rsid w:val="00E976C5"/>
    <w:rsid w:val="00EA16FB"/>
    <w:rsid w:val="00EA1E4E"/>
    <w:rsid w:val="00EA23D1"/>
    <w:rsid w:val="00EA3681"/>
    <w:rsid w:val="00EA42BB"/>
    <w:rsid w:val="00EA4B84"/>
    <w:rsid w:val="00EA4EE0"/>
    <w:rsid w:val="00EA5442"/>
    <w:rsid w:val="00EA54FD"/>
    <w:rsid w:val="00EA61F0"/>
    <w:rsid w:val="00EA660D"/>
    <w:rsid w:val="00EA69FD"/>
    <w:rsid w:val="00EA6ADE"/>
    <w:rsid w:val="00EA7C41"/>
    <w:rsid w:val="00EB047E"/>
    <w:rsid w:val="00EB13D5"/>
    <w:rsid w:val="00EB3B95"/>
    <w:rsid w:val="00EB3D81"/>
    <w:rsid w:val="00EB4F74"/>
    <w:rsid w:val="00EB4FE0"/>
    <w:rsid w:val="00EB64D3"/>
    <w:rsid w:val="00EC0501"/>
    <w:rsid w:val="00EC1FB8"/>
    <w:rsid w:val="00EC2A0B"/>
    <w:rsid w:val="00EC3D96"/>
    <w:rsid w:val="00EC4069"/>
    <w:rsid w:val="00EC64B3"/>
    <w:rsid w:val="00ED1E88"/>
    <w:rsid w:val="00ED2074"/>
    <w:rsid w:val="00ED21D0"/>
    <w:rsid w:val="00ED34F8"/>
    <w:rsid w:val="00ED3C5F"/>
    <w:rsid w:val="00ED4AAB"/>
    <w:rsid w:val="00ED5143"/>
    <w:rsid w:val="00ED5353"/>
    <w:rsid w:val="00ED6FCE"/>
    <w:rsid w:val="00ED7D04"/>
    <w:rsid w:val="00EE01F5"/>
    <w:rsid w:val="00EE0331"/>
    <w:rsid w:val="00EE070B"/>
    <w:rsid w:val="00EE0D26"/>
    <w:rsid w:val="00EE178D"/>
    <w:rsid w:val="00EE2120"/>
    <w:rsid w:val="00EE226D"/>
    <w:rsid w:val="00EE304C"/>
    <w:rsid w:val="00EE40CB"/>
    <w:rsid w:val="00EE483D"/>
    <w:rsid w:val="00EE49BC"/>
    <w:rsid w:val="00EE5C80"/>
    <w:rsid w:val="00EE6513"/>
    <w:rsid w:val="00EE6E05"/>
    <w:rsid w:val="00EE737F"/>
    <w:rsid w:val="00EF17FD"/>
    <w:rsid w:val="00EF1E48"/>
    <w:rsid w:val="00EF37E6"/>
    <w:rsid w:val="00EF41DB"/>
    <w:rsid w:val="00EF5283"/>
    <w:rsid w:val="00EF5DDC"/>
    <w:rsid w:val="00EF6E18"/>
    <w:rsid w:val="00EF7F69"/>
    <w:rsid w:val="00F0182F"/>
    <w:rsid w:val="00F0469C"/>
    <w:rsid w:val="00F051A3"/>
    <w:rsid w:val="00F0724F"/>
    <w:rsid w:val="00F077B0"/>
    <w:rsid w:val="00F079B5"/>
    <w:rsid w:val="00F10383"/>
    <w:rsid w:val="00F105DF"/>
    <w:rsid w:val="00F11229"/>
    <w:rsid w:val="00F11D6C"/>
    <w:rsid w:val="00F11F23"/>
    <w:rsid w:val="00F1226B"/>
    <w:rsid w:val="00F129B5"/>
    <w:rsid w:val="00F136F5"/>
    <w:rsid w:val="00F153FA"/>
    <w:rsid w:val="00F15663"/>
    <w:rsid w:val="00F166F0"/>
    <w:rsid w:val="00F172EC"/>
    <w:rsid w:val="00F17A54"/>
    <w:rsid w:val="00F203E9"/>
    <w:rsid w:val="00F23603"/>
    <w:rsid w:val="00F239EB"/>
    <w:rsid w:val="00F2413D"/>
    <w:rsid w:val="00F25CBE"/>
    <w:rsid w:val="00F30195"/>
    <w:rsid w:val="00F30D69"/>
    <w:rsid w:val="00F32DE0"/>
    <w:rsid w:val="00F335F1"/>
    <w:rsid w:val="00F33601"/>
    <w:rsid w:val="00F33F29"/>
    <w:rsid w:val="00F34D63"/>
    <w:rsid w:val="00F40E67"/>
    <w:rsid w:val="00F4280E"/>
    <w:rsid w:val="00F42917"/>
    <w:rsid w:val="00F439BB"/>
    <w:rsid w:val="00F44C96"/>
    <w:rsid w:val="00F44E4F"/>
    <w:rsid w:val="00F4535C"/>
    <w:rsid w:val="00F51A80"/>
    <w:rsid w:val="00F525CD"/>
    <w:rsid w:val="00F5296B"/>
    <w:rsid w:val="00F55B03"/>
    <w:rsid w:val="00F57AFE"/>
    <w:rsid w:val="00F60FA1"/>
    <w:rsid w:val="00F61076"/>
    <w:rsid w:val="00F61E32"/>
    <w:rsid w:val="00F62435"/>
    <w:rsid w:val="00F626F6"/>
    <w:rsid w:val="00F630DF"/>
    <w:rsid w:val="00F63193"/>
    <w:rsid w:val="00F637C0"/>
    <w:rsid w:val="00F6444F"/>
    <w:rsid w:val="00F6467D"/>
    <w:rsid w:val="00F65665"/>
    <w:rsid w:val="00F65777"/>
    <w:rsid w:val="00F67417"/>
    <w:rsid w:val="00F67890"/>
    <w:rsid w:val="00F67C3F"/>
    <w:rsid w:val="00F7037F"/>
    <w:rsid w:val="00F707A8"/>
    <w:rsid w:val="00F709BE"/>
    <w:rsid w:val="00F723CD"/>
    <w:rsid w:val="00F72A67"/>
    <w:rsid w:val="00F735E5"/>
    <w:rsid w:val="00F73C08"/>
    <w:rsid w:val="00F73DC4"/>
    <w:rsid w:val="00F7427A"/>
    <w:rsid w:val="00F76627"/>
    <w:rsid w:val="00F768EC"/>
    <w:rsid w:val="00F777A9"/>
    <w:rsid w:val="00F812A4"/>
    <w:rsid w:val="00F81375"/>
    <w:rsid w:val="00F826E7"/>
    <w:rsid w:val="00F82CB2"/>
    <w:rsid w:val="00F84523"/>
    <w:rsid w:val="00F8499A"/>
    <w:rsid w:val="00F8585D"/>
    <w:rsid w:val="00F874F1"/>
    <w:rsid w:val="00F90010"/>
    <w:rsid w:val="00F900D4"/>
    <w:rsid w:val="00F93C00"/>
    <w:rsid w:val="00F94FDD"/>
    <w:rsid w:val="00F9672B"/>
    <w:rsid w:val="00F968E8"/>
    <w:rsid w:val="00F96B28"/>
    <w:rsid w:val="00FA012D"/>
    <w:rsid w:val="00FA06E7"/>
    <w:rsid w:val="00FA2BAA"/>
    <w:rsid w:val="00FA3188"/>
    <w:rsid w:val="00FA3FB3"/>
    <w:rsid w:val="00FA4180"/>
    <w:rsid w:val="00FA5BF0"/>
    <w:rsid w:val="00FA671D"/>
    <w:rsid w:val="00FA6752"/>
    <w:rsid w:val="00FA6DBC"/>
    <w:rsid w:val="00FB05FB"/>
    <w:rsid w:val="00FB0673"/>
    <w:rsid w:val="00FB0EAB"/>
    <w:rsid w:val="00FB151F"/>
    <w:rsid w:val="00FB2085"/>
    <w:rsid w:val="00FB226C"/>
    <w:rsid w:val="00FB29E7"/>
    <w:rsid w:val="00FB2A24"/>
    <w:rsid w:val="00FB503F"/>
    <w:rsid w:val="00FB5336"/>
    <w:rsid w:val="00FB5576"/>
    <w:rsid w:val="00FB5DF7"/>
    <w:rsid w:val="00FB5EBB"/>
    <w:rsid w:val="00FB6E71"/>
    <w:rsid w:val="00FB6ED5"/>
    <w:rsid w:val="00FB7E1B"/>
    <w:rsid w:val="00FC1A03"/>
    <w:rsid w:val="00FC253E"/>
    <w:rsid w:val="00FC25FC"/>
    <w:rsid w:val="00FC38FB"/>
    <w:rsid w:val="00FC3E7E"/>
    <w:rsid w:val="00FC53B7"/>
    <w:rsid w:val="00FC5FFE"/>
    <w:rsid w:val="00FC6C3F"/>
    <w:rsid w:val="00FD02E5"/>
    <w:rsid w:val="00FD0F2F"/>
    <w:rsid w:val="00FD10DD"/>
    <w:rsid w:val="00FD1EAF"/>
    <w:rsid w:val="00FD298F"/>
    <w:rsid w:val="00FD38CC"/>
    <w:rsid w:val="00FD41AC"/>
    <w:rsid w:val="00FD51A6"/>
    <w:rsid w:val="00FD54E8"/>
    <w:rsid w:val="00FD57F4"/>
    <w:rsid w:val="00FD5E8B"/>
    <w:rsid w:val="00FD5F9A"/>
    <w:rsid w:val="00FD6989"/>
    <w:rsid w:val="00FD6F63"/>
    <w:rsid w:val="00FD7F69"/>
    <w:rsid w:val="00FE03C2"/>
    <w:rsid w:val="00FE03D5"/>
    <w:rsid w:val="00FE1100"/>
    <w:rsid w:val="00FE210E"/>
    <w:rsid w:val="00FE4AC9"/>
    <w:rsid w:val="00FE54D9"/>
    <w:rsid w:val="00FE7FFE"/>
    <w:rsid w:val="00FF18C5"/>
    <w:rsid w:val="00FF2632"/>
    <w:rsid w:val="00FF3EAA"/>
    <w:rsid w:val="00FF4A1B"/>
    <w:rsid w:val="00FF50BC"/>
    <w:rsid w:val="037C064E"/>
    <w:rsid w:val="064999F9"/>
    <w:rsid w:val="0FE69219"/>
    <w:rsid w:val="10C490D4"/>
    <w:rsid w:val="164AF192"/>
    <w:rsid w:val="1947EC92"/>
    <w:rsid w:val="1AA62E5A"/>
    <w:rsid w:val="2190BFED"/>
    <w:rsid w:val="2372B9AC"/>
    <w:rsid w:val="2B8199AF"/>
    <w:rsid w:val="2D4E35F1"/>
    <w:rsid w:val="2F509412"/>
    <w:rsid w:val="31005C1E"/>
    <w:rsid w:val="3C9D0E5D"/>
    <w:rsid w:val="4EE23EE5"/>
    <w:rsid w:val="55F6A327"/>
    <w:rsid w:val="5606B185"/>
    <w:rsid w:val="598A724F"/>
    <w:rsid w:val="606C6D2B"/>
    <w:rsid w:val="64EB64C8"/>
    <w:rsid w:val="6B215953"/>
    <w:rsid w:val="6FC3A725"/>
    <w:rsid w:val="76F5EEB2"/>
    <w:rsid w:val="78F5B3D5"/>
    <w:rsid w:val="7A5DD3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125AD"/>
  <w15:chartTrackingRefBased/>
  <w15:docId w15:val="{6BDD392E-8CD4-4A0E-95BE-AF0D5B789F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locked="0" w:uiPriority="9" w:semiHidden="1" w:unhideWhenUsed="1"/>
    <w:lsdException w:name="heading 6" w:locked="0" w:uiPriority="9" w:semiHidden="1" w:unhideWhenUsed="1" w:qFormat="1"/>
    <w:lsdException w:name="heading 7" w:locked="0" w:uiPriority="9" w:semiHidden="1" w:unhideWhenUsed="1" w:qFormat="1"/>
    <w:lsdException w:name="heading 8" w:locked="0" w:uiPriority="9" w:semiHidden="1" w:unhideWhenUsed="1" w:qFormat="1"/>
    <w:lsdException w:name="heading 9" w:locked="0" w:uiPriority="9"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locked="0" w:uiPriority="39" w:semiHidden="1" w:unhideWhenUsed="1"/>
    <w:lsdException w:name="toc 6" w:locked="0" w:uiPriority="39" w:semiHidden="1" w:unhideWhenUsed="1"/>
    <w:lsdException w:name="toc 7" w:locked="0" w:uiPriority="39" w:semiHidden="1" w:unhideWhenUsed="1"/>
    <w:lsdException w:name="toc 8" w:locked="0" w:uiPriority="39" w:semiHidden="1" w:unhideWhenUsed="1"/>
    <w:lsdException w:name="toc 9" w:locked="0" w:uiPriority="39" w:semiHidden="1" w:unhideWhenUsed="1"/>
    <w:lsdException w:name="Normal Indent" w:locked="0" w:semiHidden="1" w:unhideWhenUsed="1"/>
    <w:lsdException w:name="footnote text" w:locked="0" w:uiPriority="0" w:semiHidden="1" w:unhideWhenUsed="1"/>
    <w:lsdException w:name="annotation text" w:locked="0" w:uiPriority="0" w:semiHidden="1" w:unhideWhenUsed="1"/>
    <w:lsdException w:name="header" w:locked="0" w:semiHidden="1" w:unhideWhenUsed="1"/>
    <w:lsdException w:name="footer" w:locked="0" w:semiHidden="1" w:unhideWhenUsed="1"/>
    <w:lsdException w:name="index heading" w:locked="0" w:semiHidden="1" w:unhideWhenUsed="1"/>
    <w:lsdException w:name="caption" w:locked="0" w:uiPriority="0" w:semiHidden="1"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uiPriority="0" w:semiHidden="1" w:unhideWhenUsed="1" w:qFormat="1"/>
    <w:lsdException w:name="annotation reference" w:locked="0" w:uiPriority="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locked="0"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qFormat/>
    <w:rsid w:val="00CA21DD"/>
    <w:pPr>
      <w:spacing w:after="240" w:line="320" w:lineRule="atLeast"/>
    </w:pPr>
    <w:rPr>
      <w:rFonts w:ascii="Arial" w:hAnsi="Arial"/>
      <w:sz w:val="24"/>
    </w:rPr>
  </w:style>
  <w:style w:type="paragraph" w:styleId="Heading1">
    <w:name w:val="heading 1"/>
    <w:basedOn w:val="Normal"/>
    <w:next w:val="Normal"/>
    <w:link w:val="Heading1Char"/>
    <w:uiPriority w:val="9"/>
    <w:qFormat/>
    <w:rsid w:val="00582C8C"/>
    <w:pPr>
      <w:keepNext/>
      <w:keepLines/>
      <w:spacing w:after="480"/>
      <w:outlineLvl w:val="0"/>
    </w:pPr>
    <w:rPr>
      <w:rFonts w:eastAsiaTheme="majorEastAsia" w:cstheme="majorBidi"/>
      <w:color w:val="041E42"/>
      <w:sz w:val="52"/>
      <w:szCs w:val="32"/>
    </w:rPr>
  </w:style>
  <w:style w:type="paragraph" w:styleId="Heading2">
    <w:name w:val="heading 2"/>
    <w:basedOn w:val="Normal"/>
    <w:next w:val="Normal"/>
    <w:link w:val="Heading2Char"/>
    <w:uiPriority w:val="9"/>
    <w:unhideWhenUsed/>
    <w:qFormat/>
    <w:rsid w:val="00F105DF"/>
    <w:pPr>
      <w:keepNext/>
      <w:keepLines/>
      <w:spacing w:before="480" w:after="320"/>
      <w:outlineLvl w:val="1"/>
    </w:pPr>
    <w:rPr>
      <w:rFonts w:eastAsiaTheme="majorEastAsia" w:cstheme="majorBidi"/>
      <w:color w:val="041E42"/>
      <w:sz w:val="36"/>
      <w:szCs w:val="26"/>
    </w:rPr>
  </w:style>
  <w:style w:type="paragraph" w:styleId="Heading3">
    <w:name w:val="heading 3"/>
    <w:basedOn w:val="Normal"/>
    <w:next w:val="Normal"/>
    <w:link w:val="Heading3Char"/>
    <w:uiPriority w:val="9"/>
    <w:unhideWhenUsed/>
    <w:qFormat/>
    <w:rsid w:val="00F105DF"/>
    <w:pPr>
      <w:keepNext/>
      <w:keepLines/>
      <w:outlineLvl w:val="2"/>
    </w:pPr>
    <w:rPr>
      <w:rFonts w:eastAsiaTheme="majorEastAsia" w:cstheme="majorBidi"/>
      <w:color w:val="041E42"/>
      <w:sz w:val="28"/>
      <w:szCs w:val="24"/>
    </w:rPr>
  </w:style>
  <w:style w:type="paragraph" w:styleId="Heading4">
    <w:name w:val="heading 4"/>
    <w:basedOn w:val="Normal"/>
    <w:next w:val="Normal"/>
    <w:link w:val="Heading4Char"/>
    <w:uiPriority w:val="9"/>
    <w:unhideWhenUsed/>
    <w:qFormat/>
    <w:rsid w:val="00582C8C"/>
    <w:pPr>
      <w:keepNext/>
      <w:keepLines/>
      <w:spacing w:after="120"/>
      <w:outlineLvl w:val="3"/>
    </w:pPr>
    <w:rPr>
      <w:rFonts w:eastAsiaTheme="majorEastAsia" w:cstheme="majorBidi"/>
      <w:b/>
      <w:iCs/>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SNZTitle" w:customStyle="1">
    <w:name w:val="DESNZ Title"/>
    <w:basedOn w:val="Normal"/>
    <w:next w:val="DESNZSub-title"/>
    <w:rsid w:val="00FB0673"/>
    <w:rPr>
      <w:color w:val="041E42"/>
      <w:sz w:val="76"/>
    </w:rPr>
  </w:style>
  <w:style w:type="paragraph" w:styleId="DESNZSub-title" w:customStyle="1">
    <w:name w:val="DESNZ Sub-title"/>
    <w:basedOn w:val="Normal"/>
    <w:next w:val="DESNZDate"/>
    <w:rsid w:val="00E9676C"/>
    <w:pPr>
      <w:spacing w:after="480"/>
    </w:pPr>
    <w:rPr>
      <w:color w:val="868686"/>
      <w:sz w:val="48"/>
    </w:rPr>
  </w:style>
  <w:style w:type="paragraph" w:styleId="Header">
    <w:name w:val="header"/>
    <w:basedOn w:val="Normal"/>
    <w:link w:val="HeaderChar"/>
    <w:uiPriority w:val="99"/>
    <w:unhideWhenUsed/>
    <w:rsid w:val="00490BD3"/>
    <w:pPr>
      <w:tabs>
        <w:tab w:val="center" w:pos="4513"/>
        <w:tab w:val="right" w:pos="9026"/>
      </w:tabs>
      <w:spacing w:after="0"/>
    </w:pPr>
  </w:style>
  <w:style w:type="character" w:styleId="HeaderChar" w:customStyle="1">
    <w:name w:val="Header Char"/>
    <w:basedOn w:val="DefaultParagraphFont"/>
    <w:link w:val="Header"/>
    <w:uiPriority w:val="99"/>
    <w:rsid w:val="00490BD3"/>
  </w:style>
  <w:style w:type="paragraph" w:styleId="Footer">
    <w:name w:val="footer"/>
    <w:basedOn w:val="Normal"/>
    <w:link w:val="FooterChar"/>
    <w:uiPriority w:val="99"/>
    <w:unhideWhenUsed/>
    <w:rsid w:val="00490BD3"/>
    <w:pPr>
      <w:tabs>
        <w:tab w:val="center" w:pos="4513"/>
        <w:tab w:val="right" w:pos="9026"/>
      </w:tabs>
      <w:spacing w:after="0"/>
    </w:pPr>
  </w:style>
  <w:style w:type="character" w:styleId="FooterChar" w:customStyle="1">
    <w:name w:val="Footer Char"/>
    <w:basedOn w:val="DefaultParagraphFont"/>
    <w:link w:val="Footer"/>
    <w:uiPriority w:val="99"/>
    <w:rsid w:val="00490BD3"/>
  </w:style>
  <w:style w:type="paragraph" w:styleId="DESNZDate" w:customStyle="1">
    <w:name w:val="DESNZ Date"/>
    <w:basedOn w:val="Normal"/>
    <w:rsid w:val="00FC1A03"/>
    <w:pPr>
      <w:spacing w:after="0"/>
    </w:pPr>
    <w:rPr>
      <w:color w:val="868686"/>
      <w:sz w:val="28"/>
    </w:rPr>
  </w:style>
  <w:style w:type="paragraph" w:styleId="Copyrightstatement" w:customStyle="1">
    <w:name w:val="Copyright statement"/>
    <w:basedOn w:val="Normal"/>
    <w:rsid w:val="009B7940"/>
    <w:pPr>
      <w:spacing w:after="200" w:line="240" w:lineRule="auto"/>
    </w:pPr>
    <w:rPr>
      <w:sz w:val="20"/>
    </w:rPr>
  </w:style>
  <w:style w:type="character" w:styleId="Hyperlink">
    <w:name w:val="Hyperlink"/>
    <w:basedOn w:val="DefaultParagraphFont"/>
    <w:uiPriority w:val="99"/>
    <w:unhideWhenUsed/>
    <w:rsid w:val="008C2C59"/>
    <w:rPr>
      <w:color w:val="0000FF"/>
      <w:u w:val="single"/>
    </w:rPr>
  </w:style>
  <w:style w:type="character" w:styleId="UnresolvedMention">
    <w:name w:val="Unresolved Mention"/>
    <w:basedOn w:val="DefaultParagraphFont"/>
    <w:uiPriority w:val="99"/>
    <w:semiHidden/>
    <w:unhideWhenUsed/>
    <w:rsid w:val="009C56D8"/>
    <w:rPr>
      <w:color w:val="808080"/>
      <w:shd w:val="clear" w:color="auto" w:fill="E6E6E6"/>
    </w:rPr>
  </w:style>
  <w:style w:type="character" w:styleId="Heading1Char" w:customStyle="1">
    <w:name w:val="Heading 1 Char"/>
    <w:basedOn w:val="DefaultParagraphFont"/>
    <w:link w:val="Heading1"/>
    <w:uiPriority w:val="9"/>
    <w:rsid w:val="00582C8C"/>
    <w:rPr>
      <w:rFonts w:ascii="Arial" w:hAnsi="Arial" w:eastAsiaTheme="majorEastAsia" w:cstheme="majorBidi"/>
      <w:color w:val="041E42"/>
      <w:sz w:val="52"/>
      <w:szCs w:val="32"/>
    </w:rPr>
  </w:style>
  <w:style w:type="paragraph" w:styleId="Contents" w:customStyle="1">
    <w:name w:val="Contents"/>
    <w:basedOn w:val="Heading1"/>
    <w:next w:val="Normal"/>
    <w:rsid w:val="004C1B6A"/>
  </w:style>
  <w:style w:type="character" w:styleId="Heading2Char" w:customStyle="1">
    <w:name w:val="Heading 2 Char"/>
    <w:basedOn w:val="DefaultParagraphFont"/>
    <w:link w:val="Heading2"/>
    <w:uiPriority w:val="9"/>
    <w:rsid w:val="00F105DF"/>
    <w:rPr>
      <w:rFonts w:ascii="Arial" w:hAnsi="Arial" w:eastAsiaTheme="majorEastAsia" w:cstheme="majorBidi"/>
      <w:color w:val="041E42"/>
      <w:sz w:val="36"/>
      <w:szCs w:val="26"/>
    </w:rPr>
  </w:style>
  <w:style w:type="character" w:styleId="Heading3Char" w:customStyle="1">
    <w:name w:val="Heading 3 Char"/>
    <w:basedOn w:val="DefaultParagraphFont"/>
    <w:link w:val="Heading3"/>
    <w:uiPriority w:val="9"/>
    <w:rsid w:val="00F105DF"/>
    <w:rPr>
      <w:rFonts w:ascii="Arial" w:hAnsi="Arial" w:eastAsiaTheme="majorEastAsia" w:cstheme="majorBidi"/>
      <w:color w:val="041E42"/>
      <w:sz w:val="28"/>
      <w:szCs w:val="24"/>
    </w:rPr>
  </w:style>
  <w:style w:type="character" w:styleId="Heading4Char" w:customStyle="1">
    <w:name w:val="Heading 4 Char"/>
    <w:basedOn w:val="DefaultParagraphFont"/>
    <w:link w:val="Heading4"/>
    <w:uiPriority w:val="9"/>
    <w:rsid w:val="00582C8C"/>
    <w:rPr>
      <w:rFonts w:ascii="Arial" w:hAnsi="Arial" w:eastAsiaTheme="majorEastAsia" w:cstheme="majorBidi"/>
      <w:b/>
      <w:iCs/>
      <w:sz w:val="26"/>
    </w:rPr>
  </w:style>
  <w:style w:type="character" w:styleId="Boldtext" w:customStyle="1">
    <w:name w:val="Bold text"/>
    <w:basedOn w:val="DefaultParagraphFont"/>
    <w:uiPriority w:val="1"/>
    <w:qFormat/>
    <w:rsid w:val="00582C8C"/>
    <w:rPr>
      <w:b/>
      <w:color w:val="auto"/>
    </w:rPr>
  </w:style>
  <w:style w:type="paragraph" w:styleId="NoSpacing">
    <w:name w:val="No Spacing"/>
    <w:uiPriority w:val="1"/>
    <w:locked/>
    <w:rsid w:val="000E2D24"/>
    <w:pPr>
      <w:spacing w:after="0" w:line="240" w:lineRule="auto"/>
    </w:pPr>
    <w:rPr>
      <w:rFonts w:ascii="Arial" w:hAnsi="Arial"/>
      <w:sz w:val="24"/>
    </w:rPr>
  </w:style>
  <w:style w:type="paragraph" w:styleId="Introparagraph" w:customStyle="1">
    <w:name w:val="Intro paragraph"/>
    <w:basedOn w:val="Normal"/>
    <w:next w:val="Normal"/>
    <w:uiPriority w:val="2"/>
    <w:qFormat/>
    <w:rsid w:val="000E2D24"/>
    <w:pPr>
      <w:spacing w:line="280" w:lineRule="atLeast"/>
    </w:pPr>
    <w:rPr>
      <w:i/>
      <w:color w:val="041E42"/>
      <w:sz w:val="26"/>
    </w:rPr>
  </w:style>
  <w:style w:type="paragraph" w:styleId="FootnoteText">
    <w:name w:val="footnote text"/>
    <w:basedOn w:val="Normal"/>
    <w:link w:val="FootnoteTextChar"/>
    <w:unhideWhenUsed/>
    <w:rsid w:val="009B7940"/>
    <w:pPr>
      <w:spacing w:after="0" w:line="240" w:lineRule="auto"/>
    </w:pPr>
    <w:rPr>
      <w:sz w:val="20"/>
      <w:szCs w:val="20"/>
    </w:rPr>
  </w:style>
  <w:style w:type="character" w:styleId="FootnoteTextChar" w:customStyle="1">
    <w:name w:val="Footnote Text Char"/>
    <w:basedOn w:val="DefaultParagraphFont"/>
    <w:link w:val="FootnoteText"/>
    <w:uiPriority w:val="99"/>
    <w:rsid w:val="009B7940"/>
    <w:rPr>
      <w:rFonts w:ascii="Arial" w:hAnsi="Arial"/>
      <w:sz w:val="20"/>
      <w:szCs w:val="20"/>
    </w:rPr>
  </w:style>
  <w:style w:type="character" w:styleId="FootnoteReference">
    <w:name w:val="footnote reference"/>
    <w:aliases w:val="Footnote symbol,Footnote Refernece,footnote ref,FR,Fußnotenzeichen diss neu,Times 10 Point,Exposant 3 Point,Footnote,Voetnootverwijzing,FR + (Complex) Arial,(Latin) 9 pt,(Complex) 10 pt + (Compl..., Exposant 3 Point,BVI fnr,fr,number"/>
    <w:basedOn w:val="DefaultParagraphFont"/>
    <w:unhideWhenUsed/>
    <w:qFormat/>
    <w:rsid w:val="00B00598"/>
    <w:rPr>
      <w:vertAlign w:val="superscript"/>
    </w:rPr>
  </w:style>
  <w:style w:type="paragraph" w:styleId="Numberedlist" w:customStyle="1">
    <w:name w:val="Numbered list"/>
    <w:basedOn w:val="Normal"/>
    <w:rsid w:val="00D23ED7"/>
    <w:pPr>
      <w:numPr>
        <w:numId w:val="1"/>
      </w:numPr>
      <w:spacing w:after="200"/>
      <w:ind w:left="850" w:hanging="425"/>
    </w:pPr>
  </w:style>
  <w:style w:type="paragraph" w:styleId="Tintbox" w:customStyle="1">
    <w:name w:val="Tint box"/>
    <w:basedOn w:val="Normal"/>
    <w:rsid w:val="00323213"/>
    <w:pPr>
      <w:pBdr>
        <w:top w:val="single" w:color="DFE2EB" w:sz="48" w:space="1"/>
        <w:left w:val="single" w:color="DFE2EB" w:sz="48" w:space="4"/>
        <w:bottom w:val="single" w:color="DFE2EB" w:sz="48" w:space="1"/>
        <w:right w:val="single" w:color="DFE2EB" w:sz="48" w:space="4"/>
      </w:pBdr>
      <w:shd w:val="clear" w:color="auto" w:fill="DFE2EB"/>
      <w:ind w:left="284" w:right="284"/>
    </w:pPr>
  </w:style>
  <w:style w:type="paragraph" w:styleId="TOCHeading">
    <w:name w:val="TOC Heading"/>
    <w:basedOn w:val="Heading1"/>
    <w:next w:val="Normal"/>
    <w:uiPriority w:val="39"/>
    <w:unhideWhenUsed/>
    <w:locked/>
    <w:rsid w:val="00E45851"/>
    <w:pPr>
      <w:spacing w:before="240" w:after="0" w:line="259" w:lineRule="auto"/>
      <w:outlineLvl w:val="9"/>
    </w:pPr>
    <w:rPr>
      <w:rFonts w:asciiTheme="majorHAnsi" w:hAnsiTheme="majorHAnsi"/>
      <w:color w:val="2F5496" w:themeColor="accent1" w:themeShade="BF"/>
      <w:sz w:val="32"/>
      <w:lang w:val="en-US"/>
    </w:rPr>
  </w:style>
  <w:style w:type="paragraph" w:styleId="Notes" w:customStyle="1">
    <w:name w:val="Notes"/>
    <w:basedOn w:val="Normal"/>
    <w:next w:val="Normal"/>
    <w:rsid w:val="002C3101"/>
    <w:pPr>
      <w:spacing w:line="240" w:lineRule="auto"/>
    </w:pPr>
    <w:rPr>
      <w:sz w:val="20"/>
    </w:rPr>
  </w:style>
  <w:style w:type="paragraph" w:styleId="Textbox" w:customStyle="1">
    <w:name w:val="Text box"/>
    <w:basedOn w:val="Normal"/>
    <w:rsid w:val="008C2C59"/>
    <w:pPr>
      <w:pBdr>
        <w:top w:val="single" w:color="2B7EE2" w:sz="4" w:space="6"/>
        <w:left w:val="single" w:color="2B7EE2" w:sz="4" w:space="8"/>
        <w:bottom w:val="single" w:color="2B7EE2" w:sz="4" w:space="6"/>
        <w:right w:val="single" w:color="2B7EE2" w:sz="4" w:space="8"/>
      </w:pBdr>
      <w:ind w:left="284" w:right="284"/>
    </w:pPr>
  </w:style>
  <w:style w:type="character" w:styleId="Italic" w:customStyle="1">
    <w:name w:val="Italic"/>
    <w:basedOn w:val="DefaultParagraphFont"/>
    <w:uiPriority w:val="1"/>
    <w:qFormat/>
    <w:rsid w:val="00BE6077"/>
    <w:rPr>
      <w:i/>
    </w:rPr>
  </w:style>
  <w:style w:type="paragraph" w:styleId="NumberedparagraphSimple" w:customStyle="1">
    <w:name w:val="Numbered paragraph (Simple)"/>
    <w:basedOn w:val="Normal"/>
    <w:link w:val="NumberedparagraphSimpleChar"/>
    <w:autoRedefine/>
    <w:uiPriority w:val="99"/>
    <w:rsid w:val="00BC00CF"/>
    <w:pPr>
      <w:numPr>
        <w:numId w:val="3"/>
      </w:numPr>
      <w:tabs>
        <w:tab w:val="left" w:pos="709"/>
      </w:tabs>
      <w:ind w:left="709" w:hanging="709"/>
    </w:pPr>
    <w:rPr>
      <w:rFonts w:eastAsia="Times New Roman" w:cs="Times New Roman"/>
      <w:szCs w:val="24"/>
    </w:rPr>
  </w:style>
  <w:style w:type="numbering" w:styleId="Numberlist" w:customStyle="1">
    <w:name w:val="Number list"/>
    <w:rsid w:val="004949DB"/>
    <w:pPr>
      <w:numPr>
        <w:numId w:val="2"/>
      </w:numPr>
    </w:pPr>
  </w:style>
  <w:style w:type="character" w:styleId="NumberedparagraphSimpleChar" w:customStyle="1">
    <w:name w:val="Numbered paragraph (Simple) Char"/>
    <w:basedOn w:val="DefaultParagraphFont"/>
    <w:link w:val="NumberedparagraphSimple"/>
    <w:uiPriority w:val="99"/>
    <w:rsid w:val="00BC00CF"/>
    <w:rPr>
      <w:rFonts w:ascii="Arial" w:hAnsi="Arial" w:eastAsia="Times New Roman" w:cs="Times New Roman"/>
      <w:sz w:val="24"/>
      <w:szCs w:val="24"/>
    </w:rPr>
  </w:style>
  <w:style w:type="paragraph" w:styleId="Quote">
    <w:name w:val="Quote"/>
    <w:basedOn w:val="Normal"/>
    <w:next w:val="Normal"/>
    <w:link w:val="QuoteChar"/>
    <w:uiPriority w:val="29"/>
    <w:rsid w:val="00676833"/>
    <w:pPr>
      <w:ind w:left="709" w:right="709"/>
    </w:pPr>
    <w:rPr>
      <w:i/>
      <w:iCs/>
    </w:rPr>
  </w:style>
  <w:style w:type="character" w:styleId="QuoteChar" w:customStyle="1">
    <w:name w:val="Quote Char"/>
    <w:basedOn w:val="DefaultParagraphFont"/>
    <w:link w:val="Quote"/>
    <w:uiPriority w:val="29"/>
    <w:rsid w:val="00676833"/>
    <w:rPr>
      <w:rFonts w:ascii="Arial" w:hAnsi="Arial"/>
      <w:i/>
      <w:iCs/>
      <w:sz w:val="24"/>
    </w:rPr>
  </w:style>
  <w:style w:type="paragraph" w:styleId="DESNZbulletedlist" w:customStyle="1">
    <w:name w:val="DESNZ bulleted list"/>
    <w:basedOn w:val="Normal"/>
    <w:uiPriority w:val="2"/>
    <w:qFormat/>
    <w:rsid w:val="009B7940"/>
    <w:pPr>
      <w:numPr>
        <w:numId w:val="4"/>
      </w:numPr>
      <w:spacing w:after="120"/>
    </w:pPr>
  </w:style>
  <w:style w:type="paragraph" w:styleId="Caption">
    <w:name w:val="caption"/>
    <w:basedOn w:val="Normal"/>
    <w:next w:val="Normal"/>
    <w:rsid w:val="008A4611"/>
    <w:pPr>
      <w:spacing w:after="120"/>
    </w:pPr>
    <w:rPr>
      <w:rFonts w:eastAsia="Times New Roman" w:cs="Times New Roman"/>
      <w:b/>
      <w:sz w:val="23"/>
      <w:szCs w:val="24"/>
    </w:rPr>
  </w:style>
  <w:style w:type="table" w:styleId="Table-Darkblue" w:customStyle="1">
    <w:name w:val="Table - Dark blue"/>
    <w:basedOn w:val="TableNormal"/>
    <w:uiPriority w:val="99"/>
    <w:rsid w:val="00BB3475"/>
    <w:pPr>
      <w:spacing w:after="0" w:line="240" w:lineRule="auto"/>
    </w:pPr>
    <w:rPr>
      <w:rFonts w:ascii="Arial" w:hAnsi="Arial" w:eastAsia="Times New Roman" w:cs="Times New Roman"/>
      <w:lang w:eastAsia="en-GB"/>
    </w:rPr>
    <w:tblPr>
      <w:tblBorders>
        <w:top w:val="single" w:color="041E42" w:sz="4" w:space="0"/>
        <w:left w:val="single" w:color="041E42" w:sz="4" w:space="0"/>
        <w:bottom w:val="single" w:color="041E42" w:sz="4" w:space="0"/>
        <w:right w:val="single" w:color="041E42" w:sz="4" w:space="0"/>
        <w:insideH w:val="single" w:color="041E42" w:sz="4" w:space="0"/>
        <w:insideV w:val="single" w:color="041E42" w:sz="4" w:space="0"/>
      </w:tblBorders>
      <w:tblCellMar>
        <w:top w:w="85" w:type="dxa"/>
        <w:bottom w:w="85" w:type="dxa"/>
      </w:tblCellMar>
    </w:tblPr>
    <w:tcPr>
      <w:shd w:val="clear" w:color="auto" w:fill="auto"/>
    </w:tcPr>
    <w:tblStylePr w:type="firstRow">
      <w:pPr>
        <w:wordWrap/>
        <w:spacing w:before="0" w:beforeLines="0" w:beforeAutospacing="0" w:after="0" w:afterLines="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Table-Yellow" w:customStyle="1">
    <w:name w:val="Table - Yellow"/>
    <w:basedOn w:val="TableNormal"/>
    <w:uiPriority w:val="99"/>
    <w:rsid w:val="008A4611"/>
    <w:pPr>
      <w:spacing w:after="0" w:line="240" w:lineRule="auto"/>
    </w:pPr>
    <w:rPr>
      <w:rFonts w:ascii="Arial" w:hAnsi="Arial" w:eastAsia="Times New Roman" w:cs="Times New Roman"/>
      <w:lang w:eastAsia="en-GB"/>
    </w:rPr>
    <w:tblPr>
      <w:tblBorders>
        <w:top w:val="single" w:color="FF9F1A" w:sz="2" w:space="0"/>
        <w:left w:val="single" w:color="FF9F1A" w:sz="2" w:space="0"/>
        <w:bottom w:val="single" w:color="FF9F1A" w:sz="2" w:space="0"/>
        <w:right w:val="single" w:color="FF9F1A" w:sz="2" w:space="0"/>
        <w:insideH w:val="single" w:color="FF9F1A" w:sz="2" w:space="0"/>
        <w:insideV w:val="single" w:color="FF9F1A" w:sz="2" w:space="0"/>
      </w:tblBorders>
      <w:tblCellMar>
        <w:top w:w="85" w:type="dxa"/>
        <w:bottom w:w="85" w:type="dxa"/>
      </w:tblCellMar>
    </w:tblPr>
    <w:tcPr>
      <w:shd w:val="clear" w:color="auto" w:fill="auto"/>
    </w:tcPr>
    <w:tblStylePr w:type="firstRow">
      <w:tblPr/>
      <w:tcPr>
        <w:shd w:val="clear" w:color="auto" w:fill="FF9F1A"/>
      </w:tcPr>
    </w:tblStylePr>
  </w:style>
  <w:style w:type="table" w:styleId="Table-Green" w:customStyle="1">
    <w:name w:val="Table - Green"/>
    <w:basedOn w:val="TableNormal"/>
    <w:uiPriority w:val="99"/>
    <w:rsid w:val="008A4611"/>
    <w:pPr>
      <w:spacing w:after="0" w:line="240" w:lineRule="auto"/>
    </w:pPr>
    <w:rPr>
      <w:rFonts w:ascii="Arial" w:hAnsi="Arial" w:eastAsia="Times New Roman" w:cs="Times New Roman"/>
      <w:sz w:val="20"/>
      <w:szCs w:val="20"/>
      <w:lang w:eastAsia="en-GB"/>
    </w:rPr>
    <w:tblPr>
      <w:tblBorders>
        <w:top w:val="single" w:color="8EBB37" w:sz="2" w:space="0"/>
        <w:left w:val="single" w:color="8EBB37" w:sz="2" w:space="0"/>
        <w:bottom w:val="single" w:color="8EBB37" w:sz="2" w:space="0"/>
        <w:right w:val="single" w:color="8EBB37" w:sz="2" w:space="0"/>
        <w:insideH w:val="single" w:color="8EBB37" w:sz="2" w:space="0"/>
        <w:insideV w:val="single" w:color="8EBB37" w:sz="2" w:space="0"/>
      </w:tblBorders>
      <w:tblCellMar>
        <w:top w:w="85" w:type="dxa"/>
        <w:bottom w:w="85" w:type="dxa"/>
      </w:tblCellMar>
    </w:tblPr>
    <w:tcPr>
      <w:shd w:val="clear" w:color="auto" w:fill="auto"/>
    </w:tcPr>
    <w:tblStylePr w:type="firstRow">
      <w:tblPr/>
      <w:tcPr>
        <w:shd w:val="clear" w:color="auto" w:fill="8EBB37"/>
      </w:tcPr>
    </w:tblStylePr>
  </w:style>
  <w:style w:type="table" w:styleId="Table-Lightblue" w:customStyle="1">
    <w:name w:val="Table - Light blue"/>
    <w:basedOn w:val="TableNormal"/>
    <w:uiPriority w:val="99"/>
    <w:rsid w:val="008A4611"/>
    <w:pPr>
      <w:spacing w:after="0" w:line="240" w:lineRule="auto"/>
    </w:pPr>
    <w:rPr>
      <w:rFonts w:ascii="Arial" w:hAnsi="Arial" w:eastAsia="Times New Roman" w:cs="Times New Roman"/>
      <w:lang w:eastAsia="en-GB"/>
    </w:rPr>
    <w:tblPr>
      <w:tblBorders>
        <w:top w:val="single" w:color="2B7EE2" w:sz="4" w:space="0"/>
        <w:left w:val="single" w:color="2B7EE2" w:sz="4" w:space="0"/>
        <w:bottom w:val="single" w:color="2B7EE2" w:sz="4" w:space="0"/>
        <w:right w:val="single" w:color="2B7EE2" w:sz="4" w:space="0"/>
        <w:insideH w:val="single" w:color="2B7EE2" w:sz="4" w:space="0"/>
        <w:insideV w:val="single" w:color="2B7EE2" w:sz="4" w:space="0"/>
      </w:tblBorders>
      <w:tblCellMar>
        <w:top w:w="85" w:type="dxa"/>
        <w:bottom w:w="85" w:type="dxa"/>
      </w:tblCellMar>
    </w:tblPr>
    <w:tcPr>
      <w:shd w:val="clear" w:color="auto" w:fill="auto"/>
    </w:tcPr>
    <w:tblStylePr w:type="firstRow">
      <w:tblPr/>
      <w:tcPr>
        <w:shd w:val="clear" w:color="auto" w:fill="2B7EE2"/>
      </w:tcPr>
    </w:tblStylePr>
  </w:style>
  <w:style w:type="table" w:styleId="Table-Red" w:customStyle="1">
    <w:name w:val="Table - Red"/>
    <w:basedOn w:val="TableNormal"/>
    <w:uiPriority w:val="99"/>
    <w:rsid w:val="008A4611"/>
    <w:pPr>
      <w:spacing w:after="0" w:line="240" w:lineRule="auto"/>
    </w:pPr>
    <w:rPr>
      <w:rFonts w:ascii="Arial" w:hAnsi="Arial" w:eastAsia="Times New Roman" w:cs="Times New Roman"/>
      <w:lang w:eastAsia="en-GB"/>
    </w:rPr>
    <w:tblPr>
      <w:tblBorders>
        <w:top w:val="single" w:color="AC2B37" w:sz="4" w:space="0"/>
        <w:left w:val="single" w:color="AC2B37" w:sz="4" w:space="0"/>
        <w:bottom w:val="single" w:color="AC2B37" w:sz="4" w:space="0"/>
        <w:right w:val="single" w:color="AC2B37" w:sz="4" w:space="0"/>
        <w:insideH w:val="single" w:color="AC2B37" w:sz="4" w:space="0"/>
        <w:insideV w:val="single" w:color="AC2B37" w:sz="4" w:space="0"/>
      </w:tblBorders>
      <w:tblCellMar>
        <w:top w:w="85" w:type="dxa"/>
        <w:bottom w:w="85" w:type="dxa"/>
      </w:tblCellMar>
    </w:tblPr>
    <w:tcPr>
      <w:shd w:val="clear" w:color="auto" w:fill="auto"/>
    </w:tcPr>
    <w:tblStylePr w:type="firstRow">
      <w:tblPr/>
      <w:tcPr>
        <w:shd w:val="clear" w:color="auto" w:fill="AC2B37"/>
      </w:tcPr>
    </w:tblStylePr>
  </w:style>
  <w:style w:type="paragraph" w:styleId="TOC1">
    <w:name w:val="toc 1"/>
    <w:basedOn w:val="Normal"/>
    <w:next w:val="Normal"/>
    <w:autoRedefine/>
    <w:uiPriority w:val="39"/>
    <w:unhideWhenUsed/>
    <w:rsid w:val="00E45851"/>
    <w:pPr>
      <w:tabs>
        <w:tab w:val="right" w:leader="underscore" w:pos="10082"/>
      </w:tabs>
      <w:spacing w:before="120" w:after="120"/>
    </w:pPr>
    <w:rPr>
      <w:color w:val="041E42"/>
    </w:rPr>
  </w:style>
  <w:style w:type="paragraph" w:styleId="TOC2">
    <w:name w:val="toc 2"/>
    <w:basedOn w:val="Normal"/>
    <w:next w:val="Normal"/>
    <w:autoRedefine/>
    <w:uiPriority w:val="39"/>
    <w:unhideWhenUsed/>
    <w:rsid w:val="00E45851"/>
    <w:pPr>
      <w:tabs>
        <w:tab w:val="right" w:leader="underscore" w:pos="10082"/>
      </w:tabs>
      <w:spacing w:before="120" w:after="120"/>
      <w:ind w:left="238"/>
    </w:pPr>
    <w:rPr>
      <w:color w:val="041E42"/>
    </w:rPr>
  </w:style>
  <w:style w:type="paragraph" w:styleId="TOC3">
    <w:name w:val="toc 3"/>
    <w:basedOn w:val="Normal"/>
    <w:next w:val="Normal"/>
    <w:autoRedefine/>
    <w:uiPriority w:val="39"/>
    <w:unhideWhenUsed/>
    <w:rsid w:val="00E45851"/>
    <w:pPr>
      <w:spacing w:after="120"/>
      <w:ind w:left="482"/>
    </w:pPr>
    <w:rPr>
      <w:color w:val="041E42"/>
    </w:rPr>
  </w:style>
  <w:style w:type="table" w:styleId="TableGrid">
    <w:name w:val="Table Grid"/>
    <w:aliases w:val="TabelEcorys,CV table"/>
    <w:basedOn w:val="TableNormal"/>
    <w:uiPriority w:val="39"/>
    <w:rsid w:val="00AC53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NormalWhite" w:customStyle="1">
    <w:name w:val="Table heading - Normal (White)"/>
    <w:basedOn w:val="Normal"/>
    <w:next w:val="Normal"/>
    <w:rsid w:val="00483BA0"/>
    <w:pPr>
      <w:spacing w:before="60" w:after="60"/>
      <w:ind w:left="113" w:right="113"/>
    </w:pPr>
    <w:rPr>
      <w:rFonts w:eastAsia="Times New Roman" w:cs="Times New Roman"/>
      <w:b/>
      <w:color w:val="FFFFFF" w:themeColor="background1"/>
      <w:sz w:val="22"/>
      <w:lang w:eastAsia="en-GB"/>
    </w:rPr>
  </w:style>
  <w:style w:type="paragraph" w:styleId="Tableheading-SmallWhite" w:customStyle="1">
    <w:name w:val="Table heading - Small (White)"/>
    <w:basedOn w:val="Tableheading-NormalWhite"/>
    <w:rsid w:val="00483BA0"/>
    <w:rPr>
      <w:color w:val="FFFFFF"/>
      <w:sz w:val="20"/>
    </w:rPr>
  </w:style>
  <w:style w:type="paragraph" w:styleId="Tableheading-NormalBlack" w:customStyle="1">
    <w:name w:val="Table heading - Normal (Black)"/>
    <w:basedOn w:val="Tableheading-NormalWhite"/>
    <w:next w:val="Normal"/>
    <w:rsid w:val="00483BA0"/>
    <w:rPr>
      <w:color w:val="000000" w:themeColor="text1"/>
      <w:szCs w:val="20"/>
    </w:rPr>
  </w:style>
  <w:style w:type="paragraph" w:styleId="Tableheading-SmallBlack" w:customStyle="1">
    <w:name w:val="Table heading - Small (Black)"/>
    <w:basedOn w:val="Tableheading-NormalBlack"/>
    <w:next w:val="Normal"/>
    <w:rsid w:val="00483BA0"/>
    <w:rPr>
      <w:sz w:val="20"/>
    </w:rPr>
  </w:style>
  <w:style w:type="paragraph" w:styleId="Tabletext-Normal" w:customStyle="1">
    <w:name w:val="Table text - Normal"/>
    <w:basedOn w:val="Normal"/>
    <w:rsid w:val="00730608"/>
    <w:pPr>
      <w:spacing w:after="60"/>
      <w:ind w:left="113" w:right="113"/>
    </w:pPr>
    <w:rPr>
      <w:rFonts w:eastAsia="Times New Roman" w:cs="Times New Roman"/>
      <w:sz w:val="22"/>
      <w:lang w:eastAsia="en-GB"/>
    </w:rPr>
  </w:style>
  <w:style w:type="paragraph" w:styleId="Tabletext-Small" w:customStyle="1">
    <w:name w:val="Table text - Small"/>
    <w:basedOn w:val="Tabletext-Normal"/>
    <w:rsid w:val="00730608"/>
    <w:rPr>
      <w:sz w:val="20"/>
    </w:rPr>
  </w:style>
  <w:style w:type="paragraph" w:styleId="Tabletext-NormalBold" w:customStyle="1">
    <w:name w:val="Table text - Normal (Bold)"/>
    <w:basedOn w:val="Tabletext-Normal"/>
    <w:next w:val="Tabletext-Normal"/>
    <w:rsid w:val="00730608"/>
    <w:rPr>
      <w:b/>
    </w:rPr>
  </w:style>
  <w:style w:type="paragraph" w:styleId="Tabletext-SmallBold" w:customStyle="1">
    <w:name w:val="Table text - Small (Bold)"/>
    <w:basedOn w:val="Tabletext-Small"/>
    <w:next w:val="Tabletext-Small"/>
    <w:rsid w:val="00730608"/>
    <w:rPr>
      <w:b/>
    </w:rPr>
  </w:style>
  <w:style w:type="table" w:styleId="Table-bluegrid1" w:customStyle="1">
    <w:name w:val="Table - blue grid1"/>
    <w:basedOn w:val="TableNormal"/>
    <w:uiPriority w:val="99"/>
    <w:locked/>
    <w:rsid w:val="007D7412"/>
    <w:pPr>
      <w:spacing w:after="0" w:line="240" w:lineRule="auto"/>
    </w:pPr>
    <w:rPr>
      <w:rFonts w:ascii="Arial" w:hAnsi="Arial" w:eastAsia="Times New Roman" w:cs="Times New Roman"/>
      <w:lang w:eastAsia="en-GB"/>
    </w:rPr>
    <w:tblPr>
      <w:tblBorders>
        <w:top w:val="single" w:color="041E42" w:sz="4" w:space="0"/>
        <w:left w:val="single" w:color="041E42" w:sz="4" w:space="0"/>
        <w:bottom w:val="single" w:color="041E42" w:sz="4" w:space="0"/>
        <w:right w:val="single" w:color="041E42" w:sz="4" w:space="0"/>
        <w:insideH w:val="single" w:color="041E42" w:sz="4" w:space="0"/>
        <w:insideV w:val="single" w:color="041E42" w:sz="4" w:space="0"/>
      </w:tblBorders>
      <w:tblCellMar>
        <w:top w:w="85" w:type="dxa"/>
        <w:bottom w:w="85" w:type="dxa"/>
      </w:tblCellMar>
    </w:tblPr>
    <w:tcPr>
      <w:shd w:val="clear" w:color="auto" w:fill="auto"/>
    </w:tcPr>
    <w:tblStylePr w:type="firstRow">
      <w:pPr>
        <w:wordWrap/>
        <w:spacing w:before="0" w:beforeLines="0" w:beforeAutospacing="0" w:after="0" w:afterLines="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PlainTable4">
    <w:name w:val="Plain Table 4"/>
    <w:basedOn w:val="TableNormal"/>
    <w:uiPriority w:val="44"/>
    <w:locked/>
    <w:rsid w:val="005F29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F29FE"/>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B079B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B079B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DarkblueBackground" w:customStyle="1">
    <w:name w:val="Table - Dark blue (Background)"/>
    <w:basedOn w:val="Table-Darkblue"/>
    <w:uiPriority w:val="99"/>
    <w:rsid w:val="00B90EA8"/>
    <w:tblPr>
      <w:tblBorders>
        <w:top w:val="none" w:color="auto" w:sz="0" w:space="0"/>
        <w:left w:val="none" w:color="auto" w:sz="0" w:space="0"/>
        <w:bottom w:val="none" w:color="auto" w:sz="0" w:space="0"/>
        <w:right w:val="none" w:color="auto" w:sz="0" w:space="0"/>
        <w:insideH w:val="none" w:color="auto" w:sz="0" w:space="0"/>
        <w:insideV w:val="none" w:color="auto" w:sz="0" w:space="0"/>
      </w:tblBorders>
    </w:tblPr>
    <w:tcPr>
      <w:shd w:val="clear" w:color="auto" w:fill="DFE2EB"/>
    </w:tcPr>
    <w:tblStylePr w:type="firstRow">
      <w:pPr>
        <w:wordWrap/>
        <w:spacing w:before="0" w:beforeLines="0" w:beforeAutospacing="0" w:after="0" w:afterLines="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Table-DarkblueBanded" w:customStyle="1">
    <w:name w:val="Table - Dark blue (Banded)"/>
    <w:basedOn w:val="Table-DarkblueBackground"/>
    <w:uiPriority w:val="99"/>
    <w:rsid w:val="00972D3A"/>
    <w:tblPr>
      <w:tblStyleRowBandSize w:val="1"/>
    </w:tblPr>
    <w:tblStylePr w:type="firstRow">
      <w:pPr>
        <w:wordWrap/>
        <w:spacing w:before="0" w:beforeLines="0" w:beforeAutospacing="0" w:after="0" w:afterLines="0" w:afterAutospacing="0" w:line="240" w:lineRule="auto"/>
        <w:jc w:val="left"/>
      </w:pPr>
      <w:rPr>
        <w:rFonts w:ascii="Arial" w:hAnsi="Arial"/>
        <w:b/>
        <w:color w:val="FFFFFF" w:themeColor="background1"/>
        <w:sz w:val="22"/>
      </w:rPr>
      <w:tblPr/>
      <w:tcPr>
        <w:shd w:val="clear" w:color="auto" w:fill="041E42"/>
        <w:vAlign w:val="center"/>
      </w:tcPr>
    </w:tblStylePr>
    <w:tblStylePr w:type="band1Horz">
      <w:tblPr/>
      <w:tcPr>
        <w:shd w:val="clear" w:color="auto" w:fill="FFFFFF" w:themeFill="background1"/>
      </w:tcPr>
    </w:tblStylePr>
    <w:tblStylePr w:type="band2Horz">
      <w:tblPr/>
      <w:tcPr>
        <w:shd w:val="clear" w:color="auto" w:fill="DFE2EB"/>
      </w:tcPr>
    </w:tblStylePr>
  </w:style>
  <w:style w:type="table" w:styleId="Table-YellowBackground" w:customStyle="1">
    <w:name w:val="Table - Yellow (Background)"/>
    <w:basedOn w:val="Table-Yellow"/>
    <w:uiPriority w:val="99"/>
    <w:rsid w:val="00972D3A"/>
    <w:tblPr>
      <w:tblBorders>
        <w:top w:val="none" w:color="auto" w:sz="0" w:space="0"/>
        <w:left w:val="none" w:color="auto" w:sz="0" w:space="0"/>
        <w:bottom w:val="none" w:color="auto" w:sz="0" w:space="0"/>
        <w:right w:val="none" w:color="auto" w:sz="0" w:space="0"/>
        <w:insideH w:val="none" w:color="auto" w:sz="0" w:space="0"/>
        <w:insideV w:val="none" w:color="auto" w:sz="0" w:space="0"/>
      </w:tblBorders>
    </w:tblPr>
    <w:tcPr>
      <w:shd w:val="clear" w:color="auto" w:fill="FFF7ED"/>
    </w:tcPr>
    <w:tblStylePr w:type="firstRow">
      <w:tblPr/>
      <w:tcPr>
        <w:shd w:val="clear" w:color="auto" w:fill="FF9F1A"/>
      </w:tcPr>
    </w:tblStylePr>
  </w:style>
  <w:style w:type="table" w:styleId="Table-YellowBanded" w:customStyle="1">
    <w:name w:val="Table - Yellow (Banded)"/>
    <w:basedOn w:val="Table-YellowBackground"/>
    <w:uiPriority w:val="99"/>
    <w:rsid w:val="00AC5316"/>
    <w:tblPr>
      <w:tblStyleRowBandSize w:val="1"/>
    </w:tblPr>
    <w:tblStylePr w:type="firstRow">
      <w:tblPr/>
      <w:tcPr>
        <w:shd w:val="clear" w:color="auto" w:fill="FF9F1A"/>
      </w:tcPr>
    </w:tblStylePr>
    <w:tblStylePr w:type="band1Horz">
      <w:tblPr/>
      <w:tcPr>
        <w:shd w:val="clear" w:color="auto" w:fill="FFFFFF" w:themeFill="background1"/>
      </w:tcPr>
    </w:tblStylePr>
  </w:style>
  <w:style w:type="table" w:styleId="Table-GreenBackground" w:customStyle="1">
    <w:name w:val="Table - Green (Background)"/>
    <w:basedOn w:val="Table-Green"/>
    <w:uiPriority w:val="99"/>
    <w:rsid w:val="00AC5316"/>
    <w:tblPr>
      <w:tblBorders>
        <w:top w:val="none" w:color="auto" w:sz="0" w:space="0"/>
        <w:left w:val="none" w:color="auto" w:sz="0" w:space="0"/>
        <w:bottom w:val="none" w:color="auto" w:sz="0" w:space="0"/>
        <w:right w:val="none" w:color="auto" w:sz="0" w:space="0"/>
        <w:insideH w:val="none" w:color="auto" w:sz="0" w:space="0"/>
        <w:insideV w:val="none" w:color="auto" w:sz="0" w:space="0"/>
      </w:tblBorders>
    </w:tblPr>
    <w:tcPr>
      <w:shd w:val="clear" w:color="auto" w:fill="F3F7ED"/>
    </w:tcPr>
    <w:tblStylePr w:type="firstRow">
      <w:tblPr/>
      <w:tcPr>
        <w:shd w:val="clear" w:color="auto" w:fill="8EBB37"/>
      </w:tcPr>
    </w:tblStylePr>
  </w:style>
  <w:style w:type="table" w:styleId="Table-GreenBanded" w:customStyle="1">
    <w:name w:val="Table - Green (Banded)"/>
    <w:basedOn w:val="Table-GreenBackground"/>
    <w:uiPriority w:val="99"/>
    <w:rsid w:val="00AC5316"/>
    <w:tblPr>
      <w:tblStyleRowBandSize w:val="1"/>
    </w:tblPr>
    <w:tblStylePr w:type="firstRow">
      <w:tblPr/>
      <w:tcPr>
        <w:shd w:val="clear" w:color="auto" w:fill="8EBB37"/>
      </w:tcPr>
    </w:tblStylePr>
    <w:tblStylePr w:type="band1Horz">
      <w:tblPr/>
      <w:tcPr>
        <w:shd w:val="clear" w:color="auto" w:fill="FFFFFF" w:themeFill="background1"/>
      </w:tcPr>
    </w:tblStylePr>
  </w:style>
  <w:style w:type="table" w:styleId="Table-RedBackground" w:customStyle="1">
    <w:name w:val="Table - Red (Background)"/>
    <w:basedOn w:val="Table-Red"/>
    <w:uiPriority w:val="99"/>
    <w:rsid w:val="00AC5316"/>
    <w:tblPr>
      <w:tblBorders>
        <w:top w:val="none" w:color="auto" w:sz="0" w:space="0"/>
        <w:left w:val="none" w:color="auto" w:sz="0" w:space="0"/>
        <w:bottom w:val="none" w:color="auto" w:sz="0" w:space="0"/>
        <w:right w:val="none" w:color="auto" w:sz="0" w:space="0"/>
        <w:insideH w:val="none" w:color="auto" w:sz="0" w:space="0"/>
        <w:insideV w:val="none" w:color="auto" w:sz="0" w:space="0"/>
      </w:tblBorders>
    </w:tblPr>
    <w:tcPr>
      <w:shd w:val="clear" w:color="auto" w:fill="FCEDE6"/>
    </w:tcPr>
    <w:tblStylePr w:type="firstRow">
      <w:tblPr/>
      <w:tcPr>
        <w:shd w:val="clear" w:color="auto" w:fill="AC2B37"/>
      </w:tcPr>
    </w:tblStylePr>
  </w:style>
  <w:style w:type="table" w:styleId="Table-RedBanded" w:customStyle="1">
    <w:name w:val="Table - Red (Banded)"/>
    <w:basedOn w:val="Table-RedBackground"/>
    <w:uiPriority w:val="99"/>
    <w:rsid w:val="00AC5316"/>
    <w:tblPr>
      <w:tblStyleRowBandSize w:val="1"/>
    </w:tblPr>
    <w:tblStylePr w:type="firstRow">
      <w:tblPr/>
      <w:tcPr>
        <w:shd w:val="clear" w:color="auto" w:fill="AC2B37"/>
      </w:tcPr>
    </w:tblStylePr>
    <w:tblStylePr w:type="band1Horz">
      <w:tblPr/>
      <w:tcPr>
        <w:shd w:val="clear" w:color="auto" w:fill="FFFFFF" w:themeFill="background1"/>
      </w:tcPr>
    </w:tblStylePr>
  </w:style>
  <w:style w:type="table" w:styleId="Table-LightblueBackground" w:customStyle="1">
    <w:name w:val="Table - Light blue (Background)"/>
    <w:basedOn w:val="Table-Lightblue"/>
    <w:uiPriority w:val="99"/>
    <w:rsid w:val="00AC5316"/>
    <w:tblPr>
      <w:tblBorders>
        <w:top w:val="none" w:color="auto" w:sz="0" w:space="0"/>
        <w:left w:val="none" w:color="auto" w:sz="0" w:space="0"/>
        <w:bottom w:val="none" w:color="auto" w:sz="0" w:space="0"/>
        <w:right w:val="none" w:color="auto" w:sz="0" w:space="0"/>
        <w:insideH w:val="none" w:color="auto" w:sz="0" w:space="0"/>
        <w:insideV w:val="none" w:color="auto" w:sz="0" w:space="0"/>
      </w:tblBorders>
    </w:tblPr>
    <w:tcPr>
      <w:shd w:val="clear" w:color="auto" w:fill="F0F7F7"/>
    </w:tcPr>
    <w:tblStylePr w:type="firstRow">
      <w:tblPr/>
      <w:tcPr>
        <w:shd w:val="clear" w:color="auto" w:fill="2B7EE2"/>
      </w:tcPr>
    </w:tblStylePr>
  </w:style>
  <w:style w:type="table" w:styleId="Table-LightblueBanded" w:customStyle="1">
    <w:name w:val="Table - Light blue (Banded)"/>
    <w:basedOn w:val="Table-LightblueBackground"/>
    <w:uiPriority w:val="99"/>
    <w:rsid w:val="00AC5316"/>
    <w:tblPr>
      <w:tblStyleRowBandSize w:val="1"/>
    </w:tblPr>
    <w:tblStylePr w:type="firstRow">
      <w:tblPr/>
      <w:tcPr>
        <w:shd w:val="clear" w:color="auto" w:fill="2B7EE2"/>
      </w:tcPr>
    </w:tblStylePr>
    <w:tblStylePr w:type="band1Horz">
      <w:tblPr/>
      <w:tcPr>
        <w:shd w:val="clear" w:color="auto" w:fill="FFFFFF" w:themeFill="background1"/>
      </w:tcPr>
    </w:tblStylePr>
  </w:style>
  <w:style w:type="paragraph" w:styleId="ListParagraph">
    <w:name w:val="List Paragraph"/>
    <w:aliases w:val="cS List Paragraph,Dot pt,No Spacing1,List Paragraph Char Char Char,Indicator Text,Numbered Para 1,List Paragraph1,Bullet Points,MAIN CONTENT,List Paragraph12,F5 List Paragraph,OBC Bullet,Colorful List - Accent 11,Normal numbered"/>
    <w:basedOn w:val="Normal"/>
    <w:uiPriority w:val="34"/>
    <w:qFormat/>
    <w:rsid w:val="00BC00CF"/>
    <w:pPr>
      <w:spacing w:after="160" w:line="259" w:lineRule="auto"/>
      <w:ind w:left="720"/>
      <w:contextualSpacing/>
    </w:pPr>
    <w:rPr>
      <w:rFonts w:asciiTheme="minorHAnsi" w:hAnsiTheme="minorHAnsi"/>
      <w:sz w:val="22"/>
    </w:rPr>
  </w:style>
  <w:style w:type="paragraph" w:styleId="Heading1Legal-Level1" w:customStyle="1">
    <w:name w:val="Heading 1 (Legal) - Level 1"/>
    <w:basedOn w:val="Heading1"/>
    <w:next w:val="NumberedparagraphLegal-Level2"/>
    <w:rsid w:val="002F28E4"/>
    <w:pPr>
      <w:pageBreakBefore/>
      <w:numPr>
        <w:numId w:val="5"/>
      </w:numPr>
      <w:ind w:left="851" w:hanging="851"/>
    </w:pPr>
  </w:style>
  <w:style w:type="paragraph" w:styleId="NumberedparagraphLegal-Level2" w:customStyle="1">
    <w:name w:val="Numbered paragraph (Legal) - Level 2"/>
    <w:basedOn w:val="Normal"/>
    <w:rsid w:val="002F28E4"/>
    <w:pPr>
      <w:numPr>
        <w:ilvl w:val="1"/>
        <w:numId w:val="5"/>
      </w:numPr>
      <w:ind w:left="851" w:hanging="851"/>
    </w:pPr>
  </w:style>
  <w:style w:type="paragraph" w:styleId="NumberedparagraphLegal-Level3" w:customStyle="1">
    <w:name w:val="Numbered paragraph (Legal) - Level 3"/>
    <w:basedOn w:val="Normal"/>
    <w:rsid w:val="002F28E4"/>
    <w:pPr>
      <w:numPr>
        <w:ilvl w:val="2"/>
        <w:numId w:val="5"/>
      </w:numPr>
      <w:ind w:left="851" w:hanging="851"/>
    </w:pPr>
  </w:style>
  <w:style w:type="numbering" w:styleId="Legalnumbering" w:customStyle="1">
    <w:name w:val="Legal numbering"/>
    <w:uiPriority w:val="99"/>
    <w:rsid w:val="002F28E4"/>
    <w:pPr>
      <w:numPr>
        <w:numId w:val="6"/>
      </w:numPr>
    </w:pPr>
  </w:style>
  <w:style w:type="character" w:styleId="FollowedHyperlink">
    <w:name w:val="FollowedHyperlink"/>
    <w:basedOn w:val="DefaultParagraphFont"/>
    <w:uiPriority w:val="99"/>
    <w:semiHidden/>
    <w:unhideWhenUsed/>
    <w:rsid w:val="00806A69"/>
    <w:rPr>
      <w:color w:val="954F72" w:themeColor="followedHyperlink"/>
      <w:u w:val="single"/>
    </w:rPr>
  </w:style>
  <w:style w:type="paragraph" w:styleId="DESNZResearchNo" w:customStyle="1">
    <w:name w:val="DESNZ Research No."/>
    <w:basedOn w:val="DESNZDate"/>
    <w:next w:val="Normal"/>
    <w:rsid w:val="00FC1A03"/>
  </w:style>
  <w:style w:type="character" w:styleId="CommentReference">
    <w:name w:val="Comment Reference"/>
    <w:basedOn w:val="DefaultParagraphFont"/>
    <w:semiHidden/>
    <w:unhideWhenUsed/>
    <w:rsid w:val="008C1C8D"/>
    <w:rPr>
      <w:sz w:val="16"/>
      <w:szCs w:val="16"/>
    </w:rPr>
  </w:style>
  <w:style w:type="paragraph" w:styleId="CommentText">
    <w:name w:val="Comment Text"/>
    <w:basedOn w:val="Normal"/>
    <w:link w:val="CommentTextChar"/>
    <w:unhideWhenUsed/>
    <w:rsid w:val="008C1C8D"/>
    <w:pPr>
      <w:spacing w:after="160" w:line="240" w:lineRule="auto"/>
    </w:pPr>
    <w:rPr>
      <w:rFonts w:asciiTheme="minorHAnsi" w:hAnsiTheme="minorHAnsi"/>
      <w:kern w:val="2"/>
      <w:sz w:val="20"/>
      <w:szCs w:val="20"/>
      <w14:ligatures w14:val="standardContextual"/>
    </w:rPr>
  </w:style>
  <w:style w:type="character" w:styleId="CommentTextChar" w:customStyle="1">
    <w:name w:val="Comment Text Char"/>
    <w:basedOn w:val="DefaultParagraphFont"/>
    <w:link w:val="CommentText"/>
    <w:uiPriority w:val="99"/>
    <w:rsid w:val="008C1C8D"/>
    <w:rPr>
      <w:kern w:val="2"/>
      <w:sz w:val="20"/>
      <w:szCs w:val="20"/>
      <w14:ligatures w14:val="standardContextual"/>
    </w:rPr>
  </w:style>
  <w:style w:type="paragraph" w:styleId="CommentSubject">
    <w:name w:val="Comment Subject"/>
    <w:basedOn w:val="CommentText"/>
    <w:next w:val="CommentText"/>
    <w:link w:val="CommentSubjectChar"/>
    <w:uiPriority w:val="99"/>
    <w:semiHidden/>
    <w:unhideWhenUsed/>
    <w:rsid w:val="008C1C8D"/>
    <w:pPr>
      <w:spacing w:after="240"/>
    </w:pPr>
    <w:rPr>
      <w:rFonts w:ascii="Arial" w:hAnsi="Arial"/>
      <w:b/>
      <w:bCs/>
      <w:kern w:val="0"/>
      <w14:ligatures w14:val="none"/>
    </w:rPr>
  </w:style>
  <w:style w:type="character" w:styleId="CommentSubjectChar" w:customStyle="1">
    <w:name w:val="Comment Subject Char"/>
    <w:basedOn w:val="CommentTextChar"/>
    <w:link w:val="CommentSubject"/>
    <w:uiPriority w:val="99"/>
    <w:semiHidden/>
    <w:rsid w:val="008C1C8D"/>
    <w:rPr>
      <w:rFonts w:ascii="Arial" w:hAnsi="Arial"/>
      <w:b/>
      <w:bCs/>
      <w:kern w:val="2"/>
      <w:sz w:val="20"/>
      <w:szCs w:val="20"/>
      <w14:ligatures w14:val="standardContextual"/>
    </w:rPr>
  </w:style>
  <w:style w:type="paragraph" w:styleId="Revision">
    <w:name w:val="Revision"/>
    <w:hidden/>
    <w:uiPriority w:val="99"/>
    <w:semiHidden/>
    <w:rsid w:val="00FE03D5"/>
    <w:pPr>
      <w:spacing w:after="0" w:line="240" w:lineRule="auto"/>
    </w:pPr>
    <w:rPr>
      <w:rFonts w:ascii="Arial" w:hAnsi="Arial"/>
      <w:sz w:val="24"/>
    </w:rPr>
  </w:style>
  <w:style w:type="character" w:styleId="Mention">
    <w:name w:val="Mention"/>
    <w:basedOn w:val="DefaultParagraphFont"/>
    <w:uiPriority w:val="99"/>
    <w:unhideWhenUsed/>
    <w:rsid w:val="00772A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0313">
      <w:bodyDiv w:val="1"/>
      <w:marLeft w:val="0"/>
      <w:marRight w:val="0"/>
      <w:marTop w:val="0"/>
      <w:marBottom w:val="0"/>
      <w:divBdr>
        <w:top w:val="none" w:sz="0" w:space="0" w:color="auto"/>
        <w:left w:val="none" w:sz="0" w:space="0" w:color="auto"/>
        <w:bottom w:val="none" w:sz="0" w:space="0" w:color="auto"/>
        <w:right w:val="none" w:sz="0" w:space="0" w:color="auto"/>
      </w:divBdr>
    </w:div>
    <w:div w:id="30541455">
      <w:bodyDiv w:val="1"/>
      <w:marLeft w:val="0"/>
      <w:marRight w:val="0"/>
      <w:marTop w:val="0"/>
      <w:marBottom w:val="0"/>
      <w:divBdr>
        <w:top w:val="none" w:sz="0" w:space="0" w:color="auto"/>
        <w:left w:val="none" w:sz="0" w:space="0" w:color="auto"/>
        <w:bottom w:val="none" w:sz="0" w:space="0" w:color="auto"/>
        <w:right w:val="none" w:sz="0" w:space="0" w:color="auto"/>
      </w:divBdr>
    </w:div>
    <w:div w:id="34889649">
      <w:bodyDiv w:val="1"/>
      <w:marLeft w:val="0"/>
      <w:marRight w:val="0"/>
      <w:marTop w:val="0"/>
      <w:marBottom w:val="0"/>
      <w:divBdr>
        <w:top w:val="none" w:sz="0" w:space="0" w:color="auto"/>
        <w:left w:val="none" w:sz="0" w:space="0" w:color="auto"/>
        <w:bottom w:val="none" w:sz="0" w:space="0" w:color="auto"/>
        <w:right w:val="none" w:sz="0" w:space="0" w:color="auto"/>
      </w:divBdr>
    </w:div>
    <w:div w:id="59864969">
      <w:bodyDiv w:val="1"/>
      <w:marLeft w:val="0"/>
      <w:marRight w:val="0"/>
      <w:marTop w:val="0"/>
      <w:marBottom w:val="0"/>
      <w:divBdr>
        <w:top w:val="none" w:sz="0" w:space="0" w:color="auto"/>
        <w:left w:val="none" w:sz="0" w:space="0" w:color="auto"/>
        <w:bottom w:val="none" w:sz="0" w:space="0" w:color="auto"/>
        <w:right w:val="none" w:sz="0" w:space="0" w:color="auto"/>
      </w:divBdr>
    </w:div>
    <w:div w:id="72246421">
      <w:bodyDiv w:val="1"/>
      <w:marLeft w:val="0"/>
      <w:marRight w:val="0"/>
      <w:marTop w:val="0"/>
      <w:marBottom w:val="0"/>
      <w:divBdr>
        <w:top w:val="none" w:sz="0" w:space="0" w:color="auto"/>
        <w:left w:val="none" w:sz="0" w:space="0" w:color="auto"/>
        <w:bottom w:val="none" w:sz="0" w:space="0" w:color="auto"/>
        <w:right w:val="none" w:sz="0" w:space="0" w:color="auto"/>
      </w:divBdr>
    </w:div>
    <w:div w:id="91047261">
      <w:bodyDiv w:val="1"/>
      <w:marLeft w:val="0"/>
      <w:marRight w:val="0"/>
      <w:marTop w:val="0"/>
      <w:marBottom w:val="0"/>
      <w:divBdr>
        <w:top w:val="none" w:sz="0" w:space="0" w:color="auto"/>
        <w:left w:val="none" w:sz="0" w:space="0" w:color="auto"/>
        <w:bottom w:val="none" w:sz="0" w:space="0" w:color="auto"/>
        <w:right w:val="none" w:sz="0" w:space="0" w:color="auto"/>
      </w:divBdr>
    </w:div>
    <w:div w:id="122427077">
      <w:bodyDiv w:val="1"/>
      <w:marLeft w:val="0"/>
      <w:marRight w:val="0"/>
      <w:marTop w:val="0"/>
      <w:marBottom w:val="0"/>
      <w:divBdr>
        <w:top w:val="none" w:sz="0" w:space="0" w:color="auto"/>
        <w:left w:val="none" w:sz="0" w:space="0" w:color="auto"/>
        <w:bottom w:val="none" w:sz="0" w:space="0" w:color="auto"/>
        <w:right w:val="none" w:sz="0" w:space="0" w:color="auto"/>
      </w:divBdr>
    </w:div>
    <w:div w:id="136648161">
      <w:bodyDiv w:val="1"/>
      <w:marLeft w:val="0"/>
      <w:marRight w:val="0"/>
      <w:marTop w:val="0"/>
      <w:marBottom w:val="0"/>
      <w:divBdr>
        <w:top w:val="none" w:sz="0" w:space="0" w:color="auto"/>
        <w:left w:val="none" w:sz="0" w:space="0" w:color="auto"/>
        <w:bottom w:val="none" w:sz="0" w:space="0" w:color="auto"/>
        <w:right w:val="none" w:sz="0" w:space="0" w:color="auto"/>
      </w:divBdr>
    </w:div>
    <w:div w:id="168494864">
      <w:bodyDiv w:val="1"/>
      <w:marLeft w:val="0"/>
      <w:marRight w:val="0"/>
      <w:marTop w:val="0"/>
      <w:marBottom w:val="0"/>
      <w:divBdr>
        <w:top w:val="none" w:sz="0" w:space="0" w:color="auto"/>
        <w:left w:val="none" w:sz="0" w:space="0" w:color="auto"/>
        <w:bottom w:val="none" w:sz="0" w:space="0" w:color="auto"/>
        <w:right w:val="none" w:sz="0" w:space="0" w:color="auto"/>
      </w:divBdr>
    </w:div>
    <w:div w:id="303244661">
      <w:bodyDiv w:val="1"/>
      <w:marLeft w:val="0"/>
      <w:marRight w:val="0"/>
      <w:marTop w:val="0"/>
      <w:marBottom w:val="0"/>
      <w:divBdr>
        <w:top w:val="none" w:sz="0" w:space="0" w:color="auto"/>
        <w:left w:val="none" w:sz="0" w:space="0" w:color="auto"/>
        <w:bottom w:val="none" w:sz="0" w:space="0" w:color="auto"/>
        <w:right w:val="none" w:sz="0" w:space="0" w:color="auto"/>
      </w:divBdr>
    </w:div>
    <w:div w:id="307051308">
      <w:bodyDiv w:val="1"/>
      <w:marLeft w:val="0"/>
      <w:marRight w:val="0"/>
      <w:marTop w:val="0"/>
      <w:marBottom w:val="0"/>
      <w:divBdr>
        <w:top w:val="none" w:sz="0" w:space="0" w:color="auto"/>
        <w:left w:val="none" w:sz="0" w:space="0" w:color="auto"/>
        <w:bottom w:val="none" w:sz="0" w:space="0" w:color="auto"/>
        <w:right w:val="none" w:sz="0" w:space="0" w:color="auto"/>
      </w:divBdr>
    </w:div>
    <w:div w:id="315233515">
      <w:bodyDiv w:val="1"/>
      <w:marLeft w:val="0"/>
      <w:marRight w:val="0"/>
      <w:marTop w:val="0"/>
      <w:marBottom w:val="0"/>
      <w:divBdr>
        <w:top w:val="none" w:sz="0" w:space="0" w:color="auto"/>
        <w:left w:val="none" w:sz="0" w:space="0" w:color="auto"/>
        <w:bottom w:val="none" w:sz="0" w:space="0" w:color="auto"/>
        <w:right w:val="none" w:sz="0" w:space="0" w:color="auto"/>
      </w:divBdr>
    </w:div>
    <w:div w:id="336544145">
      <w:bodyDiv w:val="1"/>
      <w:marLeft w:val="0"/>
      <w:marRight w:val="0"/>
      <w:marTop w:val="0"/>
      <w:marBottom w:val="0"/>
      <w:divBdr>
        <w:top w:val="none" w:sz="0" w:space="0" w:color="auto"/>
        <w:left w:val="none" w:sz="0" w:space="0" w:color="auto"/>
        <w:bottom w:val="none" w:sz="0" w:space="0" w:color="auto"/>
        <w:right w:val="none" w:sz="0" w:space="0" w:color="auto"/>
      </w:divBdr>
    </w:div>
    <w:div w:id="340813001">
      <w:bodyDiv w:val="1"/>
      <w:marLeft w:val="0"/>
      <w:marRight w:val="0"/>
      <w:marTop w:val="0"/>
      <w:marBottom w:val="0"/>
      <w:divBdr>
        <w:top w:val="none" w:sz="0" w:space="0" w:color="auto"/>
        <w:left w:val="none" w:sz="0" w:space="0" w:color="auto"/>
        <w:bottom w:val="none" w:sz="0" w:space="0" w:color="auto"/>
        <w:right w:val="none" w:sz="0" w:space="0" w:color="auto"/>
      </w:divBdr>
    </w:div>
    <w:div w:id="409928070">
      <w:bodyDiv w:val="1"/>
      <w:marLeft w:val="0"/>
      <w:marRight w:val="0"/>
      <w:marTop w:val="0"/>
      <w:marBottom w:val="0"/>
      <w:divBdr>
        <w:top w:val="none" w:sz="0" w:space="0" w:color="auto"/>
        <w:left w:val="none" w:sz="0" w:space="0" w:color="auto"/>
        <w:bottom w:val="none" w:sz="0" w:space="0" w:color="auto"/>
        <w:right w:val="none" w:sz="0" w:space="0" w:color="auto"/>
      </w:divBdr>
    </w:div>
    <w:div w:id="447551921">
      <w:bodyDiv w:val="1"/>
      <w:marLeft w:val="0"/>
      <w:marRight w:val="0"/>
      <w:marTop w:val="0"/>
      <w:marBottom w:val="0"/>
      <w:divBdr>
        <w:top w:val="none" w:sz="0" w:space="0" w:color="auto"/>
        <w:left w:val="none" w:sz="0" w:space="0" w:color="auto"/>
        <w:bottom w:val="none" w:sz="0" w:space="0" w:color="auto"/>
        <w:right w:val="none" w:sz="0" w:space="0" w:color="auto"/>
      </w:divBdr>
    </w:div>
    <w:div w:id="452165570">
      <w:bodyDiv w:val="1"/>
      <w:marLeft w:val="0"/>
      <w:marRight w:val="0"/>
      <w:marTop w:val="0"/>
      <w:marBottom w:val="0"/>
      <w:divBdr>
        <w:top w:val="none" w:sz="0" w:space="0" w:color="auto"/>
        <w:left w:val="none" w:sz="0" w:space="0" w:color="auto"/>
        <w:bottom w:val="none" w:sz="0" w:space="0" w:color="auto"/>
        <w:right w:val="none" w:sz="0" w:space="0" w:color="auto"/>
      </w:divBdr>
    </w:div>
    <w:div w:id="493447515">
      <w:bodyDiv w:val="1"/>
      <w:marLeft w:val="0"/>
      <w:marRight w:val="0"/>
      <w:marTop w:val="0"/>
      <w:marBottom w:val="0"/>
      <w:divBdr>
        <w:top w:val="none" w:sz="0" w:space="0" w:color="auto"/>
        <w:left w:val="none" w:sz="0" w:space="0" w:color="auto"/>
        <w:bottom w:val="none" w:sz="0" w:space="0" w:color="auto"/>
        <w:right w:val="none" w:sz="0" w:space="0" w:color="auto"/>
      </w:divBdr>
    </w:div>
    <w:div w:id="503202713">
      <w:bodyDiv w:val="1"/>
      <w:marLeft w:val="0"/>
      <w:marRight w:val="0"/>
      <w:marTop w:val="0"/>
      <w:marBottom w:val="0"/>
      <w:divBdr>
        <w:top w:val="none" w:sz="0" w:space="0" w:color="auto"/>
        <w:left w:val="none" w:sz="0" w:space="0" w:color="auto"/>
        <w:bottom w:val="none" w:sz="0" w:space="0" w:color="auto"/>
        <w:right w:val="none" w:sz="0" w:space="0" w:color="auto"/>
      </w:divBdr>
    </w:div>
    <w:div w:id="525218521">
      <w:bodyDiv w:val="1"/>
      <w:marLeft w:val="0"/>
      <w:marRight w:val="0"/>
      <w:marTop w:val="0"/>
      <w:marBottom w:val="0"/>
      <w:divBdr>
        <w:top w:val="none" w:sz="0" w:space="0" w:color="auto"/>
        <w:left w:val="none" w:sz="0" w:space="0" w:color="auto"/>
        <w:bottom w:val="none" w:sz="0" w:space="0" w:color="auto"/>
        <w:right w:val="none" w:sz="0" w:space="0" w:color="auto"/>
      </w:divBdr>
    </w:div>
    <w:div w:id="583491026">
      <w:bodyDiv w:val="1"/>
      <w:marLeft w:val="0"/>
      <w:marRight w:val="0"/>
      <w:marTop w:val="0"/>
      <w:marBottom w:val="0"/>
      <w:divBdr>
        <w:top w:val="none" w:sz="0" w:space="0" w:color="auto"/>
        <w:left w:val="none" w:sz="0" w:space="0" w:color="auto"/>
        <w:bottom w:val="none" w:sz="0" w:space="0" w:color="auto"/>
        <w:right w:val="none" w:sz="0" w:space="0" w:color="auto"/>
      </w:divBdr>
    </w:div>
    <w:div w:id="650213229">
      <w:bodyDiv w:val="1"/>
      <w:marLeft w:val="0"/>
      <w:marRight w:val="0"/>
      <w:marTop w:val="0"/>
      <w:marBottom w:val="0"/>
      <w:divBdr>
        <w:top w:val="none" w:sz="0" w:space="0" w:color="auto"/>
        <w:left w:val="none" w:sz="0" w:space="0" w:color="auto"/>
        <w:bottom w:val="none" w:sz="0" w:space="0" w:color="auto"/>
        <w:right w:val="none" w:sz="0" w:space="0" w:color="auto"/>
      </w:divBdr>
    </w:div>
    <w:div w:id="668480395">
      <w:bodyDiv w:val="1"/>
      <w:marLeft w:val="0"/>
      <w:marRight w:val="0"/>
      <w:marTop w:val="0"/>
      <w:marBottom w:val="0"/>
      <w:divBdr>
        <w:top w:val="none" w:sz="0" w:space="0" w:color="auto"/>
        <w:left w:val="none" w:sz="0" w:space="0" w:color="auto"/>
        <w:bottom w:val="none" w:sz="0" w:space="0" w:color="auto"/>
        <w:right w:val="none" w:sz="0" w:space="0" w:color="auto"/>
      </w:divBdr>
    </w:div>
    <w:div w:id="732703078">
      <w:bodyDiv w:val="1"/>
      <w:marLeft w:val="0"/>
      <w:marRight w:val="0"/>
      <w:marTop w:val="0"/>
      <w:marBottom w:val="0"/>
      <w:divBdr>
        <w:top w:val="none" w:sz="0" w:space="0" w:color="auto"/>
        <w:left w:val="none" w:sz="0" w:space="0" w:color="auto"/>
        <w:bottom w:val="none" w:sz="0" w:space="0" w:color="auto"/>
        <w:right w:val="none" w:sz="0" w:space="0" w:color="auto"/>
      </w:divBdr>
    </w:div>
    <w:div w:id="790516938">
      <w:bodyDiv w:val="1"/>
      <w:marLeft w:val="0"/>
      <w:marRight w:val="0"/>
      <w:marTop w:val="0"/>
      <w:marBottom w:val="0"/>
      <w:divBdr>
        <w:top w:val="none" w:sz="0" w:space="0" w:color="auto"/>
        <w:left w:val="none" w:sz="0" w:space="0" w:color="auto"/>
        <w:bottom w:val="none" w:sz="0" w:space="0" w:color="auto"/>
        <w:right w:val="none" w:sz="0" w:space="0" w:color="auto"/>
      </w:divBdr>
    </w:div>
    <w:div w:id="790898044">
      <w:bodyDiv w:val="1"/>
      <w:marLeft w:val="0"/>
      <w:marRight w:val="0"/>
      <w:marTop w:val="0"/>
      <w:marBottom w:val="0"/>
      <w:divBdr>
        <w:top w:val="none" w:sz="0" w:space="0" w:color="auto"/>
        <w:left w:val="none" w:sz="0" w:space="0" w:color="auto"/>
        <w:bottom w:val="none" w:sz="0" w:space="0" w:color="auto"/>
        <w:right w:val="none" w:sz="0" w:space="0" w:color="auto"/>
      </w:divBdr>
    </w:div>
    <w:div w:id="856190686">
      <w:bodyDiv w:val="1"/>
      <w:marLeft w:val="0"/>
      <w:marRight w:val="0"/>
      <w:marTop w:val="0"/>
      <w:marBottom w:val="0"/>
      <w:divBdr>
        <w:top w:val="none" w:sz="0" w:space="0" w:color="auto"/>
        <w:left w:val="none" w:sz="0" w:space="0" w:color="auto"/>
        <w:bottom w:val="none" w:sz="0" w:space="0" w:color="auto"/>
        <w:right w:val="none" w:sz="0" w:space="0" w:color="auto"/>
      </w:divBdr>
    </w:div>
    <w:div w:id="877621892">
      <w:bodyDiv w:val="1"/>
      <w:marLeft w:val="0"/>
      <w:marRight w:val="0"/>
      <w:marTop w:val="0"/>
      <w:marBottom w:val="0"/>
      <w:divBdr>
        <w:top w:val="none" w:sz="0" w:space="0" w:color="auto"/>
        <w:left w:val="none" w:sz="0" w:space="0" w:color="auto"/>
        <w:bottom w:val="none" w:sz="0" w:space="0" w:color="auto"/>
        <w:right w:val="none" w:sz="0" w:space="0" w:color="auto"/>
      </w:divBdr>
    </w:div>
    <w:div w:id="923296165">
      <w:bodyDiv w:val="1"/>
      <w:marLeft w:val="0"/>
      <w:marRight w:val="0"/>
      <w:marTop w:val="0"/>
      <w:marBottom w:val="0"/>
      <w:divBdr>
        <w:top w:val="none" w:sz="0" w:space="0" w:color="auto"/>
        <w:left w:val="none" w:sz="0" w:space="0" w:color="auto"/>
        <w:bottom w:val="none" w:sz="0" w:space="0" w:color="auto"/>
        <w:right w:val="none" w:sz="0" w:space="0" w:color="auto"/>
      </w:divBdr>
    </w:div>
    <w:div w:id="930964012">
      <w:bodyDiv w:val="1"/>
      <w:marLeft w:val="0"/>
      <w:marRight w:val="0"/>
      <w:marTop w:val="0"/>
      <w:marBottom w:val="0"/>
      <w:divBdr>
        <w:top w:val="none" w:sz="0" w:space="0" w:color="auto"/>
        <w:left w:val="none" w:sz="0" w:space="0" w:color="auto"/>
        <w:bottom w:val="none" w:sz="0" w:space="0" w:color="auto"/>
        <w:right w:val="none" w:sz="0" w:space="0" w:color="auto"/>
      </w:divBdr>
    </w:div>
    <w:div w:id="934484225">
      <w:bodyDiv w:val="1"/>
      <w:marLeft w:val="0"/>
      <w:marRight w:val="0"/>
      <w:marTop w:val="0"/>
      <w:marBottom w:val="0"/>
      <w:divBdr>
        <w:top w:val="none" w:sz="0" w:space="0" w:color="auto"/>
        <w:left w:val="none" w:sz="0" w:space="0" w:color="auto"/>
        <w:bottom w:val="none" w:sz="0" w:space="0" w:color="auto"/>
        <w:right w:val="none" w:sz="0" w:space="0" w:color="auto"/>
      </w:divBdr>
    </w:div>
    <w:div w:id="949236501">
      <w:bodyDiv w:val="1"/>
      <w:marLeft w:val="0"/>
      <w:marRight w:val="0"/>
      <w:marTop w:val="0"/>
      <w:marBottom w:val="0"/>
      <w:divBdr>
        <w:top w:val="none" w:sz="0" w:space="0" w:color="auto"/>
        <w:left w:val="none" w:sz="0" w:space="0" w:color="auto"/>
        <w:bottom w:val="none" w:sz="0" w:space="0" w:color="auto"/>
        <w:right w:val="none" w:sz="0" w:space="0" w:color="auto"/>
      </w:divBdr>
    </w:div>
    <w:div w:id="964041615">
      <w:bodyDiv w:val="1"/>
      <w:marLeft w:val="0"/>
      <w:marRight w:val="0"/>
      <w:marTop w:val="0"/>
      <w:marBottom w:val="0"/>
      <w:divBdr>
        <w:top w:val="none" w:sz="0" w:space="0" w:color="auto"/>
        <w:left w:val="none" w:sz="0" w:space="0" w:color="auto"/>
        <w:bottom w:val="none" w:sz="0" w:space="0" w:color="auto"/>
        <w:right w:val="none" w:sz="0" w:space="0" w:color="auto"/>
      </w:divBdr>
    </w:div>
    <w:div w:id="1021201911">
      <w:bodyDiv w:val="1"/>
      <w:marLeft w:val="0"/>
      <w:marRight w:val="0"/>
      <w:marTop w:val="0"/>
      <w:marBottom w:val="0"/>
      <w:divBdr>
        <w:top w:val="none" w:sz="0" w:space="0" w:color="auto"/>
        <w:left w:val="none" w:sz="0" w:space="0" w:color="auto"/>
        <w:bottom w:val="none" w:sz="0" w:space="0" w:color="auto"/>
        <w:right w:val="none" w:sz="0" w:space="0" w:color="auto"/>
      </w:divBdr>
    </w:div>
    <w:div w:id="1044404140">
      <w:bodyDiv w:val="1"/>
      <w:marLeft w:val="0"/>
      <w:marRight w:val="0"/>
      <w:marTop w:val="0"/>
      <w:marBottom w:val="0"/>
      <w:divBdr>
        <w:top w:val="none" w:sz="0" w:space="0" w:color="auto"/>
        <w:left w:val="none" w:sz="0" w:space="0" w:color="auto"/>
        <w:bottom w:val="none" w:sz="0" w:space="0" w:color="auto"/>
        <w:right w:val="none" w:sz="0" w:space="0" w:color="auto"/>
      </w:divBdr>
    </w:div>
    <w:div w:id="1057776357">
      <w:bodyDiv w:val="1"/>
      <w:marLeft w:val="0"/>
      <w:marRight w:val="0"/>
      <w:marTop w:val="0"/>
      <w:marBottom w:val="0"/>
      <w:divBdr>
        <w:top w:val="none" w:sz="0" w:space="0" w:color="auto"/>
        <w:left w:val="none" w:sz="0" w:space="0" w:color="auto"/>
        <w:bottom w:val="none" w:sz="0" w:space="0" w:color="auto"/>
        <w:right w:val="none" w:sz="0" w:space="0" w:color="auto"/>
      </w:divBdr>
    </w:div>
    <w:div w:id="1071318962">
      <w:bodyDiv w:val="1"/>
      <w:marLeft w:val="0"/>
      <w:marRight w:val="0"/>
      <w:marTop w:val="0"/>
      <w:marBottom w:val="0"/>
      <w:divBdr>
        <w:top w:val="none" w:sz="0" w:space="0" w:color="auto"/>
        <w:left w:val="none" w:sz="0" w:space="0" w:color="auto"/>
        <w:bottom w:val="none" w:sz="0" w:space="0" w:color="auto"/>
        <w:right w:val="none" w:sz="0" w:space="0" w:color="auto"/>
      </w:divBdr>
    </w:div>
    <w:div w:id="1087455719">
      <w:bodyDiv w:val="1"/>
      <w:marLeft w:val="0"/>
      <w:marRight w:val="0"/>
      <w:marTop w:val="0"/>
      <w:marBottom w:val="0"/>
      <w:divBdr>
        <w:top w:val="none" w:sz="0" w:space="0" w:color="auto"/>
        <w:left w:val="none" w:sz="0" w:space="0" w:color="auto"/>
        <w:bottom w:val="none" w:sz="0" w:space="0" w:color="auto"/>
        <w:right w:val="none" w:sz="0" w:space="0" w:color="auto"/>
      </w:divBdr>
    </w:div>
    <w:div w:id="1105034919">
      <w:bodyDiv w:val="1"/>
      <w:marLeft w:val="0"/>
      <w:marRight w:val="0"/>
      <w:marTop w:val="0"/>
      <w:marBottom w:val="0"/>
      <w:divBdr>
        <w:top w:val="none" w:sz="0" w:space="0" w:color="auto"/>
        <w:left w:val="none" w:sz="0" w:space="0" w:color="auto"/>
        <w:bottom w:val="none" w:sz="0" w:space="0" w:color="auto"/>
        <w:right w:val="none" w:sz="0" w:space="0" w:color="auto"/>
      </w:divBdr>
    </w:div>
    <w:div w:id="1131290854">
      <w:bodyDiv w:val="1"/>
      <w:marLeft w:val="0"/>
      <w:marRight w:val="0"/>
      <w:marTop w:val="0"/>
      <w:marBottom w:val="0"/>
      <w:divBdr>
        <w:top w:val="none" w:sz="0" w:space="0" w:color="auto"/>
        <w:left w:val="none" w:sz="0" w:space="0" w:color="auto"/>
        <w:bottom w:val="none" w:sz="0" w:space="0" w:color="auto"/>
        <w:right w:val="none" w:sz="0" w:space="0" w:color="auto"/>
      </w:divBdr>
    </w:div>
    <w:div w:id="1159424072">
      <w:bodyDiv w:val="1"/>
      <w:marLeft w:val="0"/>
      <w:marRight w:val="0"/>
      <w:marTop w:val="0"/>
      <w:marBottom w:val="0"/>
      <w:divBdr>
        <w:top w:val="none" w:sz="0" w:space="0" w:color="auto"/>
        <w:left w:val="none" w:sz="0" w:space="0" w:color="auto"/>
        <w:bottom w:val="none" w:sz="0" w:space="0" w:color="auto"/>
        <w:right w:val="none" w:sz="0" w:space="0" w:color="auto"/>
      </w:divBdr>
    </w:div>
    <w:div w:id="1174108076">
      <w:bodyDiv w:val="1"/>
      <w:marLeft w:val="0"/>
      <w:marRight w:val="0"/>
      <w:marTop w:val="0"/>
      <w:marBottom w:val="0"/>
      <w:divBdr>
        <w:top w:val="none" w:sz="0" w:space="0" w:color="auto"/>
        <w:left w:val="none" w:sz="0" w:space="0" w:color="auto"/>
        <w:bottom w:val="none" w:sz="0" w:space="0" w:color="auto"/>
        <w:right w:val="none" w:sz="0" w:space="0" w:color="auto"/>
      </w:divBdr>
    </w:div>
    <w:div w:id="1225022046">
      <w:bodyDiv w:val="1"/>
      <w:marLeft w:val="0"/>
      <w:marRight w:val="0"/>
      <w:marTop w:val="0"/>
      <w:marBottom w:val="0"/>
      <w:divBdr>
        <w:top w:val="none" w:sz="0" w:space="0" w:color="auto"/>
        <w:left w:val="none" w:sz="0" w:space="0" w:color="auto"/>
        <w:bottom w:val="none" w:sz="0" w:space="0" w:color="auto"/>
        <w:right w:val="none" w:sz="0" w:space="0" w:color="auto"/>
      </w:divBdr>
    </w:div>
    <w:div w:id="1241332288">
      <w:bodyDiv w:val="1"/>
      <w:marLeft w:val="0"/>
      <w:marRight w:val="0"/>
      <w:marTop w:val="0"/>
      <w:marBottom w:val="0"/>
      <w:divBdr>
        <w:top w:val="none" w:sz="0" w:space="0" w:color="auto"/>
        <w:left w:val="none" w:sz="0" w:space="0" w:color="auto"/>
        <w:bottom w:val="none" w:sz="0" w:space="0" w:color="auto"/>
        <w:right w:val="none" w:sz="0" w:space="0" w:color="auto"/>
      </w:divBdr>
    </w:div>
    <w:div w:id="1276673374">
      <w:bodyDiv w:val="1"/>
      <w:marLeft w:val="0"/>
      <w:marRight w:val="0"/>
      <w:marTop w:val="0"/>
      <w:marBottom w:val="0"/>
      <w:divBdr>
        <w:top w:val="none" w:sz="0" w:space="0" w:color="auto"/>
        <w:left w:val="none" w:sz="0" w:space="0" w:color="auto"/>
        <w:bottom w:val="none" w:sz="0" w:space="0" w:color="auto"/>
        <w:right w:val="none" w:sz="0" w:space="0" w:color="auto"/>
      </w:divBdr>
    </w:div>
    <w:div w:id="1305425018">
      <w:bodyDiv w:val="1"/>
      <w:marLeft w:val="0"/>
      <w:marRight w:val="0"/>
      <w:marTop w:val="0"/>
      <w:marBottom w:val="0"/>
      <w:divBdr>
        <w:top w:val="none" w:sz="0" w:space="0" w:color="auto"/>
        <w:left w:val="none" w:sz="0" w:space="0" w:color="auto"/>
        <w:bottom w:val="none" w:sz="0" w:space="0" w:color="auto"/>
        <w:right w:val="none" w:sz="0" w:space="0" w:color="auto"/>
      </w:divBdr>
    </w:div>
    <w:div w:id="1361277200">
      <w:bodyDiv w:val="1"/>
      <w:marLeft w:val="0"/>
      <w:marRight w:val="0"/>
      <w:marTop w:val="0"/>
      <w:marBottom w:val="0"/>
      <w:divBdr>
        <w:top w:val="none" w:sz="0" w:space="0" w:color="auto"/>
        <w:left w:val="none" w:sz="0" w:space="0" w:color="auto"/>
        <w:bottom w:val="none" w:sz="0" w:space="0" w:color="auto"/>
        <w:right w:val="none" w:sz="0" w:space="0" w:color="auto"/>
      </w:divBdr>
    </w:div>
    <w:div w:id="1361781058">
      <w:bodyDiv w:val="1"/>
      <w:marLeft w:val="0"/>
      <w:marRight w:val="0"/>
      <w:marTop w:val="0"/>
      <w:marBottom w:val="0"/>
      <w:divBdr>
        <w:top w:val="none" w:sz="0" w:space="0" w:color="auto"/>
        <w:left w:val="none" w:sz="0" w:space="0" w:color="auto"/>
        <w:bottom w:val="none" w:sz="0" w:space="0" w:color="auto"/>
        <w:right w:val="none" w:sz="0" w:space="0" w:color="auto"/>
      </w:divBdr>
    </w:div>
    <w:div w:id="1404714456">
      <w:bodyDiv w:val="1"/>
      <w:marLeft w:val="0"/>
      <w:marRight w:val="0"/>
      <w:marTop w:val="0"/>
      <w:marBottom w:val="0"/>
      <w:divBdr>
        <w:top w:val="none" w:sz="0" w:space="0" w:color="auto"/>
        <w:left w:val="none" w:sz="0" w:space="0" w:color="auto"/>
        <w:bottom w:val="none" w:sz="0" w:space="0" w:color="auto"/>
        <w:right w:val="none" w:sz="0" w:space="0" w:color="auto"/>
      </w:divBdr>
    </w:div>
    <w:div w:id="1407920734">
      <w:bodyDiv w:val="1"/>
      <w:marLeft w:val="0"/>
      <w:marRight w:val="0"/>
      <w:marTop w:val="0"/>
      <w:marBottom w:val="0"/>
      <w:divBdr>
        <w:top w:val="none" w:sz="0" w:space="0" w:color="auto"/>
        <w:left w:val="none" w:sz="0" w:space="0" w:color="auto"/>
        <w:bottom w:val="none" w:sz="0" w:space="0" w:color="auto"/>
        <w:right w:val="none" w:sz="0" w:space="0" w:color="auto"/>
      </w:divBdr>
    </w:div>
    <w:div w:id="1433089570">
      <w:bodyDiv w:val="1"/>
      <w:marLeft w:val="0"/>
      <w:marRight w:val="0"/>
      <w:marTop w:val="0"/>
      <w:marBottom w:val="0"/>
      <w:divBdr>
        <w:top w:val="none" w:sz="0" w:space="0" w:color="auto"/>
        <w:left w:val="none" w:sz="0" w:space="0" w:color="auto"/>
        <w:bottom w:val="none" w:sz="0" w:space="0" w:color="auto"/>
        <w:right w:val="none" w:sz="0" w:space="0" w:color="auto"/>
      </w:divBdr>
    </w:div>
    <w:div w:id="1522818243">
      <w:bodyDiv w:val="1"/>
      <w:marLeft w:val="0"/>
      <w:marRight w:val="0"/>
      <w:marTop w:val="0"/>
      <w:marBottom w:val="0"/>
      <w:divBdr>
        <w:top w:val="none" w:sz="0" w:space="0" w:color="auto"/>
        <w:left w:val="none" w:sz="0" w:space="0" w:color="auto"/>
        <w:bottom w:val="none" w:sz="0" w:space="0" w:color="auto"/>
        <w:right w:val="none" w:sz="0" w:space="0" w:color="auto"/>
      </w:divBdr>
    </w:div>
    <w:div w:id="1558055393">
      <w:bodyDiv w:val="1"/>
      <w:marLeft w:val="0"/>
      <w:marRight w:val="0"/>
      <w:marTop w:val="0"/>
      <w:marBottom w:val="0"/>
      <w:divBdr>
        <w:top w:val="none" w:sz="0" w:space="0" w:color="auto"/>
        <w:left w:val="none" w:sz="0" w:space="0" w:color="auto"/>
        <w:bottom w:val="none" w:sz="0" w:space="0" w:color="auto"/>
        <w:right w:val="none" w:sz="0" w:space="0" w:color="auto"/>
      </w:divBdr>
    </w:div>
    <w:div w:id="1580602503">
      <w:bodyDiv w:val="1"/>
      <w:marLeft w:val="0"/>
      <w:marRight w:val="0"/>
      <w:marTop w:val="0"/>
      <w:marBottom w:val="0"/>
      <w:divBdr>
        <w:top w:val="none" w:sz="0" w:space="0" w:color="auto"/>
        <w:left w:val="none" w:sz="0" w:space="0" w:color="auto"/>
        <w:bottom w:val="none" w:sz="0" w:space="0" w:color="auto"/>
        <w:right w:val="none" w:sz="0" w:space="0" w:color="auto"/>
      </w:divBdr>
    </w:div>
    <w:div w:id="1600017710">
      <w:bodyDiv w:val="1"/>
      <w:marLeft w:val="0"/>
      <w:marRight w:val="0"/>
      <w:marTop w:val="0"/>
      <w:marBottom w:val="0"/>
      <w:divBdr>
        <w:top w:val="none" w:sz="0" w:space="0" w:color="auto"/>
        <w:left w:val="none" w:sz="0" w:space="0" w:color="auto"/>
        <w:bottom w:val="none" w:sz="0" w:space="0" w:color="auto"/>
        <w:right w:val="none" w:sz="0" w:space="0" w:color="auto"/>
      </w:divBdr>
    </w:div>
    <w:div w:id="1606034018">
      <w:bodyDiv w:val="1"/>
      <w:marLeft w:val="0"/>
      <w:marRight w:val="0"/>
      <w:marTop w:val="0"/>
      <w:marBottom w:val="0"/>
      <w:divBdr>
        <w:top w:val="none" w:sz="0" w:space="0" w:color="auto"/>
        <w:left w:val="none" w:sz="0" w:space="0" w:color="auto"/>
        <w:bottom w:val="none" w:sz="0" w:space="0" w:color="auto"/>
        <w:right w:val="none" w:sz="0" w:space="0" w:color="auto"/>
      </w:divBdr>
    </w:div>
    <w:div w:id="1626038713">
      <w:bodyDiv w:val="1"/>
      <w:marLeft w:val="0"/>
      <w:marRight w:val="0"/>
      <w:marTop w:val="0"/>
      <w:marBottom w:val="0"/>
      <w:divBdr>
        <w:top w:val="none" w:sz="0" w:space="0" w:color="auto"/>
        <w:left w:val="none" w:sz="0" w:space="0" w:color="auto"/>
        <w:bottom w:val="none" w:sz="0" w:space="0" w:color="auto"/>
        <w:right w:val="none" w:sz="0" w:space="0" w:color="auto"/>
      </w:divBdr>
    </w:div>
    <w:div w:id="1649897729">
      <w:bodyDiv w:val="1"/>
      <w:marLeft w:val="0"/>
      <w:marRight w:val="0"/>
      <w:marTop w:val="0"/>
      <w:marBottom w:val="0"/>
      <w:divBdr>
        <w:top w:val="none" w:sz="0" w:space="0" w:color="auto"/>
        <w:left w:val="none" w:sz="0" w:space="0" w:color="auto"/>
        <w:bottom w:val="none" w:sz="0" w:space="0" w:color="auto"/>
        <w:right w:val="none" w:sz="0" w:space="0" w:color="auto"/>
      </w:divBdr>
    </w:div>
    <w:div w:id="1678582621">
      <w:bodyDiv w:val="1"/>
      <w:marLeft w:val="0"/>
      <w:marRight w:val="0"/>
      <w:marTop w:val="0"/>
      <w:marBottom w:val="0"/>
      <w:divBdr>
        <w:top w:val="none" w:sz="0" w:space="0" w:color="auto"/>
        <w:left w:val="none" w:sz="0" w:space="0" w:color="auto"/>
        <w:bottom w:val="none" w:sz="0" w:space="0" w:color="auto"/>
        <w:right w:val="none" w:sz="0" w:space="0" w:color="auto"/>
      </w:divBdr>
    </w:div>
    <w:div w:id="1749109507">
      <w:bodyDiv w:val="1"/>
      <w:marLeft w:val="0"/>
      <w:marRight w:val="0"/>
      <w:marTop w:val="0"/>
      <w:marBottom w:val="0"/>
      <w:divBdr>
        <w:top w:val="none" w:sz="0" w:space="0" w:color="auto"/>
        <w:left w:val="none" w:sz="0" w:space="0" w:color="auto"/>
        <w:bottom w:val="none" w:sz="0" w:space="0" w:color="auto"/>
        <w:right w:val="none" w:sz="0" w:space="0" w:color="auto"/>
      </w:divBdr>
    </w:div>
    <w:div w:id="1798447307">
      <w:bodyDiv w:val="1"/>
      <w:marLeft w:val="0"/>
      <w:marRight w:val="0"/>
      <w:marTop w:val="0"/>
      <w:marBottom w:val="0"/>
      <w:divBdr>
        <w:top w:val="none" w:sz="0" w:space="0" w:color="auto"/>
        <w:left w:val="none" w:sz="0" w:space="0" w:color="auto"/>
        <w:bottom w:val="none" w:sz="0" w:space="0" w:color="auto"/>
        <w:right w:val="none" w:sz="0" w:space="0" w:color="auto"/>
      </w:divBdr>
    </w:div>
    <w:div w:id="1869833368">
      <w:bodyDiv w:val="1"/>
      <w:marLeft w:val="0"/>
      <w:marRight w:val="0"/>
      <w:marTop w:val="0"/>
      <w:marBottom w:val="0"/>
      <w:divBdr>
        <w:top w:val="none" w:sz="0" w:space="0" w:color="auto"/>
        <w:left w:val="none" w:sz="0" w:space="0" w:color="auto"/>
        <w:bottom w:val="none" w:sz="0" w:space="0" w:color="auto"/>
        <w:right w:val="none" w:sz="0" w:space="0" w:color="auto"/>
      </w:divBdr>
    </w:div>
    <w:div w:id="1929071943">
      <w:bodyDiv w:val="1"/>
      <w:marLeft w:val="0"/>
      <w:marRight w:val="0"/>
      <w:marTop w:val="0"/>
      <w:marBottom w:val="0"/>
      <w:divBdr>
        <w:top w:val="none" w:sz="0" w:space="0" w:color="auto"/>
        <w:left w:val="none" w:sz="0" w:space="0" w:color="auto"/>
        <w:bottom w:val="none" w:sz="0" w:space="0" w:color="auto"/>
        <w:right w:val="none" w:sz="0" w:space="0" w:color="auto"/>
      </w:divBdr>
    </w:div>
    <w:div w:id="1952203046">
      <w:bodyDiv w:val="1"/>
      <w:marLeft w:val="0"/>
      <w:marRight w:val="0"/>
      <w:marTop w:val="0"/>
      <w:marBottom w:val="0"/>
      <w:divBdr>
        <w:top w:val="none" w:sz="0" w:space="0" w:color="auto"/>
        <w:left w:val="none" w:sz="0" w:space="0" w:color="auto"/>
        <w:bottom w:val="none" w:sz="0" w:space="0" w:color="auto"/>
        <w:right w:val="none" w:sz="0" w:space="0" w:color="auto"/>
      </w:divBdr>
    </w:div>
    <w:div w:id="1955364755">
      <w:bodyDiv w:val="1"/>
      <w:marLeft w:val="0"/>
      <w:marRight w:val="0"/>
      <w:marTop w:val="0"/>
      <w:marBottom w:val="0"/>
      <w:divBdr>
        <w:top w:val="none" w:sz="0" w:space="0" w:color="auto"/>
        <w:left w:val="none" w:sz="0" w:space="0" w:color="auto"/>
        <w:bottom w:val="none" w:sz="0" w:space="0" w:color="auto"/>
        <w:right w:val="none" w:sz="0" w:space="0" w:color="auto"/>
      </w:divBdr>
    </w:div>
    <w:div w:id="1963732228">
      <w:bodyDiv w:val="1"/>
      <w:marLeft w:val="0"/>
      <w:marRight w:val="0"/>
      <w:marTop w:val="0"/>
      <w:marBottom w:val="0"/>
      <w:divBdr>
        <w:top w:val="none" w:sz="0" w:space="0" w:color="auto"/>
        <w:left w:val="none" w:sz="0" w:space="0" w:color="auto"/>
        <w:bottom w:val="none" w:sz="0" w:space="0" w:color="auto"/>
        <w:right w:val="none" w:sz="0" w:space="0" w:color="auto"/>
      </w:divBdr>
    </w:div>
    <w:div w:id="1994794303">
      <w:bodyDiv w:val="1"/>
      <w:marLeft w:val="0"/>
      <w:marRight w:val="0"/>
      <w:marTop w:val="0"/>
      <w:marBottom w:val="0"/>
      <w:divBdr>
        <w:top w:val="none" w:sz="0" w:space="0" w:color="auto"/>
        <w:left w:val="none" w:sz="0" w:space="0" w:color="auto"/>
        <w:bottom w:val="none" w:sz="0" w:space="0" w:color="auto"/>
        <w:right w:val="none" w:sz="0" w:space="0" w:color="auto"/>
      </w:divBdr>
    </w:div>
    <w:div w:id="2001158387">
      <w:bodyDiv w:val="1"/>
      <w:marLeft w:val="0"/>
      <w:marRight w:val="0"/>
      <w:marTop w:val="0"/>
      <w:marBottom w:val="0"/>
      <w:divBdr>
        <w:top w:val="none" w:sz="0" w:space="0" w:color="auto"/>
        <w:left w:val="none" w:sz="0" w:space="0" w:color="auto"/>
        <w:bottom w:val="none" w:sz="0" w:space="0" w:color="auto"/>
        <w:right w:val="none" w:sz="0" w:space="0" w:color="auto"/>
      </w:divBdr>
    </w:div>
    <w:div w:id="21099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ssets.publishing.service.gov.uk/government/uploads/system/uploads/attachment_data/file/879435/Magenta_Book_supplementary_guide._Realist_Evaluation.pdf" TargetMode="External" Id="rId26" /><Relationship Type="http://schemas.openxmlformats.org/officeDocument/2006/relationships/image" Target="media/image3.png" Id="rId21" /><Relationship Type="http://schemas.openxmlformats.org/officeDocument/2006/relationships/hyperlink" Target="https://assets.publishing.service.gov.uk/government/uploads/system/uploads/attachment_data/file/515296/ethics_guidance_tcm6-5782.pdf" TargetMode="External" Id="rId42" /><Relationship Type="http://schemas.openxmlformats.org/officeDocument/2006/relationships/hyperlink" Target="https://edgebuildings.com/" TargetMode="External" Id="rId47" /><Relationship Type="http://schemas.openxmlformats.org/officeDocument/2006/relationships/image" Target="media/image22.png" Id="rId63" /><Relationship Type="http://schemas.openxmlformats.org/officeDocument/2006/relationships/hyperlink" Target="https://www.gbpn.org/projects/india-ready-for-change/" TargetMode="External" Id="rId68" /><Relationship Type="http://schemas.openxmlformats.org/officeDocument/2006/relationships/hyperlink" Target="https://edgebuildings.com/wp-content/uploads/2023/06/IFC-Green-Buildings-Colombia-Stakeholder-Assessment-Report-6-28-2023.pdf" TargetMode="External" Id="rId84" /><Relationship Type="http://schemas.openxmlformats.org/officeDocument/2006/relationships/hyperlink" Target="https://edgebuildings.com/wp-content/uploads/2023/11/MAGC-Research-Market-Maturity-Snapshots-Baseline-Synthesis-Report.pdf" TargetMode="External" Id="rId89" /><Relationship Type="http://schemas.openxmlformats.org/officeDocument/2006/relationships/hyperlink" Target="mailto:psi@nationalarchives.gsi.gov.uk" TargetMode="External" Id="rId16" /><Relationship Type="http://schemas.openxmlformats.org/officeDocument/2006/relationships/endnotes" Target="endnotes.xml" Id="rId11" /><Relationship Type="http://schemas.openxmlformats.org/officeDocument/2006/relationships/hyperlink" Target="https://devtracker.fcdo.gov.uk/programme/GB-GOV-13-ICF-0007-NAMA/documents" TargetMode="External" Id="rId32" /><Relationship Type="http://schemas.openxmlformats.org/officeDocument/2006/relationships/hyperlink" Target="https://devtracker.fcdo.gov.uk/programme/GB-GOV-1-301517/documents" TargetMode="External" Id="rId37" /><Relationship Type="http://schemas.openxmlformats.org/officeDocument/2006/relationships/image" Target="media/image12.png" Id="rId53" /><Relationship Type="http://schemas.openxmlformats.org/officeDocument/2006/relationships/image" Target="media/image17.png" Id="rId58" /><Relationship Type="http://schemas.openxmlformats.org/officeDocument/2006/relationships/hyperlink" Target="https://edgebuildings.com/wp-content/uploads/2023/11/IFC0077-2023-Indonesia-Green-Building-Market-Maturity-Sheet_R3.pdf" TargetMode="External" Id="rId74" /><Relationship Type="http://schemas.openxmlformats.org/officeDocument/2006/relationships/hyperlink" Target="https://edgebuildings.com/wp-content/uploads/2023/11/IFC0077-2023-India-Green-Building-Market-Maturity-Sheet.pdf" TargetMode="External" Id="rId79" /><Relationship Type="http://schemas.openxmlformats.org/officeDocument/2006/relationships/customXml" Target="../customXml/item5.xml" Id="rId5" /><Relationship Type="http://schemas.openxmlformats.org/officeDocument/2006/relationships/hyperlink" Target="https://edgebuildings.com/wp-content/uploads/2024/03/2024-03-01-IFC-Green-Buildings-Philippines-Stakeholder-Assessment-Report-Final.pdf" TargetMode="External" Id="rId90" /><Relationship Type="http://schemas.openxmlformats.org/officeDocument/2006/relationships/footer" Target="footer4.xml" Id="rId95" /><Relationship Type="http://schemas.openxmlformats.org/officeDocument/2006/relationships/image" Target="media/image4.png" Id="rId22" /><Relationship Type="http://schemas.openxmlformats.org/officeDocument/2006/relationships/image" Target="media/image7.png" Id="rId27" /><Relationship Type="http://schemas.openxmlformats.org/officeDocument/2006/relationships/hyperlink" Target="https://esrc.ukri.org/files/funding/guidance-for-applicants/esrc-framework-for-research-ethics-2015/" TargetMode="External" Id="rId43" /><Relationship Type="http://schemas.openxmlformats.org/officeDocument/2006/relationships/hyperlink" Target="https://www.gov.uk/government/publications/the-magenta-book" TargetMode="External" Id="rId48" /><Relationship Type="http://schemas.openxmlformats.org/officeDocument/2006/relationships/hyperlink" Target="https://www.gov.uk/government/uploads/system/uploads/attachment_data/file/248656/wp40-planning-eval-assessments.pdf" TargetMode="External" Id="rId64" /><Relationship Type="http://schemas.openxmlformats.org/officeDocument/2006/relationships/hyperlink" Target="https://edgebuildings.com/certify/certifiers-pricing/edge-certification-pricing/" TargetMode="External" Id="rId69" /><Relationship Type="http://schemas.openxmlformats.org/officeDocument/2006/relationships/hyperlink" Target="https://edgebuildings.com/wp-content/uploads/2023/11/IFC0077-2023-Kenya-Green-Building-Market-Maturity-Sheet.pdf" TargetMode="External" Id="rId80" /><Relationship Type="http://schemas.openxmlformats.org/officeDocument/2006/relationships/hyperlink" Target="https://edgebuildings.com/wp-content/uploads/2024/03/IFC0077-2024-Egypt-Green-Building-Market-Maturity-Sheet.pdf" TargetMode="External"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eader" Target="header2.xml" Id="rId17" /><Relationship Type="http://schemas.openxmlformats.org/officeDocument/2006/relationships/image" Target="media/image6.png" Id="rId25" /><Relationship Type="http://schemas.openxmlformats.org/officeDocument/2006/relationships/hyperlink" Target="https://science-and-innovation-network.s3.eu-west-2.amazonaws.com/BEIS+ICF/GCPF/GCPF-Business-Case.pdf" TargetMode="External" Id="rId33" /><Relationship Type="http://schemas.openxmlformats.org/officeDocument/2006/relationships/hyperlink" Target="https://devtracker.fcdo.gov.uk/programme/GB-GOV-13-ICF-0021-UKPACT/documents" TargetMode="External" Id="rId38" /><Relationship Type="http://schemas.openxmlformats.org/officeDocument/2006/relationships/hyperlink" Target="https://devtracker.fcdo.gov.uk/projects/GB-GOV-13-ICF0032-MAGC/summary" TargetMode="External" Id="rId46" /><Relationship Type="http://schemas.openxmlformats.org/officeDocument/2006/relationships/image" Target="media/image18.png" Id="rId59" /><Relationship Type="http://schemas.openxmlformats.org/officeDocument/2006/relationships/hyperlink" Target="https://www.fke-kenya.org/media-center/news/launch-kenya-2-equal-initiative-fke-and-ifc" TargetMode="External" Id="rId67" /><Relationship Type="http://schemas.openxmlformats.org/officeDocument/2006/relationships/header" Target="header3.xml" Id="rId20" /><Relationship Type="http://schemas.openxmlformats.org/officeDocument/2006/relationships/hyperlink" Target="https://science-and-innovation-network.s3.eu-west-2.amazonaws.com/BEIS+ICF/Ci-Dev/CMF-Evaluation-20-07-2018-20181128111131.pdf" TargetMode="External" Id="rId41" /><Relationship Type="http://schemas.openxmlformats.org/officeDocument/2006/relationships/image" Target="media/image13.png" Id="rId54" /><Relationship Type="http://schemas.openxmlformats.org/officeDocument/2006/relationships/image" Target="media/image21.png" Id="rId62" /><Relationship Type="http://schemas.openxmlformats.org/officeDocument/2006/relationships/hyperlink" Target="https://www.gov.uk/government/publications/the-magenta-book" TargetMode="External" Id="rId70" /><Relationship Type="http://schemas.openxmlformats.org/officeDocument/2006/relationships/hyperlink" Target="https://edgebuildings.com/wp-content/uploads/2023/11/IFC0077-2023-Peru-Green-Building-Market-Maturity-Sheet.pdf" TargetMode="External" Id="rId75" /><Relationship Type="http://schemas.openxmlformats.org/officeDocument/2006/relationships/hyperlink" Target="https://edgebuildings.com/wp-content/uploads/2023/06/IFC-Green-Buildings-South-Africa-Stakeholder-Assessment-Report-6-28-2023.pdf" TargetMode="External" Id="rId83" /><Relationship Type="http://schemas.openxmlformats.org/officeDocument/2006/relationships/hyperlink" Target="https://edgebuildings.com/wp-content/uploads/2024/04/IFC-Green-Buildings-Mexico-Stakeholder-Assessment-Report-2024-04-02-.pdf" TargetMode="External" Id="rId88" /><Relationship Type="http://schemas.openxmlformats.org/officeDocument/2006/relationships/hyperlink" Target="https://edgebuildings.com/wp-content/uploads/2024/04/IFC-Green-Buildings-Vietnam-Stakeholder-Assessment-Report-2024-04-02-.pdf" TargetMode="External" Id="rId91" /><Relationship Type="http://schemas.openxmlformats.org/officeDocument/2006/relationships/hyperlink" Target="https://www.gov.uk/government/organisations/department-for-energy-security-and-net-zero" TargetMode="Externa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nationalarchives.gov.uk/doc/open-government-licence/version/3/" TargetMode="External" Id="rId15" /><Relationship Type="http://schemas.openxmlformats.org/officeDocument/2006/relationships/image" Target="media/image5.png" Id="rId23" /><Relationship Type="http://schemas.openxmlformats.org/officeDocument/2006/relationships/header" Target="header4.xml" Id="rId28" /><Relationship Type="http://schemas.openxmlformats.org/officeDocument/2006/relationships/hyperlink" Target="https://devtracker.fcdo.gov.uk/programme/GB-1-201733/documents" TargetMode="External" Id="rId36" /><Relationship Type="http://schemas.openxmlformats.org/officeDocument/2006/relationships/image" Target="media/image8.png" Id="rId49" /><Relationship Type="http://schemas.openxmlformats.org/officeDocument/2006/relationships/image" Target="media/image16.png" Id="rId57" /><Relationship Type="http://schemas.openxmlformats.org/officeDocument/2006/relationships/footnotes" Target="footnotes.xml" Id="rId10" /><Relationship Type="http://schemas.openxmlformats.org/officeDocument/2006/relationships/hyperlink" Target="https://devtracker.fcdo.gov.uk/programme/GB-GOV-13-ICF-0004-CIF/documents" TargetMode="External" Id="rId31" /><Relationship Type="http://schemas.openxmlformats.org/officeDocument/2006/relationships/hyperlink" Target="https://the-sra.org.uk/common/Uploaded%20files/ethical%20guidelines%202003.pdf" TargetMode="External" Id="rId44" /><Relationship Type="http://schemas.openxmlformats.org/officeDocument/2006/relationships/image" Target="media/image11.png" Id="rId52" /><Relationship Type="http://schemas.openxmlformats.org/officeDocument/2006/relationships/image" Target="media/image19.png" Id="rId60" /><Relationship Type="http://schemas.openxmlformats.org/officeDocument/2006/relationships/hyperlink" Target="https://assets.publishing.service.gov.uk/government/uploads/system/uploads/attachment_data/file/49551/DFID-approach-value-money.pdf" TargetMode="External" Id="rId65" /><Relationship Type="http://schemas.openxmlformats.org/officeDocument/2006/relationships/hyperlink" Target="https://edgebuildings.com/wp-content/uploads/2023/11/IFC0074-2023-Colombia-Green-Building-Market-Maturity-Sheet.pdf" TargetMode="External" Id="rId73" /><Relationship Type="http://schemas.openxmlformats.org/officeDocument/2006/relationships/hyperlink" Target="https://edgebuildings.com/wp-content/uploads/2023/11/IFC0077-2023-Ghana-Green-Building-Market-Maturity-Sheet.pdf" TargetMode="External" Id="rId78" /><Relationship Type="http://schemas.openxmlformats.org/officeDocument/2006/relationships/hyperlink" Target="https://edgebuildings.com/wp-content/uploads/2023/11/IFC0077-2023-Mexico-Green-Building-Market-Maturity-Sheet.pdf" TargetMode="External" Id="rId81" /><Relationship Type="http://schemas.openxmlformats.org/officeDocument/2006/relationships/hyperlink" Target="https://edgebuildings.com/wp-content/uploads/2024/04/2024-04-02-IFC-Green-Buildings-Indonesia-Stakeholder-Assessment-Report-Final-Revised-2.pdf" TargetMode="External" Id="rId86" /><Relationship Type="http://schemas.openxmlformats.org/officeDocument/2006/relationships/hyperlink" Target="https://devtracker.fcdo.gov.uk/programme/GB-GOV-13-ICF-0032-MAGC/documents" TargetMode="External" Id="rId94" /><Relationship Type="http://schemas.openxmlformats.org/officeDocument/2006/relationships/theme" Target="theme/theme1.xml" Id="rId9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3" /><Relationship Type="http://schemas.openxmlformats.org/officeDocument/2006/relationships/footer" Target="footer2.xml" Id="rId18" /><Relationship Type="http://schemas.openxmlformats.org/officeDocument/2006/relationships/hyperlink" Target="https://devtracker.fcdo.gov.uk/programme/GB-GOV-1-301516/documents" TargetMode="External" Id="rId39" /><Relationship Type="http://schemas.openxmlformats.org/officeDocument/2006/relationships/hyperlink" Target="https://devtracker.fcdo.gov.uk/programme/GB-GOV-13-ICF-0019-REM/documents" TargetMode="External" Id="rId34" /><Relationship Type="http://schemas.openxmlformats.org/officeDocument/2006/relationships/image" Target="media/image9.png" Id="rId50" /><Relationship Type="http://schemas.openxmlformats.org/officeDocument/2006/relationships/image" Target="media/image14.png" Id="rId55" /><Relationship Type="http://schemas.openxmlformats.org/officeDocument/2006/relationships/hyperlink" Target="https://edgebuildings.com/wp-content/uploads/2023/11/IFC0077-2023-Philippines-Green-Building-Market-Maturity-Sheet.pdf" TargetMode="External" Id="rId76" /><Relationship Type="http://schemas.openxmlformats.org/officeDocument/2006/relationships/hyperlink" Target="mailto:alt.formats@energysecurity.gov.uk" TargetMode="External" Id="rId97" /><Relationship Type="http://schemas.openxmlformats.org/officeDocument/2006/relationships/styles" Target="styles.xml" Id="rId7" /><Relationship Type="http://schemas.openxmlformats.org/officeDocument/2006/relationships/hyperlink" Target="https://www.gov.uk/government/publications/uk-climate-finance-results" TargetMode="External" Id="rId71" /><Relationship Type="http://schemas.openxmlformats.org/officeDocument/2006/relationships/hyperlink" Target="https://www.ifc.org/en/our-impact/sustainable-development-goals" TargetMode="External" Id="rId92" /><Relationship Type="http://schemas.openxmlformats.org/officeDocument/2006/relationships/customXml" Target="../customXml/item2.xml" Id="rId2" /><Relationship Type="http://schemas.openxmlformats.org/officeDocument/2006/relationships/footer" Target="footer3.xml" Id="rId29" /><Relationship Type="http://schemas.openxmlformats.org/officeDocument/2006/relationships/hyperlink" Target="https://assets.publishing.service.gov.uk/government/uploads/system/uploads/attachment_data/file/879435/Magenta_Book_supplementary_guide._Realist_Evaluation.pdf" TargetMode="External" Id="rId24" /><Relationship Type="http://schemas.openxmlformats.org/officeDocument/2006/relationships/hyperlink" Target="https://devtracker.fcdo.gov.uk/programme/GB-GOV-13-ICF-0016-BioCF/documents" TargetMode="External" Id="rId40" /><Relationship Type="http://schemas.openxmlformats.org/officeDocument/2006/relationships/hyperlink" Target="https://www.mrs.org.uk/pdf/MRS-Code-of-Conduct-2019.pdf" TargetMode="External" Id="rId45" /><Relationship Type="http://schemas.openxmlformats.org/officeDocument/2006/relationships/hyperlink" Target="https://assets.publishing.service.gov.uk/government/uploads/system/uploads/attachment_data/file/1139441/international-climate-finance_KPI_15_Methodology_Note_Extent_to_which_ICF_intervention_is_likely_to_lead_to_transformational_change.pdf" TargetMode="External" Id="rId66" /><Relationship Type="http://schemas.openxmlformats.org/officeDocument/2006/relationships/hyperlink" Target="https://edgebuildings.com/wp-content/uploads/2024/04/2024-04-02-IFC-Green-Buildings-Kenya-Stakeholder-Assessment-Report-Final-Revised-2.pdf" TargetMode="External" Id="rId87" /><Relationship Type="http://schemas.openxmlformats.org/officeDocument/2006/relationships/image" Target="media/image20.png" Id="rId61" /><Relationship Type="http://schemas.openxmlformats.org/officeDocument/2006/relationships/hyperlink" Target="https://edgebuildings.com/wp-content/uploads/2023/11/IFC0077-2023-South-Africa-Green-Building-Market-Maturity-Sheet.pdf" TargetMode="External" Id="rId82" /><Relationship Type="http://schemas.openxmlformats.org/officeDocument/2006/relationships/hyperlink" Target="mailto:xxx@energysecurity.gov.uk" TargetMode="External" Id="rId19" /><Relationship Type="http://schemas.openxmlformats.org/officeDocument/2006/relationships/image" Target="media/image2.png" Id="rId14" /><Relationship Type="http://schemas.openxmlformats.org/officeDocument/2006/relationships/hyperlink" Target="https://science-and-innovation-network.s3.eu-west-2.amazonaws.com/BEIS+ICF/CEIF/CEIF+1.0+Annual+Review+2023.docx" TargetMode="External" Id="rId30" /><Relationship Type="http://schemas.openxmlformats.org/officeDocument/2006/relationships/hyperlink" Target="https://science-and-innovation-network.s3.eu-west-2.amazonaws.com/BEIS+ICF/Ci-Dev/CMF-Business-Case.pdf" TargetMode="External" Id="rId35" /><Relationship Type="http://schemas.openxmlformats.org/officeDocument/2006/relationships/image" Target="media/image15.png" Id="rId56" /><Relationship Type="http://schemas.openxmlformats.org/officeDocument/2006/relationships/hyperlink" Target="https://edgebuildings.com/wp-content/uploads/2023/11/IFC0077-2023-Vietnam-Green-Building-Market-Maturity-Sheet.pdf" TargetMode="External" Id="rId77" /><Relationship Type="http://schemas.openxmlformats.org/officeDocument/2006/relationships/settings" Target="settings.xml" Id="rId8" /><Relationship Type="http://schemas.openxmlformats.org/officeDocument/2006/relationships/image" Target="media/image10.png" Id="rId51" /><Relationship Type="http://schemas.openxmlformats.org/officeDocument/2006/relationships/hyperlink" Target="https://assets.publishing.service.gov.uk/media/6482f5aa5f7bb7000c7fa775/tfpp-uk-international-climate-finance-strategy-2023.pdf" TargetMode="External" Id="rId72" /><Relationship Type="http://schemas.openxmlformats.org/officeDocument/2006/relationships/hyperlink" Target="https://www.intrac.org/wpcms/wp-content/uploads/2019/05/QUIP.pdf" TargetMode="External" Id="rId93" /><Relationship Type="http://schemas.openxmlformats.org/officeDocument/2006/relationships/fontTable" Target="fontTable.xml" Id="rId98" /></Relationships>
</file>

<file path=word/_rels/footnotes.xml.rels><?xml version="1.0" encoding="UTF-8" standalone="yes"?>
<Relationships xmlns="http://schemas.openxmlformats.org/package/2006/relationships"><Relationship Id="rId3" Type="http://schemas.openxmlformats.org/officeDocument/2006/relationships/hyperlink" Target="https://www.ifc.org/en/our-impact/sustainable-development-goals" TargetMode="External"/><Relationship Id="rId2" Type="http://schemas.openxmlformats.org/officeDocument/2006/relationships/hyperlink" Target="https://www.intrac.org/wpcms/wp-content/uploads/2019/05/QUIP.pdf" TargetMode="External"/><Relationship Id="rId1" Type="http://schemas.openxmlformats.org/officeDocument/2006/relationships/hyperlink" Target="https://assets.publishing.service.gov.uk/government/uploads/system/uploads/attachment_data/file/49551/DFID-approach-value-money.pdf" TargetMode="External"/><Relationship Id="rId4" Type="http://schemas.openxmlformats.org/officeDocument/2006/relationships/hyperlink" Target="https://www.ifc.org/en/our-impact/sustainable-development-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ibson2\OneDrive%20-%20Department%20for%20Business%20Energy%20and%20Industrial%20Strategy\Documents\Templates\desnz-word-template-external.dotm"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9d65af1-18fa-4dc7-9941-b26f165da588">
      <Value>3</Value>
      <Value>2</Value>
      <Value>1</Value>
    </TaxCatchAll>
    <lcf76f155ced4ddcb4097134ff3c332f xmlns="374ed4d6-b127-4161-a8d5-91d2d6d266bd">
      <Terms xmlns="http://schemas.microsoft.com/office/infopath/2007/PartnerControls"/>
    </lcf76f155ced4ddcb4097134ff3c332f>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LegacyData xmlns="aaacb922-5235-4a66-b188-303b9b46fbd7"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Climate and energy</TermName>
          <TermId xmlns="http://schemas.microsoft.com/office/infopath/2007/PartnerControls">98b2efea-a649-07e6-a104-07f256801c42</TermId>
        </TermInfo>
      </Terms>
    </m817f42addf14c9a838da36e78800043>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International climate</TermName>
          <TermId xmlns="http://schemas.microsoft.com/office/infopath/2007/PartnerControls">5a595758-250c-1237-4802-ae3329732708</TermId>
        </TermInfo>
      </Terms>
    </h573c97cf80c4aa6b446c5363dc3ac94>
    <_dlc_DocId xmlns="b9d65af1-18fa-4dc7-9941-b26f165da588">SFTTVFQA44A4-567391438-149715</_dlc_DocId>
    <_dlc_DocIdUrl xmlns="b9d65af1-18fa-4dc7-9941-b26f165da588">
      <Url>https://beisgov.sharepoint.com/sites/GreenFinanceAndCapability-ALL/_layouts/15/DocIdRedir.aspx?ID=SFTTVFQA44A4-567391438-149715</Url>
      <Description>SFTTVFQA44A4-567391438-149715</Description>
    </_dlc_DocIdUrl>
    <_ip_UnifiedCompliancePolicyUIAct xmlns="374ed4d6-b127-4161-a8d5-91d2d6d266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DF02EFE51CE9C84D92B4813DC0A3B57A" ma:contentTypeVersion="22" ma:contentTypeDescription="Create a new document." ma:contentTypeScope="" ma:versionID="f3a08a560a87ca769ce0e1587b09f599">
  <xsd:schema xmlns:xsd="http://www.w3.org/2001/XMLSchema" xmlns:xs="http://www.w3.org/2001/XMLSchema" xmlns:p="http://schemas.microsoft.com/office/2006/metadata/properties" xmlns:ns1="http://schemas.microsoft.com/sharepoint/v3" xmlns:ns2="0f9fa326-da26-4ea8-b6a9-645e8136fe1d" xmlns:ns3="b9d65af1-18fa-4dc7-9941-b26f165da588" xmlns:ns4="aaacb922-5235-4a66-b188-303b9b46fbd7" xmlns:ns5="374ed4d6-b127-4161-a8d5-91d2d6d266bd" targetNamespace="http://schemas.microsoft.com/office/2006/metadata/properties" ma:root="true" ma:fieldsID="89423df18224ae45c99d1d624fe105ce" ns1:_="" ns2:_="" ns3:_="" ns4:_="" ns5:_="">
    <xsd:import namespace="http://schemas.microsoft.com/sharepoint/v3"/>
    <xsd:import namespace="0f9fa326-da26-4ea8-b6a9-645e8136fe1d"/>
    <xsd:import namespace="b9d65af1-18fa-4dc7-9941-b26f165da588"/>
    <xsd:import namespace="aaacb922-5235-4a66-b188-303b9b46fbd7"/>
    <xsd:import namespace="374ed4d6-b127-4161-a8d5-91d2d6d266bd"/>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5:MediaServiceMetadata" minOccurs="0"/>
                <xsd:element ref="ns5:MediaServiceFastMetadata" minOccurs="0"/>
                <xsd:element ref="ns5:MediaServiceObjectDetectorVersions" minOccurs="0"/>
                <xsd:element ref="ns3:SharedWithUsers" minOccurs="0"/>
                <xsd:element ref="ns3:SharedWithDetail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SearchProperties" minOccurs="0"/>
                <xsd:element ref="ns5:MediaLengthInSeconds" minOccurs="0"/>
                <xsd:element ref="ns1:_ip_UnifiedCompliancePolicyProperties" minOccurs="0"/>
                <xsd:element ref="ns1:_ip_UnifiedCompliancePolicyUIAction" minOccurs="0"/>
                <xsd:element ref="ns5:_ip_UnifiedCompliancePolicyUIAct"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Climate and energy|98b2efea-a649-07e6-a104-07f256801c42"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International climate|5a595758-250c-1237-4802-ae3329732708"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d65af1-18fa-4dc7-9941-b26f165da58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b47bc4a-1520-4e4a-95b5-a23457f3f389}" ma:internalName="TaxCatchAll" ma:showField="CatchAllData" ma:web="b9d65af1-18fa-4dc7-9941-b26f165da58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47bc4a-1520-4e4a-95b5-a23457f3f389}" ma:internalName="TaxCatchAllLabel" ma:readOnly="true" ma:showField="CatchAllDataLabel" ma:web="b9d65af1-18fa-4dc7-9941-b26f165da588">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ed4d6-b127-4161-a8d5-91d2d6d266b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LengthInSeconds" ma:index="33" nillable="true" ma:displayName="MediaLengthInSeconds" ma:hidden="true" ma:internalName="MediaLengthInSeconds" ma:readOnly="true">
      <xsd:simpleType>
        <xsd:restriction base="dms:Unknown"/>
      </xsd:simpleType>
    </xsd:element>
    <xsd:element name="_ip_UnifiedCompliancePolicyUIAct" ma:index="36" nillable="true" ma:displayName="_ip_UnifiedCompliancePolicyUIAct" ma:internalName="_ip_UnifiedCompliancePolicyUIAct">
      <xsd:simpleType>
        <xsd:restriction base="dms:Text">
          <xsd:maxLength value="255"/>
        </xsd:restriction>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5AB741-62AD-4EC1-ACA8-FDD023BC02BF}">
  <ds:schemaRefs>
    <ds:schemaRef ds:uri="http://schemas.microsoft.com/sharepoint/v3/contenttype/forms"/>
  </ds:schemaRefs>
</ds:datastoreItem>
</file>

<file path=customXml/itemProps2.xml><?xml version="1.0" encoding="utf-8"?>
<ds:datastoreItem xmlns:ds="http://schemas.openxmlformats.org/officeDocument/2006/customXml" ds:itemID="{ADE1E243-E275-4551-A7D8-7D06C33E4BF3}">
  <ds:schemaRefs>
    <ds:schemaRef ds:uri="http://schemas.microsoft.com/office/2006/metadata/properties"/>
    <ds:schemaRef ds:uri="http://schemas.microsoft.com/office/infopath/2007/PartnerControls"/>
    <ds:schemaRef ds:uri="http://schemas.microsoft.com/sharepoint/v3"/>
    <ds:schemaRef ds:uri="b9d65af1-18fa-4dc7-9941-b26f165da588"/>
    <ds:schemaRef ds:uri="374ed4d6-b127-4161-a8d5-91d2d6d266bd"/>
    <ds:schemaRef ds:uri="0f9fa326-da26-4ea8-b6a9-645e8136fe1d"/>
    <ds:schemaRef ds:uri="aaacb922-5235-4a66-b188-303b9b46fbd7"/>
  </ds:schemaRefs>
</ds:datastoreItem>
</file>

<file path=customXml/itemProps3.xml><?xml version="1.0" encoding="utf-8"?>
<ds:datastoreItem xmlns:ds="http://schemas.openxmlformats.org/officeDocument/2006/customXml" ds:itemID="{9F036B8F-323B-4032-AAF7-A86041D38A2E}"/>
</file>

<file path=customXml/itemProps4.xml><?xml version="1.0" encoding="utf-8"?>
<ds:datastoreItem xmlns:ds="http://schemas.openxmlformats.org/officeDocument/2006/customXml" ds:itemID="{22E3DBE3-ACD0-48F6-84D8-70D321E7FCE1}">
  <ds:schemaRefs>
    <ds:schemaRef ds:uri="http://schemas.openxmlformats.org/officeDocument/2006/bibliography"/>
  </ds:schemaRefs>
</ds:datastoreItem>
</file>

<file path=customXml/itemProps5.xml><?xml version="1.0" encoding="utf-8"?>
<ds:datastoreItem xmlns:ds="http://schemas.openxmlformats.org/officeDocument/2006/customXml" ds:itemID="{B4D32C87-3213-4903-9D46-999B815595D4}">
  <ds:schemaRefs>
    <ds:schemaRef ds:uri="http://schemas.microsoft.com/sharepoint/events"/>
  </ds:schemaRefs>
</ds:datastoreItem>
</file>

<file path=docMetadata/LabelInfo.xml><?xml version="1.0" encoding="utf-8"?>
<clbl:labelList xmlns:clbl="http://schemas.microsoft.com/office/2020/mipLabelMetadata">
  <clbl:label id="{ba62f585-b40f-4ab9-bafe-39150f03d124}" enabled="1" method="Standard" siteId="{cbac7005-02c1-43eb-b497-e6492d1b2dd8}"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desnz-word-template-external.dotm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Rachel (Communications)</dc:creator>
  <cp:keywords/>
  <dc:description/>
  <cp:lastModifiedBy>Jones3, Philip (Energy Security)</cp:lastModifiedBy>
  <cp:revision>4</cp:revision>
  <cp:lastPrinted>2025-01-24T08:48:00Z</cp:lastPrinted>
  <dcterms:created xsi:type="dcterms:W3CDTF">2025-10-24T15:15:00Z</dcterms:created>
  <dcterms:modified xsi:type="dcterms:W3CDTF">2026-04-15T08:31:15Z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5;#Internal Communications|3633d5a3-731a-4af5-ab75-e2aba398c41c</vt:lpwstr>
  </property>
  <property fmtid="{D5CDD505-2E9C-101B-9397-08002B2CF9AE}" pid="3" name="ContentTypeId">
    <vt:lpwstr>0x0101004691A8DE0991884F8E90AD6474FC73730100DF02EFE51CE9C84D92B4813DC0A3B57A</vt:lpwstr>
  </property>
  <property fmtid="{D5CDD505-2E9C-101B-9397-08002B2CF9AE}" pid="4" name="_dlc_DocIdItemGuid">
    <vt:lpwstr>d7a14089-1375-4c89-8980-0a74e0b3d05d</vt:lpwstr>
  </property>
  <property fmtid="{D5CDD505-2E9C-101B-9397-08002B2CF9AE}" pid="5" name="AuthorIds_UIVersion_2">
    <vt:lpwstr>8301</vt:lpwstr>
  </property>
  <property fmtid="{D5CDD505-2E9C-101B-9397-08002B2CF9AE}" pid="6" name="AuthorIds_UIVersion_3">
    <vt:lpwstr>8301</vt:lpwstr>
  </property>
  <property fmtid="{D5CDD505-2E9C-101B-9397-08002B2CF9AE}" pid="7" name="MSIP_Label_ba62f585-b40f-4ab9-bafe-39150f03d124_Enabled">
    <vt:lpwstr>true</vt:lpwstr>
  </property>
  <property fmtid="{D5CDD505-2E9C-101B-9397-08002B2CF9AE}" pid="8" name="MSIP_Label_ba62f585-b40f-4ab9-bafe-39150f03d124_SetDate">
    <vt:lpwstr>2020-01-16T10:35:31Z</vt:lpwstr>
  </property>
  <property fmtid="{D5CDD505-2E9C-101B-9397-08002B2CF9AE}" pid="9" name="MSIP_Label_ba62f585-b40f-4ab9-bafe-39150f03d124_Method">
    <vt:lpwstr>Standard</vt:lpwstr>
  </property>
  <property fmtid="{D5CDD505-2E9C-101B-9397-08002B2CF9AE}" pid="10" name="MSIP_Label_ba62f585-b40f-4ab9-bafe-39150f03d124_Name">
    <vt:lpwstr>OFFICIAL</vt:lpwstr>
  </property>
  <property fmtid="{D5CDD505-2E9C-101B-9397-08002B2CF9AE}" pid="11" name="MSIP_Label_ba62f585-b40f-4ab9-bafe-39150f03d124_SiteId">
    <vt:lpwstr>cbac7005-02c1-43eb-b497-e6492d1b2dd8</vt:lpwstr>
  </property>
  <property fmtid="{D5CDD505-2E9C-101B-9397-08002B2CF9AE}" pid="12" name="MSIP_Label_ba62f585-b40f-4ab9-bafe-39150f03d124_ActionId">
    <vt:lpwstr>b52d6e55-1fed-48e8-88a2-000013a69850</vt:lpwstr>
  </property>
  <property fmtid="{D5CDD505-2E9C-101B-9397-08002B2CF9AE}" pid="13" name="MSIP_Label_ba62f585-b40f-4ab9-bafe-39150f03d124_ContentBits">
    <vt:lpwstr>0</vt:lpwstr>
  </property>
  <property fmtid="{D5CDD505-2E9C-101B-9397-08002B2CF9AE}" pid="14" name="MediaServiceImageTags">
    <vt:lpwstr/>
  </property>
  <property fmtid="{D5CDD505-2E9C-101B-9397-08002B2CF9AE}" pid="15" name="Business_x0020_Unit">
    <vt:lpwstr>5;#Internal Communications|3633d5a3-731a-4af5-ab75-e2aba398c41c</vt:lpwstr>
  </property>
  <property fmtid="{D5CDD505-2E9C-101B-9397-08002B2CF9AE}" pid="16" name="KIM_Activity">
    <vt:lpwstr>2;#International climate|5a595758-250c-1237-4802-ae3329732708</vt:lpwstr>
  </property>
  <property fmtid="{D5CDD505-2E9C-101B-9397-08002B2CF9AE}" pid="17" name="KIM_GovernmentBody">
    <vt:lpwstr>3;#BEIS|b386cac2-c28c-4db4-8fca-43733d0e74ef</vt:lpwstr>
  </property>
  <property fmtid="{D5CDD505-2E9C-101B-9397-08002B2CF9AE}" pid="18" name="KIM_Function">
    <vt:lpwstr>1;#Climate and energy|98b2efea-a649-07e6-a104-07f256801c42</vt:lpwstr>
  </property>
  <property fmtid="{D5CDD505-2E9C-101B-9397-08002B2CF9AE}" pid="19" name="docLang">
    <vt:lpwstr>en</vt:lpwstr>
  </property>
</Properties>
</file>