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E0C7" w14:textId="6172B749" w:rsidR="00E9676C" w:rsidRDefault="008C1C8D" w:rsidP="009B7940">
      <w:pPr>
        <w:pStyle w:val="DESNZTitle"/>
      </w:pPr>
      <w:r>
        <w:t xml:space="preserve">Evaluation of the </w:t>
      </w:r>
      <w:r w:rsidR="00604D59">
        <w:t xml:space="preserve">International Climate Finance (ICF) portfolio’s </w:t>
      </w:r>
      <w:r>
        <w:t>Market Accelerator for Green Construction</w:t>
      </w:r>
    </w:p>
    <w:p w14:paraId="44F71F9D" w14:textId="72D91C4D" w:rsidR="00E9676C" w:rsidRDefault="008C1C8D" w:rsidP="00201358">
      <w:pPr>
        <w:pStyle w:val="DESNZSub-title"/>
      </w:pPr>
      <w:r>
        <w:t>Early outcome evaluation report</w:t>
      </w:r>
    </w:p>
    <w:p w14:paraId="5784A466" w14:textId="0E1FB14F" w:rsidR="00201358" w:rsidRPr="00201358" w:rsidRDefault="00C26D9C" w:rsidP="00FC1A03">
      <w:pPr>
        <w:pStyle w:val="DESNZResearchNo"/>
        <w:sectPr w:rsidR="00201358" w:rsidRPr="00201358" w:rsidSect="00054AD2">
          <w:headerReference w:type="default" r:id="rId8"/>
          <w:footerReference w:type="default" r:id="rId9"/>
          <w:pgSz w:w="11906" w:h="16838" w:code="9"/>
          <w:pgMar w:top="1418" w:right="1134" w:bottom="1418" w:left="1077" w:header="720" w:footer="868" w:gutter="0"/>
          <w:cols w:space="708"/>
          <w:vAlign w:val="center"/>
          <w:docGrid w:linePitch="360"/>
        </w:sectPr>
      </w:pPr>
      <w:r>
        <w:br/>
      </w:r>
      <w:r>
        <w:br/>
      </w:r>
      <w:r>
        <w:br/>
      </w:r>
    </w:p>
    <w:p w14:paraId="5481A065" w14:textId="77777777" w:rsidR="00C26D9C" w:rsidRDefault="00C26D9C" w:rsidP="001A2EAD"/>
    <w:p w14:paraId="0BF31C29" w14:textId="77777777" w:rsidR="00C26D9C" w:rsidRDefault="00C26D9C" w:rsidP="001A2EAD"/>
    <w:p w14:paraId="088BFFBA" w14:textId="77777777" w:rsidR="00C26D9C" w:rsidRDefault="00C26D9C" w:rsidP="001A2EAD"/>
    <w:p w14:paraId="7DDE4A33" w14:textId="77777777" w:rsidR="00C26D9C" w:rsidRDefault="00C26D9C" w:rsidP="001A2EAD"/>
    <w:p w14:paraId="53D1793E" w14:textId="77777777" w:rsidR="00C26D9C" w:rsidRDefault="00C26D9C" w:rsidP="001A2EAD"/>
    <w:p w14:paraId="26251CF6" w14:textId="77777777" w:rsidR="00C26D9C" w:rsidRDefault="00C26D9C" w:rsidP="001A2EAD"/>
    <w:p w14:paraId="78D4D03F" w14:textId="77777777" w:rsidR="00C26D9C" w:rsidRDefault="00C26D9C" w:rsidP="001A2EAD"/>
    <w:p w14:paraId="1745FAA6" w14:textId="77777777" w:rsidR="00C26D9C" w:rsidRDefault="00C26D9C" w:rsidP="001A2EAD"/>
    <w:p w14:paraId="72AD6C39" w14:textId="77777777" w:rsidR="00C26D9C" w:rsidRDefault="00C26D9C" w:rsidP="001A2EAD"/>
    <w:p w14:paraId="021DB036" w14:textId="77777777" w:rsidR="00C26D9C" w:rsidRDefault="00C26D9C" w:rsidP="001A2EAD"/>
    <w:p w14:paraId="47FDB180" w14:textId="77777777" w:rsidR="00C26D9C" w:rsidRDefault="00C26D9C" w:rsidP="001A2EAD"/>
    <w:p w14:paraId="1AE04FB8" w14:textId="77777777" w:rsidR="00C26D9C" w:rsidRDefault="00C26D9C" w:rsidP="001A2EAD"/>
    <w:p w14:paraId="2A5F016A" w14:textId="77777777" w:rsidR="00C26D9C" w:rsidRDefault="00C26D9C" w:rsidP="001A2EAD"/>
    <w:p w14:paraId="19C6027F" w14:textId="77777777" w:rsidR="00C26D9C" w:rsidRDefault="00C26D9C" w:rsidP="00C26D9C">
      <w:pPr>
        <w:pStyle w:val="Copyrightstatement"/>
      </w:pPr>
      <w:r>
        <w:rPr>
          <w:noProof/>
        </w:rPr>
        <w:drawing>
          <wp:inline distT="0" distB="0" distL="0" distR="0" wp14:anchorId="7B85C39B" wp14:editId="55AE05A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C5A8472" w14:textId="3E593C75" w:rsidR="00C26D9C" w:rsidRDefault="00C26D9C" w:rsidP="00C26D9C">
      <w:pPr>
        <w:pStyle w:val="Copyrightstatement"/>
      </w:pPr>
      <w:r>
        <w:t>© Crown copyright 20</w:t>
      </w:r>
      <w:r w:rsidR="00604D59">
        <w:t>24</w:t>
      </w:r>
    </w:p>
    <w:p w14:paraId="1798001A"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1" w:history="1">
        <w:r w:rsidRPr="00BE2973">
          <w:rPr>
            <w:rStyle w:val="Hyperlink"/>
          </w:rPr>
          <w:t>nationalarchives.gov.uk/doc/open-government-licence/version/3</w:t>
        </w:r>
      </w:hyperlink>
      <w:r>
        <w:t xml:space="preserve"> or write to the Information Policy Team, The National Archives, Kew, London TW9 4DU, or email: </w:t>
      </w:r>
      <w:hyperlink r:id="rId12" w:history="1">
        <w:r w:rsidRPr="00471DE1">
          <w:rPr>
            <w:rStyle w:val="Hyperlink"/>
          </w:rPr>
          <w:t>psi@nationalarchives.gsi.gov.uk</w:t>
        </w:r>
      </w:hyperlink>
      <w:r>
        <w:t xml:space="preserve">. </w:t>
      </w:r>
    </w:p>
    <w:p w14:paraId="3D48B47F" w14:textId="77777777" w:rsidR="00C26D9C" w:rsidRDefault="00C26D9C" w:rsidP="00C26D9C">
      <w:pPr>
        <w:pStyle w:val="Copyrightstatement"/>
      </w:pPr>
      <w:r>
        <w:t>Where we have identified any third-party copyright information you will need to obtain permission from the copyright holders concerned.</w:t>
      </w:r>
    </w:p>
    <w:p w14:paraId="294137D1" w14:textId="6822FB55" w:rsidR="00C26D9C" w:rsidRPr="008714AA" w:rsidRDefault="00C26D9C" w:rsidP="00C26D9C">
      <w:pPr>
        <w:pStyle w:val="Copyrightstatement"/>
        <w:sectPr w:rsidR="00C26D9C" w:rsidRPr="008714AA" w:rsidSect="00C26D9C">
          <w:headerReference w:type="default" r:id="rId13"/>
          <w:footerReference w:type="default" r:id="rId14"/>
          <w:pgSz w:w="11906" w:h="16838" w:code="9"/>
          <w:pgMar w:top="2835" w:right="907" w:bottom="907" w:left="907" w:header="686" w:footer="266" w:gutter="0"/>
          <w:cols w:space="708"/>
          <w:vAlign w:val="bottom"/>
          <w:docGrid w:linePitch="360"/>
        </w:sectPr>
      </w:pPr>
    </w:p>
    <w:p w14:paraId="460711EF" w14:textId="77777777" w:rsidR="008F06A2" w:rsidRDefault="004C1B6A" w:rsidP="004C1B6A">
      <w:pPr>
        <w:pStyle w:val="Contents"/>
      </w:pPr>
      <w:r>
        <w:t>Contents</w:t>
      </w:r>
    </w:p>
    <w:p w14:paraId="04AADAB7" w14:textId="61F90837" w:rsidR="009B5463" w:rsidRDefault="00E45851">
      <w:pPr>
        <w:pStyle w:val="TOC1"/>
        <w:rPr>
          <w:rFonts w:asciiTheme="minorHAnsi" w:eastAsiaTheme="minorEastAsia" w:hAnsiTheme="minorHAnsi"/>
          <w:noProof/>
          <w:color w:val="auto"/>
          <w:kern w:val="2"/>
          <w:szCs w:val="24"/>
          <w:lang w:eastAsia="en-GB"/>
          <w14:ligatures w14:val="standardContextual"/>
        </w:rPr>
      </w:pPr>
      <w:r>
        <w:fldChar w:fldCharType="begin"/>
      </w:r>
      <w:r>
        <w:instrText xml:space="preserve"> TOC \o "2-3" \h \z \t "Heading 1,1" </w:instrText>
      </w:r>
      <w:r>
        <w:fldChar w:fldCharType="separate"/>
      </w:r>
      <w:hyperlink w:anchor="_Toc189155205" w:history="1">
        <w:r w:rsidR="009B5463" w:rsidRPr="001E6B04">
          <w:rPr>
            <w:rStyle w:val="Hyperlink"/>
            <w:noProof/>
          </w:rPr>
          <w:t>List of acronyms</w:t>
        </w:r>
        <w:r w:rsidR="009B5463">
          <w:rPr>
            <w:noProof/>
            <w:webHidden/>
          </w:rPr>
          <w:tab/>
        </w:r>
      </w:hyperlink>
    </w:p>
    <w:p w14:paraId="2995540E" w14:textId="29BCFF85"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06" w:history="1">
        <w:r w:rsidRPr="001E6B04">
          <w:rPr>
            <w:rStyle w:val="Hyperlink"/>
            <w:noProof/>
          </w:rPr>
          <w:t>Executive summary</w:t>
        </w:r>
        <w:r>
          <w:rPr>
            <w:noProof/>
            <w:webHidden/>
          </w:rPr>
          <w:tab/>
        </w:r>
      </w:hyperlink>
    </w:p>
    <w:p w14:paraId="60C6720E" w14:textId="52A36D7A"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07" w:history="1">
        <w:r w:rsidRPr="001E6B04">
          <w:rPr>
            <w:rStyle w:val="Hyperlink"/>
            <w:noProof/>
          </w:rPr>
          <w:t>1 Introduction</w:t>
        </w:r>
        <w:r>
          <w:rPr>
            <w:noProof/>
            <w:webHidden/>
          </w:rPr>
          <w:tab/>
        </w:r>
        <w:r>
          <w:rPr>
            <w:noProof/>
            <w:webHidden/>
          </w:rPr>
          <w:fldChar w:fldCharType="begin"/>
        </w:r>
        <w:r>
          <w:rPr>
            <w:noProof/>
            <w:webHidden/>
          </w:rPr>
          <w:instrText xml:space="preserve"> PAGEREF _Toc189155207 \h </w:instrText>
        </w:r>
        <w:r>
          <w:rPr>
            <w:noProof/>
            <w:webHidden/>
          </w:rPr>
        </w:r>
        <w:r>
          <w:rPr>
            <w:noProof/>
            <w:webHidden/>
          </w:rPr>
          <w:fldChar w:fldCharType="separate"/>
        </w:r>
        <w:r w:rsidR="0070688F">
          <w:rPr>
            <w:noProof/>
            <w:webHidden/>
          </w:rPr>
          <w:t>1</w:t>
        </w:r>
        <w:r>
          <w:rPr>
            <w:noProof/>
            <w:webHidden/>
          </w:rPr>
          <w:fldChar w:fldCharType="end"/>
        </w:r>
      </w:hyperlink>
    </w:p>
    <w:p w14:paraId="38125C2D" w14:textId="62ABCB31"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08" w:history="1">
        <w:r w:rsidRPr="001E6B04">
          <w:rPr>
            <w:rStyle w:val="Hyperlink"/>
            <w:noProof/>
          </w:rPr>
          <w:t>2 Methodology summary</w:t>
        </w:r>
        <w:r>
          <w:rPr>
            <w:noProof/>
            <w:webHidden/>
          </w:rPr>
          <w:tab/>
        </w:r>
        <w:r>
          <w:rPr>
            <w:noProof/>
            <w:webHidden/>
          </w:rPr>
          <w:fldChar w:fldCharType="begin"/>
        </w:r>
        <w:r>
          <w:rPr>
            <w:noProof/>
            <w:webHidden/>
          </w:rPr>
          <w:instrText xml:space="preserve"> PAGEREF _Toc189155208 \h </w:instrText>
        </w:r>
        <w:r>
          <w:rPr>
            <w:noProof/>
            <w:webHidden/>
          </w:rPr>
        </w:r>
        <w:r>
          <w:rPr>
            <w:noProof/>
            <w:webHidden/>
          </w:rPr>
          <w:fldChar w:fldCharType="separate"/>
        </w:r>
        <w:r w:rsidR="0070688F">
          <w:rPr>
            <w:noProof/>
            <w:webHidden/>
          </w:rPr>
          <w:t>3</w:t>
        </w:r>
        <w:r>
          <w:rPr>
            <w:noProof/>
            <w:webHidden/>
          </w:rPr>
          <w:fldChar w:fldCharType="end"/>
        </w:r>
      </w:hyperlink>
    </w:p>
    <w:p w14:paraId="33670310" w14:textId="739F09E3"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09" w:history="1">
        <w:r w:rsidRPr="001E6B04">
          <w:rPr>
            <w:rStyle w:val="Hyperlink"/>
            <w:noProof/>
          </w:rPr>
          <w:t>2.1</w:t>
        </w:r>
        <w:r w:rsidR="004E72F7">
          <w:rPr>
            <w:rStyle w:val="Hyperlink"/>
            <w:noProof/>
          </w:rPr>
          <w:t xml:space="preserve"> </w:t>
        </w:r>
        <w:r w:rsidRPr="001E6B04">
          <w:rPr>
            <w:rStyle w:val="Hyperlink"/>
            <w:noProof/>
          </w:rPr>
          <w:t>Overall approach</w:t>
        </w:r>
        <w:r>
          <w:rPr>
            <w:noProof/>
            <w:webHidden/>
          </w:rPr>
          <w:tab/>
        </w:r>
        <w:r>
          <w:rPr>
            <w:noProof/>
            <w:webHidden/>
          </w:rPr>
          <w:fldChar w:fldCharType="begin"/>
        </w:r>
        <w:r>
          <w:rPr>
            <w:noProof/>
            <w:webHidden/>
          </w:rPr>
          <w:instrText xml:space="preserve"> PAGEREF _Toc189155209 \h </w:instrText>
        </w:r>
        <w:r>
          <w:rPr>
            <w:noProof/>
            <w:webHidden/>
          </w:rPr>
        </w:r>
        <w:r>
          <w:rPr>
            <w:noProof/>
            <w:webHidden/>
          </w:rPr>
          <w:fldChar w:fldCharType="separate"/>
        </w:r>
        <w:r w:rsidR="0070688F">
          <w:rPr>
            <w:noProof/>
            <w:webHidden/>
          </w:rPr>
          <w:t>3</w:t>
        </w:r>
        <w:r>
          <w:rPr>
            <w:noProof/>
            <w:webHidden/>
          </w:rPr>
          <w:fldChar w:fldCharType="end"/>
        </w:r>
      </w:hyperlink>
    </w:p>
    <w:p w14:paraId="11ED590D" w14:textId="374B49AB"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10" w:history="1">
        <w:r w:rsidRPr="001E6B04">
          <w:rPr>
            <w:rStyle w:val="Hyperlink"/>
            <w:noProof/>
          </w:rPr>
          <w:t>2.2</w:t>
        </w:r>
        <w:r w:rsidR="004E72F7">
          <w:rPr>
            <w:rStyle w:val="Hyperlink"/>
            <w:noProof/>
          </w:rPr>
          <w:t xml:space="preserve"> </w:t>
        </w:r>
        <w:r w:rsidRPr="001E6B04">
          <w:rPr>
            <w:rStyle w:val="Hyperlink"/>
            <w:noProof/>
          </w:rPr>
          <w:t>Primary and secondary data collection</w:t>
        </w:r>
        <w:r>
          <w:rPr>
            <w:noProof/>
            <w:webHidden/>
          </w:rPr>
          <w:tab/>
        </w:r>
        <w:r>
          <w:rPr>
            <w:noProof/>
            <w:webHidden/>
          </w:rPr>
          <w:fldChar w:fldCharType="begin"/>
        </w:r>
        <w:r>
          <w:rPr>
            <w:noProof/>
            <w:webHidden/>
          </w:rPr>
          <w:instrText xml:space="preserve"> PAGEREF _Toc189155210 \h </w:instrText>
        </w:r>
        <w:r>
          <w:rPr>
            <w:noProof/>
            <w:webHidden/>
          </w:rPr>
        </w:r>
        <w:r>
          <w:rPr>
            <w:noProof/>
            <w:webHidden/>
          </w:rPr>
          <w:fldChar w:fldCharType="separate"/>
        </w:r>
        <w:r w:rsidR="0070688F">
          <w:rPr>
            <w:noProof/>
            <w:webHidden/>
          </w:rPr>
          <w:t>3</w:t>
        </w:r>
        <w:r>
          <w:rPr>
            <w:noProof/>
            <w:webHidden/>
          </w:rPr>
          <w:fldChar w:fldCharType="end"/>
        </w:r>
      </w:hyperlink>
    </w:p>
    <w:p w14:paraId="597E1233" w14:textId="5E55F6DE"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11" w:history="1">
        <w:r w:rsidRPr="001E6B04">
          <w:rPr>
            <w:rStyle w:val="Hyperlink"/>
            <w:noProof/>
          </w:rPr>
          <w:t>2.3 Strength of evidence and limitations</w:t>
        </w:r>
        <w:r>
          <w:rPr>
            <w:noProof/>
            <w:webHidden/>
          </w:rPr>
          <w:tab/>
        </w:r>
        <w:r>
          <w:rPr>
            <w:noProof/>
            <w:webHidden/>
          </w:rPr>
          <w:fldChar w:fldCharType="begin"/>
        </w:r>
        <w:r>
          <w:rPr>
            <w:noProof/>
            <w:webHidden/>
          </w:rPr>
          <w:instrText xml:space="preserve"> PAGEREF _Toc189155211 \h </w:instrText>
        </w:r>
        <w:r>
          <w:rPr>
            <w:noProof/>
            <w:webHidden/>
          </w:rPr>
        </w:r>
        <w:r>
          <w:rPr>
            <w:noProof/>
            <w:webHidden/>
          </w:rPr>
          <w:fldChar w:fldCharType="separate"/>
        </w:r>
        <w:r w:rsidR="0070688F">
          <w:rPr>
            <w:noProof/>
            <w:webHidden/>
          </w:rPr>
          <w:t>4</w:t>
        </w:r>
        <w:r>
          <w:rPr>
            <w:noProof/>
            <w:webHidden/>
          </w:rPr>
          <w:fldChar w:fldCharType="end"/>
        </w:r>
      </w:hyperlink>
    </w:p>
    <w:p w14:paraId="44B16B5A" w14:textId="22EC8302"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13" w:history="1">
        <w:r w:rsidRPr="001E6B04">
          <w:rPr>
            <w:rStyle w:val="Hyperlink"/>
            <w:noProof/>
          </w:rPr>
          <w:t>3 Delivery of MAGC to date</w:t>
        </w:r>
        <w:r>
          <w:rPr>
            <w:noProof/>
            <w:webHidden/>
          </w:rPr>
          <w:tab/>
        </w:r>
        <w:r>
          <w:rPr>
            <w:noProof/>
            <w:webHidden/>
          </w:rPr>
          <w:fldChar w:fldCharType="begin"/>
        </w:r>
        <w:r>
          <w:rPr>
            <w:noProof/>
            <w:webHidden/>
          </w:rPr>
          <w:instrText xml:space="preserve"> PAGEREF _Toc189155213 \h </w:instrText>
        </w:r>
        <w:r>
          <w:rPr>
            <w:noProof/>
            <w:webHidden/>
          </w:rPr>
        </w:r>
        <w:r>
          <w:rPr>
            <w:noProof/>
            <w:webHidden/>
          </w:rPr>
          <w:fldChar w:fldCharType="separate"/>
        </w:r>
        <w:r w:rsidR="0070688F">
          <w:rPr>
            <w:noProof/>
            <w:webHidden/>
          </w:rPr>
          <w:t>6</w:t>
        </w:r>
        <w:r>
          <w:rPr>
            <w:noProof/>
            <w:webHidden/>
          </w:rPr>
          <w:fldChar w:fldCharType="end"/>
        </w:r>
      </w:hyperlink>
    </w:p>
    <w:p w14:paraId="657029D8" w14:textId="666AADD4"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14" w:history="1">
        <w:r w:rsidRPr="001E6B04">
          <w:rPr>
            <w:rStyle w:val="Hyperlink"/>
            <w:noProof/>
          </w:rPr>
          <w:t>4 MAGC Theory of Change</w:t>
        </w:r>
        <w:r>
          <w:rPr>
            <w:noProof/>
            <w:webHidden/>
          </w:rPr>
          <w:tab/>
        </w:r>
        <w:r>
          <w:rPr>
            <w:noProof/>
            <w:webHidden/>
          </w:rPr>
          <w:fldChar w:fldCharType="begin"/>
        </w:r>
        <w:r>
          <w:rPr>
            <w:noProof/>
            <w:webHidden/>
          </w:rPr>
          <w:instrText xml:space="preserve"> PAGEREF _Toc189155214 \h </w:instrText>
        </w:r>
        <w:r>
          <w:rPr>
            <w:noProof/>
            <w:webHidden/>
          </w:rPr>
        </w:r>
        <w:r>
          <w:rPr>
            <w:noProof/>
            <w:webHidden/>
          </w:rPr>
          <w:fldChar w:fldCharType="separate"/>
        </w:r>
        <w:r w:rsidR="0070688F">
          <w:rPr>
            <w:noProof/>
            <w:webHidden/>
          </w:rPr>
          <w:t>8</w:t>
        </w:r>
        <w:r>
          <w:rPr>
            <w:noProof/>
            <w:webHidden/>
          </w:rPr>
          <w:fldChar w:fldCharType="end"/>
        </w:r>
      </w:hyperlink>
    </w:p>
    <w:p w14:paraId="1B022E9E" w14:textId="259B9082"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15" w:history="1">
        <w:r w:rsidRPr="001E6B04">
          <w:rPr>
            <w:rStyle w:val="Hyperlink"/>
            <w:noProof/>
          </w:rPr>
          <w:t>5 Findings</w:t>
        </w:r>
        <w:r>
          <w:rPr>
            <w:noProof/>
            <w:webHidden/>
          </w:rPr>
          <w:tab/>
        </w:r>
        <w:r>
          <w:rPr>
            <w:noProof/>
            <w:webHidden/>
          </w:rPr>
          <w:fldChar w:fldCharType="begin"/>
        </w:r>
        <w:r>
          <w:rPr>
            <w:noProof/>
            <w:webHidden/>
          </w:rPr>
          <w:instrText xml:space="preserve"> PAGEREF _Toc189155215 \h </w:instrText>
        </w:r>
        <w:r>
          <w:rPr>
            <w:noProof/>
            <w:webHidden/>
          </w:rPr>
        </w:r>
        <w:r>
          <w:rPr>
            <w:noProof/>
            <w:webHidden/>
          </w:rPr>
          <w:fldChar w:fldCharType="separate"/>
        </w:r>
        <w:r w:rsidR="0070688F">
          <w:rPr>
            <w:noProof/>
            <w:webHidden/>
          </w:rPr>
          <w:t>12</w:t>
        </w:r>
        <w:r>
          <w:rPr>
            <w:noProof/>
            <w:webHidden/>
          </w:rPr>
          <w:fldChar w:fldCharType="end"/>
        </w:r>
      </w:hyperlink>
    </w:p>
    <w:p w14:paraId="3DC3337F" w14:textId="5C0393AE"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16" w:history="1">
        <w:r w:rsidRPr="001E6B04">
          <w:rPr>
            <w:rStyle w:val="Hyperlink"/>
            <w:noProof/>
          </w:rPr>
          <w:t>5.1 Early outcomes</w:t>
        </w:r>
        <w:r>
          <w:rPr>
            <w:noProof/>
            <w:webHidden/>
          </w:rPr>
          <w:tab/>
        </w:r>
        <w:r>
          <w:rPr>
            <w:noProof/>
            <w:webHidden/>
          </w:rPr>
          <w:fldChar w:fldCharType="begin"/>
        </w:r>
        <w:r>
          <w:rPr>
            <w:noProof/>
            <w:webHidden/>
          </w:rPr>
          <w:instrText xml:space="preserve"> PAGEREF _Toc189155216 \h </w:instrText>
        </w:r>
        <w:r>
          <w:rPr>
            <w:noProof/>
            <w:webHidden/>
          </w:rPr>
        </w:r>
        <w:r>
          <w:rPr>
            <w:noProof/>
            <w:webHidden/>
          </w:rPr>
          <w:fldChar w:fldCharType="separate"/>
        </w:r>
        <w:r w:rsidR="0070688F">
          <w:rPr>
            <w:noProof/>
            <w:webHidden/>
          </w:rPr>
          <w:t>12</w:t>
        </w:r>
        <w:r>
          <w:rPr>
            <w:noProof/>
            <w:webHidden/>
          </w:rPr>
          <w:fldChar w:fldCharType="end"/>
        </w:r>
      </w:hyperlink>
    </w:p>
    <w:p w14:paraId="449C78A4" w14:textId="10456CDB"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21" w:history="1">
        <w:r w:rsidRPr="001E6B04">
          <w:rPr>
            <w:rStyle w:val="Hyperlink"/>
            <w:noProof/>
          </w:rPr>
          <w:t>5.2 Signs of transformational change</w:t>
        </w:r>
        <w:r>
          <w:rPr>
            <w:noProof/>
            <w:webHidden/>
          </w:rPr>
          <w:tab/>
        </w:r>
        <w:r>
          <w:rPr>
            <w:noProof/>
            <w:webHidden/>
          </w:rPr>
          <w:fldChar w:fldCharType="begin"/>
        </w:r>
        <w:r>
          <w:rPr>
            <w:noProof/>
            <w:webHidden/>
          </w:rPr>
          <w:instrText xml:space="preserve"> PAGEREF _Toc189155221 \h </w:instrText>
        </w:r>
        <w:r>
          <w:rPr>
            <w:noProof/>
            <w:webHidden/>
          </w:rPr>
        </w:r>
        <w:r>
          <w:rPr>
            <w:noProof/>
            <w:webHidden/>
          </w:rPr>
          <w:fldChar w:fldCharType="separate"/>
        </w:r>
        <w:r w:rsidR="0070688F">
          <w:rPr>
            <w:noProof/>
            <w:webHidden/>
          </w:rPr>
          <w:t>26</w:t>
        </w:r>
        <w:r>
          <w:rPr>
            <w:noProof/>
            <w:webHidden/>
          </w:rPr>
          <w:fldChar w:fldCharType="end"/>
        </w:r>
      </w:hyperlink>
    </w:p>
    <w:p w14:paraId="13FFFCEE" w14:textId="526DBD96"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26" w:history="1">
        <w:r w:rsidRPr="001E6B04">
          <w:rPr>
            <w:rStyle w:val="Hyperlink"/>
            <w:noProof/>
          </w:rPr>
          <w:t>5.3 Summary of case studies</w:t>
        </w:r>
        <w:r>
          <w:rPr>
            <w:noProof/>
            <w:webHidden/>
          </w:rPr>
          <w:tab/>
        </w:r>
        <w:r>
          <w:rPr>
            <w:noProof/>
            <w:webHidden/>
          </w:rPr>
          <w:fldChar w:fldCharType="begin"/>
        </w:r>
        <w:r>
          <w:rPr>
            <w:noProof/>
            <w:webHidden/>
          </w:rPr>
          <w:instrText xml:space="preserve"> PAGEREF _Toc189155226 \h </w:instrText>
        </w:r>
        <w:r>
          <w:rPr>
            <w:noProof/>
            <w:webHidden/>
          </w:rPr>
        </w:r>
        <w:r>
          <w:rPr>
            <w:noProof/>
            <w:webHidden/>
          </w:rPr>
          <w:fldChar w:fldCharType="separate"/>
        </w:r>
        <w:r w:rsidR="0070688F">
          <w:rPr>
            <w:noProof/>
            <w:webHidden/>
          </w:rPr>
          <w:t>35</w:t>
        </w:r>
        <w:r>
          <w:rPr>
            <w:noProof/>
            <w:webHidden/>
          </w:rPr>
          <w:fldChar w:fldCharType="end"/>
        </w:r>
      </w:hyperlink>
    </w:p>
    <w:p w14:paraId="5E9702D0" w14:textId="570F0DE4"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27" w:history="1">
        <w:r w:rsidRPr="001E6B04">
          <w:rPr>
            <w:rStyle w:val="Hyperlink"/>
            <w:noProof/>
          </w:rPr>
          <w:t>6 GEDSI Learning</w:t>
        </w:r>
        <w:r>
          <w:rPr>
            <w:noProof/>
            <w:webHidden/>
          </w:rPr>
          <w:tab/>
        </w:r>
        <w:r>
          <w:rPr>
            <w:noProof/>
            <w:webHidden/>
          </w:rPr>
          <w:fldChar w:fldCharType="begin"/>
        </w:r>
        <w:r>
          <w:rPr>
            <w:noProof/>
            <w:webHidden/>
          </w:rPr>
          <w:instrText xml:space="preserve"> PAGEREF _Toc189155227 \h </w:instrText>
        </w:r>
        <w:r>
          <w:rPr>
            <w:noProof/>
            <w:webHidden/>
          </w:rPr>
        </w:r>
        <w:r>
          <w:rPr>
            <w:noProof/>
            <w:webHidden/>
          </w:rPr>
          <w:fldChar w:fldCharType="separate"/>
        </w:r>
        <w:r w:rsidR="0070688F">
          <w:rPr>
            <w:noProof/>
            <w:webHidden/>
          </w:rPr>
          <w:t>41</w:t>
        </w:r>
        <w:r>
          <w:rPr>
            <w:noProof/>
            <w:webHidden/>
          </w:rPr>
          <w:fldChar w:fldCharType="end"/>
        </w:r>
      </w:hyperlink>
    </w:p>
    <w:p w14:paraId="6253C2EC" w14:textId="7794BAF7"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28" w:history="1">
        <w:r w:rsidRPr="001E6B04">
          <w:rPr>
            <w:rStyle w:val="Hyperlink"/>
            <w:noProof/>
          </w:rPr>
          <w:t>7 Value for Money</w:t>
        </w:r>
        <w:r>
          <w:rPr>
            <w:noProof/>
            <w:webHidden/>
          </w:rPr>
          <w:tab/>
        </w:r>
        <w:r>
          <w:rPr>
            <w:noProof/>
            <w:webHidden/>
          </w:rPr>
          <w:fldChar w:fldCharType="begin"/>
        </w:r>
        <w:r>
          <w:rPr>
            <w:noProof/>
            <w:webHidden/>
          </w:rPr>
          <w:instrText xml:space="preserve"> PAGEREF _Toc189155228 \h </w:instrText>
        </w:r>
        <w:r>
          <w:rPr>
            <w:noProof/>
            <w:webHidden/>
          </w:rPr>
        </w:r>
        <w:r>
          <w:rPr>
            <w:noProof/>
            <w:webHidden/>
          </w:rPr>
          <w:fldChar w:fldCharType="separate"/>
        </w:r>
        <w:r w:rsidR="0070688F">
          <w:rPr>
            <w:noProof/>
            <w:webHidden/>
          </w:rPr>
          <w:t>45</w:t>
        </w:r>
        <w:r>
          <w:rPr>
            <w:noProof/>
            <w:webHidden/>
          </w:rPr>
          <w:fldChar w:fldCharType="end"/>
        </w:r>
      </w:hyperlink>
    </w:p>
    <w:p w14:paraId="4269BE03" w14:textId="1FD59F73" w:rsidR="009B5463" w:rsidRDefault="009B5463">
      <w:pPr>
        <w:pStyle w:val="TOC1"/>
        <w:rPr>
          <w:rFonts w:asciiTheme="minorHAnsi" w:eastAsiaTheme="minorEastAsia" w:hAnsiTheme="minorHAnsi"/>
          <w:noProof/>
          <w:color w:val="auto"/>
          <w:kern w:val="2"/>
          <w:szCs w:val="24"/>
          <w:lang w:eastAsia="en-GB"/>
          <w14:ligatures w14:val="standardContextual"/>
        </w:rPr>
      </w:pPr>
      <w:hyperlink w:anchor="_Toc189155229" w:history="1">
        <w:r w:rsidRPr="001E6B04">
          <w:rPr>
            <w:rStyle w:val="Hyperlink"/>
            <w:noProof/>
          </w:rPr>
          <w:t>8 Conclusions, recommendations and lessons</w:t>
        </w:r>
        <w:r>
          <w:rPr>
            <w:noProof/>
            <w:webHidden/>
          </w:rPr>
          <w:tab/>
        </w:r>
        <w:r>
          <w:rPr>
            <w:noProof/>
            <w:webHidden/>
          </w:rPr>
          <w:fldChar w:fldCharType="begin"/>
        </w:r>
        <w:r>
          <w:rPr>
            <w:noProof/>
            <w:webHidden/>
          </w:rPr>
          <w:instrText xml:space="preserve"> PAGEREF _Toc189155229 \h </w:instrText>
        </w:r>
        <w:r>
          <w:rPr>
            <w:noProof/>
            <w:webHidden/>
          </w:rPr>
        </w:r>
        <w:r>
          <w:rPr>
            <w:noProof/>
            <w:webHidden/>
          </w:rPr>
          <w:fldChar w:fldCharType="separate"/>
        </w:r>
        <w:r w:rsidR="0070688F">
          <w:rPr>
            <w:noProof/>
            <w:webHidden/>
          </w:rPr>
          <w:t>47</w:t>
        </w:r>
        <w:r>
          <w:rPr>
            <w:noProof/>
            <w:webHidden/>
          </w:rPr>
          <w:fldChar w:fldCharType="end"/>
        </w:r>
      </w:hyperlink>
    </w:p>
    <w:p w14:paraId="6DAB509B" w14:textId="6152D338"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30" w:history="1">
        <w:r w:rsidRPr="001E6B04">
          <w:rPr>
            <w:rStyle w:val="Hyperlink"/>
            <w:noProof/>
          </w:rPr>
          <w:t>8.1 Conclusions</w:t>
        </w:r>
        <w:r>
          <w:rPr>
            <w:noProof/>
            <w:webHidden/>
          </w:rPr>
          <w:tab/>
        </w:r>
        <w:r>
          <w:rPr>
            <w:noProof/>
            <w:webHidden/>
          </w:rPr>
          <w:fldChar w:fldCharType="begin"/>
        </w:r>
        <w:r>
          <w:rPr>
            <w:noProof/>
            <w:webHidden/>
          </w:rPr>
          <w:instrText xml:space="preserve"> PAGEREF _Toc189155230 \h </w:instrText>
        </w:r>
        <w:r>
          <w:rPr>
            <w:noProof/>
            <w:webHidden/>
          </w:rPr>
        </w:r>
        <w:r>
          <w:rPr>
            <w:noProof/>
            <w:webHidden/>
          </w:rPr>
          <w:fldChar w:fldCharType="separate"/>
        </w:r>
        <w:r w:rsidR="0070688F">
          <w:rPr>
            <w:noProof/>
            <w:webHidden/>
          </w:rPr>
          <w:t>47</w:t>
        </w:r>
        <w:r>
          <w:rPr>
            <w:noProof/>
            <w:webHidden/>
          </w:rPr>
          <w:fldChar w:fldCharType="end"/>
        </w:r>
      </w:hyperlink>
    </w:p>
    <w:p w14:paraId="60402A24" w14:textId="417E0062"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31" w:history="1">
        <w:r w:rsidRPr="001E6B04">
          <w:rPr>
            <w:rStyle w:val="Hyperlink"/>
            <w:noProof/>
          </w:rPr>
          <w:t>8.2 Recommendations</w:t>
        </w:r>
        <w:r>
          <w:rPr>
            <w:noProof/>
            <w:webHidden/>
          </w:rPr>
          <w:tab/>
        </w:r>
        <w:r>
          <w:rPr>
            <w:noProof/>
            <w:webHidden/>
          </w:rPr>
          <w:fldChar w:fldCharType="begin"/>
        </w:r>
        <w:r>
          <w:rPr>
            <w:noProof/>
            <w:webHidden/>
          </w:rPr>
          <w:instrText xml:space="preserve"> PAGEREF _Toc189155231 \h </w:instrText>
        </w:r>
        <w:r>
          <w:rPr>
            <w:noProof/>
            <w:webHidden/>
          </w:rPr>
        </w:r>
        <w:r>
          <w:rPr>
            <w:noProof/>
            <w:webHidden/>
          </w:rPr>
          <w:fldChar w:fldCharType="separate"/>
        </w:r>
        <w:r w:rsidR="0070688F">
          <w:rPr>
            <w:noProof/>
            <w:webHidden/>
          </w:rPr>
          <w:t>49</w:t>
        </w:r>
        <w:r>
          <w:rPr>
            <w:noProof/>
            <w:webHidden/>
          </w:rPr>
          <w:fldChar w:fldCharType="end"/>
        </w:r>
      </w:hyperlink>
    </w:p>
    <w:p w14:paraId="26A1F8CE" w14:textId="19E17ECE"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38" w:history="1">
        <w:r w:rsidRPr="001E6B04">
          <w:rPr>
            <w:rStyle w:val="Hyperlink"/>
            <w:noProof/>
          </w:rPr>
          <w:t>8.3 Wider lessons</w:t>
        </w:r>
        <w:r>
          <w:rPr>
            <w:noProof/>
            <w:webHidden/>
          </w:rPr>
          <w:tab/>
        </w:r>
        <w:r>
          <w:rPr>
            <w:noProof/>
            <w:webHidden/>
          </w:rPr>
          <w:fldChar w:fldCharType="begin"/>
        </w:r>
        <w:r>
          <w:rPr>
            <w:noProof/>
            <w:webHidden/>
          </w:rPr>
          <w:instrText xml:space="preserve"> PAGEREF _Toc189155238 \h </w:instrText>
        </w:r>
        <w:r>
          <w:rPr>
            <w:noProof/>
            <w:webHidden/>
          </w:rPr>
        </w:r>
        <w:r>
          <w:rPr>
            <w:noProof/>
            <w:webHidden/>
          </w:rPr>
          <w:fldChar w:fldCharType="separate"/>
        </w:r>
        <w:r w:rsidR="0070688F">
          <w:rPr>
            <w:noProof/>
            <w:webHidden/>
          </w:rPr>
          <w:t>52</w:t>
        </w:r>
        <w:r>
          <w:rPr>
            <w:noProof/>
            <w:webHidden/>
          </w:rPr>
          <w:fldChar w:fldCharType="end"/>
        </w:r>
      </w:hyperlink>
    </w:p>
    <w:p w14:paraId="68D95495" w14:textId="7ACA5815" w:rsidR="009B5463" w:rsidRDefault="009B5463">
      <w:pPr>
        <w:pStyle w:val="TOC2"/>
        <w:rPr>
          <w:rFonts w:asciiTheme="minorHAnsi" w:eastAsiaTheme="minorEastAsia" w:hAnsiTheme="minorHAnsi"/>
          <w:noProof/>
          <w:color w:val="auto"/>
          <w:kern w:val="2"/>
          <w:szCs w:val="24"/>
          <w:lang w:eastAsia="en-GB"/>
          <w14:ligatures w14:val="standardContextual"/>
        </w:rPr>
      </w:pPr>
      <w:hyperlink w:anchor="_Toc189155244" w:history="1">
        <w:r w:rsidRPr="001E6B04">
          <w:rPr>
            <w:rStyle w:val="Hyperlink"/>
            <w:noProof/>
          </w:rPr>
          <w:t>8.4 Use and influence plan</w:t>
        </w:r>
        <w:r>
          <w:rPr>
            <w:noProof/>
            <w:webHidden/>
          </w:rPr>
          <w:tab/>
        </w:r>
        <w:r>
          <w:rPr>
            <w:noProof/>
            <w:webHidden/>
          </w:rPr>
          <w:fldChar w:fldCharType="begin"/>
        </w:r>
        <w:r>
          <w:rPr>
            <w:noProof/>
            <w:webHidden/>
          </w:rPr>
          <w:instrText xml:space="preserve"> PAGEREF _Toc189155244 \h </w:instrText>
        </w:r>
        <w:r>
          <w:rPr>
            <w:noProof/>
            <w:webHidden/>
          </w:rPr>
        </w:r>
        <w:r>
          <w:rPr>
            <w:noProof/>
            <w:webHidden/>
          </w:rPr>
          <w:fldChar w:fldCharType="separate"/>
        </w:r>
        <w:r w:rsidR="0070688F">
          <w:rPr>
            <w:noProof/>
            <w:webHidden/>
          </w:rPr>
          <w:t>54</w:t>
        </w:r>
        <w:r>
          <w:rPr>
            <w:noProof/>
            <w:webHidden/>
          </w:rPr>
          <w:fldChar w:fldCharType="end"/>
        </w:r>
      </w:hyperlink>
    </w:p>
    <w:p w14:paraId="607C3EE2" w14:textId="78B14670" w:rsidR="00447D7A" w:rsidRDefault="00E45851" w:rsidP="00447D7A">
      <w:r>
        <w:fldChar w:fldCharType="end"/>
      </w:r>
    </w:p>
    <w:p w14:paraId="008D8C7D" w14:textId="10A7F285" w:rsidR="00BF474E" w:rsidRDefault="00BF474E" w:rsidP="001F1F6A">
      <w:pPr>
        <w:rPr>
          <w:rFonts w:eastAsiaTheme="majorEastAsia" w:cstheme="majorBidi"/>
          <w:color w:val="041E42"/>
          <w:sz w:val="52"/>
          <w:szCs w:val="32"/>
        </w:rPr>
      </w:pPr>
      <w:r>
        <w:br w:type="page"/>
      </w:r>
    </w:p>
    <w:p w14:paraId="3A0D4F38" w14:textId="3325678F" w:rsidR="00CA2C15" w:rsidRDefault="00CA2C15" w:rsidP="00CA2C15">
      <w:pPr>
        <w:pStyle w:val="Heading1"/>
      </w:pPr>
      <w:bookmarkStart w:id="0" w:name="_Toc189155205"/>
      <w:r>
        <w:t>List of acronyms</w:t>
      </w:r>
      <w:bookmarkEnd w:id="0"/>
    </w:p>
    <w:p w14:paraId="5CA5D43C" w14:textId="53FD5E09" w:rsidR="00CA2C15" w:rsidRPr="00DF510D" w:rsidRDefault="00CA2C15" w:rsidP="00DF510D">
      <w:pPr>
        <w:spacing w:after="200"/>
        <w:rPr>
          <w:szCs w:val="24"/>
        </w:rPr>
      </w:pPr>
      <w:r w:rsidRPr="00DF510D">
        <w:rPr>
          <w:szCs w:val="24"/>
        </w:rPr>
        <w:t>APEX</w:t>
      </w:r>
      <w:r w:rsidRPr="00DF510D">
        <w:rPr>
          <w:szCs w:val="24"/>
        </w:rPr>
        <w:tab/>
      </w:r>
      <w:r w:rsidRPr="00DF510D">
        <w:rPr>
          <w:szCs w:val="24"/>
        </w:rPr>
        <w:tab/>
        <w:t>Advanced Practices for Environmental Excellence</w:t>
      </w:r>
    </w:p>
    <w:p w14:paraId="60CBFB1B" w14:textId="77777777" w:rsidR="00CA2C15" w:rsidRPr="00DF510D" w:rsidRDefault="00CA2C15" w:rsidP="00DF510D">
      <w:pPr>
        <w:spacing w:after="200"/>
        <w:rPr>
          <w:szCs w:val="24"/>
        </w:rPr>
      </w:pPr>
      <w:r w:rsidRPr="00DF510D">
        <w:rPr>
          <w:szCs w:val="24"/>
        </w:rPr>
        <w:t>BEIS</w:t>
      </w:r>
      <w:r w:rsidRPr="00DF510D">
        <w:rPr>
          <w:szCs w:val="24"/>
        </w:rPr>
        <w:tab/>
      </w:r>
      <w:r w:rsidRPr="00DF510D">
        <w:rPr>
          <w:szCs w:val="24"/>
        </w:rPr>
        <w:tab/>
        <w:t>Department for Business, Energy, and Industrial Strategy</w:t>
      </w:r>
    </w:p>
    <w:p w14:paraId="0C6D1793" w14:textId="77777777" w:rsidR="00CA2C15" w:rsidRPr="00DF510D" w:rsidRDefault="00CA2C15" w:rsidP="00DF510D">
      <w:pPr>
        <w:spacing w:after="200"/>
        <w:rPr>
          <w:szCs w:val="24"/>
        </w:rPr>
      </w:pPr>
      <w:r w:rsidRPr="00DF510D">
        <w:rPr>
          <w:szCs w:val="24"/>
        </w:rPr>
        <w:t>CAFI</w:t>
      </w:r>
      <w:r w:rsidRPr="00DF510D">
        <w:rPr>
          <w:szCs w:val="24"/>
        </w:rPr>
        <w:tab/>
      </w:r>
      <w:r w:rsidRPr="00DF510D">
        <w:rPr>
          <w:szCs w:val="24"/>
        </w:rPr>
        <w:tab/>
        <w:t>Climate Assessment for Financial Institutions tool</w:t>
      </w:r>
    </w:p>
    <w:p w14:paraId="502E10EF" w14:textId="77777777" w:rsidR="00CA2C15" w:rsidRPr="00DF510D" w:rsidRDefault="00CA2C15" w:rsidP="00DF510D">
      <w:pPr>
        <w:spacing w:after="200"/>
        <w:rPr>
          <w:szCs w:val="24"/>
        </w:rPr>
      </w:pPr>
      <w:r w:rsidRPr="00DF510D">
        <w:rPr>
          <w:szCs w:val="24"/>
        </w:rPr>
        <w:t>CBD</w:t>
      </w:r>
      <w:r w:rsidRPr="00DF510D">
        <w:rPr>
          <w:szCs w:val="24"/>
        </w:rPr>
        <w:tab/>
      </w:r>
      <w:r w:rsidRPr="00DF510D">
        <w:rPr>
          <w:szCs w:val="24"/>
        </w:rPr>
        <w:tab/>
        <w:t>ICF’s Climate Business Department</w:t>
      </w:r>
    </w:p>
    <w:p w14:paraId="124C72F3" w14:textId="77777777" w:rsidR="00CA2C15" w:rsidRPr="00DF510D" w:rsidRDefault="00CA2C15" w:rsidP="00DF510D">
      <w:pPr>
        <w:spacing w:after="200"/>
        <w:rPr>
          <w:szCs w:val="24"/>
        </w:rPr>
      </w:pPr>
      <w:r w:rsidRPr="00DF510D">
        <w:rPr>
          <w:szCs w:val="24"/>
        </w:rPr>
        <w:t>CBF</w:t>
      </w:r>
      <w:r w:rsidRPr="00DF510D">
        <w:rPr>
          <w:szCs w:val="24"/>
        </w:rPr>
        <w:tab/>
      </w:r>
      <w:r w:rsidRPr="00DF510D">
        <w:rPr>
          <w:szCs w:val="24"/>
        </w:rPr>
        <w:tab/>
        <w:t>IFC’s Partnerships and Blended Finance Department</w:t>
      </w:r>
    </w:p>
    <w:p w14:paraId="19E28AC1" w14:textId="77777777" w:rsidR="00CA2C15" w:rsidRPr="00DF510D" w:rsidRDefault="00CA2C15" w:rsidP="00DF510D">
      <w:pPr>
        <w:spacing w:after="200"/>
        <w:rPr>
          <w:szCs w:val="24"/>
        </w:rPr>
      </w:pPr>
      <w:r w:rsidRPr="00DF510D">
        <w:rPr>
          <w:szCs w:val="24"/>
        </w:rPr>
        <w:t>CDI</w:t>
      </w:r>
      <w:r w:rsidRPr="00DF510D">
        <w:rPr>
          <w:szCs w:val="24"/>
        </w:rPr>
        <w:tab/>
      </w:r>
      <w:r w:rsidRPr="00DF510D">
        <w:rPr>
          <w:szCs w:val="24"/>
        </w:rPr>
        <w:tab/>
        <w:t>IFC’s Development Impact Measurement Department</w:t>
      </w:r>
    </w:p>
    <w:p w14:paraId="22F1C39D" w14:textId="77777777" w:rsidR="00CA2C15" w:rsidRPr="00DF510D" w:rsidRDefault="00CA2C15" w:rsidP="00DF510D">
      <w:pPr>
        <w:spacing w:after="200"/>
        <w:rPr>
          <w:szCs w:val="24"/>
        </w:rPr>
      </w:pPr>
      <w:r w:rsidRPr="00DF510D">
        <w:rPr>
          <w:szCs w:val="24"/>
        </w:rPr>
        <w:t>COVID-19</w:t>
      </w:r>
      <w:r w:rsidRPr="00DF510D">
        <w:rPr>
          <w:szCs w:val="24"/>
        </w:rPr>
        <w:tab/>
        <w:t>Coronavirus Disease 2019</w:t>
      </w:r>
    </w:p>
    <w:p w14:paraId="2FEA2C09" w14:textId="77777777" w:rsidR="00CA2C15" w:rsidRPr="00DF510D" w:rsidRDefault="00CA2C15" w:rsidP="00DF510D">
      <w:pPr>
        <w:spacing w:after="200"/>
        <w:rPr>
          <w:szCs w:val="24"/>
        </w:rPr>
      </w:pPr>
      <w:r w:rsidRPr="00DF510D">
        <w:rPr>
          <w:szCs w:val="24"/>
        </w:rPr>
        <w:t>DEFRA</w:t>
      </w:r>
      <w:r w:rsidRPr="00DF510D">
        <w:rPr>
          <w:szCs w:val="24"/>
        </w:rPr>
        <w:tab/>
        <w:t>Department for Environment, Food and Rural Affairs</w:t>
      </w:r>
    </w:p>
    <w:p w14:paraId="45A8327B" w14:textId="77777777" w:rsidR="00CA2C15" w:rsidRPr="00DF510D" w:rsidRDefault="00CA2C15" w:rsidP="00DF510D">
      <w:pPr>
        <w:spacing w:after="200"/>
        <w:rPr>
          <w:szCs w:val="24"/>
        </w:rPr>
      </w:pPr>
      <w:r w:rsidRPr="00DF510D">
        <w:rPr>
          <w:szCs w:val="24"/>
        </w:rPr>
        <w:t>DESNZ</w:t>
      </w:r>
      <w:r w:rsidRPr="00DF510D">
        <w:rPr>
          <w:szCs w:val="24"/>
        </w:rPr>
        <w:tab/>
        <w:t>Department for Energy Security and Net Zero</w:t>
      </w:r>
    </w:p>
    <w:p w14:paraId="60A57106" w14:textId="77777777" w:rsidR="00CA2C15" w:rsidRPr="00DF510D" w:rsidRDefault="00CA2C15" w:rsidP="00DF510D">
      <w:pPr>
        <w:spacing w:after="200"/>
        <w:rPr>
          <w:szCs w:val="24"/>
        </w:rPr>
      </w:pPr>
      <w:r w:rsidRPr="00DF510D">
        <w:rPr>
          <w:szCs w:val="24"/>
        </w:rPr>
        <w:t>DFI</w:t>
      </w:r>
      <w:r w:rsidRPr="00DF510D">
        <w:rPr>
          <w:szCs w:val="24"/>
        </w:rPr>
        <w:tab/>
      </w:r>
      <w:r w:rsidRPr="00DF510D">
        <w:rPr>
          <w:szCs w:val="24"/>
        </w:rPr>
        <w:tab/>
        <w:t>Development Finance Institutions</w:t>
      </w:r>
    </w:p>
    <w:p w14:paraId="45EDD2F0" w14:textId="77777777" w:rsidR="00CA2C15" w:rsidRPr="00DF510D" w:rsidRDefault="00CA2C15" w:rsidP="00DF510D">
      <w:pPr>
        <w:spacing w:after="200"/>
        <w:rPr>
          <w:szCs w:val="24"/>
        </w:rPr>
      </w:pPr>
      <w:r w:rsidRPr="00DF510D">
        <w:rPr>
          <w:szCs w:val="24"/>
        </w:rPr>
        <w:t>DP</w:t>
      </w:r>
      <w:r w:rsidRPr="00DF510D">
        <w:rPr>
          <w:szCs w:val="24"/>
        </w:rPr>
        <w:tab/>
      </w:r>
      <w:r w:rsidRPr="00DF510D">
        <w:rPr>
          <w:szCs w:val="24"/>
        </w:rPr>
        <w:tab/>
        <w:t>Delivery Partner</w:t>
      </w:r>
    </w:p>
    <w:p w14:paraId="4FC22045" w14:textId="77777777" w:rsidR="00CA2C15" w:rsidRPr="00DF510D" w:rsidRDefault="00CA2C15" w:rsidP="00DF510D">
      <w:pPr>
        <w:spacing w:after="200"/>
        <w:rPr>
          <w:szCs w:val="24"/>
        </w:rPr>
      </w:pPr>
      <w:r w:rsidRPr="00DF510D">
        <w:rPr>
          <w:szCs w:val="24"/>
        </w:rPr>
        <w:t>EBRD</w:t>
      </w:r>
      <w:r w:rsidRPr="00DF510D">
        <w:rPr>
          <w:szCs w:val="24"/>
        </w:rPr>
        <w:tab/>
      </w:r>
      <w:r w:rsidRPr="00DF510D">
        <w:rPr>
          <w:szCs w:val="24"/>
        </w:rPr>
        <w:tab/>
        <w:t>European Bank for Reconstruction and Development</w:t>
      </w:r>
      <w:r w:rsidRPr="00DF510D">
        <w:rPr>
          <w:szCs w:val="24"/>
        </w:rPr>
        <w:tab/>
      </w:r>
    </w:p>
    <w:p w14:paraId="655CE429" w14:textId="77777777" w:rsidR="00CA2C15" w:rsidRPr="00DF510D" w:rsidRDefault="00CA2C15" w:rsidP="00DF510D">
      <w:pPr>
        <w:spacing w:after="200"/>
        <w:rPr>
          <w:szCs w:val="24"/>
        </w:rPr>
      </w:pPr>
      <w:r w:rsidRPr="00DF510D">
        <w:rPr>
          <w:szCs w:val="24"/>
        </w:rPr>
        <w:t>EDGE</w:t>
      </w:r>
      <w:r w:rsidRPr="00DF510D">
        <w:rPr>
          <w:szCs w:val="24"/>
        </w:rPr>
        <w:tab/>
      </w:r>
      <w:r w:rsidRPr="00DF510D">
        <w:rPr>
          <w:szCs w:val="24"/>
        </w:rPr>
        <w:tab/>
        <w:t>Excellence in Design for Greater Efficiencies (certification system)</w:t>
      </w:r>
    </w:p>
    <w:p w14:paraId="37A9E4B8" w14:textId="77777777" w:rsidR="00CA2C15" w:rsidRPr="00DF510D" w:rsidRDefault="00CA2C15" w:rsidP="00DF510D">
      <w:pPr>
        <w:spacing w:after="200"/>
        <w:rPr>
          <w:szCs w:val="24"/>
        </w:rPr>
      </w:pPr>
      <w:r w:rsidRPr="00DF510D">
        <w:rPr>
          <w:szCs w:val="24"/>
        </w:rPr>
        <w:t>ESG</w:t>
      </w:r>
      <w:r w:rsidRPr="00DF510D">
        <w:rPr>
          <w:szCs w:val="24"/>
        </w:rPr>
        <w:tab/>
      </w:r>
      <w:r w:rsidRPr="00DF510D">
        <w:rPr>
          <w:szCs w:val="24"/>
        </w:rPr>
        <w:tab/>
        <w:t>Environmental, Social, and Governance</w:t>
      </w:r>
    </w:p>
    <w:p w14:paraId="0BB828EF" w14:textId="77777777" w:rsidR="00CA2C15" w:rsidRPr="00DF510D" w:rsidRDefault="00CA2C15" w:rsidP="00DF510D">
      <w:pPr>
        <w:spacing w:after="200"/>
        <w:rPr>
          <w:szCs w:val="24"/>
        </w:rPr>
      </w:pPr>
      <w:r w:rsidRPr="00DF510D">
        <w:rPr>
          <w:szCs w:val="24"/>
        </w:rPr>
        <w:t>EQ</w:t>
      </w:r>
      <w:r w:rsidRPr="00DF510D">
        <w:rPr>
          <w:szCs w:val="24"/>
        </w:rPr>
        <w:tab/>
      </w:r>
      <w:r w:rsidRPr="00DF510D">
        <w:rPr>
          <w:szCs w:val="24"/>
        </w:rPr>
        <w:tab/>
        <w:t>Evaluation Question</w:t>
      </w:r>
    </w:p>
    <w:p w14:paraId="3307143E" w14:textId="77777777" w:rsidR="00CA2C15" w:rsidRPr="00DF510D" w:rsidRDefault="00CA2C15" w:rsidP="00DF510D">
      <w:pPr>
        <w:spacing w:after="200"/>
        <w:rPr>
          <w:szCs w:val="24"/>
        </w:rPr>
      </w:pPr>
      <w:r w:rsidRPr="00DF510D">
        <w:rPr>
          <w:szCs w:val="24"/>
        </w:rPr>
        <w:t>EQUALS</w:t>
      </w:r>
      <w:r w:rsidRPr="00DF510D">
        <w:rPr>
          <w:szCs w:val="24"/>
        </w:rPr>
        <w:tab/>
        <w:t>Evaluation Quality Assurance and Learning Stakeholders</w:t>
      </w:r>
    </w:p>
    <w:p w14:paraId="31A069F0" w14:textId="77777777" w:rsidR="00CA2C15" w:rsidRPr="00DF510D" w:rsidRDefault="00CA2C15" w:rsidP="00DF510D">
      <w:pPr>
        <w:spacing w:after="200"/>
        <w:rPr>
          <w:szCs w:val="24"/>
        </w:rPr>
      </w:pPr>
      <w:r w:rsidRPr="00DF510D">
        <w:rPr>
          <w:szCs w:val="24"/>
        </w:rPr>
        <w:t>FCDO</w:t>
      </w:r>
      <w:r w:rsidRPr="00DF510D">
        <w:rPr>
          <w:szCs w:val="24"/>
        </w:rPr>
        <w:tab/>
      </w:r>
      <w:r w:rsidRPr="00DF510D">
        <w:rPr>
          <w:szCs w:val="24"/>
        </w:rPr>
        <w:tab/>
        <w:t>Foreign, Commonwealth and Development Office</w:t>
      </w:r>
    </w:p>
    <w:p w14:paraId="720CE6BD" w14:textId="77777777" w:rsidR="00CA2C15" w:rsidRPr="00DF510D" w:rsidRDefault="00CA2C15" w:rsidP="00DF510D">
      <w:pPr>
        <w:spacing w:after="200"/>
        <w:rPr>
          <w:szCs w:val="24"/>
        </w:rPr>
      </w:pPr>
      <w:r w:rsidRPr="00DF510D">
        <w:rPr>
          <w:szCs w:val="24"/>
        </w:rPr>
        <w:t>FI</w:t>
      </w:r>
      <w:r w:rsidRPr="00DF510D">
        <w:rPr>
          <w:szCs w:val="24"/>
        </w:rPr>
        <w:tab/>
      </w:r>
      <w:r w:rsidRPr="00DF510D">
        <w:rPr>
          <w:szCs w:val="24"/>
        </w:rPr>
        <w:tab/>
        <w:t>Financial Intermediary</w:t>
      </w:r>
    </w:p>
    <w:p w14:paraId="73FCD698" w14:textId="6E9F4D02" w:rsidR="00CA2C15" w:rsidRPr="00DF510D" w:rsidRDefault="00CA2C15" w:rsidP="00DF510D">
      <w:pPr>
        <w:spacing w:after="200"/>
        <w:rPr>
          <w:szCs w:val="24"/>
        </w:rPr>
      </w:pPr>
      <w:r w:rsidRPr="00DF510D">
        <w:rPr>
          <w:szCs w:val="24"/>
        </w:rPr>
        <w:t>FIG</w:t>
      </w:r>
      <w:r w:rsidRPr="00DF510D">
        <w:rPr>
          <w:szCs w:val="24"/>
        </w:rPr>
        <w:tab/>
      </w:r>
      <w:r w:rsidRPr="00DF510D">
        <w:rPr>
          <w:szCs w:val="24"/>
        </w:rPr>
        <w:tab/>
        <w:t>IF</w:t>
      </w:r>
      <w:r w:rsidR="00F6729B" w:rsidRPr="00DF510D">
        <w:rPr>
          <w:szCs w:val="24"/>
        </w:rPr>
        <w:t>C</w:t>
      </w:r>
      <w:r w:rsidRPr="00DF510D">
        <w:rPr>
          <w:szCs w:val="24"/>
        </w:rPr>
        <w:t>’s Financial Institution</w:t>
      </w:r>
      <w:r w:rsidR="002B44C9" w:rsidRPr="00DF510D">
        <w:rPr>
          <w:szCs w:val="24"/>
        </w:rPr>
        <w:t>s</w:t>
      </w:r>
      <w:r w:rsidRPr="00DF510D">
        <w:rPr>
          <w:szCs w:val="24"/>
        </w:rPr>
        <w:t xml:space="preserve"> Group</w:t>
      </w:r>
    </w:p>
    <w:p w14:paraId="45C181D3" w14:textId="77777777" w:rsidR="00CA2C15" w:rsidRPr="00DF510D" w:rsidRDefault="00CA2C15" w:rsidP="00DF510D">
      <w:pPr>
        <w:spacing w:after="200"/>
        <w:rPr>
          <w:szCs w:val="24"/>
        </w:rPr>
      </w:pPr>
      <w:r w:rsidRPr="00DF510D">
        <w:rPr>
          <w:szCs w:val="24"/>
        </w:rPr>
        <w:t>FY</w:t>
      </w:r>
      <w:r w:rsidRPr="00DF510D">
        <w:rPr>
          <w:szCs w:val="24"/>
        </w:rPr>
        <w:tab/>
      </w:r>
      <w:r w:rsidRPr="00DF510D">
        <w:rPr>
          <w:szCs w:val="24"/>
        </w:rPr>
        <w:tab/>
        <w:t>Financial Year</w:t>
      </w:r>
    </w:p>
    <w:p w14:paraId="2B9E5831" w14:textId="77777777" w:rsidR="00CA2C15" w:rsidRPr="00DF510D" w:rsidRDefault="00CA2C15" w:rsidP="00DF510D">
      <w:pPr>
        <w:spacing w:after="200"/>
        <w:rPr>
          <w:szCs w:val="24"/>
        </w:rPr>
      </w:pPr>
      <w:r w:rsidRPr="00DF510D">
        <w:rPr>
          <w:szCs w:val="24"/>
        </w:rPr>
        <w:t>GBP</w:t>
      </w:r>
      <w:r w:rsidRPr="00DF510D">
        <w:rPr>
          <w:szCs w:val="24"/>
        </w:rPr>
        <w:tab/>
      </w:r>
      <w:r w:rsidRPr="00DF510D">
        <w:rPr>
          <w:szCs w:val="24"/>
        </w:rPr>
        <w:tab/>
        <w:t>Green Building Professionals (India)</w:t>
      </w:r>
    </w:p>
    <w:p w14:paraId="74AA0FC9" w14:textId="77777777" w:rsidR="00CA2C15" w:rsidRPr="00DF510D" w:rsidRDefault="00CA2C15" w:rsidP="00DF510D">
      <w:pPr>
        <w:spacing w:after="200"/>
        <w:rPr>
          <w:szCs w:val="24"/>
        </w:rPr>
      </w:pPr>
      <w:r w:rsidRPr="00DF510D">
        <w:rPr>
          <w:szCs w:val="24"/>
        </w:rPr>
        <w:t>GC</w:t>
      </w:r>
      <w:r w:rsidRPr="00DF510D">
        <w:rPr>
          <w:szCs w:val="24"/>
        </w:rPr>
        <w:tab/>
      </w:r>
      <w:r w:rsidRPr="00DF510D">
        <w:rPr>
          <w:szCs w:val="24"/>
        </w:rPr>
        <w:tab/>
        <w:t>Green Construction</w:t>
      </w:r>
    </w:p>
    <w:p w14:paraId="3B2C96DE" w14:textId="77777777" w:rsidR="00CA2C15" w:rsidRPr="00DF510D" w:rsidRDefault="00CA2C15" w:rsidP="00DF510D">
      <w:pPr>
        <w:spacing w:after="200"/>
        <w:rPr>
          <w:szCs w:val="24"/>
        </w:rPr>
      </w:pPr>
      <w:r w:rsidRPr="00DF510D">
        <w:rPr>
          <w:szCs w:val="24"/>
        </w:rPr>
        <w:t>GDPR</w:t>
      </w:r>
      <w:r w:rsidRPr="00DF510D">
        <w:rPr>
          <w:szCs w:val="24"/>
        </w:rPr>
        <w:tab/>
      </w:r>
      <w:r w:rsidRPr="00DF510D">
        <w:rPr>
          <w:szCs w:val="24"/>
        </w:rPr>
        <w:tab/>
        <w:t>General Data Protection Regulation</w:t>
      </w:r>
    </w:p>
    <w:p w14:paraId="38A49E70" w14:textId="77777777" w:rsidR="00CA2C15" w:rsidRPr="00DF510D" w:rsidRDefault="00CA2C15" w:rsidP="00DF510D">
      <w:pPr>
        <w:spacing w:after="200"/>
        <w:rPr>
          <w:szCs w:val="24"/>
        </w:rPr>
      </w:pPr>
      <w:r w:rsidRPr="00DF510D">
        <w:rPr>
          <w:szCs w:val="24"/>
        </w:rPr>
        <w:t>GEDSI</w:t>
      </w:r>
      <w:r w:rsidRPr="00DF510D">
        <w:rPr>
          <w:szCs w:val="24"/>
        </w:rPr>
        <w:tab/>
        <w:t>Gender Equality, Disability and Social Inclusion</w:t>
      </w:r>
    </w:p>
    <w:p w14:paraId="1E5EF5B9" w14:textId="77777777" w:rsidR="00CA2C15" w:rsidRPr="00DF510D" w:rsidRDefault="00CA2C15" w:rsidP="00DF510D">
      <w:pPr>
        <w:spacing w:after="200"/>
        <w:rPr>
          <w:szCs w:val="24"/>
        </w:rPr>
      </w:pPr>
      <w:r w:rsidRPr="00DF510D">
        <w:rPr>
          <w:szCs w:val="24"/>
        </w:rPr>
        <w:t>GEFF</w:t>
      </w:r>
      <w:r w:rsidRPr="00DF510D">
        <w:rPr>
          <w:szCs w:val="24"/>
        </w:rPr>
        <w:tab/>
      </w:r>
      <w:r w:rsidRPr="00DF510D">
        <w:rPr>
          <w:szCs w:val="24"/>
        </w:rPr>
        <w:tab/>
        <w:t>Green Economy Financing Facility</w:t>
      </w:r>
    </w:p>
    <w:p w14:paraId="3C05752D" w14:textId="77777777" w:rsidR="00CA2C15" w:rsidRPr="00DF510D" w:rsidRDefault="00CA2C15" w:rsidP="00DF510D">
      <w:pPr>
        <w:spacing w:after="200"/>
        <w:rPr>
          <w:szCs w:val="24"/>
        </w:rPr>
      </w:pPr>
      <w:r w:rsidRPr="00DF510D">
        <w:rPr>
          <w:szCs w:val="24"/>
        </w:rPr>
        <w:t>GHG</w:t>
      </w:r>
      <w:r w:rsidRPr="00DF510D">
        <w:rPr>
          <w:szCs w:val="24"/>
        </w:rPr>
        <w:tab/>
      </w:r>
      <w:r w:rsidRPr="00DF510D">
        <w:rPr>
          <w:szCs w:val="24"/>
        </w:rPr>
        <w:tab/>
        <w:t>Greenhouse Gas</w:t>
      </w:r>
    </w:p>
    <w:p w14:paraId="386D1750" w14:textId="77777777" w:rsidR="00CA2C15" w:rsidRPr="00DF510D" w:rsidRDefault="00CA2C15" w:rsidP="00DF510D">
      <w:pPr>
        <w:spacing w:after="200"/>
        <w:rPr>
          <w:szCs w:val="24"/>
        </w:rPr>
      </w:pPr>
      <w:r w:rsidRPr="00DF510D">
        <w:rPr>
          <w:szCs w:val="24"/>
        </w:rPr>
        <w:t>GPRS</w:t>
      </w:r>
      <w:r w:rsidRPr="00DF510D">
        <w:rPr>
          <w:szCs w:val="24"/>
        </w:rPr>
        <w:tab/>
      </w:r>
      <w:r w:rsidRPr="00DF510D">
        <w:rPr>
          <w:szCs w:val="24"/>
        </w:rPr>
        <w:tab/>
        <w:t>Green Pyramid Rating System (Egypt)</w:t>
      </w:r>
    </w:p>
    <w:p w14:paraId="4C243B58" w14:textId="77777777" w:rsidR="00CA2C15" w:rsidRPr="00DF510D" w:rsidRDefault="00CA2C15" w:rsidP="00DF510D">
      <w:pPr>
        <w:spacing w:after="200"/>
        <w:rPr>
          <w:szCs w:val="24"/>
        </w:rPr>
      </w:pPr>
      <w:r w:rsidRPr="00DF510D">
        <w:rPr>
          <w:szCs w:val="24"/>
        </w:rPr>
        <w:t>HMG</w:t>
      </w:r>
      <w:r w:rsidRPr="00DF510D">
        <w:rPr>
          <w:szCs w:val="24"/>
        </w:rPr>
        <w:tab/>
      </w:r>
      <w:r w:rsidRPr="00DF510D">
        <w:rPr>
          <w:szCs w:val="24"/>
        </w:rPr>
        <w:tab/>
        <w:t>His Majesty's Government</w:t>
      </w:r>
    </w:p>
    <w:p w14:paraId="5C186478" w14:textId="77777777" w:rsidR="00CA2C15" w:rsidRPr="00DF510D" w:rsidRDefault="00CA2C15" w:rsidP="00DF510D">
      <w:pPr>
        <w:spacing w:after="200"/>
        <w:rPr>
          <w:szCs w:val="24"/>
        </w:rPr>
      </w:pPr>
      <w:r w:rsidRPr="00DF510D">
        <w:rPr>
          <w:szCs w:val="24"/>
        </w:rPr>
        <w:t>ICF</w:t>
      </w:r>
      <w:r w:rsidRPr="00DF510D">
        <w:rPr>
          <w:szCs w:val="24"/>
        </w:rPr>
        <w:tab/>
      </w:r>
      <w:r w:rsidRPr="00DF510D">
        <w:rPr>
          <w:szCs w:val="24"/>
        </w:rPr>
        <w:tab/>
        <w:t>International Climate Finance</w:t>
      </w:r>
    </w:p>
    <w:p w14:paraId="2ED326A9" w14:textId="77777777" w:rsidR="00CA2C15" w:rsidRPr="00DF510D" w:rsidRDefault="00CA2C15" w:rsidP="00DF510D">
      <w:pPr>
        <w:spacing w:after="200"/>
        <w:rPr>
          <w:szCs w:val="24"/>
        </w:rPr>
      </w:pPr>
      <w:r w:rsidRPr="00DF510D">
        <w:rPr>
          <w:szCs w:val="24"/>
        </w:rPr>
        <w:t>IDB</w:t>
      </w:r>
      <w:r w:rsidRPr="00DF510D">
        <w:rPr>
          <w:szCs w:val="24"/>
        </w:rPr>
        <w:tab/>
      </w:r>
      <w:r w:rsidRPr="00DF510D">
        <w:rPr>
          <w:szCs w:val="24"/>
        </w:rPr>
        <w:tab/>
        <w:t>Inter-American Development Bank</w:t>
      </w:r>
    </w:p>
    <w:p w14:paraId="757EFDC7" w14:textId="77777777" w:rsidR="00CA2C15" w:rsidRPr="00DF510D" w:rsidRDefault="00CA2C15" w:rsidP="00DF510D">
      <w:pPr>
        <w:spacing w:after="200"/>
        <w:rPr>
          <w:szCs w:val="24"/>
        </w:rPr>
      </w:pPr>
      <w:r w:rsidRPr="00DF510D">
        <w:rPr>
          <w:szCs w:val="24"/>
        </w:rPr>
        <w:t>IFC</w:t>
      </w:r>
      <w:r w:rsidRPr="00DF510D">
        <w:rPr>
          <w:szCs w:val="24"/>
        </w:rPr>
        <w:tab/>
      </w:r>
      <w:r w:rsidRPr="00DF510D">
        <w:rPr>
          <w:szCs w:val="24"/>
        </w:rPr>
        <w:tab/>
        <w:t>International Finance Corporation</w:t>
      </w:r>
    </w:p>
    <w:p w14:paraId="23DABA13" w14:textId="77777777" w:rsidR="00CA2C15" w:rsidRPr="00EF0BB5" w:rsidRDefault="00CA2C15" w:rsidP="00DF510D">
      <w:pPr>
        <w:spacing w:after="200"/>
        <w:rPr>
          <w:szCs w:val="24"/>
          <w:lang w:val="de-CH"/>
        </w:rPr>
      </w:pPr>
      <w:r w:rsidRPr="00EF0BB5">
        <w:rPr>
          <w:szCs w:val="24"/>
          <w:lang w:val="de-CH"/>
        </w:rPr>
        <w:t>ITT</w:t>
      </w:r>
      <w:r w:rsidRPr="00EF0BB5">
        <w:rPr>
          <w:szCs w:val="24"/>
          <w:lang w:val="de-CH"/>
        </w:rPr>
        <w:tab/>
      </w:r>
      <w:r w:rsidRPr="00EF0BB5">
        <w:rPr>
          <w:szCs w:val="24"/>
          <w:lang w:val="de-CH"/>
        </w:rPr>
        <w:tab/>
        <w:t>Invitation to Tender</w:t>
      </w:r>
    </w:p>
    <w:p w14:paraId="19212B45" w14:textId="77777777" w:rsidR="00CA2C15" w:rsidRPr="00DF510D" w:rsidRDefault="00CA2C15" w:rsidP="00DF510D">
      <w:pPr>
        <w:spacing w:after="200"/>
        <w:rPr>
          <w:szCs w:val="24"/>
          <w:lang w:val="de-DE"/>
        </w:rPr>
      </w:pPr>
      <w:r w:rsidRPr="00DF510D">
        <w:rPr>
          <w:szCs w:val="24"/>
          <w:lang w:val="de-CH"/>
        </w:rPr>
        <w:t>KfW</w:t>
      </w:r>
      <w:r w:rsidRPr="00DF510D">
        <w:rPr>
          <w:szCs w:val="24"/>
          <w:lang w:val="de-DE"/>
        </w:rPr>
        <w:tab/>
      </w:r>
      <w:r w:rsidRPr="00DF510D">
        <w:rPr>
          <w:szCs w:val="24"/>
          <w:lang w:val="de-DE"/>
        </w:rPr>
        <w:tab/>
      </w:r>
      <w:r w:rsidRPr="00DF510D">
        <w:rPr>
          <w:szCs w:val="24"/>
          <w:lang w:val="de-CH"/>
        </w:rPr>
        <w:t>Kreditanstalt für Wiederaufbau</w:t>
      </w:r>
      <w:r w:rsidRPr="00DF510D">
        <w:rPr>
          <w:szCs w:val="24"/>
          <w:lang w:val="de-DE"/>
        </w:rPr>
        <w:t xml:space="preserve"> (</w:t>
      </w:r>
      <w:r w:rsidRPr="00DF510D">
        <w:rPr>
          <w:szCs w:val="24"/>
          <w:lang w:val="de-CH"/>
        </w:rPr>
        <w:t>German Development Bank</w:t>
      </w:r>
      <w:r w:rsidRPr="00DF510D">
        <w:rPr>
          <w:szCs w:val="24"/>
          <w:lang w:val="de-DE"/>
        </w:rPr>
        <w:t>)</w:t>
      </w:r>
    </w:p>
    <w:p w14:paraId="2885AAAB" w14:textId="77777777" w:rsidR="00CA2C15" w:rsidRPr="00DF510D" w:rsidRDefault="00CA2C15" w:rsidP="00DF510D">
      <w:pPr>
        <w:spacing w:after="200"/>
        <w:rPr>
          <w:szCs w:val="24"/>
        </w:rPr>
      </w:pPr>
      <w:r w:rsidRPr="00DF510D">
        <w:rPr>
          <w:szCs w:val="24"/>
        </w:rPr>
        <w:t>KMRC</w:t>
      </w:r>
      <w:r w:rsidRPr="00DF510D">
        <w:rPr>
          <w:szCs w:val="24"/>
        </w:rPr>
        <w:tab/>
      </w:r>
      <w:r w:rsidRPr="00DF510D">
        <w:rPr>
          <w:szCs w:val="24"/>
        </w:rPr>
        <w:tab/>
        <w:t>Kenya Mortgage Refinance Company</w:t>
      </w:r>
    </w:p>
    <w:p w14:paraId="2AF1293B" w14:textId="77777777" w:rsidR="00CA2C15" w:rsidRPr="00DF510D" w:rsidRDefault="00CA2C15" w:rsidP="00DF510D">
      <w:pPr>
        <w:spacing w:after="200"/>
        <w:rPr>
          <w:szCs w:val="24"/>
        </w:rPr>
      </w:pPr>
      <w:r w:rsidRPr="00DF510D">
        <w:rPr>
          <w:szCs w:val="24"/>
        </w:rPr>
        <w:t>KGBS</w:t>
      </w:r>
      <w:r w:rsidRPr="00DF510D">
        <w:rPr>
          <w:szCs w:val="24"/>
        </w:rPr>
        <w:tab/>
      </w:r>
      <w:r w:rsidRPr="00DF510D">
        <w:rPr>
          <w:szCs w:val="24"/>
        </w:rPr>
        <w:tab/>
        <w:t>Kenya Green Building Society</w:t>
      </w:r>
    </w:p>
    <w:p w14:paraId="00C77E60" w14:textId="77777777" w:rsidR="00CA2C15" w:rsidRPr="00DF510D" w:rsidRDefault="00CA2C15" w:rsidP="00DF510D">
      <w:pPr>
        <w:spacing w:after="200"/>
        <w:rPr>
          <w:szCs w:val="24"/>
        </w:rPr>
      </w:pPr>
      <w:r w:rsidRPr="00DF510D">
        <w:rPr>
          <w:szCs w:val="24"/>
        </w:rPr>
        <w:t>KPI</w:t>
      </w:r>
      <w:r w:rsidRPr="00DF510D">
        <w:rPr>
          <w:szCs w:val="24"/>
        </w:rPr>
        <w:tab/>
      </w:r>
      <w:r w:rsidRPr="00DF510D">
        <w:rPr>
          <w:szCs w:val="24"/>
        </w:rPr>
        <w:tab/>
        <w:t>Key Performance Indicators</w:t>
      </w:r>
    </w:p>
    <w:p w14:paraId="0047D65C" w14:textId="77777777" w:rsidR="00CA2C15" w:rsidRPr="00DF510D" w:rsidRDefault="00CA2C15" w:rsidP="00DF510D">
      <w:pPr>
        <w:spacing w:after="200"/>
        <w:rPr>
          <w:szCs w:val="24"/>
        </w:rPr>
      </w:pPr>
      <w:r w:rsidRPr="00DF510D">
        <w:rPr>
          <w:szCs w:val="24"/>
        </w:rPr>
        <w:t>L&amp;E</w:t>
      </w:r>
      <w:r w:rsidRPr="00DF510D">
        <w:rPr>
          <w:szCs w:val="24"/>
        </w:rPr>
        <w:tab/>
      </w:r>
      <w:r w:rsidRPr="00DF510D">
        <w:rPr>
          <w:szCs w:val="24"/>
        </w:rPr>
        <w:tab/>
        <w:t>Learning and Evaluation</w:t>
      </w:r>
    </w:p>
    <w:p w14:paraId="5EF744B6" w14:textId="77777777" w:rsidR="00CA2C15" w:rsidRPr="00DF510D" w:rsidRDefault="00CA2C15" w:rsidP="00DF510D">
      <w:pPr>
        <w:spacing w:after="200"/>
        <w:rPr>
          <w:szCs w:val="24"/>
        </w:rPr>
      </w:pPr>
      <w:r w:rsidRPr="00DF510D">
        <w:rPr>
          <w:szCs w:val="24"/>
        </w:rPr>
        <w:t>LEED</w:t>
      </w:r>
      <w:r w:rsidRPr="00DF510D">
        <w:rPr>
          <w:szCs w:val="24"/>
        </w:rPr>
        <w:tab/>
      </w:r>
      <w:r w:rsidRPr="00DF510D">
        <w:rPr>
          <w:szCs w:val="24"/>
        </w:rPr>
        <w:tab/>
        <w:t>Leadership in Energy and Environmental Design</w:t>
      </w:r>
    </w:p>
    <w:p w14:paraId="4F13F5C9" w14:textId="77777777" w:rsidR="00CA2C15" w:rsidRPr="00DF510D" w:rsidRDefault="00CA2C15" w:rsidP="00DF510D">
      <w:pPr>
        <w:spacing w:after="200"/>
        <w:rPr>
          <w:szCs w:val="24"/>
        </w:rPr>
      </w:pPr>
      <w:r w:rsidRPr="00DF510D">
        <w:rPr>
          <w:szCs w:val="24"/>
        </w:rPr>
        <w:t>MAGC</w:t>
      </w:r>
      <w:r w:rsidRPr="00DF510D">
        <w:rPr>
          <w:szCs w:val="24"/>
        </w:rPr>
        <w:tab/>
        <w:t>Market Accelerator for Green Construction</w:t>
      </w:r>
    </w:p>
    <w:p w14:paraId="4BC8F12B" w14:textId="77777777" w:rsidR="00CA2C15" w:rsidRPr="00DF510D" w:rsidRDefault="00CA2C15" w:rsidP="00DF510D">
      <w:pPr>
        <w:spacing w:after="200"/>
        <w:rPr>
          <w:szCs w:val="24"/>
        </w:rPr>
      </w:pPr>
      <w:r w:rsidRPr="00DF510D">
        <w:rPr>
          <w:szCs w:val="24"/>
        </w:rPr>
        <w:t>MDBs</w:t>
      </w:r>
      <w:r w:rsidRPr="00DF510D">
        <w:rPr>
          <w:szCs w:val="24"/>
        </w:rPr>
        <w:tab/>
      </w:r>
      <w:r w:rsidRPr="00DF510D">
        <w:rPr>
          <w:szCs w:val="24"/>
        </w:rPr>
        <w:tab/>
        <w:t>Multilateral Development Banks</w:t>
      </w:r>
    </w:p>
    <w:p w14:paraId="76D8CD98" w14:textId="77777777" w:rsidR="00CA2C15" w:rsidRPr="00DF510D" w:rsidRDefault="00CA2C15" w:rsidP="00DF510D">
      <w:pPr>
        <w:spacing w:after="200"/>
        <w:rPr>
          <w:szCs w:val="24"/>
        </w:rPr>
      </w:pPr>
      <w:r w:rsidRPr="00DF510D">
        <w:rPr>
          <w:szCs w:val="24"/>
        </w:rPr>
        <w:t>MEL</w:t>
      </w:r>
      <w:r w:rsidRPr="00DF510D">
        <w:rPr>
          <w:szCs w:val="24"/>
        </w:rPr>
        <w:tab/>
      </w:r>
      <w:r w:rsidRPr="00DF510D">
        <w:rPr>
          <w:szCs w:val="24"/>
        </w:rPr>
        <w:tab/>
        <w:t>Monitoring, Evaluation and Learning</w:t>
      </w:r>
    </w:p>
    <w:p w14:paraId="76542B4A" w14:textId="77777777" w:rsidR="00CA2C15" w:rsidRPr="00DF510D" w:rsidRDefault="00CA2C15" w:rsidP="00DF510D">
      <w:pPr>
        <w:spacing w:after="200"/>
        <w:rPr>
          <w:szCs w:val="24"/>
        </w:rPr>
      </w:pPr>
      <w:r w:rsidRPr="00DF510D">
        <w:rPr>
          <w:szCs w:val="24"/>
        </w:rPr>
        <w:t>MIC</w:t>
      </w:r>
      <w:r w:rsidRPr="00DF510D">
        <w:rPr>
          <w:szCs w:val="24"/>
        </w:rPr>
        <w:tab/>
      </w:r>
      <w:r w:rsidRPr="00DF510D">
        <w:rPr>
          <w:szCs w:val="24"/>
        </w:rPr>
        <w:tab/>
        <w:t>Middle-income Countries</w:t>
      </w:r>
    </w:p>
    <w:p w14:paraId="160DA574" w14:textId="77777777" w:rsidR="00CA2C15" w:rsidRPr="00DF510D" w:rsidRDefault="00CA2C15" w:rsidP="00DF510D">
      <w:pPr>
        <w:spacing w:after="200"/>
        <w:rPr>
          <w:szCs w:val="24"/>
        </w:rPr>
      </w:pPr>
      <w:r w:rsidRPr="00DF510D">
        <w:rPr>
          <w:szCs w:val="24"/>
        </w:rPr>
        <w:t>NLP</w:t>
      </w:r>
      <w:r w:rsidRPr="00DF510D">
        <w:rPr>
          <w:szCs w:val="24"/>
        </w:rPr>
        <w:tab/>
      </w:r>
      <w:r w:rsidRPr="00DF510D">
        <w:rPr>
          <w:szCs w:val="24"/>
        </w:rPr>
        <w:tab/>
        <w:t>Natural Language Processing</w:t>
      </w:r>
    </w:p>
    <w:p w14:paraId="24911874" w14:textId="77777777" w:rsidR="00CA2C15" w:rsidRPr="00DF510D" w:rsidRDefault="00CA2C15" w:rsidP="00DF510D">
      <w:pPr>
        <w:spacing w:after="200"/>
        <w:rPr>
          <w:szCs w:val="24"/>
        </w:rPr>
      </w:pPr>
      <w:r w:rsidRPr="00DF510D">
        <w:rPr>
          <w:szCs w:val="24"/>
        </w:rPr>
        <w:t>ODA</w:t>
      </w:r>
      <w:r w:rsidRPr="00DF510D">
        <w:rPr>
          <w:szCs w:val="24"/>
        </w:rPr>
        <w:tab/>
      </w:r>
      <w:r w:rsidRPr="00DF510D">
        <w:rPr>
          <w:szCs w:val="24"/>
        </w:rPr>
        <w:tab/>
        <w:t>Official Development Assistance</w:t>
      </w:r>
    </w:p>
    <w:p w14:paraId="6D63CE4A" w14:textId="77777777" w:rsidR="00CA2C15" w:rsidRPr="00DF510D" w:rsidRDefault="00CA2C15" w:rsidP="00DF510D">
      <w:pPr>
        <w:spacing w:after="200"/>
        <w:rPr>
          <w:szCs w:val="24"/>
        </w:rPr>
      </w:pPr>
      <w:r w:rsidRPr="00DF510D">
        <w:rPr>
          <w:szCs w:val="24"/>
        </w:rPr>
        <w:t>PBI</w:t>
      </w:r>
      <w:r w:rsidRPr="00DF510D">
        <w:rPr>
          <w:szCs w:val="24"/>
        </w:rPr>
        <w:tab/>
      </w:r>
      <w:r w:rsidRPr="00DF510D">
        <w:rPr>
          <w:szCs w:val="24"/>
        </w:rPr>
        <w:tab/>
        <w:t>Performance-Based Incentive</w:t>
      </w:r>
    </w:p>
    <w:p w14:paraId="28EDD6E8" w14:textId="77777777" w:rsidR="00CA2C15" w:rsidRPr="00DF510D" w:rsidRDefault="00CA2C15" w:rsidP="00DF510D">
      <w:pPr>
        <w:spacing w:after="200"/>
        <w:rPr>
          <w:szCs w:val="24"/>
        </w:rPr>
      </w:pPr>
      <w:r w:rsidRPr="00DF510D">
        <w:rPr>
          <w:szCs w:val="24"/>
        </w:rPr>
        <w:t>REP</w:t>
      </w:r>
      <w:r w:rsidRPr="00DF510D">
        <w:rPr>
          <w:szCs w:val="24"/>
        </w:rPr>
        <w:tab/>
      </w:r>
      <w:r w:rsidRPr="00DF510D">
        <w:rPr>
          <w:szCs w:val="24"/>
        </w:rPr>
        <w:tab/>
        <w:t>Research and Evidence Programme</w:t>
      </w:r>
    </w:p>
    <w:p w14:paraId="475A5D05" w14:textId="77777777" w:rsidR="00CA2C15" w:rsidRPr="00DF510D" w:rsidRDefault="00CA2C15" w:rsidP="00DF510D">
      <w:pPr>
        <w:spacing w:after="200"/>
        <w:rPr>
          <w:szCs w:val="24"/>
        </w:rPr>
      </w:pPr>
      <w:r w:rsidRPr="00DF510D">
        <w:rPr>
          <w:szCs w:val="24"/>
        </w:rPr>
        <w:t>SDGs</w:t>
      </w:r>
      <w:r w:rsidRPr="00DF510D">
        <w:rPr>
          <w:szCs w:val="24"/>
        </w:rPr>
        <w:tab/>
      </w:r>
      <w:r w:rsidRPr="00DF510D">
        <w:rPr>
          <w:szCs w:val="24"/>
        </w:rPr>
        <w:tab/>
        <w:t xml:space="preserve">Sustainable Development Goals </w:t>
      </w:r>
    </w:p>
    <w:p w14:paraId="70AF6161" w14:textId="77777777" w:rsidR="00CA2C15" w:rsidRPr="00DF510D" w:rsidRDefault="00CA2C15" w:rsidP="00DF510D">
      <w:pPr>
        <w:spacing w:after="200"/>
        <w:rPr>
          <w:szCs w:val="24"/>
        </w:rPr>
      </w:pPr>
      <w:r w:rsidRPr="00DF510D">
        <w:rPr>
          <w:szCs w:val="24"/>
        </w:rPr>
        <w:t>SME</w:t>
      </w:r>
      <w:r w:rsidRPr="00DF510D">
        <w:rPr>
          <w:szCs w:val="24"/>
        </w:rPr>
        <w:tab/>
      </w:r>
      <w:r w:rsidRPr="00DF510D">
        <w:rPr>
          <w:szCs w:val="24"/>
        </w:rPr>
        <w:tab/>
        <w:t>Small and Medium-Sized Enterprise</w:t>
      </w:r>
      <w:r w:rsidRPr="00DF510D">
        <w:rPr>
          <w:szCs w:val="24"/>
        </w:rPr>
        <w:tab/>
      </w:r>
    </w:p>
    <w:p w14:paraId="1337BAE8" w14:textId="77777777" w:rsidR="00CA2C15" w:rsidRPr="00DF510D" w:rsidRDefault="00CA2C15" w:rsidP="00DF510D">
      <w:pPr>
        <w:spacing w:after="200"/>
        <w:rPr>
          <w:szCs w:val="24"/>
        </w:rPr>
      </w:pPr>
      <w:r w:rsidRPr="00DF510D">
        <w:rPr>
          <w:szCs w:val="24"/>
        </w:rPr>
        <w:t>UK</w:t>
      </w:r>
      <w:r w:rsidRPr="00DF510D">
        <w:rPr>
          <w:szCs w:val="24"/>
        </w:rPr>
        <w:tab/>
      </w:r>
      <w:r w:rsidRPr="00DF510D">
        <w:rPr>
          <w:szCs w:val="24"/>
        </w:rPr>
        <w:tab/>
        <w:t>United Kingdom</w:t>
      </w:r>
      <w:r w:rsidRPr="00DF510D">
        <w:rPr>
          <w:szCs w:val="24"/>
        </w:rPr>
        <w:tab/>
      </w:r>
    </w:p>
    <w:p w14:paraId="5C0A02B6" w14:textId="77777777" w:rsidR="00CA2C15" w:rsidRPr="00DF510D" w:rsidRDefault="00CA2C15" w:rsidP="00DF510D">
      <w:pPr>
        <w:spacing w:after="200"/>
        <w:rPr>
          <w:szCs w:val="24"/>
        </w:rPr>
      </w:pPr>
      <w:r w:rsidRPr="00DF510D">
        <w:rPr>
          <w:szCs w:val="24"/>
        </w:rPr>
        <w:t>UNFCCC</w:t>
      </w:r>
      <w:r w:rsidRPr="00DF510D">
        <w:rPr>
          <w:szCs w:val="24"/>
        </w:rPr>
        <w:tab/>
        <w:t>United Nations Framework Convention on Climate Change</w:t>
      </w:r>
      <w:r w:rsidRPr="00DF510D">
        <w:rPr>
          <w:szCs w:val="24"/>
        </w:rPr>
        <w:tab/>
      </w:r>
    </w:p>
    <w:p w14:paraId="0716F54F" w14:textId="77777777" w:rsidR="00CA2C15" w:rsidRPr="00DF510D" w:rsidRDefault="00CA2C15" w:rsidP="00DF510D">
      <w:pPr>
        <w:spacing w:after="200"/>
        <w:rPr>
          <w:szCs w:val="24"/>
        </w:rPr>
      </w:pPr>
      <w:r w:rsidRPr="00DF510D">
        <w:rPr>
          <w:szCs w:val="24"/>
        </w:rPr>
        <w:t>VfM</w:t>
      </w:r>
      <w:r w:rsidRPr="00DF510D">
        <w:rPr>
          <w:szCs w:val="24"/>
        </w:rPr>
        <w:tab/>
      </w:r>
      <w:r w:rsidRPr="00DF510D">
        <w:rPr>
          <w:szCs w:val="24"/>
        </w:rPr>
        <w:tab/>
        <w:t>Value for Money</w:t>
      </w:r>
    </w:p>
    <w:p w14:paraId="4CA09B36" w14:textId="77777777" w:rsidR="00CA2C15" w:rsidRDefault="00CA2C15">
      <w:pPr>
        <w:spacing w:after="160" w:line="259" w:lineRule="auto"/>
        <w:rPr>
          <w:rFonts w:eastAsiaTheme="majorEastAsia" w:cstheme="majorBidi"/>
          <w:color w:val="041E42"/>
          <w:sz w:val="52"/>
          <w:szCs w:val="32"/>
        </w:rPr>
      </w:pPr>
      <w:r>
        <w:br w:type="page"/>
      </w:r>
    </w:p>
    <w:p w14:paraId="34931F9A" w14:textId="70356CEC" w:rsidR="008C1C8D" w:rsidRPr="008C1C8D" w:rsidRDefault="008C1C8D" w:rsidP="008C1C8D">
      <w:pPr>
        <w:pStyle w:val="Heading1"/>
      </w:pPr>
      <w:bookmarkStart w:id="1" w:name="_Toc189155206"/>
      <w:r w:rsidRPr="008C1C8D">
        <w:t>Executive summary</w:t>
      </w:r>
      <w:bookmarkEnd w:id="1"/>
    </w:p>
    <w:p w14:paraId="0BDA2674" w14:textId="70EE7986" w:rsidR="00016465" w:rsidRDefault="00016465" w:rsidP="00086D33">
      <w:r w:rsidRPr="00016465">
        <w:t>The Department for Energy Security and Net Zero (DESNZ) has appointed Ipsos as a Monitoring, Evaluation and Learning (MEL) Partner for the International Climate Finance (ICF) Market Accelerator for Green Construction (MAGC) programme. The objective of the MEL partnership is to produce a process, outcome, impact, and value for money evaluation, split into two phases: interim, running from July 2023 to October 2024, and final evaluation, running from July 2026 until the end of 2027.</w:t>
      </w:r>
      <w:r w:rsidR="00086D33">
        <w:t xml:space="preserve"> </w:t>
      </w:r>
      <w:r w:rsidRPr="00016465">
        <w:t>MAGC is a joint initiative by DESNZ and the International Finance Corporation (IFC)</w:t>
      </w:r>
      <w:r w:rsidR="00BC0030">
        <w:t>,</w:t>
      </w:r>
      <w:r w:rsidRPr="00016465">
        <w:t xml:space="preserve"> which forms part of DESNZ’</w:t>
      </w:r>
      <w:r w:rsidR="00DE4BAC">
        <w:t>s</w:t>
      </w:r>
      <w:r w:rsidRPr="00016465">
        <w:t xml:space="preserve"> broader portfolio of ICF programmes. Through its activities, MAGC engages with financial institutions and stakeholders from the construction industry</w:t>
      </w:r>
      <w:r w:rsidR="005D416F">
        <w:t>.</w:t>
      </w:r>
      <w:r w:rsidRPr="00016465">
        <w:t xml:space="preserve"> </w:t>
      </w:r>
      <w:r w:rsidR="005D416F">
        <w:t>T</w:t>
      </w:r>
      <w:r w:rsidR="005D416F" w:rsidRPr="00016465">
        <w:t xml:space="preserve">he </w:t>
      </w:r>
      <w:r w:rsidRPr="00016465">
        <w:t xml:space="preserve">aim </w:t>
      </w:r>
      <w:r w:rsidR="005D416F">
        <w:t xml:space="preserve">of </w:t>
      </w:r>
      <w:r w:rsidR="005D416F" w:rsidRPr="00016465">
        <w:t>MAGC</w:t>
      </w:r>
      <w:r w:rsidR="005D416F">
        <w:t xml:space="preserve"> is </w:t>
      </w:r>
      <w:r w:rsidRPr="00016465">
        <w:t xml:space="preserve">to accelerate the certification and construction of green buildings in targeted countries and to demonstrate the benefits of green buildings. It does so through its four components: advisory services and concessional blended finance investment to </w:t>
      </w:r>
      <w:r w:rsidR="008926EC">
        <w:t>f</w:t>
      </w:r>
      <w:r w:rsidR="008926EC" w:rsidRPr="00016465">
        <w:t xml:space="preserve">inancial </w:t>
      </w:r>
      <w:r w:rsidR="008926EC">
        <w:t>i</w:t>
      </w:r>
      <w:r w:rsidRPr="00016465">
        <w:t>ntermediaries</w:t>
      </w:r>
      <w:r w:rsidR="008926EC">
        <w:t xml:space="preserve"> (FIs)</w:t>
      </w:r>
      <w:r w:rsidRPr="00016465">
        <w:t xml:space="preserve">; country-level advisory services; maintenance and improvement of the </w:t>
      </w:r>
      <w:r w:rsidR="007A3651" w:rsidRPr="007A3651">
        <w:t xml:space="preserve">Excellence in Design for Greater Efficiencies </w:t>
      </w:r>
      <w:r w:rsidR="007A3651">
        <w:t>(</w:t>
      </w:r>
      <w:r w:rsidRPr="00016465">
        <w:t>EDGE</w:t>
      </w:r>
      <w:r w:rsidR="007A3651">
        <w:t>)</w:t>
      </w:r>
      <w:r w:rsidRPr="00016465">
        <w:t xml:space="preserve"> certification system; </w:t>
      </w:r>
      <w:r w:rsidR="00AB3F0B">
        <w:t xml:space="preserve">and the </w:t>
      </w:r>
      <w:r w:rsidRPr="00016465">
        <w:t>MAGC Research programme.</w:t>
      </w:r>
    </w:p>
    <w:p w14:paraId="4588E77C" w14:textId="77777777" w:rsidR="00A75BCE" w:rsidRDefault="00016465" w:rsidP="009B5463">
      <w:pPr>
        <w:pStyle w:val="Heading4"/>
      </w:pPr>
      <w:r>
        <w:t>Aim, scope, and methodology</w:t>
      </w:r>
    </w:p>
    <w:p w14:paraId="3D7F3446" w14:textId="6FBF6B06" w:rsidR="00362E57" w:rsidRDefault="00A75BCE" w:rsidP="00A75BCE">
      <w:r>
        <w:t>This report</w:t>
      </w:r>
      <w:r w:rsidR="006B0A7F">
        <w:t xml:space="preserve"> </w:t>
      </w:r>
      <w:r w:rsidR="00F16773">
        <w:t xml:space="preserve">builds up on </w:t>
      </w:r>
      <w:r w:rsidR="00AB3F0B">
        <w:t>the</w:t>
      </w:r>
      <w:r w:rsidR="00F16773">
        <w:t xml:space="preserve"> findings from the </w:t>
      </w:r>
      <w:r w:rsidR="001E16FB">
        <w:t xml:space="preserve">process evaluation, </w:t>
      </w:r>
      <w:r w:rsidR="00C765D1">
        <w:t xml:space="preserve">which was </w:t>
      </w:r>
      <w:r w:rsidR="00B262F6">
        <w:t>conducted between November 2023 and February 2024</w:t>
      </w:r>
      <w:r w:rsidR="001E16FB">
        <w:t>.</w:t>
      </w:r>
      <w:r w:rsidR="009856C4">
        <w:rPr>
          <w:rStyle w:val="FootnoteReference"/>
        </w:rPr>
        <w:footnoteReference w:id="2"/>
      </w:r>
      <w:r w:rsidR="001E16FB">
        <w:t xml:space="preserve"> The</w:t>
      </w:r>
      <w:r w:rsidR="00C765D1">
        <w:t xml:space="preserve"> current report </w:t>
      </w:r>
      <w:r w:rsidR="006B0A7F">
        <w:t xml:space="preserve">sets out the findings </w:t>
      </w:r>
      <w:r w:rsidR="00E22DF8">
        <w:t>and recommendations</w:t>
      </w:r>
      <w:r w:rsidR="006B0A7F">
        <w:t xml:space="preserve"> from the early outcome </w:t>
      </w:r>
      <w:r w:rsidR="00F23E8F">
        <w:t>evaluation</w:t>
      </w:r>
      <w:r w:rsidR="00E22DF8">
        <w:t>.</w:t>
      </w:r>
      <w:r w:rsidR="001715F3">
        <w:t xml:space="preserve"> A separate Technical Annex</w:t>
      </w:r>
      <w:r w:rsidR="009856C4">
        <w:rPr>
          <w:rStyle w:val="FootnoteReference"/>
        </w:rPr>
        <w:footnoteReference w:id="3"/>
      </w:r>
      <w:r w:rsidR="00257F38">
        <w:t xml:space="preserve"> </w:t>
      </w:r>
      <w:r w:rsidR="00D52C50">
        <w:t xml:space="preserve">contains more information about MAGC’s background, the methodology of the evaluation, and the </w:t>
      </w:r>
      <w:r w:rsidR="00D20DBD">
        <w:t>research tools used for this</w:t>
      </w:r>
      <w:r w:rsidR="006B0A7F">
        <w:t xml:space="preserve"> phase</w:t>
      </w:r>
      <w:r w:rsidR="00D20DBD">
        <w:t>.</w:t>
      </w:r>
      <w:r w:rsidR="00086D33">
        <w:t xml:space="preserve"> </w:t>
      </w:r>
      <w:r w:rsidR="00EC364C">
        <w:t xml:space="preserve">The early outcome evaluation </w:t>
      </w:r>
      <w:r w:rsidR="000B7EC4">
        <w:t>is</w:t>
      </w:r>
      <w:r w:rsidR="00EC364C">
        <w:t xml:space="preserve"> the second phase of the interim evaluation of MAGC, which </w:t>
      </w:r>
      <w:r w:rsidR="00362E57">
        <w:t xml:space="preserve">answers the following </w:t>
      </w:r>
      <w:r w:rsidR="00843D1E">
        <w:t xml:space="preserve">evaluation </w:t>
      </w:r>
      <w:r w:rsidR="00362E57">
        <w:t>questions:</w:t>
      </w:r>
    </w:p>
    <w:p w14:paraId="6112C5BB" w14:textId="44EF374F" w:rsidR="00843D1E" w:rsidRPr="00843D1E" w:rsidRDefault="003D52E3" w:rsidP="00843D1E">
      <w:pPr>
        <w:pStyle w:val="DESNZbulletedlist"/>
      </w:pPr>
      <w:r w:rsidRPr="00AC1326">
        <w:t xml:space="preserve">To what extent has MAGC achieved early outcomes as anticipated for the </w:t>
      </w:r>
      <w:r>
        <w:t xml:space="preserve">components of: </w:t>
      </w:r>
      <w:r w:rsidRPr="00AC1326">
        <w:t>Investment and Advisory services</w:t>
      </w:r>
      <w:r>
        <w:t xml:space="preserve">; </w:t>
      </w:r>
      <w:r w:rsidRPr="00AC1326">
        <w:t>Capacity building</w:t>
      </w:r>
      <w:r>
        <w:t xml:space="preserve">; and </w:t>
      </w:r>
      <w:r w:rsidRPr="00AC1326">
        <w:t>EDGE Green Building Certification</w:t>
      </w:r>
      <w:r w:rsidR="00843D1E" w:rsidRPr="00843D1E">
        <w:t>?</w:t>
      </w:r>
    </w:p>
    <w:p w14:paraId="7F5C052B" w14:textId="6471D5D7" w:rsidR="009E3FEC" w:rsidRDefault="00843D1E" w:rsidP="00843D1E">
      <w:pPr>
        <w:pStyle w:val="DESNZbulletedlist"/>
      </w:pPr>
      <w:r w:rsidRPr="00843D1E">
        <w:t xml:space="preserve">To what extent is </w:t>
      </w:r>
      <w:r w:rsidR="003D52E3">
        <w:t xml:space="preserve">impact/ </w:t>
      </w:r>
      <w:r w:rsidRPr="00843D1E">
        <w:t>transformational change likely to be achieved?</w:t>
      </w:r>
    </w:p>
    <w:p w14:paraId="2FB0A241" w14:textId="25800738" w:rsidR="00843D1E" w:rsidRDefault="00843D1E" w:rsidP="00843D1E">
      <w:pPr>
        <w:pStyle w:val="DESNZbulletedlist"/>
      </w:pPr>
      <w:r w:rsidRPr="00843D1E">
        <w:t xml:space="preserve">To what extent is MAGC investment providing Value for Money for </w:t>
      </w:r>
      <w:r w:rsidR="003D52E3" w:rsidRPr="003D52E3">
        <w:t>His Majesty's Government</w:t>
      </w:r>
      <w:r w:rsidR="003D52E3">
        <w:t xml:space="preserve"> (</w:t>
      </w:r>
      <w:r w:rsidRPr="00843D1E">
        <w:t>HMG</w:t>
      </w:r>
      <w:r w:rsidR="003D52E3">
        <w:t>)</w:t>
      </w:r>
      <w:r w:rsidRPr="00843D1E">
        <w:t>?</w:t>
      </w:r>
    </w:p>
    <w:p w14:paraId="00AFDB0E" w14:textId="58391094" w:rsidR="00EC364C" w:rsidRDefault="00362E57" w:rsidP="00A75BCE">
      <w:r>
        <w:t>This phase</w:t>
      </w:r>
      <w:r w:rsidR="009E3FEC">
        <w:t xml:space="preserve"> of the evaluation </w:t>
      </w:r>
      <w:r w:rsidR="00914BE8">
        <w:t>aims to</w:t>
      </w:r>
      <w:r w:rsidR="009D76E9">
        <w:t xml:space="preserve"> generate evidence to</w:t>
      </w:r>
      <w:r w:rsidR="00EC364C">
        <w:t>:</w:t>
      </w:r>
    </w:p>
    <w:p w14:paraId="3D353AF4" w14:textId="3DCC7FA4" w:rsidR="00914BE8" w:rsidRPr="00073BE9" w:rsidRDefault="00914BE8" w:rsidP="00914BE8">
      <w:pPr>
        <w:pStyle w:val="DESNZbulletedlist"/>
      </w:pPr>
      <w:r w:rsidRPr="00073BE9">
        <w:t>Improve the ongoing MAGC delivery of results effectively</w:t>
      </w:r>
      <w:r w:rsidR="005B7F1A">
        <w:t>.</w:t>
      </w:r>
    </w:p>
    <w:p w14:paraId="3E2384DF" w14:textId="7266CF59" w:rsidR="00914BE8" w:rsidRPr="00073BE9" w:rsidRDefault="00052DBA" w:rsidP="00914BE8">
      <w:pPr>
        <w:pStyle w:val="DESNZbulletedlist"/>
      </w:pPr>
      <w:r>
        <w:t>Provide l</w:t>
      </w:r>
      <w:r w:rsidR="00914BE8" w:rsidRPr="00073BE9">
        <w:t>earn</w:t>
      </w:r>
      <w:r>
        <w:t>ings</w:t>
      </w:r>
      <w:r w:rsidR="00914BE8" w:rsidRPr="00073BE9">
        <w:t xml:space="preserve"> for future similar programmes, e.g., green construction, mixed blended finance and technical advisory</w:t>
      </w:r>
      <w:r w:rsidR="00D460A8">
        <w:t>, as well as further bilateral partnerships</w:t>
      </w:r>
      <w:r w:rsidR="00914BE8" w:rsidRPr="00073BE9">
        <w:t xml:space="preserve"> </w:t>
      </w:r>
      <w:r w:rsidR="0077330F">
        <w:t xml:space="preserve">between HMG </w:t>
      </w:r>
      <w:r w:rsidR="00F03A23">
        <w:t>and delivery partners</w:t>
      </w:r>
      <w:r w:rsidR="005B7F1A">
        <w:t>.</w:t>
      </w:r>
    </w:p>
    <w:p w14:paraId="73AD3DDE" w14:textId="2B8847C4" w:rsidR="00914BE8" w:rsidRPr="00073BE9" w:rsidRDefault="00914BE8" w:rsidP="00914BE8">
      <w:pPr>
        <w:pStyle w:val="DESNZbulletedlist"/>
      </w:pPr>
      <w:r w:rsidRPr="00073BE9">
        <w:t>Assess the value-for-money approach</w:t>
      </w:r>
      <w:r w:rsidR="005B7F1A">
        <w:t>.</w:t>
      </w:r>
    </w:p>
    <w:p w14:paraId="582B6C34" w14:textId="7992D529" w:rsidR="00914BE8" w:rsidRDefault="00914BE8" w:rsidP="00914BE8">
      <w:pPr>
        <w:pStyle w:val="DESNZbulletedlist"/>
      </w:pPr>
      <w:r>
        <w:t>Learn about Gender Equality, Disability and Social Inclusion (GEDSI) in MAGC delivery for future similar programmes</w:t>
      </w:r>
      <w:r w:rsidR="005B7F1A">
        <w:t>.</w:t>
      </w:r>
    </w:p>
    <w:p w14:paraId="5A424969" w14:textId="77777777" w:rsidR="002F3647" w:rsidRDefault="002F3647" w:rsidP="002F3647">
      <w:r>
        <w:t xml:space="preserve">The </w:t>
      </w:r>
      <w:r w:rsidRPr="00E51B62">
        <w:rPr>
          <w:b/>
          <w:bCs/>
        </w:rPr>
        <w:t>scope</w:t>
      </w:r>
      <w:r>
        <w:t xml:space="preserve"> of the evaluation covers MAGC activities in components 1, 2 and 3 from 2018 to October 2024, in 24 countries.</w:t>
      </w:r>
      <w:r>
        <w:rPr>
          <w:rStyle w:val="FootnoteReference"/>
        </w:rPr>
        <w:footnoteReference w:id="4"/>
      </w:r>
    </w:p>
    <w:p w14:paraId="1C421031" w14:textId="38714157" w:rsidR="00030C36" w:rsidRDefault="002F3827" w:rsidP="00A75BCE">
      <w:r w:rsidRPr="002F3827">
        <w:t>The evaluation recogni</w:t>
      </w:r>
      <w:r>
        <w:t>s</w:t>
      </w:r>
      <w:r w:rsidRPr="002F3827">
        <w:t xml:space="preserve">es that MAGC operates in diverse contexts, and its success is influenced by factors such as policy landscapes, market maturity, and stakeholder capacity. A </w:t>
      </w:r>
      <w:r>
        <w:t xml:space="preserve">theory-based approach, specifically </w:t>
      </w:r>
      <w:r w:rsidRPr="005907BB">
        <w:rPr>
          <w:rStyle w:val="Boldtext"/>
        </w:rPr>
        <w:t>realist evaluation</w:t>
      </w:r>
      <w:r>
        <w:t>,</w:t>
      </w:r>
      <w:r w:rsidRPr="002F3827">
        <w:t xml:space="preserve"> was employed to understand these contextual influences</w:t>
      </w:r>
      <w:r>
        <w:t xml:space="preserve">. </w:t>
      </w:r>
      <w:r w:rsidR="00971802">
        <w:t xml:space="preserve">The report is based on primary and secondary research activities carried out between </w:t>
      </w:r>
      <w:r w:rsidR="00654B96">
        <w:t xml:space="preserve">February </w:t>
      </w:r>
      <w:r w:rsidR="00092626">
        <w:t>and September 2024</w:t>
      </w:r>
      <w:r w:rsidR="00BA7BCA">
        <w:t xml:space="preserve">. The evaluation </w:t>
      </w:r>
      <w:r w:rsidR="009542A4">
        <w:t>followed</w:t>
      </w:r>
      <w:r w:rsidR="00BA7BCA">
        <w:t xml:space="preserve"> a </w:t>
      </w:r>
      <w:r w:rsidR="00BA7BCA" w:rsidRPr="005907BB">
        <w:rPr>
          <w:rStyle w:val="Boldtext"/>
        </w:rPr>
        <w:t>tiered approach</w:t>
      </w:r>
      <w:r w:rsidR="00BA7BCA">
        <w:t xml:space="preserve"> </w:t>
      </w:r>
      <w:r>
        <w:t xml:space="preserve">to data collection </w:t>
      </w:r>
      <w:r w:rsidR="00BA7BCA">
        <w:t xml:space="preserve">with different levels of analysis, gathering evidence at programme level (T0), at the level of all MAGC-eligible countries (T1), </w:t>
      </w:r>
      <w:r w:rsidR="005E133D">
        <w:t xml:space="preserve">ten </w:t>
      </w:r>
      <w:r w:rsidR="00BA7BCA">
        <w:t>countries with highest MAGC activity</w:t>
      </w:r>
      <w:r w:rsidR="00344170">
        <w:t xml:space="preserve"> to date</w:t>
      </w:r>
      <w:r w:rsidR="00BA7BCA">
        <w:t xml:space="preserve"> (T2), and </w:t>
      </w:r>
      <w:r w:rsidR="005E133D">
        <w:t xml:space="preserve">five </w:t>
      </w:r>
      <w:r w:rsidR="00BA7BCA">
        <w:t>case study countries (T3).</w:t>
      </w:r>
      <w:r w:rsidR="008F0B87">
        <w:t xml:space="preserve"> </w:t>
      </w:r>
      <w:r w:rsidR="00BA7BCA">
        <w:t>A total of 9</w:t>
      </w:r>
      <w:r w:rsidR="00DF510D">
        <w:t>5</w:t>
      </w:r>
      <w:r w:rsidR="00BA7BCA">
        <w:t xml:space="preserve"> interviews and </w:t>
      </w:r>
      <w:r w:rsidR="008859DC">
        <w:t xml:space="preserve">five </w:t>
      </w:r>
      <w:r w:rsidR="00BA7BCA">
        <w:t>focus groups were conducted</w:t>
      </w:r>
      <w:r w:rsidR="008F0B87">
        <w:t xml:space="preserve"> between June and August 2024</w:t>
      </w:r>
      <w:r w:rsidR="00BA7BCA">
        <w:t xml:space="preserve"> across the levels of analysis.</w:t>
      </w:r>
      <w:r w:rsidR="00BF473E">
        <w:t xml:space="preserve"> The temporal scope includes MAGC activity since 2018</w:t>
      </w:r>
      <w:r w:rsidR="008565F9">
        <w:t xml:space="preserve"> until October 2024</w:t>
      </w:r>
      <w:r w:rsidR="00BF473E">
        <w:t>.</w:t>
      </w:r>
    </w:p>
    <w:p w14:paraId="24E930BA" w14:textId="5B2A8852" w:rsidR="00030C36" w:rsidRDefault="00030C36" w:rsidP="009B5463">
      <w:pPr>
        <w:pStyle w:val="Heading4"/>
      </w:pPr>
      <w:r>
        <w:t>Key findings</w:t>
      </w:r>
    </w:p>
    <w:p w14:paraId="518D17DE" w14:textId="36BF8664" w:rsidR="00AC05C8" w:rsidRPr="00086D33" w:rsidRDefault="00D460A8" w:rsidP="00A75BCE">
      <w:pPr>
        <w:rPr>
          <w:i/>
        </w:rPr>
      </w:pPr>
      <w:r w:rsidRPr="009B5463">
        <w:rPr>
          <w:rStyle w:val="Italic"/>
        </w:rPr>
        <w:t>Early outcomes</w:t>
      </w:r>
      <w:r w:rsidR="00086D33">
        <w:rPr>
          <w:rStyle w:val="Italic"/>
        </w:rPr>
        <w:br/>
      </w:r>
      <w:r w:rsidR="00B7724C">
        <w:t>Primary and secondary research for the</w:t>
      </w:r>
      <w:r w:rsidR="00AC05C8" w:rsidRPr="00AC05C8">
        <w:t xml:space="preserve"> early outcome evaluation found that MAGC is contributing to early outcomes in line with its Theory of Change</w:t>
      </w:r>
      <w:r w:rsidR="00AC05C8">
        <w:t>:</w:t>
      </w:r>
    </w:p>
    <w:p w14:paraId="777E682C" w14:textId="3383E620" w:rsidR="00AC05C8" w:rsidRDefault="00AC05C8" w:rsidP="00AC05C8">
      <w:r w:rsidRPr="00406565">
        <w:rPr>
          <w:b/>
          <w:bCs/>
        </w:rPr>
        <w:t>The</w:t>
      </w:r>
      <w:r w:rsidRPr="00AC05C8">
        <w:t xml:space="preserve"> </w:t>
      </w:r>
      <w:r w:rsidR="00D460A8" w:rsidRPr="00AC05C8">
        <w:rPr>
          <w:rStyle w:val="Boldtext"/>
        </w:rPr>
        <w:t>investment and advisory component</w:t>
      </w:r>
      <w:r w:rsidR="00D460A8">
        <w:rPr>
          <w:rStyle w:val="Boldtext"/>
        </w:rPr>
        <w:t xml:space="preserve"> (</w:t>
      </w:r>
      <w:r w:rsidR="00526795">
        <w:rPr>
          <w:rStyle w:val="Boldtext"/>
        </w:rPr>
        <w:t>c</w:t>
      </w:r>
      <w:r w:rsidR="00D460A8">
        <w:rPr>
          <w:rStyle w:val="Boldtext"/>
        </w:rPr>
        <w:t>omponent 1)</w:t>
      </w:r>
      <w:r w:rsidR="00D460A8" w:rsidRPr="00AC05C8">
        <w:t xml:space="preserve"> </w:t>
      </w:r>
      <w:r w:rsidRPr="00AC05C8">
        <w:t>has mobili</w:t>
      </w:r>
      <w:r>
        <w:t>s</w:t>
      </w:r>
      <w:r w:rsidRPr="00AC05C8">
        <w:t xml:space="preserve">ed a significant amount of funding, exceeding initial expectations. </w:t>
      </w:r>
      <w:r w:rsidR="005D416F">
        <w:t>A</w:t>
      </w:r>
      <w:r w:rsidR="006904D7">
        <w:t xml:space="preserve"> total of </w:t>
      </w:r>
      <w:r w:rsidR="006904D7" w:rsidRPr="00430178">
        <w:t>$1.</w:t>
      </w:r>
      <w:r w:rsidR="00B25B3F">
        <w:t>8</w:t>
      </w:r>
      <w:r w:rsidR="0084795C" w:rsidRPr="00430178">
        <w:t xml:space="preserve"> </w:t>
      </w:r>
      <w:r w:rsidR="006904D7" w:rsidRPr="00430178">
        <w:t>billion</w:t>
      </w:r>
      <w:r w:rsidR="006904D7">
        <w:t xml:space="preserve"> of finance</w:t>
      </w:r>
      <w:r w:rsidR="005D416F">
        <w:t xml:space="preserve"> was</w:t>
      </w:r>
      <w:r w:rsidR="006904D7">
        <w:t xml:space="preserve"> mobilised from $56 million of MAGC funding</w:t>
      </w:r>
      <w:r w:rsidR="002923E5">
        <w:rPr>
          <w:rStyle w:val="FootnoteReference"/>
        </w:rPr>
        <w:footnoteReference w:id="5"/>
      </w:r>
      <w:r w:rsidR="005D416F">
        <w:t>.</w:t>
      </w:r>
      <w:r w:rsidR="006904D7">
        <w:t xml:space="preserve"> </w:t>
      </w:r>
      <w:r w:rsidR="005D416F">
        <w:t>T</w:t>
      </w:r>
      <w:r w:rsidR="006904D7">
        <w:t xml:space="preserve">his implies a ratio of </w:t>
      </w:r>
      <w:r w:rsidR="0084795C">
        <w:t>32</w:t>
      </w:r>
      <w:r w:rsidR="006904D7">
        <w:t>:1 which was higher than expectations outlined in the business case.</w:t>
      </w:r>
      <w:r w:rsidR="006904D7">
        <w:rPr>
          <w:rStyle w:val="FootnoteReference"/>
        </w:rPr>
        <w:footnoteReference w:id="6"/>
      </w:r>
      <w:r w:rsidR="006904D7">
        <w:t xml:space="preserve"> </w:t>
      </w:r>
      <w:r w:rsidR="0099488E">
        <w:t>Many</w:t>
      </w:r>
      <w:r w:rsidR="00F92819">
        <w:t xml:space="preserve"> of the deals </w:t>
      </w:r>
      <w:r w:rsidR="009856C4">
        <w:t>use performance</w:t>
      </w:r>
      <w:r w:rsidR="006A37BD">
        <w:t>-based incentives (</w:t>
      </w:r>
      <w:r w:rsidR="00E32817">
        <w:t>PBIs</w:t>
      </w:r>
      <w:r w:rsidR="006A37BD">
        <w:t>)</w:t>
      </w:r>
      <w:r w:rsidR="0099488E">
        <w:t xml:space="preserve">, which allowed high </w:t>
      </w:r>
      <w:r w:rsidR="009979BC">
        <w:t>mobilisation of IF</w:t>
      </w:r>
      <w:r w:rsidR="0065200D">
        <w:t>C</w:t>
      </w:r>
      <w:r w:rsidR="009979BC">
        <w:t xml:space="preserve"> funds with a small amount of MAGC funds, </w:t>
      </w:r>
      <w:r w:rsidR="00E32817">
        <w:t xml:space="preserve">but </w:t>
      </w:r>
      <w:r w:rsidR="00F46D4D">
        <w:t>are less effective at mobilising private capital than other instruments (e.g., equity, also used in one</w:t>
      </w:r>
      <w:r w:rsidR="004814BD">
        <w:t xml:space="preserve"> investment)</w:t>
      </w:r>
      <w:r w:rsidR="00933D8C">
        <w:t xml:space="preserve"> and limit opportunities for learning</w:t>
      </w:r>
      <w:r w:rsidR="006024A8">
        <w:t xml:space="preserve"> from other instruments</w:t>
      </w:r>
      <w:r w:rsidR="00E32817">
        <w:t xml:space="preserve">. </w:t>
      </w:r>
      <w:r w:rsidRPr="00AC05C8">
        <w:t xml:space="preserve">Advisory support </w:t>
      </w:r>
      <w:r w:rsidR="006904D7">
        <w:t xml:space="preserve">to financial intermediaries on green construction across countries </w:t>
      </w:r>
      <w:r w:rsidRPr="00AC05C8">
        <w:t xml:space="preserve">has been critical in supporting investments and generating interest in green construction. </w:t>
      </w:r>
      <w:r w:rsidR="001F47FB">
        <w:t xml:space="preserve">However, there are still some </w:t>
      </w:r>
      <w:r w:rsidR="001F47FB" w:rsidRPr="00122551">
        <w:t>barriers</w:t>
      </w:r>
      <w:r w:rsidR="001F47FB">
        <w:t xml:space="preserve"> that</w:t>
      </w:r>
      <w:r w:rsidR="001F47FB" w:rsidRPr="00122551">
        <w:t xml:space="preserve"> remain before widespread green building market transformation </w:t>
      </w:r>
      <w:r w:rsidR="001F47FB">
        <w:t>can be realised</w:t>
      </w:r>
      <w:r w:rsidR="008D100C">
        <w:t xml:space="preserve">.                             </w:t>
      </w:r>
    </w:p>
    <w:p w14:paraId="10F1C4D2" w14:textId="4B0EF4AC" w:rsidR="00AC05C8" w:rsidRDefault="00AC05C8" w:rsidP="00AC05C8">
      <w:r w:rsidRPr="00406565">
        <w:rPr>
          <w:b/>
          <w:bCs/>
        </w:rPr>
        <w:t xml:space="preserve">The </w:t>
      </w:r>
      <w:r w:rsidRPr="00AC05C8">
        <w:rPr>
          <w:rStyle w:val="Boldtext"/>
        </w:rPr>
        <w:t>capacity building component</w:t>
      </w:r>
      <w:r w:rsidR="00D460A8">
        <w:rPr>
          <w:rStyle w:val="Boldtext"/>
        </w:rPr>
        <w:t xml:space="preserve"> (</w:t>
      </w:r>
      <w:r w:rsidR="00526795">
        <w:rPr>
          <w:rStyle w:val="Boldtext"/>
        </w:rPr>
        <w:t>c</w:t>
      </w:r>
      <w:r w:rsidR="00D460A8">
        <w:rPr>
          <w:rStyle w:val="Boldtext"/>
        </w:rPr>
        <w:t>omponent 2)</w:t>
      </w:r>
      <w:r w:rsidRPr="00AC05C8">
        <w:t xml:space="preserve"> has been effective in increasing awareness and understanding of green buildings among various stakeholder groups through workshops and events. </w:t>
      </w:r>
      <w:r w:rsidR="00E32817">
        <w:t xml:space="preserve">A stronger focus on the public sector (potentially through </w:t>
      </w:r>
      <w:r w:rsidR="006A37BD">
        <w:t xml:space="preserve">greater engagement of </w:t>
      </w:r>
      <w:r w:rsidR="00E32817">
        <w:t xml:space="preserve">Embassies) and on the demand side of green buildings could further improve the outcomes of this component. </w:t>
      </w:r>
    </w:p>
    <w:p w14:paraId="57ACD201" w14:textId="17CD46A6" w:rsidR="00AC05C8" w:rsidRDefault="00AC05C8" w:rsidP="00AC05C8">
      <w:r w:rsidRPr="113131AD">
        <w:rPr>
          <w:b/>
          <w:bCs/>
        </w:rPr>
        <w:t>The</w:t>
      </w:r>
      <w:r>
        <w:t xml:space="preserve"> </w:t>
      </w:r>
      <w:r w:rsidRPr="113131AD">
        <w:rPr>
          <w:rStyle w:val="Boldtext"/>
        </w:rPr>
        <w:t xml:space="preserve">EDGE </w:t>
      </w:r>
      <w:r w:rsidR="00E1554C" w:rsidRPr="113131AD">
        <w:rPr>
          <w:rStyle w:val="Boldtext"/>
        </w:rPr>
        <w:t xml:space="preserve">green building </w:t>
      </w:r>
      <w:r w:rsidRPr="113131AD">
        <w:rPr>
          <w:rStyle w:val="Boldtext"/>
        </w:rPr>
        <w:t>certification system (EDGE component</w:t>
      </w:r>
      <w:r w:rsidR="00D460A8" w:rsidRPr="113131AD">
        <w:rPr>
          <w:rStyle w:val="Boldtext"/>
        </w:rPr>
        <w:t xml:space="preserve"> – </w:t>
      </w:r>
      <w:r w:rsidR="00526795" w:rsidRPr="113131AD">
        <w:rPr>
          <w:rStyle w:val="Boldtext"/>
        </w:rPr>
        <w:t>c</w:t>
      </w:r>
      <w:r w:rsidR="00D460A8" w:rsidRPr="113131AD">
        <w:rPr>
          <w:rStyle w:val="Boldtext"/>
        </w:rPr>
        <w:t>omponent 3</w:t>
      </w:r>
      <w:r w:rsidRPr="113131AD">
        <w:rPr>
          <w:rStyle w:val="Boldtext"/>
        </w:rPr>
        <w:t>)</w:t>
      </w:r>
      <w:r>
        <w:t xml:space="preserve"> is gaining traction in many countries</w:t>
      </w:r>
      <w:r w:rsidR="006904D7">
        <w:t>. EDGE Preliminary Certification coverage has expanded to 65 million m</w:t>
      </w:r>
      <w:r w:rsidR="006904D7" w:rsidRPr="113131AD">
        <w:rPr>
          <w:vertAlign w:val="superscript"/>
        </w:rPr>
        <w:t>2</w:t>
      </w:r>
      <w:r w:rsidR="006904D7">
        <w:t xml:space="preserve"> in </w:t>
      </w:r>
      <w:r w:rsidR="002F3647">
        <w:t>nine</w:t>
      </w:r>
      <w:r w:rsidR="006904D7">
        <w:t xml:space="preserve"> MAGC countries, a growth which exceeds the target of 51 million </w:t>
      </w:r>
      <w:r w:rsidR="00406565">
        <w:t>m</w:t>
      </w:r>
      <w:r w:rsidR="00406565" w:rsidRPr="113131AD">
        <w:rPr>
          <w:vertAlign w:val="superscript"/>
        </w:rPr>
        <w:t>2</w:t>
      </w:r>
      <w:r w:rsidR="006904D7">
        <w:t>. This growth</w:t>
      </w:r>
      <w:r w:rsidR="00C54D7B">
        <w:t xml:space="preserve"> </w:t>
      </w:r>
      <w:r w:rsidR="008A4D28">
        <w:t xml:space="preserve">is attributed by </w:t>
      </w:r>
      <w:r w:rsidR="006904D7">
        <w:t xml:space="preserve">consulted </w:t>
      </w:r>
      <w:r w:rsidR="00D460A8">
        <w:t>stakeholders</w:t>
      </w:r>
      <w:r w:rsidR="003C2990">
        <w:t xml:space="preserve"> from the building sector (i.e., developers, property managers, EDGE experts)</w:t>
      </w:r>
      <w:r w:rsidR="00D460A8">
        <w:t xml:space="preserve"> </w:t>
      </w:r>
      <w:r>
        <w:t xml:space="preserve">to its simplicity and cost-effectiveness </w:t>
      </w:r>
      <w:r w:rsidR="00C54D7B">
        <w:t xml:space="preserve">when </w:t>
      </w:r>
      <w:r>
        <w:t>compared to other certifications. Improvements to the EDGE platform have been well-received</w:t>
      </w:r>
      <w:r w:rsidR="008A4D28">
        <w:t xml:space="preserve"> by in-country stakeholders</w:t>
      </w:r>
      <w:r>
        <w:t xml:space="preserve">, although some difficulties with adapting to </w:t>
      </w:r>
      <w:r w:rsidR="00C54D7B">
        <w:t>the</w:t>
      </w:r>
      <w:r>
        <w:t xml:space="preserve"> updates were reported.</w:t>
      </w:r>
      <w:r w:rsidR="00E32817">
        <w:t xml:space="preserve"> </w:t>
      </w:r>
      <w:r w:rsidR="009207FC">
        <w:t xml:space="preserve">MAGC also supports </w:t>
      </w:r>
      <w:r w:rsidR="006D769D">
        <w:t>projects with</w:t>
      </w:r>
      <w:r w:rsidR="00E32817">
        <w:t xml:space="preserve"> other certifications</w:t>
      </w:r>
      <w:r w:rsidR="009207FC">
        <w:t>,</w:t>
      </w:r>
      <w:r w:rsidR="006D769D">
        <w:t xml:space="preserve"> if considered equivalent to EDGE</w:t>
      </w:r>
      <w:r w:rsidR="009207FC">
        <w:t>, and this</w:t>
      </w:r>
      <w:r w:rsidR="00E32817">
        <w:t xml:space="preserve"> </w:t>
      </w:r>
      <w:r w:rsidR="00E32817" w:rsidRPr="00532D88">
        <w:t>works well in ensuring market barriers are lowered without being too prescriptive on the solution used.</w:t>
      </w:r>
      <w:r w:rsidR="00E32817">
        <w:t xml:space="preserve"> However, </w:t>
      </w:r>
      <w:r w:rsidR="00B30533">
        <w:t>t</w:t>
      </w:r>
      <w:r w:rsidR="00B30533" w:rsidRPr="00B30533">
        <w:t>here may be less value for MAGC investing in training experts in EDGE in countries where other certifications are well established</w:t>
      </w:r>
      <w:r w:rsidR="00E32817">
        <w:t>.</w:t>
      </w:r>
    </w:p>
    <w:p w14:paraId="3F494417" w14:textId="2941E19B" w:rsidR="00AC05C8" w:rsidRDefault="00AC05C8" w:rsidP="00AC05C8">
      <w:r w:rsidRPr="00406565">
        <w:rPr>
          <w:b/>
          <w:bCs/>
        </w:rPr>
        <w:t>The</w:t>
      </w:r>
      <w:r w:rsidRPr="00AC05C8">
        <w:t xml:space="preserve"> </w:t>
      </w:r>
      <w:r w:rsidRPr="00AC05C8">
        <w:rPr>
          <w:rStyle w:val="Boldtext"/>
        </w:rPr>
        <w:t>research component</w:t>
      </w:r>
      <w:r w:rsidR="00D460A8">
        <w:rPr>
          <w:rStyle w:val="Boldtext"/>
        </w:rPr>
        <w:t xml:space="preserve"> (</w:t>
      </w:r>
      <w:r w:rsidR="00526795">
        <w:rPr>
          <w:rStyle w:val="Boldtext"/>
        </w:rPr>
        <w:t>c</w:t>
      </w:r>
      <w:r w:rsidR="00D460A8">
        <w:rPr>
          <w:rStyle w:val="Boldtext"/>
        </w:rPr>
        <w:t>omponent 4)</w:t>
      </w:r>
      <w:r w:rsidRPr="00AC05C8">
        <w:t xml:space="preserve"> outputs are providing actionable market intelligence and evidence to inform decision-making, </w:t>
      </w:r>
      <w:r w:rsidR="00A36A5E">
        <w:t>but</w:t>
      </w:r>
      <w:r w:rsidRPr="00AC05C8">
        <w:t xml:space="preserve"> it is too early to fully assess outcomes</w:t>
      </w:r>
      <w:r w:rsidR="4F2DD4AC">
        <w:t xml:space="preserve"> until after the completion of both the </w:t>
      </w:r>
      <w:r w:rsidR="006024A8">
        <w:t>smart metering</w:t>
      </w:r>
      <w:r w:rsidR="4F2DD4AC">
        <w:t xml:space="preserve"> study and the endline market maturity assessments</w:t>
      </w:r>
      <w:r>
        <w:t>.</w:t>
      </w:r>
      <w:r w:rsidRPr="00AC05C8">
        <w:t xml:space="preserve"> </w:t>
      </w:r>
    </w:p>
    <w:p w14:paraId="133594F1" w14:textId="271C08A5" w:rsidR="00233A2A" w:rsidRDefault="00FF5857" w:rsidP="00CA7032">
      <w:r w:rsidRPr="009B5463">
        <w:rPr>
          <w:rStyle w:val="Italic"/>
        </w:rPr>
        <w:t>Signs of transformational change</w:t>
      </w:r>
      <w:r w:rsidR="00086D33" w:rsidRPr="009B5463">
        <w:rPr>
          <w:rStyle w:val="Italic"/>
        </w:rPr>
        <w:br/>
      </w:r>
      <w:r w:rsidR="00233A2A">
        <w:t>MAGC aims to be transformational in the green building sector, and ICF measures the extent to which an ICF intervention is likely to lead to transformational change through the indicator “KPI15”.</w:t>
      </w:r>
      <w:r w:rsidR="00233A2A">
        <w:rPr>
          <w:rStyle w:val="FootnoteReference"/>
        </w:rPr>
        <w:footnoteReference w:id="7"/>
      </w:r>
      <w:r w:rsidR="00233A2A">
        <w:t xml:space="preserve"> This evaluation found </w:t>
      </w:r>
      <w:r w:rsidR="00086D33">
        <w:t xml:space="preserve">early signs that transformation </w:t>
      </w:r>
      <w:r w:rsidR="00A36A5E">
        <w:t>might</w:t>
      </w:r>
      <w:r w:rsidR="00086D33">
        <w:t xml:space="preserve"> be likely.</w:t>
      </w:r>
      <w:r w:rsidR="00CA7032" w:rsidRPr="00CA7032">
        <w:t xml:space="preserve"> </w:t>
      </w:r>
      <w:r w:rsidR="006904D7">
        <w:t>On the 5-point scale of the ICF methodology to calculate KPI15</w:t>
      </w:r>
      <w:r w:rsidR="6219CC97">
        <w:t>,</w:t>
      </w:r>
      <w:r w:rsidR="006904D7">
        <w:t xml:space="preserve"> the current score of MAGC is </w:t>
      </w:r>
      <w:r w:rsidR="006904D7" w:rsidRPr="00577C0D">
        <w:t xml:space="preserve">4: </w:t>
      </w:r>
      <w:r w:rsidR="00A36A5E">
        <w:t>p</w:t>
      </w:r>
      <w:r w:rsidR="006904D7" w:rsidRPr="00577C0D">
        <w:t>artial evidence that suggests transformational change is likely</w:t>
      </w:r>
      <w:r w:rsidR="006904D7">
        <w:t>.</w:t>
      </w:r>
      <w:r w:rsidR="006904D7">
        <w:rPr>
          <w:rStyle w:val="FootnoteReference"/>
        </w:rPr>
        <w:footnoteReference w:id="8"/>
      </w:r>
      <w:r w:rsidR="006904D7">
        <w:t xml:space="preserve"> </w:t>
      </w:r>
    </w:p>
    <w:p w14:paraId="738DB6C6" w14:textId="517A1806" w:rsidR="00A36A5E" w:rsidRDefault="00233A2A" w:rsidP="00A36A5E">
      <w:pPr>
        <w:pStyle w:val="DESNZbulletedlist"/>
      </w:pPr>
      <w:r>
        <w:t>T</w:t>
      </w:r>
      <w:r w:rsidR="00CA7032" w:rsidRPr="00CA7032">
        <w:t xml:space="preserve">he green building market has grown in many MAGC countries, with an increasing number of </w:t>
      </w:r>
      <w:r w:rsidR="00CA7032" w:rsidRPr="00A36A5E">
        <w:t>international</w:t>
      </w:r>
      <w:r w:rsidR="00CA7032" w:rsidRPr="00CA7032">
        <w:t xml:space="preserve"> and national initiatives and growing interest from financial institutions, developers, and policymakers. </w:t>
      </w:r>
      <w:r w:rsidR="00D460A8" w:rsidRPr="00CA7032">
        <w:t>This suggests that the program</w:t>
      </w:r>
      <w:r w:rsidR="00D460A8">
        <w:t>me</w:t>
      </w:r>
      <w:r w:rsidR="00D460A8" w:rsidRPr="00CA7032">
        <w:t xml:space="preserve"> is contributing to the development of a </w:t>
      </w:r>
      <w:r w:rsidR="00D460A8" w:rsidRPr="0093662D">
        <w:rPr>
          <w:rStyle w:val="Boldtext"/>
        </w:rPr>
        <w:t>critical mass</w:t>
      </w:r>
      <w:r w:rsidR="00D460A8" w:rsidRPr="00CA7032">
        <w:t xml:space="preserve"> of stakeholders engaged in green construction.</w:t>
      </w:r>
      <w:r w:rsidR="003C2990">
        <w:t xml:space="preserve"> </w:t>
      </w:r>
    </w:p>
    <w:p w14:paraId="01D337F3" w14:textId="0FCBE3C5" w:rsidR="00872BD3" w:rsidRDefault="002F3647">
      <w:pPr>
        <w:pStyle w:val="DESNZbulletedlist"/>
      </w:pPr>
      <w:r>
        <w:t>EDGE’s</w:t>
      </w:r>
      <w:r w:rsidRPr="00743622">
        <w:t xml:space="preserve"> online self-assessment tool and simplified process lower the barrier to entry</w:t>
      </w:r>
      <w:r w:rsidR="00B30533">
        <w:t xml:space="preserve"> </w:t>
      </w:r>
      <w:r w:rsidR="006D769D">
        <w:t xml:space="preserve">for developers </w:t>
      </w:r>
      <w:r w:rsidR="00B30533">
        <w:t>into the green building market</w:t>
      </w:r>
      <w:r w:rsidRPr="00743622">
        <w:t xml:space="preserve">, particularly in </w:t>
      </w:r>
      <w:r w:rsidRPr="00A36A5E">
        <w:t>developing</w:t>
      </w:r>
      <w:r w:rsidRPr="00743622">
        <w:t xml:space="preserve"> countries, enabling wider adoption of green building standards. EDGE also fosters </w:t>
      </w:r>
      <w:r w:rsidRPr="00E51B62">
        <w:rPr>
          <w:rStyle w:val="Boldtext"/>
        </w:rPr>
        <w:t>innovation</w:t>
      </w:r>
      <w:r w:rsidRPr="00743622">
        <w:t xml:space="preserve"> </w:t>
      </w:r>
      <w:r w:rsidR="000102E4">
        <w:t>through 1) the</w:t>
      </w:r>
      <w:r w:rsidR="000102E4" w:rsidRPr="00743622">
        <w:t xml:space="preserve"> </w:t>
      </w:r>
      <w:r w:rsidR="000102E4">
        <w:t>e</w:t>
      </w:r>
      <w:r w:rsidR="000102E4" w:rsidRPr="000102E4">
        <w:t>stablishment of a new common international language, which enables a shared understanding of green building certification</w:t>
      </w:r>
      <w:r w:rsidR="000102E4">
        <w:t xml:space="preserve">; 2) </w:t>
      </w:r>
      <w:r w:rsidRPr="00743622">
        <w:t xml:space="preserve">encouraging professionals to explore design, material, and construction techniques </w:t>
      </w:r>
      <w:r w:rsidR="009207FC">
        <w:t xml:space="preserve">new to them </w:t>
      </w:r>
      <w:r w:rsidRPr="00743622">
        <w:t>for greater resource efficiency</w:t>
      </w:r>
      <w:r w:rsidR="00086D33" w:rsidRPr="00CA7032">
        <w:t xml:space="preserve">. </w:t>
      </w:r>
    </w:p>
    <w:p w14:paraId="70634730" w14:textId="72197C79" w:rsidR="00872BD3" w:rsidRPr="002F3647" w:rsidRDefault="00086D33" w:rsidP="001C6F7A">
      <w:pPr>
        <w:pStyle w:val="DESNZbulletedlist"/>
      </w:pPr>
      <w:r w:rsidRPr="00CA7032">
        <w:t xml:space="preserve">MAGC activities are helping </w:t>
      </w:r>
      <w:r w:rsidRPr="007769E5">
        <w:rPr>
          <w:rStyle w:val="Boldtext"/>
        </w:rPr>
        <w:t>increase</w:t>
      </w:r>
      <w:r w:rsidRPr="00CA7032">
        <w:t xml:space="preserve"> </w:t>
      </w:r>
      <w:r w:rsidRPr="007769E5">
        <w:rPr>
          <w:rStyle w:val="Boldtext"/>
        </w:rPr>
        <w:t>capacity and capabilities</w:t>
      </w:r>
      <w:r w:rsidRPr="00CA7032">
        <w:t xml:space="preserve"> in the green building sector</w:t>
      </w:r>
      <w:r>
        <w:t xml:space="preserve">, and </w:t>
      </w:r>
      <w:r w:rsidRPr="00CD533E">
        <w:rPr>
          <w:rStyle w:val="Boldtext"/>
        </w:rPr>
        <w:t>incentivising stakeholders to take action</w:t>
      </w:r>
      <w:r w:rsidRPr="00CA7032">
        <w:t xml:space="preserve"> </w:t>
      </w:r>
      <w:r w:rsidR="00872BD3">
        <w:t>to develop the</w:t>
      </w:r>
      <w:r w:rsidRPr="00CA7032">
        <w:t xml:space="preserve"> green construction </w:t>
      </w:r>
      <w:r w:rsidR="00872BD3">
        <w:t xml:space="preserve">sector </w:t>
      </w:r>
      <w:r w:rsidRPr="00CA7032">
        <w:t>through its support offering</w:t>
      </w:r>
      <w:r>
        <w:t>s</w:t>
      </w:r>
      <w:r w:rsidRPr="00CA7032">
        <w:t xml:space="preserve">. </w:t>
      </w:r>
      <w:r w:rsidR="002C18BA">
        <w:t>T</w:t>
      </w:r>
      <w:r>
        <w:t xml:space="preserve">o drive transformation, MAGC should </w:t>
      </w:r>
      <w:r w:rsidR="002C18BA">
        <w:t>continue addressing</w:t>
      </w:r>
      <w:r w:rsidR="00D460A8">
        <w:t xml:space="preserve"> the strongest barriers </w:t>
      </w:r>
      <w:r>
        <w:t>to green construction take-up</w:t>
      </w:r>
      <w:r w:rsidR="004F5BFB">
        <w:t>. These include</w:t>
      </w:r>
      <w:r w:rsidR="004F5BFB" w:rsidRPr="00281990">
        <w:t xml:space="preserve"> </w:t>
      </w:r>
      <w:r w:rsidRPr="00281990">
        <w:t>high upfront costs</w:t>
      </w:r>
      <w:r w:rsidR="00895A72">
        <w:t xml:space="preserve"> mainly for developers</w:t>
      </w:r>
      <w:r>
        <w:t xml:space="preserve"> (through subsidies)</w:t>
      </w:r>
      <w:r w:rsidRPr="00281990">
        <w:t>, limited awareness of savings benefits</w:t>
      </w:r>
      <w:r w:rsidR="00895A72">
        <w:t xml:space="preserve"> among potential buyers and occupiers</w:t>
      </w:r>
      <w:r w:rsidRPr="00281990">
        <w:t xml:space="preserve">, and the need for stronger evidence </w:t>
      </w:r>
      <w:r>
        <w:t>of green building benefits.</w:t>
      </w:r>
    </w:p>
    <w:p w14:paraId="5A5CC979" w14:textId="1F726F02" w:rsidR="00AD08B3" w:rsidRPr="00086D33" w:rsidRDefault="00AD08B3" w:rsidP="00956D94">
      <w:pPr>
        <w:rPr>
          <w:rStyle w:val="Italic"/>
        </w:rPr>
      </w:pPr>
      <w:r w:rsidRPr="009B5463">
        <w:rPr>
          <w:rStyle w:val="Italic"/>
        </w:rPr>
        <w:t>Case studies</w:t>
      </w:r>
      <w:r w:rsidR="00086D33">
        <w:rPr>
          <w:rStyle w:val="Italic"/>
        </w:rPr>
        <w:t xml:space="preserve"> </w:t>
      </w:r>
      <w:r w:rsidR="00956D94">
        <w:br/>
      </w:r>
      <w:r w:rsidR="002F3647">
        <w:rPr>
          <w:rStyle w:val="Italic"/>
          <w:i w:val="0"/>
          <w:iCs/>
        </w:rPr>
        <w:t xml:space="preserve">The evaluation conducted five case studies at </w:t>
      </w:r>
      <w:r w:rsidR="00D76E05">
        <w:rPr>
          <w:rStyle w:val="Italic"/>
          <w:i w:val="0"/>
          <w:iCs/>
        </w:rPr>
        <w:t>country-</w:t>
      </w:r>
      <w:r w:rsidR="002F3647">
        <w:rPr>
          <w:rStyle w:val="Italic"/>
          <w:i w:val="0"/>
          <w:iCs/>
        </w:rPr>
        <w:t xml:space="preserve">level (in Colombia, India, Kenya, South Africa, Vietnam) </w:t>
      </w:r>
      <w:r w:rsidR="00872BD3">
        <w:rPr>
          <w:rStyle w:val="Italic"/>
          <w:i w:val="0"/>
          <w:iCs/>
        </w:rPr>
        <w:t>focused on</w:t>
      </w:r>
      <w:r w:rsidR="002F3647">
        <w:rPr>
          <w:rStyle w:val="Italic"/>
          <w:i w:val="0"/>
          <w:iCs/>
        </w:rPr>
        <w:t xml:space="preserve"> early outcomes of the programme in countries with substantial MAGC activity. Common findings across case studies show that MAGC is contributing to the </w:t>
      </w:r>
      <w:r w:rsidR="00B30533">
        <w:rPr>
          <w:rStyle w:val="Italic"/>
          <w:i w:val="0"/>
          <w:iCs/>
        </w:rPr>
        <w:t>inclusion of green construction within the portfolios of</w:t>
      </w:r>
      <w:r w:rsidR="002F3647">
        <w:rPr>
          <w:rStyle w:val="Italic"/>
          <w:i w:val="0"/>
          <w:iCs/>
        </w:rPr>
        <w:t xml:space="preserve"> financial intermediaries, developers, and the public sector. A key enabler for this outcome has been s</w:t>
      </w:r>
      <w:r w:rsidR="002F3647" w:rsidRPr="00D85D66">
        <w:rPr>
          <w:rStyle w:val="Italic"/>
          <w:i w:val="0"/>
          <w:iCs/>
        </w:rPr>
        <w:t>trong private sector engagement, particularly from developers motivated by market differentiation and access to funding, especially in Colombia, South Africa, and Vietnam</w:t>
      </w:r>
      <w:r w:rsidR="002F3647">
        <w:rPr>
          <w:rStyle w:val="Italic"/>
          <w:i w:val="0"/>
          <w:iCs/>
        </w:rPr>
        <w:t>. S</w:t>
      </w:r>
      <w:r w:rsidR="002F3647" w:rsidRPr="008A6BC0">
        <w:rPr>
          <w:rStyle w:val="Italic"/>
          <w:i w:val="0"/>
          <w:iCs/>
        </w:rPr>
        <w:t>upportive government policies</w:t>
      </w:r>
      <w:r w:rsidR="002F3647">
        <w:rPr>
          <w:rStyle w:val="Italic"/>
          <w:i w:val="0"/>
          <w:iCs/>
        </w:rPr>
        <w:t xml:space="preserve"> on green buildings,</w:t>
      </w:r>
      <w:r w:rsidR="002F3647" w:rsidRPr="008A6BC0">
        <w:rPr>
          <w:rStyle w:val="Italic"/>
          <w:i w:val="0"/>
          <w:iCs/>
        </w:rPr>
        <w:t xml:space="preserve"> and </w:t>
      </w:r>
      <w:r w:rsidR="002F3647">
        <w:rPr>
          <w:rStyle w:val="Italic"/>
          <w:i w:val="0"/>
          <w:iCs/>
        </w:rPr>
        <w:t xml:space="preserve">their </w:t>
      </w:r>
      <w:r w:rsidR="002F3647" w:rsidRPr="008A6BC0">
        <w:rPr>
          <w:rStyle w:val="Italic"/>
          <w:i w:val="0"/>
          <w:iCs/>
        </w:rPr>
        <w:t>effective implementation</w:t>
      </w:r>
      <w:r w:rsidR="002F3647">
        <w:rPr>
          <w:rStyle w:val="Italic"/>
          <w:i w:val="0"/>
          <w:iCs/>
        </w:rPr>
        <w:t>,</w:t>
      </w:r>
      <w:r w:rsidR="002F3647" w:rsidRPr="008A6BC0">
        <w:rPr>
          <w:rStyle w:val="Italic"/>
          <w:i w:val="0"/>
          <w:iCs/>
        </w:rPr>
        <w:t xml:space="preserve"> </w:t>
      </w:r>
      <w:r w:rsidR="002F3647">
        <w:rPr>
          <w:rStyle w:val="Italic"/>
          <w:i w:val="0"/>
          <w:iCs/>
        </w:rPr>
        <w:t>also facilitated</w:t>
      </w:r>
      <w:r w:rsidR="002F3647" w:rsidRPr="008A6BC0">
        <w:rPr>
          <w:rStyle w:val="Italic"/>
          <w:i w:val="0"/>
          <w:iCs/>
        </w:rPr>
        <w:t xml:space="preserve"> </w:t>
      </w:r>
      <w:r w:rsidR="002F3647">
        <w:rPr>
          <w:rStyle w:val="Italic"/>
          <w:i w:val="0"/>
          <w:iCs/>
        </w:rPr>
        <w:t>green building adoption,</w:t>
      </w:r>
      <w:r w:rsidR="002F3647" w:rsidRPr="008A6BC0">
        <w:rPr>
          <w:rStyle w:val="Italic"/>
          <w:i w:val="0"/>
          <w:iCs/>
        </w:rPr>
        <w:t xml:space="preserve"> as seen in </w:t>
      </w:r>
      <w:r w:rsidR="002F3647">
        <w:rPr>
          <w:rStyle w:val="Italic"/>
          <w:i w:val="0"/>
          <w:iCs/>
        </w:rPr>
        <w:t xml:space="preserve">the example of </w:t>
      </w:r>
      <w:r w:rsidR="002F3647" w:rsidRPr="008A6BC0">
        <w:rPr>
          <w:rStyle w:val="Italic"/>
          <w:i w:val="0"/>
          <w:iCs/>
        </w:rPr>
        <w:t>Colombia</w:t>
      </w:r>
      <w:r w:rsidR="002F3647">
        <w:rPr>
          <w:rStyle w:val="Italic"/>
          <w:i w:val="0"/>
          <w:iCs/>
        </w:rPr>
        <w:t xml:space="preserve">. </w:t>
      </w:r>
      <w:r w:rsidR="002F3647" w:rsidRPr="007D1801">
        <w:rPr>
          <w:rStyle w:val="Italic"/>
          <w:i w:val="0"/>
          <w:iCs/>
        </w:rPr>
        <w:t>Access to affordable green finance remains a critical barrier in all countries,</w:t>
      </w:r>
      <w:r w:rsidR="002F3647">
        <w:rPr>
          <w:rStyle w:val="Italic"/>
          <w:i w:val="0"/>
          <w:iCs/>
        </w:rPr>
        <w:t xml:space="preserve"> and this highlights the relevance of MAGC’s support to banks in </w:t>
      </w:r>
      <w:r w:rsidR="002F3647" w:rsidRPr="00131292">
        <w:t>the development of green finance products</w:t>
      </w:r>
      <w:r w:rsidR="002F3647">
        <w:rPr>
          <w:rStyle w:val="Italic"/>
          <w:i w:val="0"/>
          <w:iCs/>
        </w:rPr>
        <w:t>.</w:t>
      </w:r>
    </w:p>
    <w:p w14:paraId="23D98A52" w14:textId="6D4AEC94" w:rsidR="00C543F8" w:rsidRPr="00086D33" w:rsidRDefault="00AD08B3" w:rsidP="00A75BCE">
      <w:pPr>
        <w:rPr>
          <w:i/>
        </w:rPr>
      </w:pPr>
      <w:r w:rsidRPr="009B5463">
        <w:rPr>
          <w:rStyle w:val="Italic"/>
        </w:rPr>
        <w:t>G</w:t>
      </w:r>
      <w:r w:rsidR="008565F9" w:rsidRPr="009B5463">
        <w:rPr>
          <w:rStyle w:val="Italic"/>
        </w:rPr>
        <w:t>ender Equality, Disability and Social Inclusion (GEDSI)</w:t>
      </w:r>
      <w:r w:rsidRPr="009B5463">
        <w:rPr>
          <w:rStyle w:val="Italic"/>
        </w:rPr>
        <w:t xml:space="preserve"> Learning</w:t>
      </w:r>
      <w:r w:rsidR="003163D1">
        <w:rPr>
          <w:rStyle w:val="FootnoteReference"/>
          <w:i/>
        </w:rPr>
        <w:footnoteReference w:id="9"/>
      </w:r>
      <w:r w:rsidR="00086D33">
        <w:rPr>
          <w:rStyle w:val="Italic"/>
        </w:rPr>
        <w:br/>
      </w:r>
      <w:r w:rsidR="00862D5A">
        <w:t xml:space="preserve">GEDSI aspects were not originally part of MAGC programme design and business case. However, there are </w:t>
      </w:r>
      <w:r w:rsidR="00862D5A" w:rsidRPr="00A6078B">
        <w:t xml:space="preserve">opportunities for identifying </w:t>
      </w:r>
      <w:r w:rsidR="00862D5A">
        <w:t>GEDSI</w:t>
      </w:r>
      <w:r w:rsidR="00862D5A" w:rsidRPr="00A6078B">
        <w:t xml:space="preserve"> learnings</w:t>
      </w:r>
      <w:r w:rsidR="00862D5A">
        <w:t xml:space="preserve"> through the evaluation. </w:t>
      </w:r>
      <w:r w:rsidR="00C543F8" w:rsidRPr="00C543F8">
        <w:t>Green buildings have the potential to improve living standards for marginali</w:t>
      </w:r>
      <w:r w:rsidR="00C543F8">
        <w:t>s</w:t>
      </w:r>
      <w:r w:rsidR="00C543F8" w:rsidRPr="00C543F8">
        <w:t>ed groups, but reali</w:t>
      </w:r>
      <w:r w:rsidR="00C543F8">
        <w:t>s</w:t>
      </w:r>
      <w:r w:rsidR="00C543F8" w:rsidRPr="00C543F8">
        <w:t xml:space="preserve">ing these benefits is context-specific and requires integration from the design stage. MAGC has made progress in encouraging women's participation in the sector, but continued support is needed. </w:t>
      </w:r>
      <w:r w:rsidR="00862D5A">
        <w:t>Potential future iterations of the programme</w:t>
      </w:r>
      <w:r w:rsidR="00862D5A" w:rsidRPr="00C543F8">
        <w:t xml:space="preserve"> </w:t>
      </w:r>
      <w:r w:rsidR="00C543F8" w:rsidRPr="00C543F8">
        <w:t>should prioriti</w:t>
      </w:r>
      <w:r w:rsidR="00C543F8">
        <w:t>s</w:t>
      </w:r>
      <w:r w:rsidR="00C543F8" w:rsidRPr="00C543F8">
        <w:t>e GEDSI outcomes, promote inclusive policies, increase monitoring and evaluation, and foster multi-sectoral collaboration.</w:t>
      </w:r>
    </w:p>
    <w:p w14:paraId="09A3C984" w14:textId="26C2C564" w:rsidR="004D6F20" w:rsidRPr="00086D33" w:rsidRDefault="00D460A8" w:rsidP="00A75BCE">
      <w:pPr>
        <w:rPr>
          <w:i/>
        </w:rPr>
      </w:pPr>
      <w:r w:rsidRPr="009B5463">
        <w:rPr>
          <w:rStyle w:val="Italic"/>
        </w:rPr>
        <w:t>Value for Money</w:t>
      </w:r>
      <w:r w:rsidR="003163D1">
        <w:rPr>
          <w:rStyle w:val="FootnoteReference"/>
          <w:i/>
        </w:rPr>
        <w:footnoteReference w:id="10"/>
      </w:r>
      <w:r w:rsidR="00086D33">
        <w:rPr>
          <w:rStyle w:val="Italic"/>
        </w:rPr>
        <w:br/>
      </w:r>
      <w:r w:rsidR="003163D1" w:rsidRPr="003163D1">
        <w:t xml:space="preserve">The Value for Money assessment employs </w:t>
      </w:r>
      <w:r w:rsidR="002F3647">
        <w:t>FCDO’s</w:t>
      </w:r>
      <w:r w:rsidR="003163D1" w:rsidRPr="003163D1">
        <w:t xml:space="preserve"> 5e approach</w:t>
      </w:r>
      <w:r w:rsidR="003163D1">
        <w:t xml:space="preserve"> (</w:t>
      </w:r>
      <w:r w:rsidR="003163D1" w:rsidRPr="003163D1">
        <w:t>economy, efficiency, effectiveness, cost-effectiveness, and equity</w:t>
      </w:r>
      <w:r w:rsidR="003163D1">
        <w:t>)</w:t>
      </w:r>
      <w:r w:rsidR="003163D1" w:rsidRPr="003163D1">
        <w:t xml:space="preserve">. The evaluation is currently </w:t>
      </w:r>
      <w:r w:rsidR="00C13C8F" w:rsidRPr="003163D1">
        <w:t>interim,</w:t>
      </w:r>
      <w:r w:rsidR="003163D1">
        <w:t xml:space="preserve"> and </w:t>
      </w:r>
      <w:r w:rsidR="003163D1" w:rsidRPr="003163D1">
        <w:t xml:space="preserve">a full assessment of effectiveness and cost-effectiveness is not possible at this stage. </w:t>
      </w:r>
      <w:r w:rsidR="003163D1">
        <w:t>In the current phase,</w:t>
      </w:r>
      <w:r w:rsidR="003163D1" w:rsidRPr="003163D1">
        <w:t xml:space="preserve"> stakeholder</w:t>
      </w:r>
      <w:r w:rsidR="003163D1">
        <w:t>s interviewed from the MAGC programme teams in DESNZ and IFC expressed confidence</w:t>
      </w:r>
      <w:r w:rsidR="003163D1" w:rsidRPr="003163D1">
        <w:t xml:space="preserve"> in the program</w:t>
      </w:r>
      <w:r w:rsidR="003163D1">
        <w:t>me</w:t>
      </w:r>
      <w:r w:rsidR="003163D1" w:rsidRPr="003163D1">
        <w:t>'s value</w:t>
      </w:r>
      <w:r w:rsidR="006609CC">
        <w:t>.</w:t>
      </w:r>
      <w:r w:rsidR="006609CC" w:rsidRPr="003163D1">
        <w:t xml:space="preserve"> </w:t>
      </w:r>
      <w:r w:rsidR="006609CC">
        <w:t>R</w:t>
      </w:r>
      <w:r w:rsidR="003163D1" w:rsidRPr="003163D1">
        <w:t xml:space="preserve">ecent progress </w:t>
      </w:r>
      <w:r w:rsidR="006609CC">
        <w:t xml:space="preserve">has </w:t>
      </w:r>
      <w:r w:rsidR="003163D1" w:rsidRPr="003163D1">
        <w:t>suggest</w:t>
      </w:r>
      <w:r w:rsidR="003163D1">
        <w:t>ed</w:t>
      </w:r>
      <w:r w:rsidR="003163D1" w:rsidRPr="003163D1">
        <w:t xml:space="preserve"> that it may achieve better ratings in future evaluations. </w:t>
      </w:r>
      <w:r w:rsidR="003163D1">
        <w:t>MAGC</w:t>
      </w:r>
      <w:r w:rsidR="003163D1" w:rsidRPr="003163D1">
        <w:t xml:space="preserve"> has demonstrated strengths in economy and equity</w:t>
      </w:r>
      <w:r w:rsidR="001D1A8E">
        <w:t>.</w:t>
      </w:r>
      <w:r w:rsidR="003163D1" w:rsidRPr="003163D1">
        <w:t xml:space="preserve"> </w:t>
      </w:r>
      <w:r w:rsidR="005E133D">
        <w:t xml:space="preserve">DESNZ </w:t>
      </w:r>
      <w:r w:rsidR="003163D1" w:rsidRPr="003163D1">
        <w:t xml:space="preserve">administrative costs slightly exceeding budget </w:t>
      </w:r>
      <w:r w:rsidR="00862D5A">
        <w:t>(</w:t>
      </w:r>
      <w:r w:rsidR="003163D1" w:rsidRPr="003163D1">
        <w:t xml:space="preserve">but </w:t>
      </w:r>
      <w:r w:rsidR="005E133D">
        <w:t xml:space="preserve">deviations are </w:t>
      </w:r>
      <w:r w:rsidR="003163D1" w:rsidRPr="003163D1">
        <w:t>justified</w:t>
      </w:r>
      <w:r w:rsidR="00862D5A">
        <w:t>)</w:t>
      </w:r>
      <w:r w:rsidR="003163D1" w:rsidRPr="003163D1">
        <w:t>, and evidence of efforts to improve gender equality and benefit marginali</w:t>
      </w:r>
      <w:r w:rsidR="00C13C8F">
        <w:t>s</w:t>
      </w:r>
      <w:r w:rsidR="003163D1" w:rsidRPr="003163D1">
        <w:t>ed groups.</w:t>
      </w:r>
    </w:p>
    <w:p w14:paraId="5CB578CD" w14:textId="19587593" w:rsidR="004D6F20" w:rsidRDefault="004D6F20" w:rsidP="009B5463">
      <w:pPr>
        <w:pStyle w:val="Heading4"/>
      </w:pPr>
      <w:r>
        <w:t>Recommendations</w:t>
      </w:r>
      <w:r w:rsidR="008D10AB">
        <w:t xml:space="preserve"> and wider lessons</w:t>
      </w:r>
    </w:p>
    <w:p w14:paraId="6FA39331" w14:textId="5D4BA486" w:rsidR="00B84290" w:rsidRDefault="007E612F" w:rsidP="00326024">
      <w:r w:rsidRPr="007E612F">
        <w:t>Overall, the evaluation found that the early outcomes of MAGC observed so far are in line with the programme Theory of Change</w:t>
      </w:r>
      <w:r w:rsidR="006609CC">
        <w:t>. T</w:t>
      </w:r>
      <w:r w:rsidRPr="007E612F">
        <w:t>he different pathways to change seem to be valid in practice.</w:t>
      </w:r>
      <w:r>
        <w:t xml:space="preserve"> </w:t>
      </w:r>
      <w:r w:rsidR="00326024" w:rsidRPr="00326024">
        <w:t xml:space="preserve">The </w:t>
      </w:r>
      <w:r w:rsidR="00326024">
        <w:t>report</w:t>
      </w:r>
      <w:r w:rsidR="00326024" w:rsidRPr="00326024">
        <w:t xml:space="preserve"> provides </w:t>
      </w:r>
      <w:r w:rsidR="00E32817">
        <w:t>the following</w:t>
      </w:r>
      <w:r w:rsidR="00326024" w:rsidRPr="00326024">
        <w:t xml:space="preserve"> </w:t>
      </w:r>
      <w:r w:rsidR="00326024" w:rsidRPr="008D10AB">
        <w:rPr>
          <w:rStyle w:val="Boldtext"/>
        </w:rPr>
        <w:t>recommendations</w:t>
      </w:r>
      <w:r w:rsidR="00326024" w:rsidRPr="00326024">
        <w:t xml:space="preserve"> for </w:t>
      </w:r>
      <w:r w:rsidR="00620E2E">
        <w:t>MAGC</w:t>
      </w:r>
      <w:r w:rsidR="00E32817">
        <w:t>:</w:t>
      </w:r>
      <w:r w:rsidR="00326024" w:rsidRPr="00326024">
        <w:t xml:space="preserve"> </w:t>
      </w:r>
    </w:p>
    <w:p w14:paraId="19D887FD" w14:textId="702FC0D1" w:rsidR="00B84290" w:rsidRDefault="00326024" w:rsidP="00B84290">
      <w:pPr>
        <w:pStyle w:val="DESNZbulletedlist"/>
      </w:pPr>
      <w:r w:rsidRPr="00326024">
        <w:t xml:space="preserve">For the </w:t>
      </w:r>
      <w:r w:rsidRPr="00326024">
        <w:rPr>
          <w:rStyle w:val="Boldtext"/>
        </w:rPr>
        <w:t>investment and advisory component</w:t>
      </w:r>
      <w:r w:rsidRPr="00326024">
        <w:t xml:space="preserve">, </w:t>
      </w:r>
      <w:r w:rsidR="005646D6">
        <w:t>greater consideration should be given to</w:t>
      </w:r>
      <w:r w:rsidR="00E32817">
        <w:t xml:space="preserve"> the trade-offs </w:t>
      </w:r>
      <w:r w:rsidR="00872BD3">
        <w:t xml:space="preserve">between the </w:t>
      </w:r>
      <w:r w:rsidR="005646D6">
        <w:t xml:space="preserve">different </w:t>
      </w:r>
      <w:r w:rsidR="00872BD3">
        <w:t>effects of using</w:t>
      </w:r>
      <w:r w:rsidR="005646D6">
        <w:t xml:space="preserve"> </w:t>
      </w:r>
      <w:r w:rsidR="007B4233">
        <w:t xml:space="preserve">predominantly </w:t>
      </w:r>
      <w:r w:rsidR="00E32817">
        <w:t xml:space="preserve">PBIs, </w:t>
      </w:r>
      <w:r w:rsidR="005646D6">
        <w:t>and the extent to which PBIs sufficiently address the full suite of</w:t>
      </w:r>
      <w:r w:rsidR="00E32817" w:rsidRPr="0083721A">
        <w:t xml:space="preserve"> market barriers </w:t>
      </w:r>
      <w:r w:rsidR="005646D6">
        <w:t xml:space="preserve">MAGC aims to address. </w:t>
      </w:r>
      <w:r w:rsidR="00274362">
        <w:t xml:space="preserve">PBIs have been </w:t>
      </w:r>
      <w:r w:rsidR="009E03B9">
        <w:t xml:space="preserve">very </w:t>
      </w:r>
      <w:r w:rsidR="00274362">
        <w:t xml:space="preserve">effective at </w:t>
      </w:r>
      <w:r w:rsidR="009E03B9">
        <w:t xml:space="preserve">mobilising a high volume of IFC funds with </w:t>
      </w:r>
      <w:r w:rsidR="00045A1E">
        <w:t>many</w:t>
      </w:r>
      <w:r w:rsidR="009E03B9">
        <w:t xml:space="preserve"> FIs. But o</w:t>
      </w:r>
      <w:r w:rsidR="00890B5F">
        <w:t>ther instruments such as equity</w:t>
      </w:r>
      <w:r w:rsidR="0094229B">
        <w:t>,</w:t>
      </w:r>
      <w:r w:rsidR="00890B5F">
        <w:t xml:space="preserve"> debt </w:t>
      </w:r>
      <w:r w:rsidR="0094229B">
        <w:t xml:space="preserve">or guarantees </w:t>
      </w:r>
      <w:r w:rsidR="00890B5F">
        <w:t xml:space="preserve">may be better suited to </w:t>
      </w:r>
      <w:r w:rsidR="00FA47B4">
        <w:t xml:space="preserve">reduce </w:t>
      </w:r>
      <w:r w:rsidR="000C5FF9">
        <w:t>some of the key barriers identified</w:t>
      </w:r>
      <w:r w:rsidR="009D3A2F">
        <w:t xml:space="preserve"> and may be more effective at mobilising private capital.</w:t>
      </w:r>
      <w:r w:rsidR="00890B5F">
        <w:t xml:space="preserve"> </w:t>
      </w:r>
      <w:r w:rsidR="002E3314">
        <w:t>Using a wider range of instruments would also provide more learning for future programmes.</w:t>
      </w:r>
      <w:r w:rsidR="00890B5F">
        <w:t xml:space="preserve"> </w:t>
      </w:r>
      <w:r w:rsidR="00E32817">
        <w:t xml:space="preserve"> </w:t>
      </w:r>
    </w:p>
    <w:p w14:paraId="583A08D9" w14:textId="592180D6" w:rsidR="00B84290" w:rsidRDefault="008D10AB" w:rsidP="00B84290">
      <w:pPr>
        <w:pStyle w:val="DESNZbulletedlist"/>
      </w:pPr>
      <w:r>
        <w:t>MAGC</w:t>
      </w:r>
      <w:r w:rsidR="0086561F">
        <w:t xml:space="preserve"> could benefit from strengthening </w:t>
      </w:r>
      <w:r w:rsidR="0086561F">
        <w:rPr>
          <w:rStyle w:val="Boldtext"/>
        </w:rPr>
        <w:t>public</w:t>
      </w:r>
      <w:r w:rsidR="00326024" w:rsidRPr="00A23781">
        <w:rPr>
          <w:rStyle w:val="Boldtext"/>
        </w:rPr>
        <w:t xml:space="preserve"> sector engagement</w:t>
      </w:r>
      <w:r w:rsidR="003444D5">
        <w:t xml:space="preserve">, </w:t>
      </w:r>
      <w:r w:rsidR="005646D6">
        <w:t>by increasing the programme’s engagement with</w:t>
      </w:r>
      <w:r w:rsidR="003444D5">
        <w:t xml:space="preserve"> UK Embassies and </w:t>
      </w:r>
      <w:r w:rsidR="005646D6">
        <w:t xml:space="preserve">by </w:t>
      </w:r>
      <w:r w:rsidR="003444D5">
        <w:t>targeting countries where the public sector is a key driver</w:t>
      </w:r>
      <w:r w:rsidR="007A4660">
        <w:t xml:space="preserve"> in the market</w:t>
      </w:r>
      <w:r w:rsidR="005646D6">
        <w:t>.</w:t>
      </w:r>
      <w:r w:rsidR="00326024" w:rsidRPr="00326024">
        <w:t xml:space="preserve"> </w:t>
      </w:r>
    </w:p>
    <w:p w14:paraId="756E4510" w14:textId="7E0B3780" w:rsidR="003444D5" w:rsidRDefault="003444D5" w:rsidP="00B84290">
      <w:pPr>
        <w:pStyle w:val="DESNZbulletedlist"/>
      </w:pPr>
      <w:r>
        <w:t>MAGC should consider the longer term sustainability and funding</w:t>
      </w:r>
      <w:r w:rsidRPr="000B0420">
        <w:t xml:space="preserve"> of the EDGE platform</w:t>
      </w:r>
      <w:r w:rsidR="00DF0FC7">
        <w:t xml:space="preserve">. If </w:t>
      </w:r>
      <w:r w:rsidR="00DB2ED2">
        <w:t xml:space="preserve">MAGC funds will be phased out in the future, a strategy should be developed for the platform to become </w:t>
      </w:r>
      <w:r w:rsidR="00A63F8E">
        <w:t xml:space="preserve">at least </w:t>
      </w:r>
      <w:r w:rsidR="00DB2ED2">
        <w:t>partly self-funded.</w:t>
      </w:r>
    </w:p>
    <w:p w14:paraId="4B0EB5B0" w14:textId="5632093C" w:rsidR="00B84290" w:rsidRDefault="003444D5" w:rsidP="00B84290">
      <w:pPr>
        <w:pStyle w:val="DESNZbulletedlist"/>
      </w:pPr>
      <w:r w:rsidRPr="00F567FD">
        <w:rPr>
          <w:rStyle w:val="Boldtext"/>
          <w:b w:val="0"/>
          <w:bCs/>
        </w:rPr>
        <w:t xml:space="preserve">MAGC </w:t>
      </w:r>
      <w:r w:rsidR="00C51303">
        <w:rPr>
          <w:rStyle w:val="Boldtext"/>
          <w:b w:val="0"/>
          <w:bCs/>
        </w:rPr>
        <w:t xml:space="preserve">should </w:t>
      </w:r>
      <w:r w:rsidRPr="00F567FD">
        <w:rPr>
          <w:rStyle w:val="Boldtext"/>
          <w:b w:val="0"/>
          <w:bCs/>
        </w:rPr>
        <w:t xml:space="preserve">actively seek opportunities to coordinate with other ICF programmes to share lessons learned and </w:t>
      </w:r>
      <w:r w:rsidR="00185F19">
        <w:rPr>
          <w:rStyle w:val="Boldtext"/>
          <w:b w:val="0"/>
          <w:bCs/>
        </w:rPr>
        <w:t xml:space="preserve">achieve efficiencies (e.g., </w:t>
      </w:r>
      <w:r w:rsidR="00E04DBA">
        <w:rPr>
          <w:rStyle w:val="Boldtext"/>
          <w:b w:val="0"/>
          <w:bCs/>
        </w:rPr>
        <w:t>share contacts with FIs</w:t>
      </w:r>
      <w:r w:rsidR="00363BCB">
        <w:rPr>
          <w:rStyle w:val="Boldtext"/>
          <w:b w:val="0"/>
          <w:bCs/>
        </w:rPr>
        <w:t xml:space="preserve"> or public actors, collaborate to deliver training, etc.)</w:t>
      </w:r>
      <w:r w:rsidRPr="00F567FD">
        <w:rPr>
          <w:rStyle w:val="Boldtext"/>
          <w:b w:val="0"/>
          <w:bCs/>
        </w:rPr>
        <w:t xml:space="preserve">. UK </w:t>
      </w:r>
      <w:r>
        <w:rPr>
          <w:rStyle w:val="Boldtext"/>
          <w:b w:val="0"/>
          <w:bCs/>
        </w:rPr>
        <w:t>E</w:t>
      </w:r>
      <w:r w:rsidRPr="00F567FD">
        <w:rPr>
          <w:rStyle w:val="Boldtext"/>
          <w:b w:val="0"/>
          <w:bCs/>
        </w:rPr>
        <w:t>mbassies can play a key role in facilitating these linkages.</w:t>
      </w:r>
    </w:p>
    <w:p w14:paraId="5431691B" w14:textId="3F048D54" w:rsidR="00326024" w:rsidRPr="00326024" w:rsidRDefault="00326024" w:rsidP="00B84290">
      <w:pPr>
        <w:pStyle w:val="DESNZbulletedlist"/>
      </w:pPr>
      <w:r w:rsidRPr="00326024">
        <w:t xml:space="preserve">Lastly, integrating </w:t>
      </w:r>
      <w:r w:rsidRPr="00B84290">
        <w:rPr>
          <w:rStyle w:val="Boldtext"/>
        </w:rPr>
        <w:t>GEDSI</w:t>
      </w:r>
      <w:r w:rsidRPr="00326024">
        <w:t xml:space="preserve"> considerations from the outset</w:t>
      </w:r>
      <w:r w:rsidR="00D460A8">
        <w:t xml:space="preserve"> of future programme planning</w:t>
      </w:r>
      <w:r w:rsidR="00A776BA">
        <w:t>:</w:t>
      </w:r>
      <w:r w:rsidR="00A776BA" w:rsidRPr="00326024">
        <w:t xml:space="preserve"> </w:t>
      </w:r>
      <w:r w:rsidR="00A776BA">
        <w:t>E</w:t>
      </w:r>
      <w:r w:rsidR="00A776BA" w:rsidRPr="00326024">
        <w:t xml:space="preserve">xpanding </w:t>
      </w:r>
      <w:r w:rsidRPr="00326024">
        <w:t>training and mentorship for women, developing contextual indicators, monitoring outcomes, and prioriti</w:t>
      </w:r>
      <w:r w:rsidR="00B84290">
        <w:t>s</w:t>
      </w:r>
      <w:r w:rsidRPr="00326024">
        <w:t>ing multi-sectoral collaboration are crucial for promoting social inclusion.</w:t>
      </w:r>
    </w:p>
    <w:p w14:paraId="248DD117" w14:textId="27342D2A" w:rsidR="006D6EB2" w:rsidRDefault="00326024" w:rsidP="00A75BCE">
      <w:pPr>
        <w:sectPr w:rsidR="006D6EB2" w:rsidSect="001C6F7A">
          <w:headerReference w:type="default" r:id="rId15"/>
          <w:pgSz w:w="11906" w:h="16838"/>
          <w:pgMar w:top="1418" w:right="907" w:bottom="907" w:left="907" w:header="709" w:footer="266" w:gutter="0"/>
          <w:pgNumType w:fmt="lowerRoman" w:start="1"/>
          <w:cols w:space="708"/>
          <w:docGrid w:linePitch="360"/>
        </w:sectPr>
      </w:pPr>
      <w:r w:rsidRPr="00326024">
        <w:t xml:space="preserve">The evaluation highlights several </w:t>
      </w:r>
      <w:r w:rsidR="008D10AB">
        <w:rPr>
          <w:rStyle w:val="Boldtext"/>
        </w:rPr>
        <w:t>wider</w:t>
      </w:r>
      <w:r w:rsidRPr="008D10AB">
        <w:rPr>
          <w:rStyle w:val="Boldtext"/>
        </w:rPr>
        <w:t xml:space="preserve"> lessons</w:t>
      </w:r>
      <w:r w:rsidRPr="00326024">
        <w:t xml:space="preserve"> from MAGC</w:t>
      </w:r>
      <w:r w:rsidR="008D10AB">
        <w:t>.</w:t>
      </w:r>
      <w:r w:rsidRPr="00326024">
        <w:t xml:space="preserve"> Firstly, MAGC's holistic approach, which targets green construction through investment, advisory services, capacity building, and research, is highly relevant for the sector</w:t>
      </w:r>
      <w:r w:rsidR="00A776BA">
        <w:t>.</w:t>
      </w:r>
      <w:r w:rsidRPr="00326024">
        <w:t xml:space="preserve"> </w:t>
      </w:r>
      <w:r w:rsidR="00A776BA">
        <w:t xml:space="preserve">This </w:t>
      </w:r>
      <w:r w:rsidRPr="00326024">
        <w:t>requires careful timing and robust coordination mechanisms to ensure effective implementation. Secondly, the use of performance-based incentives, as demonstrated by MAGC, has proven to be an effective tool for mobili</w:t>
      </w:r>
      <w:r w:rsidR="008D10AB">
        <w:t>s</w:t>
      </w:r>
      <w:r w:rsidRPr="00326024">
        <w:t>ing private sector investment in climate finance</w:t>
      </w:r>
      <w:r w:rsidR="00A776BA">
        <w:t>.</w:t>
      </w:r>
      <w:r w:rsidRPr="00326024">
        <w:t xml:space="preserve"> </w:t>
      </w:r>
      <w:r w:rsidR="00A776BA">
        <w:t xml:space="preserve">This </w:t>
      </w:r>
      <w:r w:rsidRPr="00326024">
        <w:t>could be replicated in other contexts to accelerate the transition to a low-carbon economy</w:t>
      </w:r>
      <w:r w:rsidR="003444D5">
        <w:t xml:space="preserve"> while considering its trade-offs</w:t>
      </w:r>
      <w:r w:rsidRPr="00326024">
        <w:t>. Finally, MAGC's experience emphasi</w:t>
      </w:r>
      <w:r w:rsidR="00406E20">
        <w:t>s</w:t>
      </w:r>
      <w:r w:rsidRPr="00326024">
        <w:t>es the importance of integrating social inclusion considerations from the initial design phase to ensure the equitable distribution of benefits from green building practices.</w:t>
      </w:r>
    </w:p>
    <w:p w14:paraId="0B302F11" w14:textId="60436A96" w:rsidR="008C1C8D" w:rsidRPr="008C1C8D" w:rsidRDefault="008C1C8D" w:rsidP="0070688F">
      <w:pPr>
        <w:pStyle w:val="Heading1"/>
      </w:pPr>
      <w:bookmarkStart w:id="2" w:name="_Toc189155207"/>
      <w:r w:rsidRPr="008C1C8D">
        <w:t>1 Introduction</w:t>
      </w:r>
      <w:bookmarkEnd w:id="2"/>
      <w:r w:rsidRPr="008C1C8D">
        <w:t xml:space="preserve"> </w:t>
      </w:r>
    </w:p>
    <w:p w14:paraId="6B0B8D26" w14:textId="743D21B9" w:rsidR="007A5BB0" w:rsidRDefault="00FB5933" w:rsidP="00FB5933">
      <w:r w:rsidRPr="00103270">
        <w:t>Ipsos has been commissioned by the UK Department for Energy Security and Net Zero (DESNZ) to be the</w:t>
      </w:r>
      <w:r>
        <w:t xml:space="preserve"> monitoring,</w:t>
      </w:r>
      <w:r w:rsidRPr="00103270">
        <w:t xml:space="preserve"> evaluation</w:t>
      </w:r>
      <w:r>
        <w:t>,</w:t>
      </w:r>
      <w:r w:rsidRPr="00103270">
        <w:t xml:space="preserve"> and learning </w:t>
      </w:r>
      <w:r>
        <w:t xml:space="preserve">(MEL) </w:t>
      </w:r>
      <w:r w:rsidRPr="00103270">
        <w:t xml:space="preserve">partner for the </w:t>
      </w:r>
      <w:r>
        <w:t xml:space="preserve">International Climate Finance </w:t>
      </w:r>
      <w:r w:rsidR="00F6729B">
        <w:t>(</w:t>
      </w:r>
      <w:r>
        <w:t xml:space="preserve">ICF) programme </w:t>
      </w:r>
      <w:r w:rsidRPr="00103270">
        <w:t xml:space="preserve">Market Accelerator for Green Construction (MAGC). </w:t>
      </w:r>
    </w:p>
    <w:p w14:paraId="7C250767" w14:textId="6843B0F0" w:rsidR="00FB5933" w:rsidRDefault="007A5BB0" w:rsidP="00FB5933">
      <w:r>
        <w:t>MAGC</w:t>
      </w:r>
      <w:r w:rsidR="00FB5933">
        <w:t xml:space="preserve"> is funded through Official Development Assistance (ODA) and delivered by </w:t>
      </w:r>
      <w:r w:rsidR="00FB5933" w:rsidRPr="00AB6963">
        <w:t>the International Finance Corporation (IFC), member of the World Bank Group (WBG)</w:t>
      </w:r>
      <w:r w:rsidR="00FB5933">
        <w:t xml:space="preserve">. </w:t>
      </w:r>
      <w:r>
        <w:t xml:space="preserve">The aim of the programme is </w:t>
      </w:r>
      <w:r w:rsidR="00FB5933" w:rsidRPr="00BB1404">
        <w:t xml:space="preserve">to </w:t>
      </w:r>
      <w:r w:rsidR="00DC3627">
        <w:t>tackle</w:t>
      </w:r>
      <w:r w:rsidR="00FB5933" w:rsidRPr="00BB1404">
        <w:t xml:space="preserve"> climate change in emerging markets by crowding in public and private sector financing for certified green buildings. </w:t>
      </w:r>
      <w:r w:rsidR="00FB5933">
        <w:t xml:space="preserve">The overall objectives of the </w:t>
      </w:r>
      <w:r>
        <w:t xml:space="preserve">MEL </w:t>
      </w:r>
      <w:r w:rsidR="00FB5933">
        <w:t xml:space="preserve">contract are to assess whether </w:t>
      </w:r>
      <w:r w:rsidR="00620E2E">
        <w:t>MAGC</w:t>
      </w:r>
      <w:r w:rsidR="00FB5933" w:rsidRPr="00073BE9">
        <w:t xml:space="preserve"> is having the intended benefits, whilst maximising the learning and transformation potential</w:t>
      </w:r>
      <w:r w:rsidR="00FB5933">
        <w:t>,</w:t>
      </w:r>
      <w:r w:rsidR="00FB5933" w:rsidRPr="00073BE9">
        <w:t xml:space="preserve"> and informing future strategic decisions.</w:t>
      </w:r>
    </w:p>
    <w:p w14:paraId="14C7D70A" w14:textId="403153D5" w:rsidR="005D341E" w:rsidRDefault="00103270" w:rsidP="008C1C8D">
      <w:r>
        <w:t xml:space="preserve">The evaluation </w:t>
      </w:r>
      <w:r w:rsidR="00795B0D">
        <w:t xml:space="preserve">is </w:t>
      </w:r>
      <w:r w:rsidRPr="00103270">
        <w:t xml:space="preserve">split into </w:t>
      </w:r>
      <w:r w:rsidR="0060410A">
        <w:t xml:space="preserve">two </w:t>
      </w:r>
      <w:r w:rsidRPr="00103270">
        <w:t xml:space="preserve">phases: </w:t>
      </w:r>
    </w:p>
    <w:p w14:paraId="55A88D8D" w14:textId="0C7A41E7" w:rsidR="00F60FBD" w:rsidRDefault="005D341E" w:rsidP="008E657A">
      <w:pPr>
        <w:pStyle w:val="DESNZbulletedlist"/>
      </w:pPr>
      <w:r>
        <w:t xml:space="preserve">The </w:t>
      </w:r>
      <w:r w:rsidR="006C5959" w:rsidRPr="00392A7A">
        <w:rPr>
          <w:b/>
        </w:rPr>
        <w:t>i</w:t>
      </w:r>
      <w:r w:rsidR="00103270" w:rsidRPr="00392A7A">
        <w:rPr>
          <w:b/>
        </w:rPr>
        <w:t xml:space="preserve">nterim </w:t>
      </w:r>
      <w:r w:rsidRPr="00392A7A">
        <w:rPr>
          <w:b/>
        </w:rPr>
        <w:t>evaluation</w:t>
      </w:r>
      <w:r w:rsidR="00E366EB">
        <w:t>, which</w:t>
      </w:r>
      <w:r>
        <w:t xml:space="preserve"> include</w:t>
      </w:r>
      <w:r w:rsidR="009C30DE">
        <w:t>s</w:t>
      </w:r>
      <w:r>
        <w:t xml:space="preserve"> </w:t>
      </w:r>
      <w:r w:rsidR="0060410A">
        <w:t xml:space="preserve">a </w:t>
      </w:r>
      <w:r>
        <w:t>process evaluation (phase 1a</w:t>
      </w:r>
      <w:r w:rsidR="0060410A">
        <w:t>; undertaken in early 2024</w:t>
      </w:r>
      <w:r>
        <w:t>)</w:t>
      </w:r>
      <w:r>
        <w:rPr>
          <w:rStyle w:val="FootnoteReference"/>
        </w:rPr>
        <w:footnoteReference w:id="11"/>
      </w:r>
      <w:r>
        <w:t xml:space="preserve"> </w:t>
      </w:r>
      <w:r w:rsidR="0060410A">
        <w:t xml:space="preserve">and </w:t>
      </w:r>
    </w:p>
    <w:p w14:paraId="5BFF6AFB" w14:textId="44B62205" w:rsidR="005D341E" w:rsidRDefault="00F60FBD" w:rsidP="008E657A">
      <w:pPr>
        <w:pStyle w:val="DESNZbulletedlist"/>
      </w:pPr>
      <w:r>
        <w:t>A</w:t>
      </w:r>
      <w:r w:rsidR="005D341E">
        <w:t>n early outcome evaluation (phase 1b</w:t>
      </w:r>
      <w:r w:rsidR="0060410A">
        <w:t xml:space="preserve">; </w:t>
      </w:r>
      <w:r w:rsidR="00390823">
        <w:t>object of this report</w:t>
      </w:r>
      <w:r w:rsidR="0060410A">
        <w:t>)</w:t>
      </w:r>
      <w:r w:rsidR="005D341E">
        <w:t>.</w:t>
      </w:r>
      <w:r w:rsidR="00652E71">
        <w:t xml:space="preserve"> Timed halfway through the life of the programme, its aim </w:t>
      </w:r>
      <w:r w:rsidR="00652E71" w:rsidRPr="00103D6E">
        <w:t>is to provide insights and inform the current delivery of the programme</w:t>
      </w:r>
      <w:r w:rsidR="00652E71">
        <w:t>.</w:t>
      </w:r>
    </w:p>
    <w:p w14:paraId="7AD10970" w14:textId="47C26DA4" w:rsidR="00CB5210" w:rsidRDefault="00E366EB" w:rsidP="00626751">
      <w:pPr>
        <w:pStyle w:val="DESNZbulletedlist"/>
      </w:pPr>
      <w:r>
        <w:t xml:space="preserve">The </w:t>
      </w:r>
      <w:r w:rsidR="00103270" w:rsidRPr="00A37CD2">
        <w:rPr>
          <w:b/>
        </w:rPr>
        <w:t>final evaluation</w:t>
      </w:r>
      <w:r w:rsidR="00390823">
        <w:t>, which</w:t>
      </w:r>
      <w:r w:rsidR="00103270">
        <w:t xml:space="preserve"> </w:t>
      </w:r>
      <w:r w:rsidR="00065378">
        <w:t>will be conducted in 2026/2027</w:t>
      </w:r>
      <w:r w:rsidR="00652E71">
        <w:t xml:space="preserve"> to assess the impact of the programme.</w:t>
      </w:r>
      <w:r w:rsidR="00065378">
        <w:t xml:space="preserve"> </w:t>
      </w:r>
    </w:p>
    <w:p w14:paraId="6A7CC7FC" w14:textId="20271BB4" w:rsidR="00073BE9" w:rsidRDefault="00065378" w:rsidP="008C1C8D">
      <w:r>
        <w:t xml:space="preserve">This report presents the findings and recommendations from the </w:t>
      </w:r>
      <w:r w:rsidRPr="00073BE9">
        <w:rPr>
          <w:rStyle w:val="Boldtext"/>
        </w:rPr>
        <w:t>early outcome evaluation</w:t>
      </w:r>
      <w:r w:rsidR="00073BE9">
        <w:t xml:space="preserve">. </w:t>
      </w:r>
      <w:r w:rsidR="002F3647">
        <w:t>T</w:t>
      </w:r>
      <w:r w:rsidR="002F3647" w:rsidRPr="009B6142">
        <w:t>his final report incorporates</w:t>
      </w:r>
      <w:r w:rsidR="002F3647">
        <w:t xml:space="preserve"> </w:t>
      </w:r>
      <w:r w:rsidR="002F3647" w:rsidRPr="009B6142">
        <w:t xml:space="preserve">and addresses comments made by </w:t>
      </w:r>
      <w:r w:rsidR="002F3647">
        <w:t xml:space="preserve">both </w:t>
      </w:r>
      <w:r w:rsidR="002F3647" w:rsidRPr="009B6142">
        <w:t>DESNZ and IFC on the draft final repor</w:t>
      </w:r>
      <w:r w:rsidR="002F3647">
        <w:t xml:space="preserve">t. </w:t>
      </w:r>
      <w:r w:rsidR="00073BE9">
        <w:t>The specific objectives of phase 1b are to:</w:t>
      </w:r>
    </w:p>
    <w:p w14:paraId="07B40240" w14:textId="07E7D569" w:rsidR="00073BE9" w:rsidRPr="00073BE9" w:rsidRDefault="00073BE9" w:rsidP="00073BE9">
      <w:pPr>
        <w:pStyle w:val="DESNZbulletedlist"/>
      </w:pPr>
      <w:r w:rsidRPr="00073BE9">
        <w:t>Improve the ongoing MAGC delivery of results effectively</w:t>
      </w:r>
      <w:r w:rsidR="005B7F1A">
        <w:t>.</w:t>
      </w:r>
    </w:p>
    <w:p w14:paraId="1FC71104" w14:textId="63F2D809" w:rsidR="00073BE9" w:rsidRPr="00073BE9" w:rsidRDefault="00073BE9" w:rsidP="00073BE9">
      <w:pPr>
        <w:pStyle w:val="DESNZbulletedlist"/>
      </w:pPr>
      <w:r w:rsidRPr="00073BE9">
        <w:t>Learn for future similar programmes, e.g., green construction, mixed blended finance, and technical advisory</w:t>
      </w:r>
      <w:r w:rsidR="005B7F1A">
        <w:t>.</w:t>
      </w:r>
    </w:p>
    <w:p w14:paraId="32E49009" w14:textId="18F8D5A8" w:rsidR="00073BE9" w:rsidRPr="00073BE9" w:rsidRDefault="00073BE9" w:rsidP="00073BE9">
      <w:pPr>
        <w:pStyle w:val="DESNZbulletedlist"/>
      </w:pPr>
      <w:r w:rsidRPr="00073BE9">
        <w:t>Assess the value-for-money approach</w:t>
      </w:r>
      <w:r w:rsidR="005B7F1A">
        <w:t>.</w:t>
      </w:r>
      <w:r w:rsidRPr="00073BE9">
        <w:t xml:space="preserve"> </w:t>
      </w:r>
    </w:p>
    <w:p w14:paraId="6AE37301" w14:textId="77777777" w:rsidR="00652E71" w:rsidRDefault="00073BE9" w:rsidP="001A7F13">
      <w:pPr>
        <w:pStyle w:val="DESNZbulletedlist"/>
      </w:pPr>
      <w:r w:rsidRPr="00073BE9">
        <w:t>Learn about GE</w:t>
      </w:r>
      <w:r>
        <w:t>D</w:t>
      </w:r>
      <w:r w:rsidRPr="00073BE9">
        <w:t>SI in MAGC delivery for future similar programmes</w:t>
      </w:r>
      <w:r w:rsidR="00652E71">
        <w:t>.</w:t>
      </w:r>
    </w:p>
    <w:p w14:paraId="6CD4085E" w14:textId="332B678D" w:rsidR="00073BE9" w:rsidRDefault="00652E71" w:rsidP="00392A7A">
      <w:r>
        <w:t xml:space="preserve">The scope of the early outcome evaluation includes: (a) an assessment of the extent to which MAGC has achieved early outcomes as anticipated for </w:t>
      </w:r>
      <w:r w:rsidR="00526795">
        <w:t>c</w:t>
      </w:r>
      <w:r>
        <w:t>omponents 1, 2, and 3 of the programme</w:t>
      </w:r>
      <w:r w:rsidR="007A5BB0">
        <w:t>;</w:t>
      </w:r>
      <w:r w:rsidR="007A5BB0">
        <w:rPr>
          <w:rStyle w:val="FootnoteReference"/>
        </w:rPr>
        <w:footnoteReference w:id="12"/>
      </w:r>
      <w:r w:rsidR="007A5BB0">
        <w:t xml:space="preserve"> (b) an assessment of the extent to which impact/transformational change is likely to be achieved; (c) an interim assessment of the Value for Money of the programme; (d) learning on opportunities on GEDSI during MAGC delivery and on addressing GEDSI in future programme design.</w:t>
      </w:r>
      <w:r w:rsidR="002F3647">
        <w:t xml:space="preserve"> The </w:t>
      </w:r>
      <w:r w:rsidR="002F3647" w:rsidRPr="00E51B62">
        <w:t>scope</w:t>
      </w:r>
      <w:r w:rsidR="002F3647">
        <w:t xml:space="preserve"> of the evaluation covers MAGC activities from 2018 to October 2024, in 24 countries.</w:t>
      </w:r>
    </w:p>
    <w:p w14:paraId="01A25888" w14:textId="28AB0DBA" w:rsidR="00065378" w:rsidRDefault="00073BE9" w:rsidP="008C1C8D">
      <w:r>
        <w:t>The report</w:t>
      </w:r>
      <w:r w:rsidR="00065378">
        <w:t xml:space="preserve"> is structured as follows:</w:t>
      </w:r>
    </w:p>
    <w:p w14:paraId="60570346" w14:textId="64614492" w:rsidR="00103270" w:rsidRDefault="00065378" w:rsidP="00065378">
      <w:pPr>
        <w:pStyle w:val="DESNZbulletedlist"/>
      </w:pPr>
      <w:r w:rsidRPr="00073BE9">
        <w:rPr>
          <w:rStyle w:val="Boldtext"/>
        </w:rPr>
        <w:t>Section 2</w:t>
      </w:r>
      <w:r>
        <w:t xml:space="preserve"> presents a summary of the methodology used for the evaluation</w:t>
      </w:r>
      <w:r w:rsidR="00073BE9">
        <w:t>.</w:t>
      </w:r>
    </w:p>
    <w:p w14:paraId="648F0F2F" w14:textId="02908B21" w:rsidR="00065378" w:rsidRDefault="00065378" w:rsidP="00065378">
      <w:pPr>
        <w:pStyle w:val="DESNZbulletedlist"/>
      </w:pPr>
      <w:r w:rsidRPr="00073BE9">
        <w:rPr>
          <w:rStyle w:val="Boldtext"/>
        </w:rPr>
        <w:t>Section 3</w:t>
      </w:r>
      <w:r>
        <w:t xml:space="preserve"> provides an overview of the delivery of MAGC to date</w:t>
      </w:r>
      <w:r w:rsidR="00073BE9">
        <w:t>.</w:t>
      </w:r>
    </w:p>
    <w:p w14:paraId="07FDF31F" w14:textId="55445887" w:rsidR="00065378" w:rsidRDefault="00065378" w:rsidP="00065378">
      <w:pPr>
        <w:pStyle w:val="DESNZbulletedlist"/>
      </w:pPr>
      <w:r w:rsidRPr="00073BE9">
        <w:rPr>
          <w:rStyle w:val="Boldtext"/>
        </w:rPr>
        <w:t>Section 4</w:t>
      </w:r>
      <w:r>
        <w:t xml:space="preserve"> presents the summary of the programme Theory of Change</w:t>
      </w:r>
      <w:r w:rsidR="006F28A2">
        <w:t>,</w:t>
      </w:r>
      <w:r>
        <w:t xml:space="preserve"> and</w:t>
      </w:r>
      <w:r w:rsidR="006F28A2">
        <w:t xml:space="preserve"> the</w:t>
      </w:r>
      <w:r>
        <w:t xml:space="preserve"> mapping of green construction stakeholders considered in the evaluation.</w:t>
      </w:r>
    </w:p>
    <w:p w14:paraId="34CF1164" w14:textId="7E362EA7" w:rsidR="00065378" w:rsidRDefault="00065378" w:rsidP="00065378">
      <w:pPr>
        <w:pStyle w:val="DESNZbulletedlist"/>
      </w:pPr>
      <w:r w:rsidRPr="00073BE9">
        <w:rPr>
          <w:rStyle w:val="Boldtext"/>
        </w:rPr>
        <w:t>Section 5</w:t>
      </w:r>
      <w:r>
        <w:t xml:space="preserve"> presents the findings from the early outcome evaluation, including case studies</w:t>
      </w:r>
      <w:r w:rsidR="00073BE9">
        <w:t>.</w:t>
      </w:r>
    </w:p>
    <w:p w14:paraId="39312C68" w14:textId="40E425D4" w:rsidR="00065378" w:rsidRDefault="00065378" w:rsidP="00065378">
      <w:pPr>
        <w:pStyle w:val="DESNZbulletedlist"/>
      </w:pPr>
      <w:r w:rsidRPr="00073BE9">
        <w:rPr>
          <w:rStyle w:val="Boldtext"/>
        </w:rPr>
        <w:t>Section 6</w:t>
      </w:r>
      <w:r>
        <w:t xml:space="preserve"> presents a summary of the Learning on </w:t>
      </w:r>
      <w:r w:rsidR="00D9502A">
        <w:t>GEDSI</w:t>
      </w:r>
      <w:r w:rsidR="005B7F1A">
        <w:t>.</w:t>
      </w:r>
    </w:p>
    <w:p w14:paraId="3294F63B" w14:textId="04746185" w:rsidR="00065378" w:rsidRDefault="00065378" w:rsidP="00065378">
      <w:pPr>
        <w:pStyle w:val="DESNZbulletedlist"/>
      </w:pPr>
      <w:r w:rsidRPr="00073BE9">
        <w:rPr>
          <w:rStyle w:val="Boldtext"/>
        </w:rPr>
        <w:t>Section 7</w:t>
      </w:r>
      <w:r>
        <w:t xml:space="preserve"> includes a summary of the Value for Money interim evaluation</w:t>
      </w:r>
      <w:r w:rsidR="00073BE9">
        <w:t>.</w:t>
      </w:r>
    </w:p>
    <w:p w14:paraId="6658FA72" w14:textId="5D49ADFC" w:rsidR="00B3133F" w:rsidRDefault="00065378" w:rsidP="00B3133F">
      <w:pPr>
        <w:pStyle w:val="DESNZbulletedlist"/>
      </w:pPr>
      <w:r w:rsidRPr="00073BE9">
        <w:rPr>
          <w:rStyle w:val="Boldtext"/>
        </w:rPr>
        <w:t>Section 8</w:t>
      </w:r>
      <w:r>
        <w:t xml:space="preserve"> presents the conclusions, recommendations and lessons from this phase</w:t>
      </w:r>
      <w:r w:rsidR="00073BE9">
        <w:t>.</w:t>
      </w:r>
    </w:p>
    <w:p w14:paraId="649FB79D" w14:textId="7CA60BF1" w:rsidR="00B3133F" w:rsidRPr="00B3133F" w:rsidRDefault="00B3133F" w:rsidP="00392A7A">
      <w:pPr>
        <w:pStyle w:val="DESNZbulletedlist"/>
        <w:numPr>
          <w:ilvl w:val="0"/>
          <w:numId w:val="0"/>
        </w:numPr>
        <w:rPr>
          <w:bCs/>
        </w:rPr>
      </w:pPr>
      <w:r>
        <w:rPr>
          <w:rStyle w:val="Boldtext"/>
          <w:b w:val="0"/>
          <w:bCs/>
        </w:rPr>
        <w:t>The report has the following annexes:</w:t>
      </w:r>
      <w:r w:rsidR="006024A8">
        <w:rPr>
          <w:rStyle w:val="FootnoteReference"/>
          <w:bCs/>
        </w:rPr>
        <w:footnoteReference w:id="13"/>
      </w:r>
    </w:p>
    <w:p w14:paraId="1F3CF0FF" w14:textId="0F5D3120" w:rsidR="00B3133F" w:rsidRPr="00392A7A" w:rsidRDefault="00B3133F" w:rsidP="00B3133F">
      <w:pPr>
        <w:pStyle w:val="DESNZbulletedlist"/>
        <w:rPr>
          <w:rStyle w:val="Boldtext"/>
          <w:b w:val="0"/>
        </w:rPr>
      </w:pPr>
      <w:r>
        <w:rPr>
          <w:rStyle w:val="Boldtext"/>
        </w:rPr>
        <w:t xml:space="preserve">Technical annex, </w:t>
      </w:r>
      <w:r>
        <w:rPr>
          <w:rStyle w:val="Boldtext"/>
          <w:b w:val="0"/>
          <w:bCs/>
        </w:rPr>
        <w:t>containing the full methodology, frameworks used for the evaluation, research tools, ethical standards, bibliography and terms of reference</w:t>
      </w:r>
      <w:r w:rsidR="005B7F1A">
        <w:rPr>
          <w:rStyle w:val="Boldtext"/>
          <w:b w:val="0"/>
          <w:bCs/>
        </w:rPr>
        <w:t>.</w:t>
      </w:r>
    </w:p>
    <w:p w14:paraId="029E5433" w14:textId="0532436A" w:rsidR="00B3133F" w:rsidRPr="00392A7A" w:rsidRDefault="00B3133F" w:rsidP="00B3133F">
      <w:pPr>
        <w:pStyle w:val="DESNZbulletedlist"/>
        <w:rPr>
          <w:rStyle w:val="Boldtext"/>
          <w:b w:val="0"/>
        </w:rPr>
      </w:pPr>
      <w:r>
        <w:rPr>
          <w:rStyle w:val="Boldtext"/>
        </w:rPr>
        <w:t xml:space="preserve">GEDSI annex, </w:t>
      </w:r>
      <w:r>
        <w:rPr>
          <w:rStyle w:val="Boldtext"/>
          <w:b w:val="0"/>
          <w:bCs/>
        </w:rPr>
        <w:t xml:space="preserve">presenting the full analysis of the GEDSI learning strand of the </w:t>
      </w:r>
      <w:r w:rsidR="007D723D">
        <w:rPr>
          <w:rStyle w:val="Boldtext"/>
          <w:b w:val="0"/>
          <w:bCs/>
        </w:rPr>
        <w:t xml:space="preserve">early outcome </w:t>
      </w:r>
      <w:r>
        <w:rPr>
          <w:rStyle w:val="Boldtext"/>
          <w:b w:val="0"/>
          <w:bCs/>
        </w:rPr>
        <w:t>evaluation.</w:t>
      </w:r>
    </w:p>
    <w:p w14:paraId="0D9CC990" w14:textId="7450E21E" w:rsidR="00B3133F" w:rsidRPr="00392A7A" w:rsidRDefault="00B3133F" w:rsidP="00B3133F">
      <w:pPr>
        <w:pStyle w:val="DESNZbulletedlist"/>
        <w:rPr>
          <w:rStyle w:val="Boldtext"/>
          <w:b w:val="0"/>
        </w:rPr>
      </w:pPr>
      <w:r>
        <w:rPr>
          <w:rStyle w:val="Boldtext"/>
        </w:rPr>
        <w:t xml:space="preserve">VfM annex, </w:t>
      </w:r>
      <w:r>
        <w:rPr>
          <w:rStyle w:val="Boldtext"/>
          <w:b w:val="0"/>
          <w:bCs/>
        </w:rPr>
        <w:t xml:space="preserve">containing the full value for money analysis as part of the </w:t>
      </w:r>
      <w:r w:rsidR="007D723D">
        <w:rPr>
          <w:rStyle w:val="Boldtext"/>
          <w:b w:val="0"/>
          <w:bCs/>
        </w:rPr>
        <w:t xml:space="preserve">early outcome </w:t>
      </w:r>
      <w:r>
        <w:rPr>
          <w:rStyle w:val="Boldtext"/>
          <w:b w:val="0"/>
          <w:bCs/>
        </w:rPr>
        <w:t>evaluation.</w:t>
      </w:r>
    </w:p>
    <w:p w14:paraId="51F8195E" w14:textId="5DFF83F8" w:rsidR="00B3133F" w:rsidRPr="00FB2134" w:rsidRDefault="00B3133F" w:rsidP="00B3133F">
      <w:pPr>
        <w:pStyle w:val="DESNZbulletedlist"/>
      </w:pPr>
      <w:r>
        <w:rPr>
          <w:b/>
          <w:bCs/>
        </w:rPr>
        <w:t xml:space="preserve">Case studies annex, </w:t>
      </w:r>
      <w:r>
        <w:t>presenting the five case studies carried out as part of this phase of the evaluation, which are deep dives in Colombia, Kenya, India, South Africa and Vietnam.</w:t>
      </w:r>
    </w:p>
    <w:p w14:paraId="49DB7AC8" w14:textId="77777777" w:rsidR="00103270" w:rsidRDefault="00103270">
      <w:pPr>
        <w:spacing w:after="160" w:line="259" w:lineRule="auto"/>
        <w:rPr>
          <w:rFonts w:eastAsiaTheme="majorEastAsia" w:cstheme="majorBidi"/>
          <w:color w:val="041E42"/>
          <w:sz w:val="52"/>
          <w:szCs w:val="32"/>
        </w:rPr>
      </w:pPr>
      <w:r>
        <w:br w:type="page"/>
      </w:r>
    </w:p>
    <w:p w14:paraId="1D52BC35" w14:textId="1E455BCC" w:rsidR="008C1C8D" w:rsidRPr="008C1C8D" w:rsidRDefault="008C1C8D" w:rsidP="008C1C8D">
      <w:pPr>
        <w:pStyle w:val="Heading1"/>
      </w:pPr>
      <w:bookmarkStart w:id="3" w:name="_Toc189155208"/>
      <w:r w:rsidRPr="008C1C8D">
        <w:t>2 Methodology summary</w:t>
      </w:r>
      <w:bookmarkEnd w:id="3"/>
    </w:p>
    <w:p w14:paraId="0A0B02DE" w14:textId="7A5BAFE3" w:rsidR="008C1C8D" w:rsidRDefault="005E0007" w:rsidP="008C1C8D">
      <w:r>
        <w:t xml:space="preserve">This section presents a summary of the methodology used for the evaluation. More information about the methodology can be found in the </w:t>
      </w:r>
      <w:r w:rsidR="00620E2E">
        <w:t>T</w:t>
      </w:r>
      <w:r>
        <w:t xml:space="preserve">echnical </w:t>
      </w:r>
      <w:r w:rsidR="00620E2E">
        <w:t>A</w:t>
      </w:r>
      <w:r>
        <w:t>nnex.</w:t>
      </w:r>
      <w:r>
        <w:rPr>
          <w:rStyle w:val="FootnoteReference"/>
        </w:rPr>
        <w:footnoteReference w:id="14"/>
      </w:r>
    </w:p>
    <w:p w14:paraId="67A8774C" w14:textId="4713E31D" w:rsidR="005E0007" w:rsidRPr="0009408D" w:rsidRDefault="004215BA" w:rsidP="00DF510D">
      <w:pPr>
        <w:pStyle w:val="Heading2"/>
      </w:pPr>
      <w:bookmarkStart w:id="4" w:name="_Toc178758680"/>
      <w:bookmarkStart w:id="5" w:name="_Toc181361028"/>
      <w:bookmarkStart w:id="6" w:name="_Toc182236754"/>
      <w:bookmarkStart w:id="7" w:name="_Toc189155209"/>
      <w:r w:rsidRPr="0009408D">
        <w:t>2.1</w:t>
      </w:r>
      <w:r w:rsidR="009B5463">
        <w:t xml:space="preserve"> </w:t>
      </w:r>
      <w:r w:rsidR="005E0007" w:rsidRPr="0009408D">
        <w:t>Overall approach</w:t>
      </w:r>
      <w:bookmarkEnd w:id="4"/>
      <w:bookmarkEnd w:id="5"/>
      <w:bookmarkEnd w:id="6"/>
      <w:bookmarkEnd w:id="7"/>
    </w:p>
    <w:p w14:paraId="403CD4F8" w14:textId="6B024056" w:rsidR="00880CF1" w:rsidRDefault="005E0007" w:rsidP="008C1C8D">
      <w:r>
        <w:t xml:space="preserve">The evaluation has been undertaken using a theory-based approach, specifically </w:t>
      </w:r>
      <w:r w:rsidRPr="005907BB">
        <w:rPr>
          <w:rStyle w:val="Boldtext"/>
        </w:rPr>
        <w:t>realist evaluation</w:t>
      </w:r>
      <w:r>
        <w:t xml:space="preserve">. </w:t>
      </w:r>
      <w:r w:rsidR="00D40C20">
        <w:t xml:space="preserve">Theory-based </w:t>
      </w:r>
      <w:r w:rsidR="00DE734E">
        <w:t>evaluation can be used to investigate impacts by exploring the causal chains thought to bring about change by an intervention.</w:t>
      </w:r>
      <w:r w:rsidR="00D40C20">
        <w:rPr>
          <w:rStyle w:val="FootnoteReference"/>
        </w:rPr>
        <w:footnoteReference w:id="15"/>
      </w:r>
      <w:r w:rsidR="00DE734E">
        <w:t xml:space="preserve"> </w:t>
      </w:r>
      <w:r w:rsidR="00D40C20">
        <w:t>Realist evaluation is a theory-based approach which seeks to understand the context and mechanisms that underpin a programme achieving its proposed outcomes.</w:t>
      </w:r>
      <w:r w:rsidR="007820C8">
        <w:rPr>
          <w:rStyle w:val="FootnoteReference"/>
        </w:rPr>
        <w:footnoteReference w:id="16"/>
      </w:r>
      <w:r w:rsidR="00D40C20">
        <w:t xml:space="preserve"> </w:t>
      </w:r>
      <w:r w:rsidR="005907BB">
        <w:t>This approach was considered most appropriate to the delivery model of MAGC, as</w:t>
      </w:r>
      <w:r>
        <w:t xml:space="preserve"> </w:t>
      </w:r>
      <w:r w:rsidR="005907BB">
        <w:t>realist</w:t>
      </w:r>
      <w:r>
        <w:t xml:space="preserve"> evaluation seeks to establish </w:t>
      </w:r>
      <w:r w:rsidR="00FE18D5">
        <w:t>“</w:t>
      </w:r>
      <w:r w:rsidRPr="00DF510D">
        <w:rPr>
          <w:i/>
          <w:iCs/>
        </w:rPr>
        <w:t>what works, for whom and in what context</w:t>
      </w:r>
      <w:r w:rsidR="005907BB" w:rsidRPr="00DF510D">
        <w:rPr>
          <w:i/>
          <w:iCs/>
        </w:rPr>
        <w:t>s</w:t>
      </w:r>
      <w:r w:rsidR="00FE18D5">
        <w:t>”</w:t>
      </w:r>
      <w:r>
        <w:t xml:space="preserve">. The evaluation used a </w:t>
      </w:r>
      <w:r w:rsidRPr="005907BB">
        <w:rPr>
          <w:rStyle w:val="Boldtext"/>
        </w:rPr>
        <w:t>tiered approach</w:t>
      </w:r>
      <w:r>
        <w:t xml:space="preserve"> with different levels of analysis, gathering evidence at programme level (T0), at the level of all MAGC-eligible countries (T1), countries with highest MAGC activity</w:t>
      </w:r>
      <w:r w:rsidR="00AC5A3A">
        <w:t xml:space="preserve"> to date</w:t>
      </w:r>
      <w:r>
        <w:t xml:space="preserve"> (T2), and case study countries (T3). </w:t>
      </w:r>
      <w:r w:rsidR="00C51303">
        <w:t>Countries for the</w:t>
      </w:r>
      <w:r w:rsidR="00880CF1">
        <w:t xml:space="preserve"> </w:t>
      </w:r>
      <w:r w:rsidR="00880CF1" w:rsidRPr="00392A7A">
        <w:rPr>
          <w:b/>
          <w:bCs/>
        </w:rPr>
        <w:t>case studies</w:t>
      </w:r>
      <w:r w:rsidR="00880CF1">
        <w:t xml:space="preserve"> </w:t>
      </w:r>
      <w:r w:rsidR="00C51303">
        <w:t>were mainly selected to cover countries in which there have been</w:t>
      </w:r>
      <w:r w:rsidR="007D723D">
        <w:t xml:space="preserve"> </w:t>
      </w:r>
      <w:r w:rsidR="00880CF1">
        <w:t>substantial programme activities. As also indicated in the terms of reference for this evaluation, t</w:t>
      </w:r>
      <w:r w:rsidR="00880CF1" w:rsidRPr="00880CF1">
        <w:t xml:space="preserve">he aim of the deep dives is two-fold. First, it will enable in-depth analysis of the connection between context, mechanisms and outcomes and the extent to which the MAGC’s success hinges on context-specific factors. Second, it allows for better tracking of changes over time. </w:t>
      </w:r>
      <w:r w:rsidR="00880CF1">
        <w:t xml:space="preserve">The case studies annex provides more detail about the rationale for selection of each country. </w:t>
      </w:r>
    </w:p>
    <w:p w14:paraId="4EFBFE63" w14:textId="0B5F7E69" w:rsidR="005E0007" w:rsidRDefault="005E0007" w:rsidP="008C1C8D">
      <w:r>
        <w:t xml:space="preserve">The evidence used for the evaluation has been gathered mainly through </w:t>
      </w:r>
      <w:r w:rsidRPr="00392A7A">
        <w:rPr>
          <w:b/>
          <w:bCs/>
        </w:rPr>
        <w:t>qualitative research methods</w:t>
      </w:r>
      <w:r>
        <w:t xml:space="preserve"> and </w:t>
      </w:r>
      <w:r w:rsidRPr="00392A7A">
        <w:rPr>
          <w:b/>
          <w:bCs/>
        </w:rPr>
        <w:t>secondary data</w:t>
      </w:r>
      <w:r w:rsidR="00880CF1" w:rsidRPr="00392A7A">
        <w:rPr>
          <w:b/>
          <w:bCs/>
        </w:rPr>
        <w:t xml:space="preserve"> analysis</w:t>
      </w:r>
      <w:r w:rsidR="00FE18D5">
        <w:t xml:space="preserve"> (</w:t>
      </w:r>
      <w:r w:rsidR="00066DF4">
        <w:t>i.e.</w:t>
      </w:r>
      <w:r w:rsidR="00A53209">
        <w:t>,</w:t>
      </w:r>
      <w:r w:rsidR="00066DF4">
        <w:t xml:space="preserve"> through </w:t>
      </w:r>
      <w:r w:rsidR="00FE18D5">
        <w:t>programme data and external desk research)</w:t>
      </w:r>
      <w:r>
        <w:t>.</w:t>
      </w:r>
      <w:r w:rsidR="00880CF1">
        <w:t xml:space="preserve"> The following sections presents a summary of the data collected for this evaluation.</w:t>
      </w:r>
    </w:p>
    <w:p w14:paraId="29A8143C" w14:textId="2DC24BE1" w:rsidR="005E0007" w:rsidRPr="0009408D" w:rsidRDefault="004215BA" w:rsidP="00DF510D">
      <w:pPr>
        <w:pStyle w:val="Heading2"/>
      </w:pPr>
      <w:bookmarkStart w:id="8" w:name="_Toc178758681"/>
      <w:bookmarkStart w:id="9" w:name="_Toc181361029"/>
      <w:bookmarkStart w:id="10" w:name="_Toc182236755"/>
      <w:bookmarkStart w:id="11" w:name="_Toc189155210"/>
      <w:r w:rsidRPr="0009408D">
        <w:t>2.</w:t>
      </w:r>
      <w:r w:rsidR="009B5463">
        <w:t xml:space="preserve">2 </w:t>
      </w:r>
      <w:r w:rsidR="005E0007" w:rsidRPr="0009408D">
        <w:t>Primary</w:t>
      </w:r>
      <w:r w:rsidR="005C5A00" w:rsidRPr="0009408D">
        <w:t xml:space="preserve"> and secondary</w:t>
      </w:r>
      <w:r w:rsidR="005E0007" w:rsidRPr="0009408D">
        <w:t xml:space="preserve"> data collection</w:t>
      </w:r>
      <w:bookmarkEnd w:id="8"/>
      <w:bookmarkEnd w:id="9"/>
      <w:bookmarkEnd w:id="10"/>
      <w:bookmarkEnd w:id="11"/>
    </w:p>
    <w:p w14:paraId="1F67ED1F" w14:textId="3231634D" w:rsidR="005E0007" w:rsidRDefault="005E0007" w:rsidP="008C1C8D">
      <w:r>
        <w:t xml:space="preserve">A total of </w:t>
      </w:r>
      <w:r w:rsidR="00DF510D">
        <w:t xml:space="preserve">95 </w:t>
      </w:r>
      <w:r>
        <w:t xml:space="preserve">interviews and </w:t>
      </w:r>
      <w:r w:rsidR="00CA11F1">
        <w:t xml:space="preserve">five </w:t>
      </w:r>
      <w:r>
        <w:t>focus groups</w:t>
      </w:r>
      <w:r w:rsidR="003F31AF">
        <w:t xml:space="preserve"> </w:t>
      </w:r>
      <w:r>
        <w:t xml:space="preserve">were conducted across the levels of analysis. The table below presents a summary of the </w:t>
      </w:r>
      <w:r w:rsidR="00073BE9">
        <w:t>primary and secondary research conducted</w:t>
      </w:r>
      <w:r w:rsidR="003F31AF">
        <w:t>.</w:t>
      </w:r>
    </w:p>
    <w:p w14:paraId="65CED26C" w14:textId="77777777" w:rsidR="00526795" w:rsidRDefault="00526795" w:rsidP="003F31AF">
      <w:pPr>
        <w:pStyle w:val="Caption"/>
      </w:pPr>
    </w:p>
    <w:p w14:paraId="06369FA5" w14:textId="1FC864C6" w:rsidR="003F31AF" w:rsidRDefault="003F31AF" w:rsidP="003F31AF">
      <w:pPr>
        <w:pStyle w:val="Caption"/>
      </w:pPr>
      <w:r>
        <w:t>Table 2</w:t>
      </w:r>
      <w:r w:rsidR="002C5BA4">
        <w:t>.1</w:t>
      </w:r>
      <w:r>
        <w:t>: Summary of primary data collection</w:t>
      </w:r>
      <w:r w:rsidR="00CF021C">
        <w:t xml:space="preserve"> (June </w:t>
      </w:r>
      <w:r w:rsidR="00E333EC">
        <w:t>–</w:t>
      </w:r>
      <w:r w:rsidR="00CF021C">
        <w:t xml:space="preserve"> </w:t>
      </w:r>
      <w:r w:rsidR="00E333EC">
        <w:t>August 2024)</w:t>
      </w:r>
    </w:p>
    <w:tbl>
      <w:tblPr>
        <w:tblStyle w:val="Table-Darkblue"/>
        <w:tblW w:w="0" w:type="auto"/>
        <w:tblLayout w:type="fixed"/>
        <w:tblLook w:val="01E0" w:firstRow="1" w:lastRow="1" w:firstColumn="1" w:lastColumn="1" w:noHBand="0" w:noVBand="0"/>
      </w:tblPr>
      <w:tblGrid>
        <w:gridCol w:w="846"/>
        <w:gridCol w:w="3880"/>
        <w:gridCol w:w="5356"/>
      </w:tblGrid>
      <w:tr w:rsidR="00CA77CF" w:rsidRPr="000D2D4B" w14:paraId="4A69FB19" w14:textId="64199612" w:rsidTr="0060410A">
        <w:trPr>
          <w:cnfStyle w:val="100000000000" w:firstRow="1" w:lastRow="0" w:firstColumn="0" w:lastColumn="0" w:oddVBand="0" w:evenVBand="0" w:oddHBand="0" w:evenHBand="0" w:firstRowFirstColumn="0" w:firstRowLastColumn="0" w:lastRowFirstColumn="0" w:lastRowLastColumn="0"/>
          <w:trHeight w:val="166"/>
        </w:trPr>
        <w:tc>
          <w:tcPr>
            <w:tcW w:w="846" w:type="dxa"/>
          </w:tcPr>
          <w:p w14:paraId="78972E51" w14:textId="5CB26117" w:rsidR="00073BE9" w:rsidRPr="003F31AF" w:rsidRDefault="00073BE9" w:rsidP="00626751">
            <w:pPr>
              <w:pStyle w:val="Tabletext-Small"/>
              <w:ind w:left="0"/>
            </w:pPr>
            <w:r>
              <w:t xml:space="preserve">Level </w:t>
            </w:r>
          </w:p>
        </w:tc>
        <w:tc>
          <w:tcPr>
            <w:tcW w:w="3880" w:type="dxa"/>
          </w:tcPr>
          <w:p w14:paraId="5AD8CE2A" w14:textId="2C2EB402" w:rsidR="00073BE9" w:rsidRPr="003F31AF" w:rsidRDefault="00073BE9" w:rsidP="005C5A00">
            <w:pPr>
              <w:pStyle w:val="Tabletext-Small"/>
            </w:pPr>
            <w:r>
              <w:t xml:space="preserve">Primary research </w:t>
            </w:r>
          </w:p>
        </w:tc>
        <w:tc>
          <w:tcPr>
            <w:tcW w:w="5356" w:type="dxa"/>
          </w:tcPr>
          <w:p w14:paraId="449F1817" w14:textId="1BA536A9" w:rsidR="00073BE9" w:rsidRDefault="00073BE9" w:rsidP="005C5A00">
            <w:pPr>
              <w:pStyle w:val="Tabletext-Small"/>
            </w:pPr>
            <w:r>
              <w:t>Secondary research</w:t>
            </w:r>
          </w:p>
        </w:tc>
      </w:tr>
      <w:tr w:rsidR="00B14001" w:rsidRPr="005C5A00" w14:paraId="3805AB17" w14:textId="266C053F" w:rsidTr="004F1A76">
        <w:trPr>
          <w:trHeight w:val="328"/>
        </w:trPr>
        <w:tc>
          <w:tcPr>
            <w:tcW w:w="846" w:type="dxa"/>
          </w:tcPr>
          <w:p w14:paraId="5ED2BFC1" w14:textId="3DE696A1" w:rsidR="00073BE9" w:rsidRPr="003F31AF" w:rsidRDefault="00073BE9" w:rsidP="005C5A00">
            <w:pPr>
              <w:pStyle w:val="Tabletext-Small"/>
            </w:pPr>
            <w:r>
              <w:t>T0</w:t>
            </w:r>
          </w:p>
        </w:tc>
        <w:tc>
          <w:tcPr>
            <w:tcW w:w="3880" w:type="dxa"/>
          </w:tcPr>
          <w:p w14:paraId="56132880" w14:textId="384BD455" w:rsidR="00073BE9" w:rsidRPr="005C5A00" w:rsidRDefault="00073BE9" w:rsidP="005C5A00">
            <w:pPr>
              <w:pStyle w:val="Tabletext-Small"/>
            </w:pPr>
            <w:r>
              <w:t>10 interviews with DESNZ and IFC programme team</w:t>
            </w:r>
            <w:r w:rsidR="005B7F1A">
              <w:t>.</w:t>
            </w:r>
          </w:p>
        </w:tc>
        <w:tc>
          <w:tcPr>
            <w:tcW w:w="5356" w:type="dxa"/>
          </w:tcPr>
          <w:p w14:paraId="19120207" w14:textId="75A0E1D1" w:rsidR="00073BE9" w:rsidRDefault="00073BE9" w:rsidP="005C5A00">
            <w:pPr>
              <w:pStyle w:val="Tabletext-Small"/>
            </w:pPr>
            <w:r>
              <w:t>Review of the Logframe and programme level documentation (</w:t>
            </w:r>
            <w:r w:rsidRPr="00073BE9">
              <w:t>annual reports</w:t>
            </w:r>
            <w:r>
              <w:t xml:space="preserve">, </w:t>
            </w:r>
            <w:r w:rsidRPr="00073BE9">
              <w:t>annual reviews</w:t>
            </w:r>
            <w:r>
              <w:t>)</w:t>
            </w:r>
            <w:r w:rsidR="005B7F1A">
              <w:t>.</w:t>
            </w:r>
          </w:p>
        </w:tc>
      </w:tr>
      <w:tr w:rsidR="00B14001" w:rsidRPr="005C5A00" w14:paraId="5B824269" w14:textId="77777777" w:rsidTr="004F1A76">
        <w:trPr>
          <w:trHeight w:val="237"/>
        </w:trPr>
        <w:tc>
          <w:tcPr>
            <w:tcW w:w="846" w:type="dxa"/>
          </w:tcPr>
          <w:p w14:paraId="4628D35A" w14:textId="7921F522" w:rsidR="00073BE9" w:rsidRDefault="00073BE9" w:rsidP="005C5A00">
            <w:pPr>
              <w:pStyle w:val="Tabletext-Small"/>
            </w:pPr>
            <w:r>
              <w:t>T1</w:t>
            </w:r>
          </w:p>
        </w:tc>
        <w:tc>
          <w:tcPr>
            <w:tcW w:w="3880" w:type="dxa"/>
          </w:tcPr>
          <w:p w14:paraId="274105C7" w14:textId="7E0E4796" w:rsidR="00073BE9" w:rsidRDefault="00073BE9" w:rsidP="005C5A00">
            <w:pPr>
              <w:pStyle w:val="Tabletext-Small"/>
            </w:pPr>
            <w:r>
              <w:t>N/A</w:t>
            </w:r>
            <w:r w:rsidR="005B7F1A">
              <w:t>.</w:t>
            </w:r>
          </w:p>
        </w:tc>
        <w:tc>
          <w:tcPr>
            <w:tcW w:w="5356" w:type="dxa"/>
          </w:tcPr>
          <w:p w14:paraId="04877438" w14:textId="51DD7ADD" w:rsidR="00073BE9" w:rsidRDefault="00073BE9" w:rsidP="005C5A00">
            <w:pPr>
              <w:pStyle w:val="Tabletext-Small"/>
            </w:pPr>
            <w:r>
              <w:t>Review of IFC results framework disaggregated by all MAGC eligible countries</w:t>
            </w:r>
            <w:r w:rsidR="005B7F1A">
              <w:t>.</w:t>
            </w:r>
          </w:p>
        </w:tc>
      </w:tr>
      <w:tr w:rsidR="00B14001" w:rsidRPr="005C5A00" w14:paraId="6C2DDDAF" w14:textId="62E48C99" w:rsidTr="004F1A76">
        <w:trPr>
          <w:trHeight w:val="237"/>
        </w:trPr>
        <w:tc>
          <w:tcPr>
            <w:tcW w:w="846" w:type="dxa"/>
          </w:tcPr>
          <w:p w14:paraId="4C815D1C" w14:textId="68E00573" w:rsidR="00073BE9" w:rsidRPr="003F31AF" w:rsidRDefault="00073BE9" w:rsidP="005C5A00">
            <w:pPr>
              <w:pStyle w:val="Tabletext-Small"/>
            </w:pPr>
            <w:r>
              <w:t>T2</w:t>
            </w:r>
          </w:p>
        </w:tc>
        <w:tc>
          <w:tcPr>
            <w:tcW w:w="3880" w:type="dxa"/>
          </w:tcPr>
          <w:p w14:paraId="19DDC727" w14:textId="5A71A8B0" w:rsidR="00073BE9" w:rsidRPr="005C5A00" w:rsidRDefault="00073BE9" w:rsidP="005C5A00">
            <w:pPr>
              <w:pStyle w:val="Tabletext-Small"/>
            </w:pPr>
            <w:r>
              <w:t>25 interviews with stakeholders from Egypt, Ghana, Indonesia, Philippines, Indonesia, Mexico, Peru</w:t>
            </w:r>
            <w:r w:rsidR="005B7F1A">
              <w:t>.</w:t>
            </w:r>
          </w:p>
        </w:tc>
        <w:tc>
          <w:tcPr>
            <w:tcW w:w="5356" w:type="dxa"/>
          </w:tcPr>
          <w:p w14:paraId="74F2C36A" w14:textId="1CF3B53A" w:rsidR="00073BE9" w:rsidRDefault="00073BE9" w:rsidP="005C5A00">
            <w:pPr>
              <w:pStyle w:val="Tabletext-Small"/>
            </w:pPr>
            <w:r>
              <w:t>Desk research on financial markets analysis (Egypt, Indonesia)</w:t>
            </w:r>
            <w:r w:rsidR="005B7F1A">
              <w:t>.</w:t>
            </w:r>
          </w:p>
        </w:tc>
      </w:tr>
      <w:tr w:rsidR="00B14001" w:rsidRPr="005C5A00" w14:paraId="15C37461" w14:textId="203FA0B0" w:rsidTr="004F1A76">
        <w:trPr>
          <w:trHeight w:val="41"/>
        </w:trPr>
        <w:tc>
          <w:tcPr>
            <w:tcW w:w="846" w:type="dxa"/>
          </w:tcPr>
          <w:p w14:paraId="4F469842" w14:textId="6E9917F1" w:rsidR="00073BE9" w:rsidRDefault="00073BE9" w:rsidP="005C5A00">
            <w:pPr>
              <w:pStyle w:val="Tabletext-Small"/>
            </w:pPr>
            <w:r>
              <w:t>T3</w:t>
            </w:r>
          </w:p>
        </w:tc>
        <w:tc>
          <w:tcPr>
            <w:tcW w:w="3880" w:type="dxa"/>
          </w:tcPr>
          <w:p w14:paraId="624BECAC" w14:textId="1AF5A16B" w:rsidR="00073BE9" w:rsidRDefault="007E2F19" w:rsidP="005C5A00">
            <w:pPr>
              <w:pStyle w:val="Tabletext-Small"/>
            </w:pPr>
            <w:r>
              <w:t xml:space="preserve">60 </w:t>
            </w:r>
            <w:r w:rsidR="00073BE9">
              <w:t xml:space="preserve">interviews with stakeholders from Colombia, South Africa, India, Kenya, Vietnam + </w:t>
            </w:r>
            <w:r w:rsidR="008859DC">
              <w:t xml:space="preserve">5 </w:t>
            </w:r>
            <w:r w:rsidR="00073BE9">
              <w:t>focus groups with residents of EDGE certified buildings</w:t>
            </w:r>
            <w:r w:rsidR="008859DC">
              <w:t xml:space="preserve"> in Colombia, South Africa, Kenya and Vietnam.</w:t>
            </w:r>
          </w:p>
        </w:tc>
        <w:tc>
          <w:tcPr>
            <w:tcW w:w="5356" w:type="dxa"/>
          </w:tcPr>
          <w:p w14:paraId="4404380F" w14:textId="3EB62D14" w:rsidR="00073BE9" w:rsidRDefault="00073BE9" w:rsidP="005C5A00">
            <w:pPr>
              <w:pStyle w:val="Tabletext-Small"/>
            </w:pPr>
            <w:r w:rsidRPr="00073BE9">
              <w:t xml:space="preserve">Desk research on </w:t>
            </w:r>
            <w:r>
              <w:t xml:space="preserve">political economy and </w:t>
            </w:r>
            <w:r w:rsidRPr="00073BE9">
              <w:t>financial markets analysis</w:t>
            </w:r>
            <w:r w:rsidR="005B7F1A">
              <w:t>.</w:t>
            </w:r>
          </w:p>
        </w:tc>
      </w:tr>
    </w:tbl>
    <w:p w14:paraId="5C90A26D" w14:textId="4C026178" w:rsidR="00DE734E" w:rsidRPr="0009408D" w:rsidRDefault="004215BA" w:rsidP="00DF510D">
      <w:pPr>
        <w:pStyle w:val="Heading2"/>
      </w:pPr>
      <w:bookmarkStart w:id="12" w:name="_Toc181361030"/>
      <w:bookmarkStart w:id="13" w:name="_Toc182236756"/>
      <w:bookmarkStart w:id="14" w:name="_Toc189155211"/>
      <w:r w:rsidRPr="0009408D">
        <w:t>2.</w:t>
      </w:r>
      <w:r w:rsidR="009B5463">
        <w:t>3</w:t>
      </w:r>
      <w:r w:rsidRPr="0009408D">
        <w:t xml:space="preserve"> </w:t>
      </w:r>
      <w:r w:rsidR="00DE734E" w:rsidRPr="0009408D">
        <w:t>Strength of evidence and limitations</w:t>
      </w:r>
      <w:bookmarkEnd w:id="12"/>
      <w:bookmarkEnd w:id="13"/>
      <w:bookmarkEnd w:id="14"/>
    </w:p>
    <w:p w14:paraId="2C7BD30D" w14:textId="34461E49" w:rsidR="0064317E" w:rsidRDefault="0064317E" w:rsidP="0064317E">
      <w:r>
        <w:t>The following section summarises the strength of evidence against each evaluation question, and the main limitations of the research. More information can be found in the technical annex.</w:t>
      </w:r>
    </w:p>
    <w:p w14:paraId="6DA2C711" w14:textId="2DE280AC" w:rsidR="004F1A76" w:rsidRPr="00526795" w:rsidRDefault="004F1A76" w:rsidP="00526795">
      <w:pPr>
        <w:spacing w:after="120"/>
        <w:rPr>
          <w:b/>
          <w:bCs/>
        </w:rPr>
      </w:pPr>
      <w:r w:rsidRPr="00526795">
        <w:rPr>
          <w:b/>
          <w:bCs/>
        </w:rPr>
        <w:t>Table 2.2: Evaluation questions, summary findings, and strength of evidence</w:t>
      </w:r>
    </w:p>
    <w:tbl>
      <w:tblPr>
        <w:tblStyle w:val="Table-Darkblue"/>
        <w:tblW w:w="5117" w:type="pct"/>
        <w:tblLayout w:type="fixed"/>
        <w:tblLook w:val="01E0" w:firstRow="1" w:lastRow="1" w:firstColumn="1" w:lastColumn="1" w:noHBand="0" w:noVBand="0"/>
      </w:tblPr>
      <w:tblGrid>
        <w:gridCol w:w="2689"/>
        <w:gridCol w:w="6096"/>
        <w:gridCol w:w="1533"/>
      </w:tblGrid>
      <w:tr w:rsidR="00CA77CF" w:rsidRPr="000D2D4B" w14:paraId="100A8620" w14:textId="77777777" w:rsidTr="00526795">
        <w:trPr>
          <w:cnfStyle w:val="100000000000" w:firstRow="1" w:lastRow="0" w:firstColumn="0" w:lastColumn="0" w:oddVBand="0" w:evenVBand="0" w:oddHBand="0" w:evenHBand="0" w:firstRowFirstColumn="0" w:firstRowLastColumn="0" w:lastRowFirstColumn="0" w:lastRowLastColumn="0"/>
          <w:trHeight w:val="166"/>
        </w:trPr>
        <w:tc>
          <w:tcPr>
            <w:tcW w:w="1303" w:type="pct"/>
          </w:tcPr>
          <w:p w14:paraId="052BB1AC" w14:textId="5D99FF8E" w:rsidR="0064317E" w:rsidRPr="003F31AF" w:rsidRDefault="0064317E">
            <w:pPr>
              <w:pStyle w:val="Tabletext-Small"/>
            </w:pPr>
            <w:r>
              <w:t>Evaluation question</w:t>
            </w:r>
          </w:p>
        </w:tc>
        <w:tc>
          <w:tcPr>
            <w:tcW w:w="2954" w:type="pct"/>
          </w:tcPr>
          <w:p w14:paraId="784BD605" w14:textId="6D0A6998" w:rsidR="0064317E" w:rsidRPr="003F31AF" w:rsidRDefault="00E405A6">
            <w:pPr>
              <w:pStyle w:val="Tabletext-Small"/>
            </w:pPr>
            <w:r>
              <w:t xml:space="preserve">Summary </w:t>
            </w:r>
            <w:r w:rsidR="0064317E">
              <w:t xml:space="preserve">findings </w:t>
            </w:r>
          </w:p>
        </w:tc>
        <w:tc>
          <w:tcPr>
            <w:tcW w:w="743" w:type="pct"/>
          </w:tcPr>
          <w:p w14:paraId="105E630C" w14:textId="3D2B8C88" w:rsidR="0064317E" w:rsidRDefault="0064317E">
            <w:pPr>
              <w:pStyle w:val="Tabletext-Small"/>
            </w:pPr>
            <w:r>
              <w:t>Strength of evidence</w:t>
            </w:r>
          </w:p>
        </w:tc>
      </w:tr>
      <w:tr w:rsidR="00B14001" w:rsidRPr="005C5A00" w14:paraId="1BC0FF7C" w14:textId="77777777" w:rsidTr="00526795">
        <w:trPr>
          <w:trHeight w:val="328"/>
        </w:trPr>
        <w:tc>
          <w:tcPr>
            <w:tcW w:w="1303" w:type="pct"/>
            <w:vMerge w:val="restart"/>
          </w:tcPr>
          <w:p w14:paraId="7EC82707" w14:textId="5E9E8139" w:rsidR="00B14001" w:rsidRPr="003F31AF" w:rsidRDefault="00B14001" w:rsidP="00526795">
            <w:pPr>
              <w:pStyle w:val="Tabletext-Small"/>
              <w:spacing w:after="0"/>
            </w:pPr>
            <w:r w:rsidRPr="00AC1326">
              <w:t>To what extent has MAGC achieved early outcomes as anticipated</w:t>
            </w:r>
            <w:r>
              <w:t>?</w:t>
            </w:r>
          </w:p>
        </w:tc>
        <w:tc>
          <w:tcPr>
            <w:tcW w:w="2954" w:type="pct"/>
          </w:tcPr>
          <w:p w14:paraId="5F8E3A97" w14:textId="4676EE47" w:rsidR="00B14001" w:rsidRPr="005C5A00" w:rsidRDefault="00B14001" w:rsidP="00526795">
            <w:pPr>
              <w:pStyle w:val="Tabletext-Small"/>
              <w:spacing w:after="0"/>
            </w:pPr>
            <w:r>
              <w:t xml:space="preserve">Component 1: </w:t>
            </w:r>
            <w:r w:rsidR="00F058A3">
              <w:t xml:space="preserve">meeting or </w:t>
            </w:r>
            <w:r>
              <w:t xml:space="preserve">exceeding </w:t>
            </w:r>
            <w:r w:rsidR="00F058A3">
              <w:t xml:space="preserve">most </w:t>
            </w:r>
            <w:r>
              <w:t>targets and recovering from initial programme delays. Advisory component played a crucial role in generating external interest.</w:t>
            </w:r>
          </w:p>
        </w:tc>
        <w:tc>
          <w:tcPr>
            <w:tcW w:w="743" w:type="pct"/>
            <w:shd w:val="clear" w:color="auto" w:fill="70AD47" w:themeFill="accent6"/>
          </w:tcPr>
          <w:p w14:paraId="6E6AA737" w14:textId="5CD0F507" w:rsidR="00B14001" w:rsidRDefault="00B14001" w:rsidP="00526795">
            <w:pPr>
              <w:pStyle w:val="Tabletext-Small"/>
              <w:spacing w:after="0"/>
            </w:pPr>
            <w:r w:rsidRPr="009521D1">
              <w:t>Strong</w:t>
            </w:r>
          </w:p>
        </w:tc>
      </w:tr>
      <w:tr w:rsidR="00B14001" w:rsidRPr="005C5A00" w14:paraId="2C3465C9" w14:textId="77777777" w:rsidTr="00526795">
        <w:trPr>
          <w:trHeight w:val="328"/>
        </w:trPr>
        <w:tc>
          <w:tcPr>
            <w:tcW w:w="1303" w:type="pct"/>
            <w:vMerge/>
          </w:tcPr>
          <w:p w14:paraId="0FAD8001" w14:textId="77777777" w:rsidR="00B14001" w:rsidRPr="00AC1326" w:rsidRDefault="00B14001" w:rsidP="00526795">
            <w:pPr>
              <w:pStyle w:val="Tabletext-Small"/>
              <w:spacing w:after="0"/>
            </w:pPr>
          </w:p>
        </w:tc>
        <w:tc>
          <w:tcPr>
            <w:tcW w:w="2954" w:type="pct"/>
          </w:tcPr>
          <w:p w14:paraId="0E146801" w14:textId="4F65CBE2" w:rsidR="00B14001" w:rsidRPr="005C5A00" w:rsidRDefault="00B14001" w:rsidP="00526795">
            <w:pPr>
              <w:pStyle w:val="Tabletext-Small"/>
              <w:spacing w:after="0"/>
            </w:pPr>
            <w:r>
              <w:t xml:space="preserve">Component 2: </w:t>
            </w:r>
            <w:r w:rsidRPr="00F1226B">
              <w:t xml:space="preserve">successful in building understanding and creating connections. </w:t>
            </w:r>
            <w:r>
              <w:t>Across countries, there is a need for further</w:t>
            </w:r>
            <w:r w:rsidRPr="00F1226B">
              <w:t xml:space="preserve"> </w:t>
            </w:r>
            <w:r>
              <w:t xml:space="preserve">targeted </w:t>
            </w:r>
            <w:r w:rsidRPr="00F1226B">
              <w:t>capacity building efforts</w:t>
            </w:r>
            <w:r>
              <w:t>.</w:t>
            </w:r>
          </w:p>
        </w:tc>
        <w:tc>
          <w:tcPr>
            <w:tcW w:w="743" w:type="pct"/>
            <w:shd w:val="clear" w:color="auto" w:fill="C5E0B3" w:themeFill="accent6" w:themeFillTint="66"/>
          </w:tcPr>
          <w:p w14:paraId="3FE6A656" w14:textId="5754EA9A" w:rsidR="00B14001" w:rsidRDefault="00B14001" w:rsidP="00526795">
            <w:pPr>
              <w:pStyle w:val="Tabletext-Small"/>
              <w:spacing w:after="0"/>
            </w:pPr>
            <w:r>
              <w:t>Moderate</w:t>
            </w:r>
          </w:p>
        </w:tc>
      </w:tr>
      <w:tr w:rsidR="00B14001" w:rsidRPr="005C5A00" w14:paraId="0E58CBE8" w14:textId="77777777" w:rsidTr="00526795">
        <w:trPr>
          <w:trHeight w:val="328"/>
        </w:trPr>
        <w:tc>
          <w:tcPr>
            <w:tcW w:w="1303" w:type="pct"/>
            <w:vMerge/>
          </w:tcPr>
          <w:p w14:paraId="0FC042B3" w14:textId="77777777" w:rsidR="00B14001" w:rsidRPr="00AC1326" w:rsidRDefault="00B14001" w:rsidP="00526795">
            <w:pPr>
              <w:pStyle w:val="Tabletext-Small"/>
              <w:spacing w:after="0"/>
            </w:pPr>
          </w:p>
        </w:tc>
        <w:tc>
          <w:tcPr>
            <w:tcW w:w="2954" w:type="pct"/>
          </w:tcPr>
          <w:p w14:paraId="5DCB74D0" w14:textId="1A0C2A6C" w:rsidR="00B14001" w:rsidRPr="005C5A00" w:rsidRDefault="00B14001" w:rsidP="00526795">
            <w:pPr>
              <w:pStyle w:val="Tabletext-Small"/>
              <w:spacing w:after="0"/>
            </w:pPr>
            <w:r>
              <w:t xml:space="preserve">Component 3: </w:t>
            </w:r>
            <w:r w:rsidRPr="00F1226B">
              <w:t>EDGE is demonstrating its strength as a tool for green certification, gaining traction in many countries</w:t>
            </w:r>
            <w:r>
              <w:t>.</w:t>
            </w:r>
          </w:p>
        </w:tc>
        <w:tc>
          <w:tcPr>
            <w:tcW w:w="743" w:type="pct"/>
            <w:shd w:val="clear" w:color="auto" w:fill="70AD47" w:themeFill="accent6"/>
          </w:tcPr>
          <w:p w14:paraId="614D3AB5" w14:textId="217A6A14" w:rsidR="00B14001" w:rsidRDefault="00B14001" w:rsidP="00526795">
            <w:pPr>
              <w:pStyle w:val="Tabletext-Small"/>
              <w:spacing w:after="0"/>
            </w:pPr>
            <w:r>
              <w:t>Strong</w:t>
            </w:r>
          </w:p>
        </w:tc>
      </w:tr>
      <w:tr w:rsidR="00B14001" w:rsidRPr="005C5A00" w14:paraId="3F1838A2" w14:textId="77777777" w:rsidTr="00526795">
        <w:trPr>
          <w:trHeight w:val="328"/>
        </w:trPr>
        <w:tc>
          <w:tcPr>
            <w:tcW w:w="1303" w:type="pct"/>
            <w:vMerge/>
          </w:tcPr>
          <w:p w14:paraId="0790A6A5" w14:textId="77777777" w:rsidR="00B14001" w:rsidRPr="00AC1326" w:rsidRDefault="00B14001" w:rsidP="00526795">
            <w:pPr>
              <w:pStyle w:val="Tabletext-Small"/>
              <w:spacing w:after="0"/>
            </w:pPr>
          </w:p>
        </w:tc>
        <w:tc>
          <w:tcPr>
            <w:tcW w:w="2954" w:type="pct"/>
          </w:tcPr>
          <w:p w14:paraId="5355B07A" w14:textId="53C612BB" w:rsidR="00B14001" w:rsidRPr="005C5A00" w:rsidRDefault="00B14001" w:rsidP="00526795">
            <w:pPr>
              <w:pStyle w:val="Tabletext-Small"/>
              <w:spacing w:after="0"/>
            </w:pPr>
            <w:r>
              <w:t>Component 4: Not a focus of the early outcome evaluation</w:t>
            </w:r>
            <w:bookmarkStart w:id="15" w:name="_Hlk184376853"/>
            <w:r>
              <w:t xml:space="preserve">, but </w:t>
            </w:r>
            <w:r w:rsidRPr="00F1226B">
              <w:t>early indications of progress towards achieving its desired outcome.</w:t>
            </w:r>
            <w:bookmarkEnd w:id="15"/>
          </w:p>
        </w:tc>
        <w:tc>
          <w:tcPr>
            <w:tcW w:w="743" w:type="pct"/>
            <w:shd w:val="clear" w:color="auto" w:fill="FFE599" w:themeFill="accent4" w:themeFillTint="66"/>
          </w:tcPr>
          <w:p w14:paraId="19601C6D" w14:textId="2EFEEAF4" w:rsidR="00B14001" w:rsidRDefault="00B14001" w:rsidP="00526795">
            <w:pPr>
              <w:pStyle w:val="Tabletext-Small"/>
              <w:spacing w:after="0"/>
            </w:pPr>
            <w:r>
              <w:t>Partial</w:t>
            </w:r>
          </w:p>
        </w:tc>
      </w:tr>
      <w:tr w:rsidR="00B14001" w:rsidRPr="005C5A00" w14:paraId="45B772AC" w14:textId="77777777" w:rsidTr="00526795">
        <w:trPr>
          <w:trHeight w:val="237"/>
        </w:trPr>
        <w:tc>
          <w:tcPr>
            <w:tcW w:w="1303" w:type="pct"/>
          </w:tcPr>
          <w:p w14:paraId="2188DBEE" w14:textId="47DE0157" w:rsidR="00B14001" w:rsidRDefault="00B14001" w:rsidP="00526795">
            <w:pPr>
              <w:pStyle w:val="Tabletext-Small"/>
              <w:spacing w:after="0"/>
            </w:pPr>
            <w:r w:rsidRPr="0044704C">
              <w:t>To what extent is impact/ transformational change likely to be achieved?</w:t>
            </w:r>
          </w:p>
        </w:tc>
        <w:tc>
          <w:tcPr>
            <w:tcW w:w="2954" w:type="pct"/>
          </w:tcPr>
          <w:p w14:paraId="1A69F2DC" w14:textId="08E97934" w:rsidR="00B14001" w:rsidRDefault="00B14001" w:rsidP="00526795">
            <w:pPr>
              <w:pStyle w:val="Tabletext-Small"/>
              <w:spacing w:after="0"/>
            </w:pPr>
            <w:r w:rsidRPr="00B14001">
              <w:t>MAGC's contribution to transformational change in the green building sector shows promising early signs, although the extent of its ultimate impact remains to be fully assessed</w:t>
            </w:r>
            <w:r w:rsidR="005B7F1A">
              <w:t>.</w:t>
            </w:r>
          </w:p>
        </w:tc>
        <w:tc>
          <w:tcPr>
            <w:tcW w:w="743" w:type="pct"/>
            <w:shd w:val="clear" w:color="auto" w:fill="C5E0B3" w:themeFill="accent6" w:themeFillTint="66"/>
          </w:tcPr>
          <w:p w14:paraId="6D969AA4" w14:textId="7EF779A5" w:rsidR="00B14001" w:rsidRDefault="00B14001" w:rsidP="00526795">
            <w:pPr>
              <w:pStyle w:val="Tabletext-Small"/>
              <w:spacing w:after="0"/>
            </w:pPr>
            <w:r>
              <w:t>Moderate</w:t>
            </w:r>
          </w:p>
        </w:tc>
      </w:tr>
      <w:tr w:rsidR="00B14001" w:rsidRPr="005C5A00" w14:paraId="24C577F6" w14:textId="77777777" w:rsidTr="00526795">
        <w:trPr>
          <w:trHeight w:val="237"/>
        </w:trPr>
        <w:tc>
          <w:tcPr>
            <w:tcW w:w="1303" w:type="pct"/>
          </w:tcPr>
          <w:p w14:paraId="29B71C4F" w14:textId="634B9855" w:rsidR="00B14001" w:rsidRPr="003F31AF" w:rsidRDefault="00B14001" w:rsidP="00526795">
            <w:pPr>
              <w:pStyle w:val="Tabletext-Small"/>
              <w:spacing w:after="0"/>
            </w:pPr>
            <w:r>
              <w:t xml:space="preserve">Learning question: </w:t>
            </w:r>
            <w:r w:rsidRPr="00F1226B">
              <w:t>What opportunities did arise/were missed during MAGC delivery on GE</w:t>
            </w:r>
            <w:r>
              <w:t>D</w:t>
            </w:r>
            <w:r w:rsidRPr="00F1226B">
              <w:t>SI? How could we address GE</w:t>
            </w:r>
            <w:r>
              <w:t>D</w:t>
            </w:r>
            <w:r w:rsidRPr="00F1226B">
              <w:t>SI in future programme design?</w:t>
            </w:r>
          </w:p>
        </w:tc>
        <w:tc>
          <w:tcPr>
            <w:tcW w:w="2954" w:type="pct"/>
          </w:tcPr>
          <w:p w14:paraId="70C5C4C9" w14:textId="4C2C08B1" w:rsidR="00B14001" w:rsidRPr="005C5A00" w:rsidRDefault="00B14001" w:rsidP="00526795">
            <w:pPr>
              <w:pStyle w:val="Tabletext-Small"/>
              <w:spacing w:after="0"/>
            </w:pPr>
            <w:r>
              <w:t>Several opportunities to achieve GEDSI outcomes through green construction have been identified. A key overarching missed opportunity is GEDSI principles not being integrated into programme design.</w:t>
            </w:r>
          </w:p>
        </w:tc>
        <w:tc>
          <w:tcPr>
            <w:tcW w:w="743" w:type="pct"/>
            <w:shd w:val="clear" w:color="auto" w:fill="C5E0B3" w:themeFill="accent6" w:themeFillTint="66"/>
          </w:tcPr>
          <w:p w14:paraId="6E1B34CC" w14:textId="5B5108A5" w:rsidR="00B14001" w:rsidRDefault="00B14001" w:rsidP="00526795">
            <w:pPr>
              <w:pStyle w:val="Tabletext-Small"/>
              <w:spacing w:after="0"/>
            </w:pPr>
            <w:r>
              <w:t>Moderate</w:t>
            </w:r>
          </w:p>
        </w:tc>
      </w:tr>
      <w:tr w:rsidR="00B14001" w:rsidRPr="005C5A00" w14:paraId="1F42E855" w14:textId="77777777" w:rsidTr="00526795">
        <w:trPr>
          <w:trHeight w:val="767"/>
        </w:trPr>
        <w:tc>
          <w:tcPr>
            <w:tcW w:w="1303" w:type="pct"/>
          </w:tcPr>
          <w:p w14:paraId="4697E9F7" w14:textId="56D18FD2" w:rsidR="00B14001" w:rsidRDefault="00B14001" w:rsidP="00526795">
            <w:pPr>
              <w:pStyle w:val="Tabletext-Small"/>
              <w:spacing w:after="0"/>
            </w:pPr>
            <w:r w:rsidRPr="0044704C">
              <w:t>To what extent is MAGC investment providing Value for Money for HMG?</w:t>
            </w:r>
          </w:p>
        </w:tc>
        <w:tc>
          <w:tcPr>
            <w:tcW w:w="2954" w:type="pct"/>
          </w:tcPr>
          <w:p w14:paraId="4CF77B27" w14:textId="7A74B279" w:rsidR="00B14001" w:rsidRDefault="00B14001" w:rsidP="00526795">
            <w:pPr>
              <w:pStyle w:val="Tabletext-Small"/>
              <w:spacing w:after="0"/>
            </w:pPr>
            <w:r w:rsidRPr="00D842DA">
              <w:t>While it is too early for a comprehensive assessment, stakeholders are confident in MAGC's value for money delivery. Initial delays have been largely overcome, with the program</w:t>
            </w:r>
            <w:r>
              <w:t>me</w:t>
            </w:r>
            <w:r w:rsidRPr="00D842DA">
              <w:t xml:space="preserve"> now </w:t>
            </w:r>
            <w:r w:rsidR="00E405A6">
              <w:t xml:space="preserve">meeting or </w:t>
            </w:r>
            <w:r>
              <w:t xml:space="preserve">exceeding </w:t>
            </w:r>
            <w:r w:rsidR="00E405A6">
              <w:t xml:space="preserve">most </w:t>
            </w:r>
            <w:r>
              <w:t>targets</w:t>
            </w:r>
            <w:r w:rsidRPr="00D842DA">
              <w:t>. Continuation of this progress could improve the final rating.</w:t>
            </w:r>
          </w:p>
        </w:tc>
        <w:tc>
          <w:tcPr>
            <w:tcW w:w="743" w:type="pct"/>
            <w:shd w:val="clear" w:color="auto" w:fill="70AD47" w:themeFill="accent6"/>
          </w:tcPr>
          <w:p w14:paraId="4D3C5984" w14:textId="75DC0D69" w:rsidR="00B14001" w:rsidRDefault="00B14001" w:rsidP="00526795">
            <w:pPr>
              <w:pStyle w:val="Tabletext-Small"/>
              <w:spacing w:after="0"/>
            </w:pPr>
            <w:r>
              <w:t>Strong</w:t>
            </w:r>
          </w:p>
        </w:tc>
      </w:tr>
    </w:tbl>
    <w:p w14:paraId="42B9FF5B" w14:textId="4381CF46" w:rsidR="0064317E" w:rsidRPr="0009408D" w:rsidRDefault="0064317E" w:rsidP="00DF510D">
      <w:pPr>
        <w:pStyle w:val="Heading3"/>
      </w:pPr>
      <w:bookmarkStart w:id="16" w:name="_Toc189155212"/>
      <w:r w:rsidRPr="0009408D">
        <w:t>Key limitations</w:t>
      </w:r>
      <w:bookmarkEnd w:id="16"/>
    </w:p>
    <w:p w14:paraId="3FC40ABE" w14:textId="37757298" w:rsidR="00D84CAB" w:rsidRPr="0064317E" w:rsidRDefault="0064317E" w:rsidP="00626751">
      <w:pPr>
        <w:pStyle w:val="DESNZbulletedlist"/>
        <w:numPr>
          <w:ilvl w:val="0"/>
          <w:numId w:val="0"/>
        </w:numPr>
      </w:pPr>
      <w:bookmarkStart w:id="17" w:name="_Hlk188364855"/>
      <w:r>
        <w:t xml:space="preserve">The study faced some limitations that should be considered when reviewing this report. First, the </w:t>
      </w:r>
      <w:r w:rsidRPr="00392A7A">
        <w:rPr>
          <w:b/>
          <w:bCs/>
        </w:rPr>
        <w:t>sample of financial institutions</w:t>
      </w:r>
      <w:r>
        <w:t xml:space="preserve"> interviewed was lower than expected</w:t>
      </w:r>
      <w:r w:rsidR="0044704C">
        <w:t xml:space="preserve">. While the level and quality of the evidence was satisfactory, more responses could have strengthened findings on the programme outcomes at </w:t>
      </w:r>
      <w:r w:rsidR="00D76E05">
        <w:t>country-</w:t>
      </w:r>
      <w:r w:rsidR="0044704C">
        <w:t>level.</w:t>
      </w:r>
      <w:r>
        <w:t xml:space="preserve"> Another limitation concerned </w:t>
      </w:r>
      <w:r w:rsidRPr="00392A7A">
        <w:rPr>
          <w:b/>
          <w:bCs/>
        </w:rPr>
        <w:t xml:space="preserve">differentiating stakeholders </w:t>
      </w:r>
      <w:r>
        <w:t>that had received support from MAGC, in particular for components 2 and 3</w:t>
      </w:r>
      <w:r w:rsidR="0044704C">
        <w:t>, which created some difficulties in isolating stakeholders completely external to the programme</w:t>
      </w:r>
      <w:r>
        <w:t xml:space="preserve">. </w:t>
      </w:r>
      <w:r w:rsidR="00254E32" w:rsidRPr="00254E32">
        <w:t>To address this, the evaluation team carefully considered the timing of MAGC interventions in relation to other market developments</w:t>
      </w:r>
      <w:r w:rsidR="00254E32">
        <w:t xml:space="preserve"> and checked programme documentation (e.g.</w:t>
      </w:r>
      <w:r w:rsidR="004F6CF2">
        <w:t>,</w:t>
      </w:r>
      <w:r w:rsidR="00254E32">
        <w:t xml:space="preserve"> IFC annual reports) to verify information provided in interviews. </w:t>
      </w:r>
      <w:r w:rsidR="0044704C" w:rsidRPr="00392A7A">
        <w:rPr>
          <w:b/>
          <w:bCs/>
        </w:rPr>
        <w:t>Self-reporting</w:t>
      </w:r>
      <w:r w:rsidRPr="00392A7A">
        <w:rPr>
          <w:b/>
          <w:bCs/>
        </w:rPr>
        <w:t xml:space="preserve"> bias</w:t>
      </w:r>
      <w:r>
        <w:t xml:space="preserve"> from interviews and </w:t>
      </w:r>
      <w:r w:rsidRPr="00392A7A">
        <w:rPr>
          <w:b/>
          <w:bCs/>
        </w:rPr>
        <w:t>attribution of outcomes</w:t>
      </w:r>
      <w:r>
        <w:t xml:space="preserve"> due to external factors were mitigated by using triangulation of </w:t>
      </w:r>
      <w:r w:rsidR="0044704C">
        <w:t>primary data sources with desk research and programme data</w:t>
      </w:r>
      <w:r w:rsidR="001D1A8E">
        <w:t>.</w:t>
      </w:r>
      <w:r w:rsidR="00F25FE3">
        <w:t xml:space="preserve"> </w:t>
      </w:r>
      <w:r w:rsidR="001D1A8E">
        <w:t>F</w:t>
      </w:r>
      <w:r w:rsidR="00F25FE3">
        <w:t>or example, by checking country-level findings from interviews against secondary data from the political economy analysis and financial markets analysis</w:t>
      </w:r>
      <w:r>
        <w:t xml:space="preserve">. </w:t>
      </w:r>
      <w:r w:rsidR="00254E32" w:rsidRPr="00392A7A">
        <w:rPr>
          <w:b/>
          <w:bCs/>
        </w:rPr>
        <w:t>Selection bias</w:t>
      </w:r>
      <w:r w:rsidR="00254E32">
        <w:t xml:space="preserve"> in interviews was mitigated by </w:t>
      </w:r>
      <w:r w:rsidR="00254E32" w:rsidRPr="00254E32">
        <w:t>developing a comprehensive stakeholder mapping exercise to ensure representation of diverse perspectives within the green building sector (see Technical Annex for details).</w:t>
      </w:r>
      <w:r w:rsidR="00254E32">
        <w:t xml:space="preserve"> </w:t>
      </w:r>
      <w:r w:rsidR="00F25FE3">
        <w:t xml:space="preserve">The evaluation team mitigated the </w:t>
      </w:r>
      <w:r w:rsidR="00F25FE3" w:rsidRPr="008A0117">
        <w:t xml:space="preserve">barrier of </w:t>
      </w:r>
      <w:r w:rsidR="00F25FE3" w:rsidRPr="00392A7A">
        <w:rPr>
          <w:b/>
          <w:bCs/>
        </w:rPr>
        <w:t>limited data on GEDSI</w:t>
      </w:r>
      <w:r w:rsidR="00F25FE3" w:rsidRPr="008A0117">
        <w:t xml:space="preserve"> outcomes by using interviews to understand how green construction more broadly can lead to GEDSI outcomes</w:t>
      </w:r>
      <w:r w:rsidR="001D1A8E">
        <w:t>.</w:t>
      </w:r>
      <w:r w:rsidR="00F25FE3" w:rsidRPr="008A0117">
        <w:t xml:space="preserve"> </w:t>
      </w:r>
      <w:r w:rsidR="001D1A8E">
        <w:t>This can</w:t>
      </w:r>
      <w:r w:rsidR="00F25FE3" w:rsidRPr="008A0117">
        <w:t xml:space="preserve"> inform learning and planning for future iterations of MAGC where appropriate</w:t>
      </w:r>
      <w:r w:rsidR="00F25FE3">
        <w:t xml:space="preserve">. </w:t>
      </w:r>
      <w:r w:rsidR="0044704C">
        <w:t xml:space="preserve">A full </w:t>
      </w:r>
      <w:r w:rsidR="000427D0">
        <w:t xml:space="preserve">description </w:t>
      </w:r>
      <w:r w:rsidR="0044704C">
        <w:t xml:space="preserve">of the limitations can be found in the </w:t>
      </w:r>
      <w:r w:rsidR="000427D0">
        <w:t>T</w:t>
      </w:r>
      <w:r w:rsidR="0044704C">
        <w:t xml:space="preserve">echnical </w:t>
      </w:r>
      <w:r w:rsidR="000427D0">
        <w:t>A</w:t>
      </w:r>
      <w:r w:rsidR="0044704C">
        <w:t xml:space="preserve">nnex. </w:t>
      </w:r>
      <w:bookmarkEnd w:id="17"/>
    </w:p>
    <w:p w14:paraId="6DCB5A61" w14:textId="62E65988" w:rsidR="009C35B6" w:rsidRDefault="00F25FE3" w:rsidP="00A37CD2">
      <w:pPr>
        <w:rPr>
          <w:rFonts w:eastAsiaTheme="majorEastAsia" w:cstheme="majorBidi"/>
          <w:color w:val="041E42"/>
          <w:sz w:val="52"/>
          <w:szCs w:val="32"/>
        </w:rPr>
      </w:pPr>
      <w:r w:rsidRPr="002F3647">
        <w:rPr>
          <w:b/>
          <w:bCs/>
        </w:rPr>
        <w:t>Deviations from the Terms of Reference</w:t>
      </w:r>
      <w:r>
        <w:t xml:space="preserve">: </w:t>
      </w:r>
      <w:r w:rsidR="00655967">
        <w:t>The methodology implemented in this evaluation phase deviated from the Terms of Reference and Scoping Report solely in the number of T2-level interviews conducted during primary data collection. The initial target of 25 interviews was subsequently increased to 30 to ensure a consistent sample size of five interviews per T2 country. There is no other divergence from the original Terms of Reference and the Scoping Report.</w:t>
      </w:r>
      <w:r w:rsidR="009C35B6">
        <w:br w:type="page"/>
      </w:r>
    </w:p>
    <w:p w14:paraId="6379A84F" w14:textId="2AF0AA8B" w:rsidR="008C1C8D" w:rsidRPr="008C1C8D" w:rsidRDefault="008C1C8D" w:rsidP="008C1C8D">
      <w:pPr>
        <w:pStyle w:val="Heading1"/>
      </w:pPr>
      <w:bookmarkStart w:id="18" w:name="_Toc189155213"/>
      <w:r w:rsidRPr="008C1C8D">
        <w:t>3 Delivery of MAGC to date</w:t>
      </w:r>
      <w:bookmarkEnd w:id="18"/>
    </w:p>
    <w:p w14:paraId="50C2DA86" w14:textId="3C0FE637" w:rsidR="002F3647" w:rsidRDefault="00BC50D9" w:rsidP="009609DE">
      <w:r w:rsidRPr="00BB1404">
        <w:rPr>
          <w:rStyle w:val="Boldtext"/>
          <w:b w:val="0"/>
        </w:rPr>
        <w:t>MAGC</w:t>
      </w:r>
      <w:r w:rsidRPr="00BB1404">
        <w:t xml:space="preserve"> is part of the ICF Portfolio and is currently the only green building focused programme within DESNZ ICF. MAGC</w:t>
      </w:r>
      <w:r w:rsidR="00BC5F93">
        <w:t xml:space="preserve">, </w:t>
      </w:r>
      <w:r w:rsidRPr="00BB1404">
        <w:t>created in 2018</w:t>
      </w:r>
      <w:r w:rsidR="00BC5F93">
        <w:t>,</w:t>
      </w:r>
      <w:r w:rsidRPr="00BB1404">
        <w:t xml:space="preserve"> </w:t>
      </w:r>
      <w:r w:rsidR="00BC5F93">
        <w:t>is</w:t>
      </w:r>
      <w:r w:rsidRPr="00BB1404">
        <w:t xml:space="preserve"> a partnership between the International Finance Corporation (IFC), member of the World Bank Group (WBG), and the UK Government’s Department for Energy Security and Net Zero (DESNZ). The programme is planned to run until June 2033, </w:t>
      </w:r>
      <w:bookmarkStart w:id="19" w:name="_Hlk161219615"/>
      <w:r w:rsidRPr="00BB1404">
        <w:t>with its investment period running until 2027</w:t>
      </w:r>
      <w:bookmarkEnd w:id="19"/>
      <w:r w:rsidRPr="00BB1404">
        <w:t>.</w:t>
      </w:r>
      <w:r w:rsidRPr="00BB1404">
        <w:rPr>
          <w:rStyle w:val="FootnoteReference"/>
        </w:rPr>
        <w:footnoteReference w:id="17"/>
      </w:r>
      <w:r w:rsidRPr="00BB1404">
        <w:t xml:space="preserve"> </w:t>
      </w:r>
    </w:p>
    <w:p w14:paraId="12A8A48A" w14:textId="77777777" w:rsidR="002F3647" w:rsidRDefault="003E4E51" w:rsidP="009609DE">
      <w:r w:rsidRPr="00392A7A">
        <w:rPr>
          <w:b/>
          <w:bCs/>
        </w:rPr>
        <w:t>Size:</w:t>
      </w:r>
      <w:r>
        <w:t xml:space="preserve"> The UK government’s contribution to MAGC is £139.1 million</w:t>
      </w:r>
      <w:r>
        <w:rPr>
          <w:rStyle w:val="FootnoteReference"/>
        </w:rPr>
        <w:footnoteReference w:id="18"/>
      </w:r>
      <w:r>
        <w:t xml:space="preserve">. This includes £102 million dedicated to blended concessional finance co-investments invested alongside IFC into Financial Intermediaries (FIs). UK’s contribution also includes </w:t>
      </w:r>
      <w:r w:rsidRPr="007609C6">
        <w:t>£</w:t>
      </w:r>
      <w:r>
        <w:t>36.1</w:t>
      </w:r>
      <w:r w:rsidRPr="007609C6" w:rsidDel="007609C6">
        <w:t xml:space="preserve"> </w:t>
      </w:r>
      <w:r>
        <w:t xml:space="preserve">million for advisory services to support business strategy, capacity building, market enabling and research to scale green construction finance. </w:t>
      </w:r>
    </w:p>
    <w:p w14:paraId="17EC4A7E" w14:textId="77777777" w:rsidR="002F3647" w:rsidRDefault="003E4E51" w:rsidP="009609DE">
      <w:r w:rsidRPr="00392A7A">
        <w:rPr>
          <w:b/>
          <w:bCs/>
        </w:rPr>
        <w:t>Aim:</w:t>
      </w:r>
      <w:r>
        <w:t xml:space="preserve"> </w:t>
      </w:r>
      <w:r w:rsidR="00BC50D9" w:rsidRPr="00BB1404">
        <w:t xml:space="preserve">The goal of MAGC is to boost the uptake of greener practices and technologies focused on developing countries’ construction markets. </w:t>
      </w:r>
      <w:r w:rsidR="00BC50D9">
        <w:t xml:space="preserve">The impact the programme aims to achieve is </w:t>
      </w:r>
      <w:r w:rsidR="00BC50D9" w:rsidRPr="00BC50D9">
        <w:t>energy savings and reduced emissions through the construction of new green buildings in selected countries.</w:t>
      </w:r>
      <w:r w:rsidR="00BC50D9">
        <w:t xml:space="preserve"> </w:t>
      </w:r>
    </w:p>
    <w:p w14:paraId="6FAB26EE" w14:textId="7066197A" w:rsidR="00BC50D9" w:rsidRDefault="003E4E51" w:rsidP="009609DE">
      <w:r w:rsidRPr="00392A7A">
        <w:rPr>
          <w:b/>
          <w:bCs/>
        </w:rPr>
        <w:t>Geographical coverage:</w:t>
      </w:r>
      <w:r>
        <w:t xml:space="preserve"> </w:t>
      </w:r>
      <w:r w:rsidR="00BC50D9" w:rsidRPr="00873947">
        <w:t>MAGC is active in 24 countries</w:t>
      </w:r>
      <w:r w:rsidR="00BC50D9">
        <w:rPr>
          <w:rStyle w:val="FootnoteReference"/>
        </w:rPr>
        <w:footnoteReference w:id="19"/>
      </w:r>
      <w:r w:rsidR="00BC50D9" w:rsidRPr="00873947">
        <w:t xml:space="preserve">. All MAGC countries are </w:t>
      </w:r>
      <w:r w:rsidR="00BC50D9">
        <w:t>eligible for Official Development Assistance (</w:t>
      </w:r>
      <w:r w:rsidR="00BC50D9" w:rsidRPr="00873947">
        <w:t>ODA</w:t>
      </w:r>
      <w:r w:rsidR="00BC50D9">
        <w:t>)</w:t>
      </w:r>
      <w:r w:rsidR="00BC50D9" w:rsidRPr="00873947">
        <w:t xml:space="preserve">. </w:t>
      </w:r>
      <w:r w:rsidR="00BC50D9" w:rsidRPr="0033223C">
        <w:t>The list of the countries is being reviewed and updated throughout the programme based on demand, potential impact, and up-to-date market analysis.</w:t>
      </w:r>
    </w:p>
    <w:p w14:paraId="51BD80E2" w14:textId="008FA62D" w:rsidR="009609DE" w:rsidRDefault="00620E2E" w:rsidP="009609DE">
      <w:r>
        <w:t>MAGC</w:t>
      </w:r>
      <w:r w:rsidR="009609DE" w:rsidRPr="007843E7">
        <w:t xml:space="preserve"> consists of four </w:t>
      </w:r>
      <w:r w:rsidR="009609DE">
        <w:t>components:</w:t>
      </w:r>
      <w:r w:rsidR="009609DE" w:rsidRPr="007843E7">
        <w:t xml:space="preserve"> </w:t>
      </w:r>
    </w:p>
    <w:p w14:paraId="6E064FEA" w14:textId="6E7A93C7" w:rsidR="009609DE" w:rsidRPr="00BB1404" w:rsidRDefault="009609DE" w:rsidP="009609DE">
      <w:pPr>
        <w:pStyle w:val="DESNZbulletedlist"/>
      </w:pPr>
      <w:r w:rsidRPr="00BB1404">
        <w:rPr>
          <w:rStyle w:val="Boldtext"/>
        </w:rPr>
        <w:t xml:space="preserve">Component 1 - Advisory services and concessional blended finance investment to </w:t>
      </w:r>
      <w:r w:rsidR="008926EC">
        <w:rPr>
          <w:rStyle w:val="Boldtext"/>
        </w:rPr>
        <w:t>FIs</w:t>
      </w:r>
      <w:r w:rsidRPr="00BB1404">
        <w:t xml:space="preserve">: Incentivising local </w:t>
      </w:r>
      <w:r>
        <w:t>FIs</w:t>
      </w:r>
      <w:r w:rsidRPr="00BB1404">
        <w:t xml:space="preserve"> to create green building portfolios by providing concessional investment finance and technical assistance for certified energy efficient green buildings.</w:t>
      </w:r>
    </w:p>
    <w:p w14:paraId="0334C0D8" w14:textId="20C065FE" w:rsidR="009609DE" w:rsidRPr="00BB1404" w:rsidRDefault="009609DE" w:rsidP="009609DE">
      <w:pPr>
        <w:pStyle w:val="DESNZbulletedlist"/>
      </w:pPr>
      <w:r w:rsidRPr="00BB1404">
        <w:rPr>
          <w:rStyle w:val="Boldtext"/>
        </w:rPr>
        <w:t>Component 2 - Country-level capacity building</w:t>
      </w:r>
      <w:r w:rsidRPr="00BB1404">
        <w:t xml:space="preserve">: Strengthening the enabling environment to promote and raise green construction standards at </w:t>
      </w:r>
      <w:r w:rsidR="00D76E05" w:rsidRPr="00BB1404">
        <w:t>country</w:t>
      </w:r>
      <w:r w:rsidR="00D76E05">
        <w:t>-</w:t>
      </w:r>
      <w:r w:rsidRPr="00BB1404">
        <w:t>level through certification by using IFC’s EDGE standard and other leading certification systems.</w:t>
      </w:r>
    </w:p>
    <w:p w14:paraId="19D6C343" w14:textId="162B07D8" w:rsidR="009609DE" w:rsidRPr="00BB1404" w:rsidRDefault="009609DE" w:rsidP="009609DE">
      <w:pPr>
        <w:pStyle w:val="DESNZbulletedlist"/>
      </w:pPr>
      <w:r w:rsidRPr="00BB1404">
        <w:rPr>
          <w:rStyle w:val="Boldtext"/>
        </w:rPr>
        <w:t>Component 3 - Maintenance and improvement of the EDGE certification system</w:t>
      </w:r>
      <w:r w:rsidRPr="00BB1404">
        <w:t xml:space="preserve">: Improving </w:t>
      </w:r>
      <w:r w:rsidR="00DB2766">
        <w:t xml:space="preserve">green </w:t>
      </w:r>
      <w:r w:rsidRPr="00BB1404">
        <w:t>construction standards by maintaining and improving IFC’s EDGE certification and design tool.</w:t>
      </w:r>
    </w:p>
    <w:p w14:paraId="5F0D9BEF" w14:textId="21E6C705" w:rsidR="009609DE" w:rsidRPr="00BB1404" w:rsidRDefault="009609DE" w:rsidP="009609DE">
      <w:pPr>
        <w:pStyle w:val="DESNZbulletedlist"/>
      </w:pPr>
      <w:r w:rsidRPr="00BB1404">
        <w:rPr>
          <w:rStyle w:val="Boldtext"/>
        </w:rPr>
        <w:t>Component 4 - The MAGC Research programme</w:t>
      </w:r>
      <w:r w:rsidRPr="00BB1404">
        <w:t>: Generating market intelligence through research in selected MAGC countries, to create high-quality empirical evidence</w:t>
      </w:r>
      <w:r w:rsidR="00AB7324">
        <w:t>.</w:t>
      </w:r>
      <w:r w:rsidRPr="00BB1404">
        <w:t xml:space="preserve"> </w:t>
      </w:r>
      <w:r w:rsidR="00AB7324">
        <w:t>The evidence</w:t>
      </w:r>
      <w:r w:rsidR="00AB7324" w:rsidRPr="00BB1404">
        <w:t xml:space="preserve"> </w:t>
      </w:r>
      <w:r w:rsidRPr="00BB1404">
        <w:t>can be used to</w:t>
      </w:r>
      <w:r w:rsidR="0023113F">
        <w:t xml:space="preserve"> improve MAGC’s delivery and</w:t>
      </w:r>
      <w:r w:rsidRPr="00BB1404">
        <w:t xml:space="preserve"> further motivate the </w:t>
      </w:r>
      <w:r>
        <w:t>take-up</w:t>
      </w:r>
      <w:r w:rsidRPr="00BB1404">
        <w:t xml:space="preserve"> of green construction.</w:t>
      </w:r>
    </w:p>
    <w:p w14:paraId="28241251" w14:textId="222A66BC" w:rsidR="009609DE" w:rsidRDefault="009609DE" w:rsidP="009609DE">
      <w:r w:rsidRPr="007843E7">
        <w:t xml:space="preserve">The progress of each element is </w:t>
      </w:r>
      <w:r>
        <w:t>measured</w:t>
      </w:r>
      <w:r w:rsidRPr="007843E7">
        <w:t xml:space="preserve"> by established outcome metrics managed and monitored by the </w:t>
      </w:r>
      <w:r w:rsidR="006D776D" w:rsidRPr="007843E7">
        <w:t xml:space="preserve">by </w:t>
      </w:r>
      <w:r w:rsidR="006D776D">
        <w:t>four different departments</w:t>
      </w:r>
      <w:r w:rsidR="006D776D" w:rsidRPr="007843E7">
        <w:t xml:space="preserve"> within IFC.</w:t>
      </w:r>
      <w:r w:rsidR="006D776D">
        <w:rPr>
          <w:rStyle w:val="FootnoteReference"/>
        </w:rPr>
        <w:footnoteReference w:id="20"/>
      </w:r>
      <w:r w:rsidR="006D776D">
        <w:t xml:space="preserve"> </w:t>
      </w:r>
      <w:r>
        <w:t xml:space="preserve">The table below gives a brief summary of the progress towards each programme component, up to </w:t>
      </w:r>
      <w:r w:rsidR="006D776D">
        <w:t>end of FY 2024 (30 June 2024)</w:t>
      </w:r>
      <w:r w:rsidR="006D776D">
        <w:rPr>
          <w:rStyle w:val="FootnoteReference"/>
        </w:rPr>
        <w:footnoteReference w:id="21"/>
      </w:r>
      <w:r w:rsidR="006D776D">
        <w:t>:</w:t>
      </w:r>
    </w:p>
    <w:p w14:paraId="0ADF75E3" w14:textId="45D1480D" w:rsidR="009609DE" w:rsidRPr="00DF510D" w:rsidRDefault="009609DE" w:rsidP="009609DE">
      <w:pPr>
        <w:pStyle w:val="Caption"/>
        <w:rPr>
          <w:sz w:val="24"/>
        </w:rPr>
      </w:pPr>
      <w:r w:rsidRPr="00DF510D">
        <w:rPr>
          <w:sz w:val="24"/>
        </w:rPr>
        <w:t>Table 3.1: Summary of progress in MAGC components</w:t>
      </w:r>
    </w:p>
    <w:tbl>
      <w:tblPr>
        <w:tblStyle w:val="Table-Darkblue"/>
        <w:tblW w:w="4892" w:type="pct"/>
        <w:tblLayout w:type="fixed"/>
        <w:tblLook w:val="01E0" w:firstRow="1" w:lastRow="1" w:firstColumn="1" w:lastColumn="1" w:noHBand="0" w:noVBand="0"/>
      </w:tblPr>
      <w:tblGrid>
        <w:gridCol w:w="1839"/>
        <w:gridCol w:w="8025"/>
      </w:tblGrid>
      <w:tr w:rsidR="00C77CDC" w:rsidRPr="000D2D4B" w14:paraId="5E1B50E3" w14:textId="77777777" w:rsidTr="7BA05F0F">
        <w:trPr>
          <w:cnfStyle w:val="100000000000" w:firstRow="1" w:lastRow="0" w:firstColumn="0" w:lastColumn="0" w:oddVBand="0" w:evenVBand="0" w:oddHBand="0" w:evenHBand="0" w:firstRowFirstColumn="0" w:firstRowLastColumn="0" w:lastRowFirstColumn="0" w:lastRowLastColumn="0"/>
          <w:trHeight w:val="166"/>
        </w:trPr>
        <w:tc>
          <w:tcPr>
            <w:tcW w:w="932" w:type="pct"/>
          </w:tcPr>
          <w:p w14:paraId="39BA2B61" w14:textId="77777777" w:rsidR="009609DE" w:rsidRPr="007347C1" w:rsidRDefault="009609DE">
            <w:pPr>
              <w:pStyle w:val="Tabletext-Small"/>
            </w:pPr>
            <w:r>
              <w:t>MAGC Delivery Component</w:t>
            </w:r>
          </w:p>
        </w:tc>
        <w:tc>
          <w:tcPr>
            <w:tcW w:w="4068" w:type="pct"/>
          </w:tcPr>
          <w:p w14:paraId="361EFEA2" w14:textId="49ED54D6" w:rsidR="009609DE" w:rsidRPr="007347C1" w:rsidRDefault="009609DE">
            <w:pPr>
              <w:pStyle w:val="Tabletext-Small"/>
            </w:pPr>
            <w:r>
              <w:t>Status of Delivery up FY 2024</w:t>
            </w:r>
          </w:p>
        </w:tc>
      </w:tr>
      <w:tr w:rsidR="009609DE" w:rsidRPr="005B487A" w14:paraId="45145A0D" w14:textId="77777777" w:rsidTr="7BA05F0F">
        <w:trPr>
          <w:trHeight w:val="328"/>
        </w:trPr>
        <w:tc>
          <w:tcPr>
            <w:tcW w:w="932" w:type="pct"/>
          </w:tcPr>
          <w:p w14:paraId="58FAEB9B" w14:textId="77777777" w:rsidR="009609DE" w:rsidRPr="007347C1" w:rsidRDefault="009609DE">
            <w:pPr>
              <w:pStyle w:val="Tabletext-Small"/>
              <w:rPr>
                <w:rStyle w:val="Boldtext"/>
              </w:rPr>
            </w:pPr>
            <w:r w:rsidRPr="00DC6C79">
              <w:rPr>
                <w:rStyle w:val="Boldtext"/>
              </w:rPr>
              <w:t>Component 1: Firm Level Advisory Services and Blended Finance to Financial Institutions</w:t>
            </w:r>
          </w:p>
        </w:tc>
        <w:tc>
          <w:tcPr>
            <w:tcW w:w="4068" w:type="pct"/>
          </w:tcPr>
          <w:p w14:paraId="2D2D7CAA" w14:textId="47BE7576" w:rsidR="009609DE" w:rsidRPr="007347C1" w:rsidRDefault="009609DE">
            <w:pPr>
              <w:pStyle w:val="Tabletext-Small"/>
            </w:pPr>
            <w:r w:rsidRPr="00601513">
              <w:t xml:space="preserve">As of </w:t>
            </w:r>
            <w:r>
              <w:t>June 30</w:t>
            </w:r>
            <w:r w:rsidR="00192D69">
              <w:t>, 20</w:t>
            </w:r>
            <w:r w:rsidRPr="00601513">
              <w:t xml:space="preserve">24, </w:t>
            </w:r>
            <w:r w:rsidR="00620E2E">
              <w:t>MAGC</w:t>
            </w:r>
            <w:r w:rsidRPr="00601513">
              <w:t xml:space="preserve"> has </w:t>
            </w:r>
            <w:r w:rsidRPr="007347C1">
              <w:t xml:space="preserve">surpassed its annual target by securing </w:t>
            </w:r>
            <w:r>
              <w:t>21</w:t>
            </w:r>
            <w:r w:rsidRPr="007347C1">
              <w:t xml:space="preserve"> investments</w:t>
            </w:r>
            <w:r>
              <w:t xml:space="preserve"> and </w:t>
            </w:r>
            <w:r w:rsidRPr="007347C1">
              <w:t>supporting 1</w:t>
            </w:r>
            <w:r>
              <w:t>9</w:t>
            </w:r>
            <w:r w:rsidRPr="007347C1">
              <w:t xml:space="preserve"> financial institutions, </w:t>
            </w:r>
            <w:r>
              <w:t>this exceeds it targets to date of 11 F</w:t>
            </w:r>
            <w:r w:rsidR="00DB2766">
              <w:t>I</w:t>
            </w:r>
            <w:r>
              <w:t xml:space="preserve">s. </w:t>
            </w:r>
            <w:r w:rsidR="002D4077">
              <w:t>With $56 million of cumulative volume of UK finance committed, the investment component leveraged a cumulative total of $1</w:t>
            </w:r>
            <w:r w:rsidR="00844B90">
              <w:t>.</w:t>
            </w:r>
            <w:r w:rsidR="002D4077">
              <w:t xml:space="preserve">4 billion in public sector financing, </w:t>
            </w:r>
            <w:r w:rsidR="002D4077" w:rsidRPr="00BC6706">
              <w:t>$305 million private finance mobilised at the commitment stage, and a further $135 million of private equity mobilised at the sub loan stage</w:t>
            </w:r>
            <w:r w:rsidR="002D4077">
              <w:t xml:space="preserve"> for MAGC funded green building projects.</w:t>
            </w:r>
            <w:r w:rsidR="002D4077">
              <w:rPr>
                <w:rStyle w:val="FootnoteReference"/>
              </w:rPr>
              <w:footnoteReference w:id="22"/>
            </w:r>
            <w:r w:rsidRPr="007347C1">
              <w:t xml:space="preserve"> </w:t>
            </w:r>
            <w:r w:rsidR="00192D69" w:rsidRPr="00FB1DC2">
              <w:t>The program</w:t>
            </w:r>
            <w:r w:rsidR="00694B8E">
              <w:t>me</w:t>
            </w:r>
            <w:r w:rsidR="00192D69" w:rsidRPr="00FB1DC2">
              <w:t xml:space="preserve"> initiated two new projects, one in Peru and another in India</w:t>
            </w:r>
            <w:r w:rsidR="00192D69">
              <w:t>, with $3.5 million in funding each</w:t>
            </w:r>
            <w:r w:rsidR="00AB7324">
              <w:t xml:space="preserve">. </w:t>
            </w:r>
            <w:r w:rsidR="00E650F5">
              <w:t xml:space="preserve">The programme has a strong and actively managed pipeline. </w:t>
            </w:r>
            <w:r w:rsidR="00192D69">
              <w:t>11</w:t>
            </w:r>
            <w:r w:rsidR="00192D69" w:rsidRPr="007347C1">
              <w:t xml:space="preserve"> advisory engagements are </w:t>
            </w:r>
            <w:r w:rsidR="00BC2CC4">
              <w:t xml:space="preserve">completed or in implementation </w:t>
            </w:r>
            <w:r w:rsidR="00192D69">
              <w:t>as per the Annual Report</w:t>
            </w:r>
            <w:r w:rsidR="00BC2CC4">
              <w:t xml:space="preserve"> of</w:t>
            </w:r>
            <w:r w:rsidR="00192D69">
              <w:t xml:space="preserve"> FY24</w:t>
            </w:r>
            <w:r w:rsidR="00192D69" w:rsidRPr="007347C1">
              <w:t>, with</w:t>
            </w:r>
            <w:r w:rsidR="00E95BC4">
              <w:t xml:space="preserve"> seven</w:t>
            </w:r>
            <w:r w:rsidR="00192D69" w:rsidRPr="007347C1">
              <w:t xml:space="preserve"> institutions reporting impact through the CAFI</w:t>
            </w:r>
            <w:r w:rsidR="00192D69">
              <w:t xml:space="preserve"> (</w:t>
            </w:r>
            <w:r w:rsidR="00192D69" w:rsidRPr="00C25AD3">
              <w:t>Climate Assessment for Financial Institutions</w:t>
            </w:r>
            <w:r w:rsidR="00192D69">
              <w:t>)</w:t>
            </w:r>
            <w:r w:rsidR="00192D69" w:rsidRPr="00C25AD3">
              <w:t xml:space="preserve"> </w:t>
            </w:r>
            <w:r w:rsidR="00192D69">
              <w:t>tool</w:t>
            </w:r>
            <w:r w:rsidR="00192D69" w:rsidRPr="007347C1">
              <w:t>.</w:t>
            </w:r>
            <w:r w:rsidR="00192D69">
              <w:t xml:space="preserve"> </w:t>
            </w:r>
            <w:r w:rsidR="00192D69" w:rsidRPr="00DB65FD">
              <w:t xml:space="preserve">This funding supports a wide array of financial institutions by providing them with the means to offer loans for </w:t>
            </w:r>
            <w:r w:rsidR="00192D69">
              <w:t xml:space="preserve">green construction </w:t>
            </w:r>
            <w:r w:rsidR="00192D69" w:rsidRPr="00DB65FD">
              <w:t xml:space="preserve">projects, such as </w:t>
            </w:r>
            <w:r w:rsidR="00192D69">
              <w:t>green mortgages or green construction.</w:t>
            </w:r>
          </w:p>
        </w:tc>
      </w:tr>
      <w:tr w:rsidR="009609DE" w:rsidRPr="005B487A" w14:paraId="1D4E7296" w14:textId="77777777" w:rsidTr="7BA05F0F">
        <w:trPr>
          <w:trHeight w:val="654"/>
        </w:trPr>
        <w:tc>
          <w:tcPr>
            <w:tcW w:w="932" w:type="pct"/>
          </w:tcPr>
          <w:p w14:paraId="38CF8BD3" w14:textId="77777777" w:rsidR="009609DE" w:rsidRPr="007347C1" w:rsidRDefault="009609DE">
            <w:pPr>
              <w:pStyle w:val="Tabletext-Small"/>
              <w:rPr>
                <w:rStyle w:val="Boldtext"/>
              </w:rPr>
            </w:pPr>
            <w:r w:rsidRPr="00DC6C79">
              <w:rPr>
                <w:rStyle w:val="Boldtext"/>
              </w:rPr>
              <w:t>Component 2: Country-level Advisory Services</w:t>
            </w:r>
          </w:p>
        </w:tc>
        <w:tc>
          <w:tcPr>
            <w:tcW w:w="4068" w:type="pct"/>
          </w:tcPr>
          <w:p w14:paraId="0D33F519" w14:textId="43A6BF3D" w:rsidR="009609DE" w:rsidRPr="007347C1" w:rsidRDefault="009609DE">
            <w:pPr>
              <w:pStyle w:val="Tabletext-Small"/>
            </w:pPr>
            <w:r>
              <w:t>Up to June 2024</w:t>
            </w:r>
            <w:r w:rsidRPr="00601513">
              <w:t>, EDGE Preliminary</w:t>
            </w:r>
            <w:r w:rsidR="00DB2766">
              <w:t xml:space="preserve"> </w:t>
            </w:r>
            <w:r w:rsidRPr="00601513">
              <w:t>Certification coverage has expanded to 6</w:t>
            </w:r>
            <w:r>
              <w:t xml:space="preserve">5 </w:t>
            </w:r>
            <w:r w:rsidRPr="00601513">
              <w:t>million square meters</w:t>
            </w:r>
            <w:r w:rsidR="00E03230">
              <w:t xml:space="preserve"> </w:t>
            </w:r>
            <w:r>
              <w:t>(</w:t>
            </w:r>
            <w:r w:rsidR="00406565">
              <w:t>m</w:t>
            </w:r>
            <w:r w:rsidR="00406565" w:rsidRPr="0030350A">
              <w:rPr>
                <w:vertAlign w:val="superscript"/>
              </w:rPr>
              <w:t>2</w:t>
            </w:r>
            <w:r>
              <w:t>) in 9 MAGC countries</w:t>
            </w:r>
            <w:r w:rsidRPr="00601513">
              <w:t xml:space="preserve">, a growth </w:t>
            </w:r>
            <w:r w:rsidRPr="007347C1">
              <w:t xml:space="preserve">which </w:t>
            </w:r>
            <w:r>
              <w:t xml:space="preserve">greatly exceeds the </w:t>
            </w:r>
            <w:r w:rsidR="17932615">
              <w:t xml:space="preserve">FY24 </w:t>
            </w:r>
            <w:r>
              <w:t xml:space="preserve">target of 51 million </w:t>
            </w:r>
            <w:r w:rsidR="00406565">
              <w:t>m</w:t>
            </w:r>
            <w:r w:rsidR="00406565" w:rsidRPr="0030350A">
              <w:rPr>
                <w:vertAlign w:val="superscript"/>
              </w:rPr>
              <w:t>2</w:t>
            </w:r>
            <w:r w:rsidRPr="007347C1">
              <w:t xml:space="preserve">. Colombia, India, and Mexico are key contributors, representing </w:t>
            </w:r>
            <w:r>
              <w:t>57</w:t>
            </w:r>
            <w:r w:rsidRPr="007347C1">
              <w:t xml:space="preserve">% of the </w:t>
            </w:r>
            <w:r>
              <w:t>gross floor areas (</w:t>
            </w:r>
            <w:r w:rsidR="00406565">
              <w:t>m</w:t>
            </w:r>
            <w:r w:rsidR="00406565" w:rsidRPr="0030350A">
              <w:rPr>
                <w:vertAlign w:val="superscript"/>
              </w:rPr>
              <w:t>2</w:t>
            </w:r>
            <w:r>
              <w:t>) certified</w:t>
            </w:r>
            <w:r w:rsidRPr="007347C1">
              <w:t xml:space="preserve">. </w:t>
            </w:r>
            <w:r>
              <w:t xml:space="preserve">In total </w:t>
            </w:r>
            <w:r w:rsidRPr="007347C1">
              <w:t>EDGE Advanced</w:t>
            </w:r>
            <w:r>
              <w:t xml:space="preserve"> </w:t>
            </w:r>
            <w:r w:rsidRPr="007347C1">
              <w:t>certifications</w:t>
            </w:r>
            <w:r w:rsidR="00E03230">
              <w:rPr>
                <w:rStyle w:val="FootnoteReference"/>
              </w:rPr>
              <w:footnoteReference w:id="23"/>
            </w:r>
            <w:r w:rsidRPr="007347C1">
              <w:t xml:space="preserve"> have </w:t>
            </w:r>
            <w:r w:rsidR="005E3C53" w:rsidRPr="005E3C53">
              <w:t>achieved a result of 10 million</w:t>
            </w:r>
            <w:r w:rsidR="005E3C53">
              <w:t xml:space="preserve"> </w:t>
            </w:r>
            <w:r w:rsidR="00786630">
              <w:t>(</w:t>
            </w:r>
            <w:r w:rsidR="005E3C53">
              <w:t>m</w:t>
            </w:r>
            <w:r w:rsidR="005E3C53" w:rsidRPr="006704AB">
              <w:rPr>
                <w:vertAlign w:val="superscript"/>
              </w:rPr>
              <w:t>2</w:t>
            </w:r>
            <w:r w:rsidR="00786630">
              <w:t>)</w:t>
            </w:r>
            <w:r w:rsidR="005E3C53">
              <w:t xml:space="preserve"> in MAGC countries</w:t>
            </w:r>
            <w:r w:rsidR="005E3C53" w:rsidRPr="005E3C53">
              <w:t>, exceeding FY24 target of 6.5 million</w:t>
            </w:r>
            <w:r w:rsidRPr="007347C1">
              <w:t xml:space="preserve">, with </w:t>
            </w:r>
            <w:r w:rsidR="005E3C53">
              <w:t>Colombia</w:t>
            </w:r>
            <w:r w:rsidRPr="007347C1">
              <w:t xml:space="preserve">, South Africa, and Mexico being major players. </w:t>
            </w:r>
            <w:r>
              <w:t>Floor space certified with EDGE Advanced in FY24 has achieved an increase of 26% from 3.8 million (</w:t>
            </w:r>
            <w:r w:rsidR="00406565">
              <w:t>m</w:t>
            </w:r>
            <w:r w:rsidR="00406565" w:rsidRPr="0030350A">
              <w:rPr>
                <w:vertAlign w:val="superscript"/>
              </w:rPr>
              <w:t>2</w:t>
            </w:r>
            <w:r>
              <w:t>) in FY23 to 4.8 million (</w:t>
            </w:r>
            <w:r w:rsidR="00406565">
              <w:t>m</w:t>
            </w:r>
            <w:r w:rsidR="00406565" w:rsidRPr="0030350A">
              <w:rPr>
                <w:vertAlign w:val="superscript"/>
              </w:rPr>
              <w:t>2</w:t>
            </w:r>
            <w:r>
              <w:t xml:space="preserve">) in FY24. </w:t>
            </w:r>
            <w:r w:rsidRPr="007347C1">
              <w:t xml:space="preserve">MAGC also maintains 11 active market-level engagements and has initiated new ones, including EDGE self-build and APEX </w:t>
            </w:r>
            <w:r>
              <w:t xml:space="preserve">(Advanced Practices for Environmental Excellence) </w:t>
            </w:r>
            <w:r w:rsidRPr="007347C1">
              <w:t xml:space="preserve">modules in FY24. </w:t>
            </w:r>
          </w:p>
        </w:tc>
      </w:tr>
      <w:tr w:rsidR="009609DE" w:rsidRPr="005B487A" w14:paraId="7AFA22C1" w14:textId="77777777" w:rsidTr="7BA05F0F">
        <w:trPr>
          <w:trHeight w:val="654"/>
        </w:trPr>
        <w:tc>
          <w:tcPr>
            <w:tcW w:w="932" w:type="pct"/>
          </w:tcPr>
          <w:p w14:paraId="658EA84D" w14:textId="77777777" w:rsidR="009609DE" w:rsidRPr="007347C1" w:rsidRDefault="009609DE">
            <w:pPr>
              <w:pStyle w:val="Tabletext-Small"/>
              <w:rPr>
                <w:rStyle w:val="Boldtext"/>
              </w:rPr>
            </w:pPr>
            <w:r w:rsidRPr="00DC6C79">
              <w:rPr>
                <w:rStyle w:val="Boldtext"/>
              </w:rPr>
              <w:t>Component 3: EDGE certification platform maintenance, operations, and improvement</w:t>
            </w:r>
          </w:p>
        </w:tc>
        <w:tc>
          <w:tcPr>
            <w:tcW w:w="4068" w:type="pct"/>
          </w:tcPr>
          <w:p w14:paraId="5EEF9E52" w14:textId="7B3EE4FB" w:rsidR="000E79E3" w:rsidRDefault="00C05555" w:rsidP="00C05555">
            <w:pPr>
              <w:pStyle w:val="Tabletext-Small"/>
            </w:pPr>
            <w:r>
              <w:t xml:space="preserve">Up to 2024, the EDGE Certification Platform has undergone significant developments to enhance its global utility and commitment to sustainability in the building sector. </w:t>
            </w:r>
            <w:r w:rsidR="000E79E3">
              <w:t>Initially m</w:t>
            </w:r>
            <w:r>
              <w:t xml:space="preserve">anaged by </w:t>
            </w:r>
            <w:r w:rsidR="006D776D">
              <w:t>IFC’s Climate Business Department (CBD)</w:t>
            </w:r>
            <w:r>
              <w:t>, the platform provide</w:t>
            </w:r>
            <w:r w:rsidR="000E79E3">
              <w:t>s</w:t>
            </w:r>
            <w:r>
              <w:t xml:space="preserve"> a suite of free tools, including design software and user guides, and an efficient approvals system to ease the certification process. </w:t>
            </w:r>
          </w:p>
          <w:p w14:paraId="2CDB7A93" w14:textId="52E71BB6" w:rsidR="009609DE" w:rsidRPr="007347C1" w:rsidRDefault="00C05555">
            <w:pPr>
              <w:pStyle w:val="Tabletext-Small"/>
            </w:pPr>
            <w:r>
              <w:t>The platform's growth continues, adapting to dynamic green building standards. It now offers an online Zero Carbon certification, a retrofit option, translations in six languages, and an app feature for Embodied Carbon reporting. The software's backend stability has been enhanced, and the development of EDGE 4.0 is focused on architectural design and technological modernization for improved functionality and efficiency.</w:t>
            </w:r>
          </w:p>
        </w:tc>
      </w:tr>
      <w:tr w:rsidR="009609DE" w:rsidRPr="005B487A" w14:paraId="03A37EF3" w14:textId="77777777" w:rsidTr="7BA05F0F">
        <w:trPr>
          <w:trHeight w:val="654"/>
        </w:trPr>
        <w:tc>
          <w:tcPr>
            <w:tcW w:w="932" w:type="pct"/>
          </w:tcPr>
          <w:p w14:paraId="69143FA5" w14:textId="77777777" w:rsidR="009609DE" w:rsidRPr="007347C1" w:rsidRDefault="009609DE">
            <w:pPr>
              <w:pStyle w:val="Tabletext-Small"/>
              <w:rPr>
                <w:rStyle w:val="Boldtext"/>
              </w:rPr>
            </w:pPr>
            <w:r w:rsidRPr="00DC6C79">
              <w:rPr>
                <w:rStyle w:val="Boldtext"/>
              </w:rPr>
              <w:t xml:space="preserve">Component 4: </w:t>
            </w:r>
            <w:r w:rsidRPr="007347C1">
              <w:rPr>
                <w:rStyle w:val="Boldtext"/>
              </w:rPr>
              <w:t>Research and Evidence</w:t>
            </w:r>
          </w:p>
        </w:tc>
        <w:tc>
          <w:tcPr>
            <w:tcW w:w="4068" w:type="pct"/>
          </w:tcPr>
          <w:p w14:paraId="48DA8EC2" w14:textId="68B70556" w:rsidR="009609DE" w:rsidRPr="007347C1" w:rsidRDefault="009609DE">
            <w:pPr>
              <w:pStyle w:val="Tabletext-Small"/>
            </w:pPr>
            <w:r w:rsidRPr="00864AF6">
              <w:t xml:space="preserve">Component 4's progress to date has been </w:t>
            </w:r>
            <w:r w:rsidRPr="007347C1">
              <w:t>advancing market-level research and evidence gathering for green construction</w:t>
            </w:r>
            <w:r w:rsidR="000E79E3">
              <w:t xml:space="preserve"> stakeholders</w:t>
            </w:r>
            <w:r w:rsidR="00A47F44">
              <w:t>.</w:t>
            </w:r>
            <w:r w:rsidRPr="007347C1">
              <w:t xml:space="preserve"> </w:t>
            </w:r>
            <w:r w:rsidR="00A47F44">
              <w:t>It</w:t>
            </w:r>
            <w:r w:rsidR="000E79E3">
              <w:t xml:space="preserve"> has</w:t>
            </w:r>
            <w:r w:rsidRPr="007347C1">
              <w:t xml:space="preserve"> </w:t>
            </w:r>
            <w:r w:rsidR="006D776D">
              <w:t xml:space="preserve">carried out a pilot of a Smart Metering Study in one out of three planned countries, </w:t>
            </w:r>
            <w:r>
              <w:t>to</w:t>
            </w:r>
            <w:r w:rsidRPr="007347C1">
              <w:t xml:space="preserve"> evaluat</w:t>
            </w:r>
            <w:r>
              <w:t xml:space="preserve">e </w:t>
            </w:r>
            <w:r w:rsidRPr="007347C1">
              <w:t xml:space="preserve">the impact of EDGE certifications. The aim has been to enhance the understanding of green construction </w:t>
            </w:r>
            <w:r>
              <w:t xml:space="preserve">through </w:t>
            </w:r>
            <w:r w:rsidR="00267C4A">
              <w:t xml:space="preserve">data gathering and </w:t>
            </w:r>
            <w:r>
              <w:t>knowledge dissemination</w:t>
            </w:r>
            <w:r w:rsidR="00A47F44">
              <w:t>.</w:t>
            </w:r>
            <w:r>
              <w:t xml:space="preserve"> 2,373</w:t>
            </w:r>
            <w:r w:rsidRPr="007347C1">
              <w:t xml:space="preserve"> stakeholders engag</w:t>
            </w:r>
            <w:r w:rsidR="00A47F44">
              <w:t>ed</w:t>
            </w:r>
            <w:r w:rsidRPr="007347C1">
              <w:t xml:space="preserve"> with MAGC research outputs</w:t>
            </w:r>
            <w:r>
              <w:t xml:space="preserve"> (</w:t>
            </w:r>
            <w:r w:rsidR="00E03230">
              <w:t>i.e.</w:t>
            </w:r>
            <w:r w:rsidR="00A53209">
              <w:t>,</w:t>
            </w:r>
            <w:r w:rsidR="00E03230">
              <w:t xml:space="preserve"> </w:t>
            </w:r>
            <w:r>
              <w:t>download</w:t>
            </w:r>
            <w:r w:rsidR="00E03230">
              <w:t>ed them</w:t>
            </w:r>
            <w:r>
              <w:t>, access</w:t>
            </w:r>
            <w:r w:rsidR="00E03230">
              <w:t>ed the</w:t>
            </w:r>
            <w:r>
              <w:t xml:space="preserve"> link, </w:t>
            </w:r>
            <w:r w:rsidR="00A47F44">
              <w:t>interacted with</w:t>
            </w:r>
            <w:r w:rsidR="00E03230">
              <w:t xml:space="preserve"> them via</w:t>
            </w:r>
            <w:r>
              <w:t xml:space="preserve"> social media)</w:t>
            </w:r>
            <w:r w:rsidRPr="007347C1">
              <w:t xml:space="preserve">, and </w:t>
            </w:r>
            <w:r>
              <w:t>598</w:t>
            </w:r>
            <w:r w:rsidRPr="007347C1">
              <w:t xml:space="preserve"> stakeholders participated in research events by </w:t>
            </w:r>
            <w:r>
              <w:t>June 2024</w:t>
            </w:r>
            <w:r w:rsidRPr="007347C1">
              <w:t xml:space="preserve">. Moreover, </w:t>
            </w:r>
            <w:r>
              <w:t>11</w:t>
            </w:r>
            <w:r w:rsidRPr="007347C1">
              <w:t xml:space="preserve"> new green building initiatives</w:t>
            </w:r>
            <w:r w:rsidR="0CEE7881">
              <w:t>,</w:t>
            </w:r>
            <w:r w:rsidRPr="007347C1">
              <w:t xml:space="preserve"> inspired by MAGC research</w:t>
            </w:r>
            <w:r w:rsidR="3779D68C">
              <w:t>,</w:t>
            </w:r>
            <w:r w:rsidRPr="007347C1">
              <w:t xml:space="preserve"> </w:t>
            </w:r>
            <w:r w:rsidR="00E03230">
              <w:t>were</w:t>
            </w:r>
            <w:r w:rsidRPr="007347C1">
              <w:t xml:space="preserve"> launched, surpassing the set target for FY 202</w:t>
            </w:r>
            <w:r>
              <w:t>4 of 8</w:t>
            </w:r>
            <w:r w:rsidRPr="007347C1">
              <w:t>.</w:t>
            </w:r>
            <w:r>
              <w:t xml:space="preserve"> Finally, this has led to the publication of 2 core reports with the remaining 5 reports expected during the FY26 and FY27.</w:t>
            </w:r>
          </w:p>
        </w:tc>
      </w:tr>
    </w:tbl>
    <w:p w14:paraId="3249D4EB" w14:textId="689BAA45" w:rsidR="009609DE" w:rsidRDefault="009609DE" w:rsidP="009609DE">
      <w:pPr>
        <w:pStyle w:val="CommentText"/>
      </w:pPr>
      <w:r>
        <w:t xml:space="preserve">Source: IFC annual report FY24 and IFC/DESNZ Annual meeting report </w:t>
      </w:r>
    </w:p>
    <w:p w14:paraId="6316D7A6" w14:textId="77777777" w:rsidR="006D776D" w:rsidRDefault="006D776D" w:rsidP="009609DE">
      <w:pPr>
        <w:pStyle w:val="CommentText"/>
      </w:pPr>
    </w:p>
    <w:p w14:paraId="60BAD852" w14:textId="0B5E971D" w:rsidR="008C1C8D" w:rsidRPr="008C1C8D" w:rsidRDefault="008C1C8D" w:rsidP="00C05266">
      <w:pPr>
        <w:pStyle w:val="Heading1"/>
      </w:pPr>
      <w:bookmarkStart w:id="20" w:name="_Toc189155214"/>
      <w:r w:rsidRPr="008C1C8D">
        <w:t>4 MAGC Theory of Change</w:t>
      </w:r>
      <w:bookmarkEnd w:id="20"/>
    </w:p>
    <w:p w14:paraId="218E592E" w14:textId="77777777" w:rsidR="006D776D" w:rsidRDefault="006D776D" w:rsidP="006D776D">
      <w:r>
        <w:t>This section introduces a summary of the programme’s Theory of Change, and the full description</w:t>
      </w:r>
      <w:r w:rsidRPr="0000354F">
        <w:t xml:space="preserve"> </w:t>
      </w:r>
      <w:r>
        <w:t>can be found in Annex 1 of the technical annex.</w:t>
      </w:r>
      <w:r>
        <w:rPr>
          <w:rStyle w:val="FootnoteReference"/>
        </w:rPr>
        <w:footnoteReference w:id="24"/>
      </w:r>
      <w:r>
        <w:t xml:space="preserve"> </w:t>
      </w:r>
      <w:bookmarkStart w:id="21" w:name="_Hlk188546507"/>
    </w:p>
    <w:p w14:paraId="6CFFED1C" w14:textId="01027126" w:rsidR="006D776D" w:rsidRDefault="006D776D" w:rsidP="006D776D">
      <w:r w:rsidRPr="009E151D">
        <w:t xml:space="preserve">The MAGC Theory of Change </w:t>
      </w:r>
      <w:r>
        <w:t xml:space="preserve">was </w:t>
      </w:r>
      <w:r w:rsidR="00B26623">
        <w:t xml:space="preserve">initially </w:t>
      </w:r>
      <w:r w:rsidRPr="009E151D">
        <w:t>developed by the IFC and DESNZ teams</w:t>
      </w:r>
      <w:r>
        <w:t xml:space="preserve"> in 2017</w:t>
      </w:r>
      <w:r w:rsidRPr="009E151D">
        <w:t xml:space="preserve">, building on the Theory of Change of </w:t>
      </w:r>
      <w:r>
        <w:t xml:space="preserve">IFC’s </w:t>
      </w:r>
      <w:r w:rsidRPr="009E151D">
        <w:t xml:space="preserve">Green Building Market Transformation Program. A narrative accompanying the </w:t>
      </w:r>
      <w:r>
        <w:t>Theory of Change</w:t>
      </w:r>
      <w:r w:rsidRPr="009E151D">
        <w:t xml:space="preserve"> </w:t>
      </w:r>
      <w:r>
        <w:t>was also</w:t>
      </w:r>
      <w:r w:rsidRPr="009E151D">
        <w:t xml:space="preserve"> developed in the business case</w:t>
      </w:r>
      <w:r w:rsidR="00A707BF">
        <w:t>,</w:t>
      </w:r>
      <w:r>
        <w:rPr>
          <w:rStyle w:val="FootnoteReference"/>
        </w:rPr>
        <w:footnoteReference w:id="25"/>
      </w:r>
      <w:r w:rsidRPr="009E151D">
        <w:t xml:space="preserve"> setting out the major barriers to change, evidence underpinning the Theory of Change, and key mechanisms to the intended impact of the programme. </w:t>
      </w:r>
    </w:p>
    <w:p w14:paraId="5E01158B" w14:textId="10157D25" w:rsidR="006A37BD" w:rsidRDefault="006D776D" w:rsidP="001C6F7A">
      <w:r>
        <w:t xml:space="preserve">As part of the evaluation, the team has conducted a review of the Theory of Change at </w:t>
      </w:r>
      <w:r w:rsidRPr="006A37BD">
        <w:t>several</w:t>
      </w:r>
      <w:r>
        <w:t xml:space="preserve"> stages: </w:t>
      </w:r>
    </w:p>
    <w:p w14:paraId="1E74D137" w14:textId="67ED4B60" w:rsidR="006A37BD" w:rsidRDefault="006A37BD" w:rsidP="001C6F7A">
      <w:pPr>
        <w:pStyle w:val="DESNZbulletedlist"/>
      </w:pPr>
      <w:r>
        <w:t>D</w:t>
      </w:r>
      <w:r w:rsidR="006D776D" w:rsidRPr="006A37BD">
        <w:t xml:space="preserve">uring the scoping phase in 2023, to build the evaluation team’s understanding of the ToC and refine a narrative, included in technical annex 1; </w:t>
      </w:r>
    </w:p>
    <w:p w14:paraId="065C54BD" w14:textId="423018C7" w:rsidR="006A37BD" w:rsidRDefault="006A37BD" w:rsidP="001C6F7A">
      <w:pPr>
        <w:pStyle w:val="DESNZbulletedlist"/>
      </w:pPr>
      <w:r>
        <w:t>A</w:t>
      </w:r>
      <w:r w:rsidR="006D776D" w:rsidRPr="006A37BD">
        <w:t xml:space="preserve">t the process evaluation stage in 2023/2024, conducting a workshop with the DESNZ and IFC team to review the ToC and assess whether it was still valid and representing the programme correctly (included in the process evaluation report). The process evaluation found that the main mechanisms and causal pathways of MAGC’s ToC were valid, but suggested a revision of the ToC diagram to improve its accuracy and completeness; </w:t>
      </w:r>
    </w:p>
    <w:p w14:paraId="3FE0F6E7" w14:textId="4A335047" w:rsidR="0068299F" w:rsidRDefault="006A37BD" w:rsidP="00926D0A">
      <w:pPr>
        <w:pStyle w:val="DESNZbulletedlist"/>
      </w:pPr>
      <w:r>
        <w:t>A</w:t>
      </w:r>
      <w:r w:rsidR="006D776D" w:rsidRPr="006A37BD">
        <w:t xml:space="preserve">t the early outcome evaluation stage in 2024, the evaluation team </w:t>
      </w:r>
      <w:r w:rsidR="00B26623" w:rsidRPr="006A37BD">
        <w:t>revised</w:t>
      </w:r>
      <w:r w:rsidR="006D776D" w:rsidRPr="006A37BD">
        <w:t xml:space="preserve"> the ToC diagram in collaboration with the DESNZ and IFC teams considering the evaluation evidence. </w:t>
      </w:r>
      <w:bookmarkEnd w:id="21"/>
      <w:r w:rsidR="006D776D" w:rsidRPr="006A37BD">
        <w:t xml:space="preserve">Figure 4.1 represents </w:t>
      </w:r>
      <w:r w:rsidR="00B26623" w:rsidRPr="006A37BD">
        <w:t>the updated</w:t>
      </w:r>
      <w:r w:rsidR="006D776D" w:rsidRPr="006A37BD">
        <w:t xml:space="preserve"> Theory of Change diagram of MAGC, and a short narrative is included below.</w:t>
      </w:r>
    </w:p>
    <w:p w14:paraId="601CE38C" w14:textId="77777777" w:rsidR="006A37BD" w:rsidRDefault="006A37BD" w:rsidP="00243DC8">
      <w:pPr>
        <w:spacing w:after="120"/>
        <w:rPr>
          <w:rStyle w:val="Boldtext"/>
        </w:rPr>
      </w:pPr>
    </w:p>
    <w:p w14:paraId="40C4ACEF" w14:textId="77777777" w:rsidR="006A37BD" w:rsidRDefault="006A37BD">
      <w:pPr>
        <w:spacing w:after="160" w:line="259" w:lineRule="auto"/>
        <w:rPr>
          <w:rStyle w:val="Boldtext"/>
        </w:rPr>
      </w:pPr>
      <w:r>
        <w:rPr>
          <w:rStyle w:val="Boldtext"/>
        </w:rPr>
        <w:br w:type="page"/>
      </w:r>
    </w:p>
    <w:p w14:paraId="346CE45E" w14:textId="06A34618" w:rsidR="0068299F" w:rsidRPr="008369CB" w:rsidRDefault="0068299F" w:rsidP="00243DC8">
      <w:pPr>
        <w:spacing w:after="120"/>
        <w:rPr>
          <w:rStyle w:val="Boldtext"/>
        </w:rPr>
      </w:pPr>
      <w:r w:rsidRPr="008369CB">
        <w:rPr>
          <w:rStyle w:val="Boldtext"/>
        </w:rPr>
        <w:t xml:space="preserve">Figure </w:t>
      </w:r>
      <w:r>
        <w:rPr>
          <w:rStyle w:val="Boldtext"/>
        </w:rPr>
        <w:t>4</w:t>
      </w:r>
      <w:r w:rsidRPr="008369CB">
        <w:rPr>
          <w:rStyle w:val="Boldtext"/>
        </w:rPr>
        <w:t>.1 MAGC Theory of Change</w:t>
      </w:r>
    </w:p>
    <w:p w14:paraId="5081CBEE" w14:textId="2E0ACDAC" w:rsidR="0068299F" w:rsidRDefault="00B26623" w:rsidP="00526795">
      <w:pPr>
        <w:spacing w:after="120"/>
      </w:pPr>
      <w:r>
        <w:rPr>
          <w:noProof/>
        </w:rPr>
        <w:drawing>
          <wp:inline distT="0" distB="0" distL="0" distR="0" wp14:anchorId="77D6134D" wp14:editId="70984377">
            <wp:extent cx="6464300" cy="3839265"/>
            <wp:effectExtent l="0" t="0" r="0" b="8890"/>
            <wp:docPr id="202398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94761" cy="3857356"/>
                    </a:xfrm>
                    <a:prstGeom prst="rect">
                      <a:avLst/>
                    </a:prstGeom>
                    <a:noFill/>
                  </pic:spPr>
                </pic:pic>
              </a:graphicData>
            </a:graphic>
          </wp:inline>
        </w:drawing>
      </w:r>
    </w:p>
    <w:p w14:paraId="6DFA49AA" w14:textId="77777777" w:rsidR="00B26623" w:rsidRDefault="00B26623" w:rsidP="00526795">
      <w:pPr>
        <w:spacing w:after="120"/>
      </w:pPr>
    </w:p>
    <w:p w14:paraId="1DEE3F91" w14:textId="13D4EE12" w:rsidR="0068299F" w:rsidRDefault="00620E2E" w:rsidP="0068299F">
      <w:r>
        <w:t>MAGC</w:t>
      </w:r>
      <w:r w:rsidR="0068299F" w:rsidRPr="009E151D">
        <w:t xml:space="preserve"> aims to achieve </w:t>
      </w:r>
      <w:r w:rsidR="0068299F" w:rsidRPr="009E151D">
        <w:rPr>
          <w:rStyle w:val="Boldtext"/>
        </w:rPr>
        <w:t>transformational change</w:t>
      </w:r>
      <w:r w:rsidR="0068299F" w:rsidRPr="009E151D">
        <w:t>, defined by DESNZ ICF as ‘change that catalyses further changes’</w:t>
      </w:r>
      <w:r w:rsidR="00851033">
        <w:t>.</w:t>
      </w:r>
      <w:r w:rsidR="00851033" w:rsidRPr="009E151D">
        <w:t xml:space="preserve"> </w:t>
      </w:r>
      <w:r w:rsidR="00216B2A">
        <w:t>A transformational change</w:t>
      </w:r>
      <w:r w:rsidR="0068299F" w:rsidRPr="009E151D">
        <w:t xml:space="preserve"> </w:t>
      </w:r>
      <w:r w:rsidR="0068299F" w:rsidRPr="009E151D">
        <w:rPr>
          <w:rStyle w:val="Boldtext"/>
        </w:rPr>
        <w:t>shift</w:t>
      </w:r>
      <w:r w:rsidR="00216B2A">
        <w:rPr>
          <w:rStyle w:val="Boldtext"/>
        </w:rPr>
        <w:t>s</w:t>
      </w:r>
      <w:r w:rsidR="0068299F" w:rsidRPr="009E151D">
        <w:rPr>
          <w:rStyle w:val="Boldtext"/>
        </w:rPr>
        <w:t xml:space="preserve"> from one state to another</w:t>
      </w:r>
      <w:r w:rsidR="0068299F" w:rsidRPr="009E151D">
        <w:t xml:space="preserve"> (e.g., from conventional to lower carbon or more climate-resilient patterns of development)</w:t>
      </w:r>
      <w:r w:rsidR="00216B2A">
        <w:t>.</w:t>
      </w:r>
      <w:r w:rsidR="0068299F" w:rsidRPr="009E151D">
        <w:t xml:space="preserve"> </w:t>
      </w:r>
      <w:r w:rsidR="00216B2A">
        <w:t>They can also bring about a</w:t>
      </w:r>
      <w:r w:rsidR="00216B2A" w:rsidRPr="009E151D">
        <w:t xml:space="preserve"> </w:t>
      </w:r>
      <w:r w:rsidR="0068299F" w:rsidRPr="009E151D">
        <w:t>faster change (e.g., speeding up progress on cutting the rate of deforestation).</w:t>
      </w:r>
      <w:r w:rsidR="0068299F">
        <w:rPr>
          <w:rStyle w:val="FootnoteReference"/>
        </w:rPr>
        <w:footnoteReference w:id="26"/>
      </w:r>
      <w:r w:rsidR="0068299F" w:rsidRPr="009E151D">
        <w:t xml:space="preserve"> </w:t>
      </w:r>
      <w:r w:rsidR="0068299F">
        <w:t>T</w:t>
      </w:r>
      <w:r w:rsidR="0068299F" w:rsidRPr="009E151D">
        <w:t xml:space="preserve">he type of transformational change anticipated in the programme is a </w:t>
      </w:r>
      <w:r w:rsidR="0068299F" w:rsidRPr="009E151D">
        <w:rPr>
          <w:rStyle w:val="Boldtext"/>
        </w:rPr>
        <w:t xml:space="preserve">shift from </w:t>
      </w:r>
      <w:r w:rsidR="0068299F" w:rsidRPr="00E15614">
        <w:rPr>
          <w:rStyle w:val="Boldtext"/>
        </w:rPr>
        <w:t>a state</w:t>
      </w:r>
      <w:r w:rsidR="0068299F" w:rsidRPr="00A37CD2">
        <w:rPr>
          <w:b/>
        </w:rPr>
        <w:t xml:space="preserve"> in which countries </w:t>
      </w:r>
      <w:r w:rsidR="00516D2D" w:rsidRPr="00A37CD2">
        <w:rPr>
          <w:b/>
        </w:rPr>
        <w:t>construct new building</w:t>
      </w:r>
      <w:r w:rsidR="008D0ECB" w:rsidRPr="00A37CD2">
        <w:rPr>
          <w:b/>
        </w:rPr>
        <w:t>s</w:t>
      </w:r>
      <w:r w:rsidR="00516D2D" w:rsidRPr="00A37CD2">
        <w:rPr>
          <w:b/>
        </w:rPr>
        <w:t xml:space="preserve"> using non-green practices</w:t>
      </w:r>
      <w:r w:rsidR="0068299F" w:rsidRPr="00A37CD2">
        <w:rPr>
          <w:b/>
        </w:rPr>
        <w:t xml:space="preserve"> to </w:t>
      </w:r>
      <w:r w:rsidR="00B22C02" w:rsidRPr="00A37CD2">
        <w:rPr>
          <w:b/>
        </w:rPr>
        <w:t xml:space="preserve">where </w:t>
      </w:r>
      <w:r w:rsidR="00516D2D" w:rsidRPr="00A37CD2">
        <w:rPr>
          <w:b/>
        </w:rPr>
        <w:t xml:space="preserve">most or many new buildings constructed in target countries are done using green construction practices and resulting in a </w:t>
      </w:r>
      <w:r w:rsidR="0068299F" w:rsidRPr="00A37CD2">
        <w:rPr>
          <w:b/>
        </w:rPr>
        <w:t>green</w:t>
      </w:r>
      <w:r w:rsidR="00516D2D" w:rsidRPr="00A37CD2">
        <w:rPr>
          <w:b/>
        </w:rPr>
        <w:t>er</w:t>
      </w:r>
      <w:r w:rsidR="0068299F" w:rsidRPr="00A37CD2">
        <w:rPr>
          <w:b/>
        </w:rPr>
        <w:t xml:space="preserve"> building</w:t>
      </w:r>
      <w:r w:rsidR="007C6E3C" w:rsidRPr="00A37CD2">
        <w:rPr>
          <w:b/>
        </w:rPr>
        <w:t>s</w:t>
      </w:r>
      <w:r w:rsidR="00516D2D" w:rsidRPr="00A37CD2">
        <w:rPr>
          <w:b/>
        </w:rPr>
        <w:t xml:space="preserve"> </w:t>
      </w:r>
      <w:r w:rsidR="00516D2D">
        <w:t>(thus generating</w:t>
      </w:r>
      <w:r w:rsidR="0068299F" w:rsidRPr="009E151D">
        <w:t xml:space="preserve"> energy and emissions savings</w:t>
      </w:r>
      <w:r w:rsidR="00516D2D">
        <w:t>)</w:t>
      </w:r>
      <w:r w:rsidR="0068299F" w:rsidRPr="009E151D">
        <w:t xml:space="preserve">. </w:t>
      </w:r>
    </w:p>
    <w:p w14:paraId="580962AF" w14:textId="6ABDE2D5" w:rsidR="0068299F" w:rsidRDefault="0068299F" w:rsidP="0068299F">
      <w:r w:rsidRPr="003F3969">
        <w:t xml:space="preserve">The Theory of Change outlines how </w:t>
      </w:r>
      <w:r>
        <w:t>the programme</w:t>
      </w:r>
      <w:r w:rsidRPr="003F3969">
        <w:t xml:space="preserve"> activities are expected to lead to increase</w:t>
      </w:r>
      <w:r w:rsidR="00F01F11">
        <w:t>s in</w:t>
      </w:r>
      <w:r w:rsidRPr="003F3969">
        <w:t xml:space="preserve"> green building construction.</w:t>
      </w:r>
      <w:r>
        <w:t xml:space="preserve"> Activities under the four components of the programme (investment and advisory, capacity building, EDGE certification, and research and evidence) </w:t>
      </w:r>
      <w:r w:rsidR="00F01F11">
        <w:t xml:space="preserve">are </w:t>
      </w:r>
      <w:r>
        <w:t>intend</w:t>
      </w:r>
      <w:r w:rsidR="00F01F11">
        <w:t>ed</w:t>
      </w:r>
      <w:r>
        <w:t xml:space="preserve"> to work together to create a </w:t>
      </w:r>
      <w:r w:rsidRPr="006A0317">
        <w:rPr>
          <w:rStyle w:val="Boldtext"/>
        </w:rPr>
        <w:t>market where green buildings are valued and widely adopted</w:t>
      </w:r>
      <w:r w:rsidR="00FB2926">
        <w:t>.</w:t>
      </w:r>
      <w:r w:rsidR="009B5463">
        <w:t xml:space="preserve"> </w:t>
      </w:r>
      <w:r w:rsidR="00FB2926">
        <w:t>The market is</w:t>
      </w:r>
      <w:r>
        <w:t xml:space="preserve"> </w:t>
      </w:r>
      <w:r w:rsidRPr="006A0317">
        <w:rPr>
          <w:rStyle w:val="Boldtext"/>
        </w:rPr>
        <w:t>supported by readily available financing and robust policies</w:t>
      </w:r>
      <w:r>
        <w:t xml:space="preserve">. This is expected to be achieved through: </w:t>
      </w:r>
    </w:p>
    <w:p w14:paraId="7B1BB893" w14:textId="43D2B832" w:rsidR="0068299F" w:rsidRDefault="009B6AD7" w:rsidP="0068299F">
      <w:pPr>
        <w:pStyle w:val="DESNZbulletedlist"/>
      </w:pPr>
      <w:r>
        <w:t>F</w:t>
      </w:r>
      <w:r w:rsidR="0068299F">
        <w:t xml:space="preserve">inancial support and guidance to financial institutions to catalyse investments </w:t>
      </w:r>
      <w:r>
        <w:t xml:space="preserve">in </w:t>
      </w:r>
      <w:r w:rsidR="0068299F">
        <w:t>green building projects</w:t>
      </w:r>
      <w:r w:rsidR="00FB2926">
        <w:t>.</w:t>
      </w:r>
    </w:p>
    <w:p w14:paraId="7184D9E8" w14:textId="226F0EE7" w:rsidR="0068299F" w:rsidRDefault="0068299F" w:rsidP="0068299F">
      <w:pPr>
        <w:pStyle w:val="DESNZbulletedlist"/>
      </w:pPr>
      <w:r>
        <w:t>Awareness raising on the commercial case for green buildings and technical assistance to the private and public sector, to strengthen capacity of the sector and improve the enabling environment</w:t>
      </w:r>
      <w:r w:rsidR="00FB2926">
        <w:t>.</w:t>
      </w:r>
    </w:p>
    <w:p w14:paraId="10A898E3" w14:textId="11B3EB5C" w:rsidR="0068299F" w:rsidRDefault="003D2AAC" w:rsidP="0068299F">
      <w:pPr>
        <w:pStyle w:val="DESNZbulletedlist"/>
      </w:pPr>
      <w:r>
        <w:t>The EDGE</w:t>
      </w:r>
      <w:r w:rsidR="0068299F">
        <w:t xml:space="preserve"> certification tool</w:t>
      </w:r>
      <w:r>
        <w:t xml:space="preserve"> which</w:t>
      </w:r>
      <w:r w:rsidR="0068299F">
        <w:t xml:space="preserve"> </w:t>
      </w:r>
      <w:r>
        <w:t xml:space="preserve">supports the </w:t>
      </w:r>
      <w:r w:rsidR="0068299F">
        <w:t xml:space="preserve">design and </w:t>
      </w:r>
      <w:r>
        <w:t xml:space="preserve">construction of </w:t>
      </w:r>
      <w:r w:rsidR="0068299F">
        <w:t>green buildings</w:t>
      </w:r>
      <w:r w:rsidR="00FB2926">
        <w:t>.</w:t>
      </w:r>
    </w:p>
    <w:p w14:paraId="2EFDFCD4" w14:textId="54DA3EF4" w:rsidR="0068299F" w:rsidRDefault="003D2AAC" w:rsidP="0068299F">
      <w:pPr>
        <w:pStyle w:val="DESNZbulletedlist"/>
      </w:pPr>
      <w:r>
        <w:t>E</w:t>
      </w:r>
      <w:r w:rsidR="0068299F">
        <w:t>vidence to present and demonstrate the</w:t>
      </w:r>
      <w:r w:rsidR="0040402A">
        <w:t xml:space="preserve"> </w:t>
      </w:r>
      <w:r w:rsidR="00F802EC">
        <w:t xml:space="preserve">current </w:t>
      </w:r>
      <w:r w:rsidR="0040402A">
        <w:t xml:space="preserve">state of the market </w:t>
      </w:r>
      <w:r w:rsidR="00F802EC">
        <w:t xml:space="preserve">and its players, </w:t>
      </w:r>
      <w:r w:rsidR="0040402A">
        <w:t>and</w:t>
      </w:r>
      <w:r w:rsidR="0068299F">
        <w:t xml:space="preserve"> benefits of green buildings a</w:t>
      </w:r>
      <w:r w:rsidR="00F802EC">
        <w:t>s well as</w:t>
      </w:r>
      <w:r w:rsidR="0068299F">
        <w:t xml:space="preserve"> the validity of the EDGE certification</w:t>
      </w:r>
      <w:r w:rsidR="00FB2926">
        <w:t>.</w:t>
      </w:r>
    </w:p>
    <w:p w14:paraId="3C1E359A" w14:textId="77777777" w:rsidR="005B7F1A" w:rsidRDefault="0068299F" w:rsidP="0068299F">
      <w:r>
        <w:t>As outlined in the programme business case, the programme aims to make</w:t>
      </w:r>
      <w:r w:rsidR="005B7F1A">
        <w:t>:</w:t>
      </w:r>
    </w:p>
    <w:p w14:paraId="60D92BFA" w14:textId="4BD153CA" w:rsidR="0068299F" w:rsidRPr="00DF510D" w:rsidRDefault="0068299F" w:rsidP="0068299F">
      <w:pPr>
        <w:rPr>
          <w:i/>
          <w:iCs/>
        </w:rPr>
      </w:pPr>
      <w:r w:rsidRPr="00DF510D">
        <w:rPr>
          <w:i/>
          <w:iCs/>
        </w:rPr>
        <w:t>“</w:t>
      </w:r>
      <w:r w:rsidR="005B7F1A">
        <w:rPr>
          <w:i/>
          <w:iCs/>
        </w:rPr>
        <w:t>[T]</w:t>
      </w:r>
      <w:r w:rsidRPr="00DF510D">
        <w:rPr>
          <w:i/>
          <w:iCs/>
        </w:rPr>
        <w:t>he commercial as well as environmental benefits of green construction clear for policy-makers, builders, bankers and buyers and to change decision-making patterns, thereby transforming the construction sector market</w:t>
      </w:r>
      <w:r w:rsidR="00B249B5">
        <w:rPr>
          <w:i/>
          <w:iCs/>
        </w:rPr>
        <w:t>.</w:t>
      </w:r>
      <w:r w:rsidRPr="00DF510D">
        <w:rPr>
          <w:i/>
          <w:iCs/>
        </w:rPr>
        <w:t>”</w:t>
      </w:r>
      <w:r w:rsidRPr="00DF510D">
        <w:rPr>
          <w:rStyle w:val="FootnoteReference"/>
          <w:i/>
          <w:iCs/>
        </w:rPr>
        <w:footnoteReference w:id="27"/>
      </w:r>
    </w:p>
    <w:p w14:paraId="46C2682C" w14:textId="77777777" w:rsidR="00CA3BDC" w:rsidRDefault="00CA3BDC">
      <w:pPr>
        <w:spacing w:after="160" w:line="259" w:lineRule="auto"/>
        <w:rPr>
          <w:rFonts w:eastAsiaTheme="majorEastAsia" w:cstheme="majorBidi"/>
          <w:color w:val="041E42"/>
          <w:sz w:val="52"/>
          <w:szCs w:val="32"/>
        </w:rPr>
      </w:pPr>
      <w:r>
        <w:br w:type="page"/>
      </w:r>
    </w:p>
    <w:p w14:paraId="76485CE6" w14:textId="006549B3" w:rsidR="00AE57DC" w:rsidRDefault="007347C1" w:rsidP="007347C1">
      <w:pPr>
        <w:pStyle w:val="Heading1"/>
      </w:pPr>
      <w:bookmarkStart w:id="22" w:name="_Toc189155215"/>
      <w:r>
        <w:t>5</w:t>
      </w:r>
      <w:r w:rsidR="001A7F13">
        <w:t xml:space="preserve"> </w:t>
      </w:r>
      <w:r w:rsidR="008C1C8D" w:rsidRPr="008C1C8D">
        <w:t>Findings</w:t>
      </w:r>
      <w:bookmarkEnd w:id="22"/>
      <w:r w:rsidR="008C1C8D" w:rsidRPr="008C1C8D">
        <w:t xml:space="preserve"> </w:t>
      </w:r>
    </w:p>
    <w:p w14:paraId="08EEE4AE" w14:textId="69BF9873" w:rsidR="00AE57DC" w:rsidRDefault="00AE57DC" w:rsidP="00AE57DC">
      <w:r>
        <w:t xml:space="preserve">This section presents the findings from the early outcome evaluation, focused on the two overarching evaluation questions for this phase: </w:t>
      </w:r>
    </w:p>
    <w:p w14:paraId="4E4B59CD" w14:textId="4CF7D974" w:rsidR="001A7F13" w:rsidRPr="00BD6949" w:rsidRDefault="003D52E3" w:rsidP="00BD6949">
      <w:pPr>
        <w:pStyle w:val="Textbox"/>
        <w:rPr>
          <w:rStyle w:val="Italic"/>
        </w:rPr>
      </w:pPr>
      <w:bookmarkStart w:id="23" w:name="_Hlk189208692"/>
      <w:r w:rsidRPr="003D52E3">
        <w:rPr>
          <w:rStyle w:val="Italic"/>
        </w:rPr>
        <w:t>To what extent has MAGC achieved early outcomes as anticipated</w:t>
      </w:r>
      <w:r w:rsidR="00AE57DC" w:rsidRPr="00BD6949">
        <w:rPr>
          <w:rStyle w:val="Italic"/>
        </w:rPr>
        <w:t>?</w:t>
      </w:r>
    </w:p>
    <w:p w14:paraId="2585914D" w14:textId="06F250AF" w:rsidR="00AE57DC" w:rsidRPr="00BD6949" w:rsidRDefault="00AE57DC" w:rsidP="00BD6949">
      <w:pPr>
        <w:pStyle w:val="Textbox"/>
        <w:rPr>
          <w:rStyle w:val="Italic"/>
        </w:rPr>
      </w:pPr>
      <w:r w:rsidRPr="00BD6949">
        <w:rPr>
          <w:rStyle w:val="Italic"/>
        </w:rPr>
        <w:t xml:space="preserve">To what extent is </w:t>
      </w:r>
      <w:r w:rsidR="003D52E3">
        <w:rPr>
          <w:rStyle w:val="Italic"/>
        </w:rPr>
        <w:t>impact/</w:t>
      </w:r>
      <w:r w:rsidRPr="00BD6949">
        <w:rPr>
          <w:rStyle w:val="Italic"/>
        </w:rPr>
        <w:t>transformational change likely to be achieved?</w:t>
      </w:r>
    </w:p>
    <w:p w14:paraId="52711923" w14:textId="70BFC576" w:rsidR="008C1C8D" w:rsidRDefault="008C1C8D" w:rsidP="008C1C8D">
      <w:pPr>
        <w:pStyle w:val="Heading2"/>
      </w:pPr>
      <w:bookmarkStart w:id="24" w:name="_Toc189155216"/>
      <w:bookmarkEnd w:id="23"/>
      <w:r w:rsidRPr="008C1C8D">
        <w:t>5.1 Early outcomes</w:t>
      </w:r>
      <w:bookmarkEnd w:id="24"/>
    </w:p>
    <w:p w14:paraId="6490D3BA" w14:textId="6A639D60" w:rsidR="00AE57DC" w:rsidRPr="00AE57DC" w:rsidRDefault="006D776D" w:rsidP="00AE57DC">
      <w:r>
        <w:t xml:space="preserve">This section presents the </w:t>
      </w:r>
      <w:r w:rsidRPr="00AE57DC">
        <w:t xml:space="preserve">early outcomes observed through </w:t>
      </w:r>
      <w:r>
        <w:t xml:space="preserve">the </w:t>
      </w:r>
      <w:r w:rsidRPr="00AE57DC">
        <w:t>evidence collected in all MAGC countries</w:t>
      </w:r>
      <w:r>
        <w:t>, via interviews, focus groups, desk research and review of programme secondary data. More details about the evidence collected can be found in Annex 2 of the technical annex. The section is structured</w:t>
      </w:r>
      <w:r w:rsidRPr="00AE57DC">
        <w:t xml:space="preserve"> by </w:t>
      </w:r>
      <w:r>
        <w:t xml:space="preserve">programme’s </w:t>
      </w:r>
      <w:r w:rsidRPr="00AE57DC">
        <w:t xml:space="preserve">component. </w:t>
      </w:r>
      <w:r w:rsidRPr="002F3827">
        <w:t xml:space="preserve">While the evaluation found evidence of positive outcomes across MAGC's components, it also identified challenges and areas for improvement that can inform </w:t>
      </w:r>
      <w:r>
        <w:t xml:space="preserve">current and </w:t>
      </w:r>
      <w:r w:rsidRPr="002F3827">
        <w:t>future program</w:t>
      </w:r>
      <w:r>
        <w:t>me</w:t>
      </w:r>
      <w:r w:rsidRPr="002F3827">
        <w:t xml:space="preserve"> iterations</w:t>
      </w:r>
      <w:r>
        <w:t>.</w:t>
      </w:r>
    </w:p>
    <w:p w14:paraId="02B641B0" w14:textId="29B161EA" w:rsidR="00AB49DD" w:rsidRDefault="008C1C8D" w:rsidP="008C1C8D">
      <w:pPr>
        <w:pStyle w:val="Heading3"/>
      </w:pPr>
      <w:bookmarkStart w:id="25" w:name="_Toc181361035"/>
      <w:bookmarkStart w:id="26" w:name="_Toc182236768"/>
      <w:bookmarkStart w:id="27" w:name="_Toc189155217"/>
      <w:bookmarkStart w:id="28" w:name="_Toc178692277"/>
      <w:bookmarkStart w:id="29" w:name="_Toc178758686"/>
      <w:r w:rsidRPr="008C1C8D">
        <w:t xml:space="preserve">5.1.1 </w:t>
      </w:r>
      <w:r w:rsidR="003E60F2">
        <w:t xml:space="preserve">Component 1: </w:t>
      </w:r>
      <w:r w:rsidRPr="008C1C8D">
        <w:t>Investment and advisory services</w:t>
      </w:r>
      <w:bookmarkEnd w:id="25"/>
      <w:bookmarkEnd w:id="26"/>
      <w:bookmarkEnd w:id="27"/>
    </w:p>
    <w:p w14:paraId="389FCA4E" w14:textId="57E754F8" w:rsidR="00AA3679" w:rsidRDefault="00BB6C35" w:rsidP="00AB49DD">
      <w:r>
        <w:t>The purpose of component 1 is to provide concessional finance</w:t>
      </w:r>
      <w:r w:rsidR="003F33BA">
        <w:t xml:space="preserve"> and advisory services</w:t>
      </w:r>
      <w:r>
        <w:t xml:space="preserve"> to </w:t>
      </w:r>
      <w:r w:rsidR="008926EC">
        <w:t>FIs</w:t>
      </w:r>
      <w:r w:rsidR="003F33BA">
        <w:t xml:space="preserve">. </w:t>
      </w:r>
      <w:r w:rsidR="007B7AA0">
        <w:t xml:space="preserve">This is done to </w:t>
      </w:r>
      <w:r w:rsidR="002068BD">
        <w:t>catalyse investment</w:t>
      </w:r>
      <w:r w:rsidR="007B7AA0">
        <w:t xml:space="preserve"> and growth in nascent </w:t>
      </w:r>
      <w:r w:rsidR="002068BD">
        <w:t>green construction</w:t>
      </w:r>
      <w:r w:rsidR="007B7AA0">
        <w:t xml:space="preserve"> market</w:t>
      </w:r>
      <w:r w:rsidR="00DE664C">
        <w:t>s</w:t>
      </w:r>
      <w:r w:rsidR="002068BD">
        <w:t>,</w:t>
      </w:r>
      <w:r w:rsidR="003F33BA">
        <w:t xml:space="preserve"> address risks</w:t>
      </w:r>
      <w:r w:rsidR="00BE4622">
        <w:t xml:space="preserve"> and barriers</w:t>
      </w:r>
      <w:r w:rsidR="003F33BA">
        <w:t xml:space="preserve"> around green construction financing</w:t>
      </w:r>
      <w:r w:rsidR="00400AFB">
        <w:t>.</w:t>
      </w:r>
      <w:r w:rsidR="003F33BA">
        <w:t xml:space="preserve"> </w:t>
      </w:r>
      <w:r w:rsidR="765E8373">
        <w:t>C</w:t>
      </w:r>
      <w:r w:rsidR="00400AFB">
        <w:t>omponent 1 also</w:t>
      </w:r>
      <w:r w:rsidR="002068BD">
        <w:t xml:space="preserve"> enhance</w:t>
      </w:r>
      <w:r w:rsidR="00400AFB">
        <w:t>s</w:t>
      </w:r>
      <w:r w:rsidR="002068BD">
        <w:t xml:space="preserve"> institutional knowledge abou</w:t>
      </w:r>
      <w:r w:rsidR="007B7AA0">
        <w:t>t green construction investment</w:t>
      </w:r>
      <w:r w:rsidR="0060595A">
        <w:t>, including how FIs perceive and assess risk relating to green construction.</w:t>
      </w:r>
      <w:r w:rsidR="007B7AA0">
        <w:t xml:space="preserve"> </w:t>
      </w:r>
    </w:p>
    <w:p w14:paraId="1CDE86F6" w14:textId="1E5A8593" w:rsidR="00890EB1" w:rsidRDefault="00CD3AC2" w:rsidP="00086D33">
      <w:r>
        <w:t>T</w:t>
      </w:r>
      <w:r w:rsidR="00AF2C86">
        <w:t>he</w:t>
      </w:r>
      <w:r w:rsidR="004F40CB">
        <w:t xml:space="preserve"> </w:t>
      </w:r>
      <w:r w:rsidR="00AF2C86">
        <w:t xml:space="preserve">intended outcomes of </w:t>
      </w:r>
      <w:r w:rsidR="004F40CB">
        <w:t xml:space="preserve">component 1 </w:t>
      </w:r>
      <w:r>
        <w:t>are</w:t>
      </w:r>
      <w:r w:rsidR="004F40CB">
        <w:t xml:space="preserve"> to a</w:t>
      </w:r>
      <w:r w:rsidR="007B22DB">
        <w:t>ddress barriers to investment</w:t>
      </w:r>
      <w:r w:rsidR="00400AFB">
        <w:t xml:space="preserve">, </w:t>
      </w:r>
      <w:r w:rsidR="007B22DB">
        <w:t xml:space="preserve">reduce the perceptions </w:t>
      </w:r>
      <w:r w:rsidR="00607D9C">
        <w:t>of risk</w:t>
      </w:r>
      <w:r w:rsidR="004F40CB">
        <w:t xml:space="preserve">, </w:t>
      </w:r>
      <w:r w:rsidR="00896C29">
        <w:t>whilst</w:t>
      </w:r>
      <w:r w:rsidR="004F40CB">
        <w:t xml:space="preserve"> i</w:t>
      </w:r>
      <w:r w:rsidR="00607D9C">
        <w:t>ncreasing the offer of finance towards the green construction sect</w:t>
      </w:r>
      <w:r w:rsidR="004F40CB">
        <w:t>or.</w:t>
      </w:r>
      <w:r w:rsidR="001A313E">
        <w:t xml:space="preserve"> </w:t>
      </w:r>
      <w:r w:rsidR="00467EE1">
        <w:t xml:space="preserve">The hypothesis in the Theory of Change assumes that FIs and developers will understand and value green certified buildings, which will in turn increase the amount of competitive green construction financing that is available. </w:t>
      </w:r>
      <w:r w:rsidR="001B222B">
        <w:t>Th</w:t>
      </w:r>
      <w:r w:rsidR="00086D33">
        <w:t xml:space="preserve">is </w:t>
      </w:r>
      <w:r w:rsidR="00B87182">
        <w:t xml:space="preserve">section </w:t>
      </w:r>
      <w:r w:rsidR="001B222B">
        <w:t>present</w:t>
      </w:r>
      <w:r w:rsidR="00595561">
        <w:t>s</w:t>
      </w:r>
      <w:r w:rsidR="001B222B">
        <w:t xml:space="preserve"> </w:t>
      </w:r>
      <w:r w:rsidR="00CD1ED9">
        <w:t>evidence to asses</w:t>
      </w:r>
      <w:r w:rsidR="00E80955">
        <w:t>s</w:t>
      </w:r>
      <w:r w:rsidR="00CD1ED9">
        <w:t xml:space="preserve"> the extent to which there are early indications that these outcomes </w:t>
      </w:r>
      <w:r w:rsidR="00AB290C">
        <w:t xml:space="preserve">are being met. </w:t>
      </w:r>
      <w:r w:rsidR="00527A77">
        <w:t>This include</w:t>
      </w:r>
      <w:r w:rsidR="63CCD640">
        <w:t>s</w:t>
      </w:r>
      <w:r w:rsidR="00E80955">
        <w:t xml:space="preserve"> evidence about the </w:t>
      </w:r>
      <w:r w:rsidR="006842E9">
        <w:t>context</w:t>
      </w:r>
      <w:r w:rsidR="0043415A">
        <w:t>s in which these outcomes have been achieved</w:t>
      </w:r>
      <w:r w:rsidR="00890EB1">
        <w:t xml:space="preserve"> or not. </w:t>
      </w:r>
    </w:p>
    <w:p w14:paraId="1282AC88" w14:textId="0117EE2C" w:rsidR="00385869" w:rsidRDefault="00E2730C" w:rsidP="00A0387E">
      <w:r>
        <w:t>Providing concessional finance is a key mechanism for achieving outcomes relating to the availability of green construction finance. To achieve this, it</w:t>
      </w:r>
      <w:r w:rsidR="006402BA">
        <w:t xml:space="preserve"> was expected that </w:t>
      </w:r>
      <w:r w:rsidR="00620E2E">
        <w:t>MAGC</w:t>
      </w:r>
      <w:r w:rsidR="006402BA">
        <w:t xml:space="preserve"> would </w:t>
      </w:r>
      <w:r w:rsidR="00553EAC">
        <w:t xml:space="preserve">commit </w:t>
      </w:r>
      <w:r w:rsidR="00F20ACA">
        <w:t>19 deals across the duration of the programme</w:t>
      </w:r>
      <w:r w:rsidR="006F16BA">
        <w:t xml:space="preserve">. £80 million of UK finance alongside blended finance from IFC was expected to be disbursed </w:t>
      </w:r>
      <w:r w:rsidR="00B21790">
        <w:t>to FIs</w:t>
      </w:r>
      <w:r w:rsidR="006466EF" w:rsidRPr="00553EAC">
        <w:t>.</w:t>
      </w:r>
      <w:r w:rsidR="002270AB">
        <w:rPr>
          <w:rStyle w:val="FootnoteReference"/>
        </w:rPr>
        <w:footnoteReference w:id="28"/>
      </w:r>
      <w:r w:rsidR="00B21790" w:rsidRPr="00553EAC">
        <w:t xml:space="preserve"> </w:t>
      </w:r>
    </w:p>
    <w:p w14:paraId="2B2C324C" w14:textId="3A072330" w:rsidR="00743271" w:rsidRDefault="00B7530F" w:rsidP="003A7E79">
      <w:r>
        <w:rPr>
          <w:rStyle w:val="Boldtext"/>
        </w:rPr>
        <w:t xml:space="preserve">A. </w:t>
      </w:r>
      <w:r w:rsidR="00044B2E">
        <w:rPr>
          <w:rStyle w:val="Boldtext"/>
        </w:rPr>
        <w:t xml:space="preserve">As of </w:t>
      </w:r>
      <w:r w:rsidR="00F87E4A">
        <w:rPr>
          <w:rStyle w:val="Boldtext"/>
        </w:rPr>
        <w:t>June</w:t>
      </w:r>
      <w:r w:rsidR="00044B2E">
        <w:rPr>
          <w:rStyle w:val="Boldtext"/>
        </w:rPr>
        <w:t xml:space="preserve"> 2024, </w:t>
      </w:r>
      <w:r w:rsidR="00620E2E">
        <w:rPr>
          <w:rStyle w:val="Boldtext"/>
        </w:rPr>
        <w:t>MAGC</w:t>
      </w:r>
      <w:r w:rsidR="00044B2E">
        <w:rPr>
          <w:rStyle w:val="Boldtext"/>
        </w:rPr>
        <w:t xml:space="preserve"> has committed a total of $56 million of UK finance to </w:t>
      </w:r>
      <w:r w:rsidR="008926EC">
        <w:rPr>
          <w:rStyle w:val="Boldtext"/>
        </w:rPr>
        <w:t>FI</w:t>
      </w:r>
      <w:r w:rsidR="00044B2E">
        <w:rPr>
          <w:rStyle w:val="Boldtext"/>
        </w:rPr>
        <w:t>s</w:t>
      </w:r>
      <w:r w:rsidR="006F16BA">
        <w:rPr>
          <w:rStyle w:val="Boldtext"/>
        </w:rPr>
        <w:t xml:space="preserve">. A total of </w:t>
      </w:r>
      <w:r w:rsidR="002D4077" w:rsidRPr="00695C2A">
        <w:rPr>
          <w:rStyle w:val="Boldtext"/>
        </w:rPr>
        <w:t xml:space="preserve">over </w:t>
      </w:r>
      <w:r w:rsidR="00BC6706" w:rsidRPr="00695C2A">
        <w:rPr>
          <w:rStyle w:val="Boldtext"/>
        </w:rPr>
        <w:t xml:space="preserve">$1.7 billion has been mobilised </w:t>
      </w:r>
      <w:r w:rsidR="00992AAA" w:rsidRPr="00695C2A">
        <w:rPr>
          <w:rStyle w:val="Boldtext"/>
        </w:rPr>
        <w:t>for MAGC funded green building projects.</w:t>
      </w:r>
      <w:r w:rsidR="00977625" w:rsidRPr="00695C2A">
        <w:rPr>
          <w:rStyle w:val="FootnoteReference"/>
          <w:b/>
        </w:rPr>
        <w:footnoteReference w:id="29"/>
      </w:r>
      <w:r w:rsidR="00044B2E" w:rsidRPr="00695C2A">
        <w:rPr>
          <w:rStyle w:val="Boldtext"/>
        </w:rPr>
        <w:t xml:space="preserve"> </w:t>
      </w:r>
      <w:r w:rsidR="00467EE1" w:rsidRPr="00695C2A">
        <w:rPr>
          <w:rStyle w:val="Boldtext"/>
        </w:rPr>
        <w:t>Stakeholders interviewed</w:t>
      </w:r>
      <w:r w:rsidR="00467EE1">
        <w:rPr>
          <w:rStyle w:val="Boldtext"/>
        </w:rPr>
        <w:t xml:space="preserve"> were satisfied with the amount of private finance leveraged. </w:t>
      </w:r>
      <w:r w:rsidR="00467EE1">
        <w:t>In total, 21 deals with 19 FIs have been closed so far, already meeting the total target</w:t>
      </w:r>
      <w:r w:rsidR="00467EE1">
        <w:rPr>
          <w:rStyle w:val="FootnoteReference"/>
        </w:rPr>
        <w:footnoteReference w:id="30"/>
      </w:r>
      <w:r w:rsidR="00467EE1">
        <w:t xml:space="preserve"> set for the whole MAGC programme, with more deals planned to close in the future.</w:t>
      </w:r>
      <w:r w:rsidR="00284430">
        <w:t xml:space="preserve"> </w:t>
      </w:r>
      <w:r w:rsidR="005B6854">
        <w:t xml:space="preserve">This success is linked to IFC </w:t>
      </w:r>
      <w:r w:rsidR="007F6408">
        <w:t xml:space="preserve">early engagement </w:t>
      </w:r>
      <w:r w:rsidR="00CC713C">
        <w:t>and advisory to FIs that</w:t>
      </w:r>
      <w:r w:rsidR="00944C76">
        <w:t xml:space="preserve"> </w:t>
      </w:r>
      <w:r w:rsidR="007277F2">
        <w:t>had</w:t>
      </w:r>
      <w:r w:rsidR="00284430">
        <w:t xml:space="preserve"> </w:t>
      </w:r>
      <w:r w:rsidR="00603942">
        <w:t>a strong interest and track record in climate mitigation</w:t>
      </w:r>
      <w:r w:rsidR="007277F2">
        <w:t>.</w:t>
      </w:r>
      <w:r w:rsidR="000C50EA">
        <w:t xml:space="preserve"> </w:t>
      </w:r>
      <w:r w:rsidR="00A00F1F">
        <w:t>Some examples of success stories include:</w:t>
      </w:r>
    </w:p>
    <w:p w14:paraId="6A2F88F8" w14:textId="77777777" w:rsidR="00A00F1F" w:rsidRPr="001F653F" w:rsidRDefault="00A00F1F" w:rsidP="00A00F1F">
      <w:pPr>
        <w:pStyle w:val="Tintbox"/>
        <w:rPr>
          <w:rStyle w:val="Boldtext"/>
        </w:rPr>
      </w:pPr>
      <w:r>
        <w:rPr>
          <w:rStyle w:val="Boldtext"/>
        </w:rPr>
        <w:t xml:space="preserve">South Africa </w:t>
      </w:r>
    </w:p>
    <w:p w14:paraId="3CA6741A" w14:textId="77777777" w:rsidR="00A00F1F" w:rsidRDefault="00A00F1F" w:rsidP="00A00F1F">
      <w:pPr>
        <w:pStyle w:val="Tintbox"/>
      </w:pPr>
      <w:r>
        <w:t xml:space="preserve">An FI in South Africa partnered with IFC on a green bond issuance anchored by IFC MAGC blended finance. IFC understood that market awareness of green construction finance was low, and supported the FI to market the bond and educate prospective clients. They also provided EDGE training for the 79 FI staff and 30 clients, leading the bank to act as a certifying body in country. The FI won an industry award for the best new green bond. Financial sector stakeholders believe they are acting as an exemplar of best practice in green construction which is starting to generate interest in green construction finance in South Africa. </w:t>
      </w:r>
    </w:p>
    <w:p w14:paraId="58C0D366" w14:textId="114AB49F" w:rsidR="00A00F1F" w:rsidRDefault="00A00F1F" w:rsidP="00A00F1F">
      <w:pPr>
        <w:pStyle w:val="Tintbox"/>
      </w:pPr>
      <w:r w:rsidRPr="001C6F7A">
        <w:rPr>
          <w:i/>
        </w:rPr>
        <w:t>“</w:t>
      </w:r>
      <w:r w:rsidRPr="00A37CD2">
        <w:rPr>
          <w:rStyle w:val="Italic"/>
        </w:rPr>
        <w:t>There's been quite a significant amount of engagement learning training, information sharing that's happened with the IFC through the MAGC process</w:t>
      </w:r>
      <w:r w:rsidR="00C51416">
        <w:rPr>
          <w:rStyle w:val="Italic"/>
        </w:rPr>
        <w:t>.</w:t>
      </w:r>
      <w:r w:rsidRPr="001C6F7A">
        <w:rPr>
          <w:i/>
          <w:iCs/>
        </w:rPr>
        <w:t>”</w:t>
      </w:r>
      <w:r w:rsidRPr="00D8735D">
        <w:t xml:space="preserve"> </w:t>
      </w:r>
      <w:r>
        <w:t>(</w:t>
      </w:r>
      <w:r w:rsidRPr="00D8735D">
        <w:t>FI, South Africa</w:t>
      </w:r>
      <w:r>
        <w:t>)</w:t>
      </w:r>
    </w:p>
    <w:p w14:paraId="787AD49B" w14:textId="77777777" w:rsidR="00A00F1F" w:rsidRPr="006A0317" w:rsidRDefault="00A00F1F" w:rsidP="00A00F1F">
      <w:pPr>
        <w:pStyle w:val="Tintbox"/>
        <w:rPr>
          <w:rStyle w:val="Boldtext"/>
        </w:rPr>
      </w:pPr>
      <w:r w:rsidRPr="006A0317">
        <w:rPr>
          <w:rStyle w:val="Boldtext"/>
        </w:rPr>
        <w:t xml:space="preserve">Egypt </w:t>
      </w:r>
    </w:p>
    <w:p w14:paraId="1B3B355F" w14:textId="197C717D" w:rsidR="00A00F1F" w:rsidRDefault="00A00F1F" w:rsidP="00A00F1F">
      <w:pPr>
        <w:pStyle w:val="Tintbox"/>
      </w:pPr>
      <w:r>
        <w:t xml:space="preserve">An FI in Egypt has worked closely with IFC, enabling complete disbursement of IFC investment by 2023. The FI used the support of IFC and funding from MAGC to create green bond products that enabled them to expand their portfolio of sustainable finance projects. In total, they have invested in tens of millions of dollars of green construction projects. </w:t>
      </w:r>
    </w:p>
    <w:p w14:paraId="497B491D" w14:textId="77777777" w:rsidR="00A00F1F" w:rsidRPr="006A0317" w:rsidRDefault="00A00F1F" w:rsidP="00A00F1F">
      <w:pPr>
        <w:pStyle w:val="Tintbox"/>
        <w:rPr>
          <w:rStyle w:val="Boldtext"/>
        </w:rPr>
      </w:pPr>
      <w:r w:rsidRPr="006A0317">
        <w:rPr>
          <w:rStyle w:val="Boldtext"/>
        </w:rPr>
        <w:t xml:space="preserve">India </w:t>
      </w:r>
    </w:p>
    <w:p w14:paraId="19B0C1F1" w14:textId="77777777" w:rsidR="00A00F1F" w:rsidRDefault="00A00F1F" w:rsidP="00A00F1F">
      <w:pPr>
        <w:pStyle w:val="Tintbox"/>
      </w:pPr>
      <w:r>
        <w:t xml:space="preserve">An FI worked with IFC to change how the investments and EDGE could be used to enable disbursement to low income, self-built homes. Self-built homes were not initially planned to be part of MAGC. This example demonstrates how the programme has been successful when FI’s work closely with IFC, enabling it to be tailored for specific contexts. </w:t>
      </w:r>
    </w:p>
    <w:p w14:paraId="08A3ECE2" w14:textId="7DA690F8" w:rsidR="003A7E79" w:rsidRDefault="00284430" w:rsidP="003A7E79">
      <w:r>
        <w:t>Despite the high number of deals, the DESNZ funding committed to FIs ($56 million) has been lower than planned, approximately 55% of the total amount of funding that was allocated for the whole programme (£80 million). The DESNZ funding has leveraged so far</w:t>
      </w:r>
      <w:r w:rsidR="00467EE1">
        <w:t xml:space="preserve"> a cumulative total of $1</w:t>
      </w:r>
      <w:r w:rsidR="006A37BD">
        <w:t>.</w:t>
      </w:r>
      <w:r w:rsidR="00467EE1">
        <w:t>4</w:t>
      </w:r>
      <w:r w:rsidR="00BC6706">
        <w:t xml:space="preserve"> billion</w:t>
      </w:r>
      <w:r w:rsidR="00467EE1">
        <w:t xml:space="preserve"> in public sector financing</w:t>
      </w:r>
      <w:r w:rsidR="003A7E79">
        <w:t xml:space="preserve"> (IFC own account)</w:t>
      </w:r>
      <w:r w:rsidR="00BC6706">
        <w:t xml:space="preserve">, </w:t>
      </w:r>
      <w:r w:rsidR="00BC6706" w:rsidRPr="00BC6706">
        <w:t>$305 million private finance mobilised at the commitment stage, and a further $135 million of private equity mobilised at the sub loan stage</w:t>
      </w:r>
      <w:r w:rsidR="00467EE1">
        <w:t xml:space="preserve"> for MAGC funded green building projects.</w:t>
      </w:r>
      <w:r w:rsidR="00467EE1">
        <w:rPr>
          <w:rStyle w:val="FootnoteReference"/>
        </w:rPr>
        <w:footnoteReference w:id="31"/>
      </w:r>
      <w:r w:rsidR="00467EE1">
        <w:t xml:space="preserve"> Programme s</w:t>
      </w:r>
      <w:r w:rsidR="00467EE1" w:rsidRPr="001F653F">
        <w:t>takeholders interviewed across IFC and DESNZ generally felt the volume of finance that has been mobilised through MAGC has met expectations</w:t>
      </w:r>
      <w:r w:rsidR="00467EE1">
        <w:t xml:space="preserve">. </w:t>
      </w:r>
      <w:r w:rsidR="006425A5">
        <w:t>The</w:t>
      </w:r>
      <w:r w:rsidR="00467EE1">
        <w:t xml:space="preserve"> </w:t>
      </w:r>
      <w:r w:rsidR="003A7E79">
        <w:t>$1.</w:t>
      </w:r>
      <w:r w:rsidR="009E4D4D">
        <w:t>8</w:t>
      </w:r>
      <w:r w:rsidR="003A7E79">
        <w:t xml:space="preserve"> billion </w:t>
      </w:r>
      <w:r w:rsidR="00467EE1">
        <w:t>finance mobilised from $56 million of MAGC funding</w:t>
      </w:r>
      <w:r w:rsidR="0017329E">
        <w:t xml:space="preserve"> </w:t>
      </w:r>
      <w:r w:rsidR="00467EE1">
        <w:t xml:space="preserve">implies a ratio of </w:t>
      </w:r>
      <w:r w:rsidR="006425A5">
        <w:t>32</w:t>
      </w:r>
      <w:r w:rsidR="00467EE1">
        <w:t>:1 which was higher than expectations outlined in the business case</w:t>
      </w:r>
      <w:r w:rsidR="00432332">
        <w:t>,</w:t>
      </w:r>
      <w:r w:rsidR="00467EE1">
        <w:rPr>
          <w:rStyle w:val="FootnoteReference"/>
        </w:rPr>
        <w:footnoteReference w:id="32"/>
      </w:r>
      <w:r w:rsidR="00467EE1">
        <w:t xml:space="preserve"> and considered by programme stakeholders interviewed to be good compared to other programmes within the ICF portfolio. </w:t>
      </w:r>
      <w:r w:rsidR="003A7E79">
        <w:t xml:space="preserve">The large proportion of deals using performance-based incentives (PBIs), which require the use of smaller concessional funds than other alternatives, has been a key enabler </w:t>
      </w:r>
      <w:r w:rsidR="00DB689A">
        <w:t xml:space="preserve">of </w:t>
      </w:r>
      <w:r w:rsidR="003A7E79">
        <w:t xml:space="preserve">this favourable leverage ratio. </w:t>
      </w:r>
    </w:p>
    <w:p w14:paraId="514A7B63" w14:textId="5DD0F58F" w:rsidR="003A7E79" w:rsidRPr="001F653F" w:rsidRDefault="003A7E79" w:rsidP="003A7E79">
      <w:pPr>
        <w:pStyle w:val="Quote"/>
        <w:rPr>
          <w:rStyle w:val="Boldtext"/>
        </w:rPr>
      </w:pPr>
      <w:r w:rsidRPr="001F653F">
        <w:t>“Our initial expectation in the model was that we would support about 19 investments, and we’ve already hit the 19-investment mark, and that’s partly driven by the fact we’re using more of these performance-based measures w</w:t>
      </w:r>
      <w:r>
        <w:t>h</w:t>
      </w:r>
      <w:r w:rsidRPr="001F653F">
        <w:t>ere we only use a small bit of MAGC finance to unlock ma</w:t>
      </w:r>
      <w:r>
        <w:t>n</w:t>
      </w:r>
      <w:r w:rsidRPr="001F653F">
        <w:t>y more. So, we can fund more investments, essentially, and have greater impact</w:t>
      </w:r>
      <w:r w:rsidR="005E6240">
        <w:t>.</w:t>
      </w:r>
      <w:r w:rsidRPr="001F653F">
        <w:t xml:space="preserve">” (IFC </w:t>
      </w:r>
      <w:r>
        <w:t>programme team)</w:t>
      </w:r>
    </w:p>
    <w:p w14:paraId="50AD7067" w14:textId="2EA2EE40" w:rsidR="003A7E79" w:rsidRDefault="003A7E79" w:rsidP="003A7E79">
      <w:r>
        <w:t>The benefit of using these types of instruments mean small amounts of MAGC funding can be used to leverage a larger amount of IFC, public and private finance, enabling IFC to invest in more deals overall. For example, $108 million of finance had been mobilised in investment into two financial institutions in Colombia from $3.63 million of MAGC funding</w:t>
      </w:r>
      <w:r w:rsidRPr="008E3F4D">
        <w:t>.</w:t>
      </w:r>
      <w:r>
        <w:t xml:space="preserve"> The prevalent use of PBIs, however, has </w:t>
      </w:r>
      <w:r w:rsidR="00C9248C">
        <w:t>two</w:t>
      </w:r>
      <w:r>
        <w:t xml:space="preserve"> main implications:</w:t>
      </w:r>
    </w:p>
    <w:p w14:paraId="18158662" w14:textId="295F62D3" w:rsidR="003A7E79" w:rsidRDefault="00C9248C" w:rsidP="003A7E79">
      <w:r>
        <w:t>1</w:t>
      </w:r>
      <w:r w:rsidR="003A7E79">
        <w:t xml:space="preserve">) </w:t>
      </w:r>
      <w:r w:rsidR="006425A5">
        <w:t>The bulk of th</w:t>
      </w:r>
      <w:r w:rsidR="0017329E">
        <w:t>is</w:t>
      </w:r>
      <w:r w:rsidR="006425A5">
        <w:t xml:space="preserve"> mobilisation has been IFC own-account funding ($1.4 billion), </w:t>
      </w:r>
      <w:r w:rsidR="003A7E79">
        <w:t>with</w:t>
      </w:r>
      <w:r w:rsidR="006425A5">
        <w:t xml:space="preserve"> a smaller proportion of private finance committed ($305 million). </w:t>
      </w:r>
      <w:r w:rsidR="003A7E79">
        <w:t xml:space="preserve">While PBIs are effective </w:t>
      </w:r>
      <w:r w:rsidR="003A7E79" w:rsidRPr="004A2223">
        <w:t>to mobilise IFC funds, other instruments (</w:t>
      </w:r>
      <w:r w:rsidR="003A7E79">
        <w:t>e.g.</w:t>
      </w:r>
      <w:r w:rsidR="004F6CF2">
        <w:t>,</w:t>
      </w:r>
      <w:r w:rsidR="003A7E79">
        <w:t xml:space="preserve"> </w:t>
      </w:r>
      <w:r w:rsidR="003A7E79" w:rsidRPr="004A2223">
        <w:t>equity) might be more effective to leverage other non-public funds.</w:t>
      </w:r>
      <w:r w:rsidR="005C0267">
        <w:t xml:space="preserve"> </w:t>
      </w:r>
      <w:r w:rsidR="00805076">
        <w:t xml:space="preserve">For example, </w:t>
      </w:r>
      <w:r w:rsidR="0051780B">
        <w:t>over a third</w:t>
      </w:r>
      <w:r w:rsidR="00955AA8">
        <w:t xml:space="preserve"> of the private finance committed ($118 million</w:t>
      </w:r>
      <w:r w:rsidR="00FC1C3C">
        <w:t xml:space="preserve">, </w:t>
      </w:r>
      <w:r w:rsidR="00932F01">
        <w:t xml:space="preserve">or </w:t>
      </w:r>
      <w:r w:rsidR="0030288F">
        <w:t>39% of the total private finance committed</w:t>
      </w:r>
      <w:r w:rsidR="00955AA8">
        <w:t xml:space="preserve">) </w:t>
      </w:r>
      <w:r w:rsidR="00177A25">
        <w:t xml:space="preserve">has been through </w:t>
      </w:r>
      <w:r w:rsidR="00FC1C3C">
        <w:t>t</w:t>
      </w:r>
      <w:r w:rsidR="00F976D1">
        <w:t xml:space="preserve">he MAGC investment in the International Housing Solutions fund in Kenya, the </w:t>
      </w:r>
      <w:r w:rsidR="00D21DFA">
        <w:t>only</w:t>
      </w:r>
      <w:r w:rsidR="000F0326">
        <w:t xml:space="preserve"> project </w:t>
      </w:r>
      <w:r w:rsidR="00D21DFA">
        <w:t xml:space="preserve">so far </w:t>
      </w:r>
      <w:r w:rsidR="000F0326">
        <w:t>to structure MAGC funds as equity</w:t>
      </w:r>
      <w:r w:rsidR="00E7033C">
        <w:t>.</w:t>
      </w:r>
      <w:r w:rsidR="005C0267">
        <w:t xml:space="preserve"> </w:t>
      </w:r>
    </w:p>
    <w:bookmarkEnd w:id="28"/>
    <w:bookmarkEnd w:id="29"/>
    <w:p w14:paraId="2B78FFA1" w14:textId="48A8EE44" w:rsidR="00236A89" w:rsidRDefault="00C9248C" w:rsidP="003A7E79">
      <w:r>
        <w:t>2</w:t>
      </w:r>
      <w:r w:rsidR="003A7E79">
        <w:t xml:space="preserve">) </w:t>
      </w:r>
      <w:r w:rsidR="00467EE1">
        <w:t>Initially, only 50% of funding was expected to be disbursed through PBIs</w:t>
      </w:r>
      <w:r>
        <w:t>, e.g., in the form of</w:t>
      </w:r>
      <w:r w:rsidR="00467EE1">
        <w:t xml:space="preserve"> interest rate buydowns</w:t>
      </w:r>
      <w:r w:rsidR="00B12012">
        <w:t>,</w:t>
      </w:r>
      <w:r w:rsidR="00467EE1">
        <w:rPr>
          <w:rStyle w:val="FootnoteReference"/>
        </w:rPr>
        <w:footnoteReference w:id="33"/>
      </w:r>
      <w:r w:rsidR="00467EE1">
        <w:t xml:space="preserve"> with the rest issued as standard loans and equity; however, to date, almost 80% of concessional finance has been through PBIs. </w:t>
      </w:r>
      <w:r w:rsidR="003A7E79">
        <w:t xml:space="preserve">By limiting the instruments to PBIs, there is </w:t>
      </w:r>
      <w:r w:rsidR="00B7530F" w:rsidRPr="001C6F7A">
        <w:t>the potential to miss learning from</w:t>
      </w:r>
      <w:r w:rsidR="00B7530F" w:rsidRPr="00B7530F">
        <w:t xml:space="preserve"> </w:t>
      </w:r>
      <w:r w:rsidR="003A7E79" w:rsidRPr="00B7530F">
        <w:t>the</w:t>
      </w:r>
      <w:r w:rsidR="003A7E79" w:rsidRPr="004A2223">
        <w:t xml:space="preserve"> use of other </w:t>
      </w:r>
      <w:r w:rsidR="003A7E79">
        <w:t>instruments</w:t>
      </w:r>
      <w:r w:rsidR="003A7E79" w:rsidRPr="004A2223">
        <w:t xml:space="preserve">: </w:t>
      </w:r>
      <w:r w:rsidR="003A7E79">
        <w:t>i</w:t>
      </w:r>
      <w:r w:rsidR="003A7E79" w:rsidRPr="004A2223">
        <w:t xml:space="preserve">f MAGC is piloting a new way of incentivising green buildings, using a more varied range of instruments </w:t>
      </w:r>
      <w:r w:rsidR="00B7530F" w:rsidRPr="001C6F7A">
        <w:t>could</w:t>
      </w:r>
      <w:r w:rsidR="00B7530F" w:rsidRPr="00B7530F">
        <w:t xml:space="preserve"> </w:t>
      </w:r>
      <w:r w:rsidR="003A7E79" w:rsidRPr="004A2223">
        <w:t>provide more lessons on what works, why, and in what contexts.</w:t>
      </w:r>
    </w:p>
    <w:p w14:paraId="7A7458D3" w14:textId="3146FD2D" w:rsidR="0051379A" w:rsidRDefault="00A40CEF" w:rsidP="0051379A">
      <w:r>
        <w:t>Overall, at a programme level, the number of deals agreed, the volume of finance disbursed, and the leverage ratio achieved, indicate that the outcome of more green construction finance being made available is being achieved through the MAGC investment component.</w:t>
      </w:r>
      <w:r w:rsidR="0051379A">
        <w:t xml:space="preserve"> </w:t>
      </w:r>
    </w:p>
    <w:p w14:paraId="7A27FC54" w14:textId="791CD40B" w:rsidR="00247217" w:rsidRDefault="00E738C4" w:rsidP="00234245">
      <w:r w:rsidRPr="001C6F7A">
        <w:rPr>
          <w:b/>
          <w:bCs/>
        </w:rPr>
        <w:t>B</w:t>
      </w:r>
      <w:r w:rsidR="000F43BC">
        <w:t xml:space="preserve">. </w:t>
      </w:r>
      <w:r w:rsidR="00247217">
        <w:rPr>
          <w:rStyle w:val="Boldtext"/>
        </w:rPr>
        <w:t xml:space="preserve">FIs </w:t>
      </w:r>
      <w:r w:rsidR="00071BA7">
        <w:rPr>
          <w:rStyle w:val="Boldtext"/>
        </w:rPr>
        <w:t xml:space="preserve">received concessional finance from IFC through MAGC, </w:t>
      </w:r>
      <w:r w:rsidR="00263CC2">
        <w:rPr>
          <w:rStyle w:val="Boldtext"/>
        </w:rPr>
        <w:t>and this</w:t>
      </w:r>
      <w:r w:rsidR="00071BA7">
        <w:rPr>
          <w:rStyle w:val="Boldtext"/>
        </w:rPr>
        <w:t xml:space="preserve"> has enabled them to finance the construction of certified green buildings</w:t>
      </w:r>
      <w:r w:rsidR="00247217">
        <w:rPr>
          <w:rStyle w:val="Boldtext"/>
        </w:rPr>
        <w:t xml:space="preserve">. </w:t>
      </w:r>
      <w:r w:rsidR="006A6065" w:rsidRPr="001F653F">
        <w:t>There are several examples of how IFC has worked with FIs to arrange concessional finance</w:t>
      </w:r>
      <w:r w:rsidR="00247217">
        <w:t xml:space="preserve"> as part of investments specifically targeted at green construction projects</w:t>
      </w:r>
      <w:r w:rsidR="000F402B">
        <w:t xml:space="preserve">. </w:t>
      </w:r>
      <w:r w:rsidR="00B26682">
        <w:t>Some of t</w:t>
      </w:r>
      <w:r w:rsidR="000F402B">
        <w:t xml:space="preserve">hese are </w:t>
      </w:r>
      <w:r w:rsidR="001B010D">
        <w:t xml:space="preserve">set out in the </w:t>
      </w:r>
      <w:r w:rsidR="00216DEA">
        <w:t>box below</w:t>
      </w:r>
      <w:r w:rsidR="00247217">
        <w:t xml:space="preserve">. </w:t>
      </w:r>
    </w:p>
    <w:p w14:paraId="77870866" w14:textId="77777777" w:rsidR="006A6065" w:rsidRPr="001F653F" w:rsidRDefault="006A6065" w:rsidP="006A6065">
      <w:pPr>
        <w:pStyle w:val="Tintbox"/>
        <w:rPr>
          <w:rStyle w:val="Boldtext"/>
        </w:rPr>
      </w:pPr>
      <w:r w:rsidRPr="001F653F">
        <w:rPr>
          <w:rStyle w:val="Boldtext"/>
        </w:rPr>
        <w:t>Vietnam</w:t>
      </w:r>
    </w:p>
    <w:p w14:paraId="6C3F46DE" w14:textId="4AF97D76" w:rsidR="00AE19F9" w:rsidRDefault="006A6065" w:rsidP="006A6065">
      <w:pPr>
        <w:pStyle w:val="Tintbox"/>
      </w:pPr>
      <w:r w:rsidRPr="001F653F">
        <w:t>A</w:t>
      </w:r>
      <w:r w:rsidR="003F51D9">
        <w:t>n</w:t>
      </w:r>
      <w:r w:rsidRPr="001F653F">
        <w:t xml:space="preserve"> FI highlighted how </w:t>
      </w:r>
      <w:r w:rsidRPr="00745734">
        <w:rPr>
          <w:rStyle w:val="Italic"/>
        </w:rPr>
        <w:t>“MAGC has played a role in aligning green building financing with organisational target by offering blended finance to reduce interest rates for EDGE projects”.</w:t>
      </w:r>
      <w:r w:rsidRPr="001F653F">
        <w:t xml:space="preserve"> </w:t>
      </w:r>
      <w:r w:rsidR="00C86B69">
        <w:t xml:space="preserve">Two FIs have </w:t>
      </w:r>
      <w:r w:rsidR="00FC34AE">
        <w:t xml:space="preserve">received blended concessional finance from IFC worth hundred </w:t>
      </w:r>
      <w:r w:rsidR="00265FB4">
        <w:t>million</w:t>
      </w:r>
      <w:r w:rsidR="00FC34AE">
        <w:t xml:space="preserve"> dollars, for investment in sustainable construction projects. </w:t>
      </w:r>
      <w:r w:rsidR="00D8735D">
        <w:t>The investment component</w:t>
      </w:r>
      <w:r w:rsidR="00D8735D" w:rsidRPr="00392A7A">
        <w:t xml:space="preserve"> of MAGC is very relevant for Vietnam</w:t>
      </w:r>
      <w:r w:rsidR="00D8735D">
        <w:t>, as t</w:t>
      </w:r>
      <w:r w:rsidR="00D8735D" w:rsidRPr="00D8735D">
        <w:t>he green building sector is</w:t>
      </w:r>
      <w:r w:rsidR="00D8735D">
        <w:t xml:space="preserve"> expected to grow fast in the next few years</w:t>
      </w:r>
      <w:r w:rsidR="000F402B">
        <w:t>.</w:t>
      </w:r>
      <w:r w:rsidR="00D8735D">
        <w:t xml:space="preserve"> </w:t>
      </w:r>
      <w:r w:rsidR="000F402B">
        <w:t>T</w:t>
      </w:r>
      <w:r w:rsidR="00D8735D">
        <w:t>his growth could be hindered by the lack of available capital. At the moment, there are virtually no financial packages in the country specifically to finance the development of green buildings.</w:t>
      </w:r>
      <w:r w:rsidR="00D8735D">
        <w:rPr>
          <w:rStyle w:val="FootnoteReference"/>
        </w:rPr>
        <w:footnoteReference w:id="34"/>
      </w:r>
    </w:p>
    <w:p w14:paraId="2712C2B3" w14:textId="5D624FB7" w:rsidR="007C2A86" w:rsidRPr="006A0317" w:rsidRDefault="007C2A86" w:rsidP="006A6065">
      <w:pPr>
        <w:pStyle w:val="Tintbox"/>
        <w:rPr>
          <w:rStyle w:val="Boldtext"/>
        </w:rPr>
      </w:pPr>
      <w:r w:rsidRPr="006A0317">
        <w:rPr>
          <w:rStyle w:val="Boldtext"/>
        </w:rPr>
        <w:t>Colombia</w:t>
      </w:r>
    </w:p>
    <w:p w14:paraId="009A4F59" w14:textId="065AA95A" w:rsidR="008E3F4D" w:rsidRDefault="008E3F4D" w:rsidP="008E3F4D">
      <w:pPr>
        <w:pStyle w:val="Tintbox"/>
      </w:pPr>
      <w:r>
        <w:t xml:space="preserve">An FI received performance-based incentives that returned 1.5% of the project value to builders who achieved EDGE advanced certification. This helped the FI to generate interest in green construction and motivated builders to adopt sustainable practices. </w:t>
      </w:r>
    </w:p>
    <w:p w14:paraId="1028C001" w14:textId="77777777" w:rsidR="008E3F4D" w:rsidRDefault="008E3F4D" w:rsidP="008E3F4D">
      <w:pPr>
        <w:pStyle w:val="Tintbox"/>
      </w:pPr>
      <w:r w:rsidRPr="00467EE1">
        <w:rPr>
          <w:i/>
          <w:iCs/>
        </w:rPr>
        <w:t>“[MAGC] has served as a facilitator for launching specific financial products to encourage the construction of certified projects, offering differential rates and distinct processes for sustainable projects</w:t>
      </w:r>
      <w:r>
        <w:t>.” (FI, Colombia)</w:t>
      </w:r>
    </w:p>
    <w:p w14:paraId="12A9A4E3" w14:textId="2633113B" w:rsidR="00C565E7" w:rsidRPr="001F653F" w:rsidRDefault="00C565E7" w:rsidP="008E3F4D">
      <w:pPr>
        <w:pStyle w:val="Tintbox"/>
        <w:rPr>
          <w:rStyle w:val="Boldtext"/>
        </w:rPr>
      </w:pPr>
      <w:r w:rsidRPr="001F653F">
        <w:rPr>
          <w:rStyle w:val="Boldtext"/>
        </w:rPr>
        <w:t>Kenya</w:t>
      </w:r>
    </w:p>
    <w:p w14:paraId="40CA069E" w14:textId="61FFAD92" w:rsidR="00C565E7" w:rsidRDefault="00C565E7" w:rsidP="00C565E7">
      <w:pPr>
        <w:pStyle w:val="Tintbox"/>
      </w:pPr>
      <w:r w:rsidRPr="001F653F">
        <w:t xml:space="preserve">A </w:t>
      </w:r>
      <w:r w:rsidR="00204924">
        <w:t>housing fund</w:t>
      </w:r>
      <w:r w:rsidR="00204924" w:rsidRPr="001F653F">
        <w:t xml:space="preserve"> </w:t>
      </w:r>
      <w:r w:rsidRPr="001F653F">
        <w:t>received $20 million for the development of green affordable housing, aligned with their focus on incorporating EDGE standards across their portfolio. They engaged with IFC on the Kenya2Equal programme</w:t>
      </w:r>
      <w:r w:rsidR="00E570FC">
        <w:rPr>
          <w:rStyle w:val="FootnoteReference"/>
        </w:rPr>
        <w:footnoteReference w:id="35"/>
      </w:r>
      <w:r w:rsidRPr="001F653F">
        <w:t xml:space="preserve"> which focuses on gender equality in the workforce. </w:t>
      </w:r>
    </w:p>
    <w:p w14:paraId="772FCB75" w14:textId="34B95449" w:rsidR="002270AB" w:rsidRDefault="002270AB" w:rsidP="002270AB">
      <w:pPr>
        <w:rPr>
          <w:rStyle w:val="Boldtext"/>
        </w:rPr>
      </w:pPr>
      <w:r>
        <w:t>Another expected outcome of MAGC was that both the MAGC blended finance and technical advisory components would address barriers to investment, such as perceptions of risk</w:t>
      </w:r>
      <w:r w:rsidR="000F402B">
        <w:t>.</w:t>
      </w:r>
      <w:r w:rsidR="00526795">
        <w:t xml:space="preserve"> </w:t>
      </w:r>
      <w:r w:rsidR="000F402B">
        <w:t>This was expected to</w:t>
      </w:r>
      <w:r>
        <w:t xml:space="preserve"> catalys</w:t>
      </w:r>
      <w:r w:rsidR="000F402B">
        <w:t>e</w:t>
      </w:r>
      <w:r>
        <w:t xml:space="preserve"> the development of green construction markets.</w:t>
      </w:r>
      <w:r w:rsidR="00EE5B72">
        <w:rPr>
          <w:rStyle w:val="FootnoteReference"/>
        </w:rPr>
        <w:footnoteReference w:id="36"/>
      </w:r>
      <w:r>
        <w:t xml:space="preserve"> </w:t>
      </w:r>
    </w:p>
    <w:p w14:paraId="18EBD00E" w14:textId="28B29262" w:rsidR="00071BA7" w:rsidRDefault="00E738C4" w:rsidP="00071BA7">
      <w:pPr>
        <w:rPr>
          <w:rStyle w:val="Boldtext"/>
        </w:rPr>
      </w:pPr>
      <w:r>
        <w:rPr>
          <w:rStyle w:val="Boldtext"/>
        </w:rPr>
        <w:t>C</w:t>
      </w:r>
      <w:r w:rsidR="000F43BC">
        <w:rPr>
          <w:rStyle w:val="Boldtext"/>
        </w:rPr>
        <w:t xml:space="preserve">. </w:t>
      </w:r>
      <w:r w:rsidR="00071BA7">
        <w:rPr>
          <w:rStyle w:val="Boldtext"/>
        </w:rPr>
        <w:t xml:space="preserve">Technical advisory provided through component </w:t>
      </w:r>
      <w:r w:rsidR="3446BA6E" w:rsidRPr="750E80E3">
        <w:rPr>
          <w:rStyle w:val="Boldtext"/>
        </w:rPr>
        <w:t xml:space="preserve">1 </w:t>
      </w:r>
      <w:r w:rsidR="00071BA7">
        <w:rPr>
          <w:rStyle w:val="Boldtext"/>
        </w:rPr>
        <w:t>has also helped FIs and developers overcome barriers related to understanding of green construction</w:t>
      </w:r>
      <w:r w:rsidR="00E841B3">
        <w:rPr>
          <w:rStyle w:val="Boldtext"/>
        </w:rPr>
        <w:t xml:space="preserve">. This </w:t>
      </w:r>
      <w:r w:rsidR="00E7659A">
        <w:rPr>
          <w:rStyle w:val="Boldtext"/>
        </w:rPr>
        <w:t xml:space="preserve">has been a key enabler to investment and it </w:t>
      </w:r>
      <w:r w:rsidR="00E841B3">
        <w:rPr>
          <w:rStyle w:val="Boldtext"/>
        </w:rPr>
        <w:t xml:space="preserve">has also helped to generate interest in green construction beyond </w:t>
      </w:r>
      <w:r w:rsidR="00BC2ABD">
        <w:rPr>
          <w:rStyle w:val="Boldtext"/>
        </w:rPr>
        <w:t xml:space="preserve">FIs receiving support from IFC. </w:t>
      </w:r>
    </w:p>
    <w:p w14:paraId="129A9AFD" w14:textId="372BD5D6" w:rsidR="00EA4A10" w:rsidRDefault="00071BA7" w:rsidP="00E7659A">
      <w:r w:rsidRPr="001F653F">
        <w:t>There are several examples of cases where</w:t>
      </w:r>
      <w:r w:rsidR="0080467B">
        <w:t xml:space="preserve"> technical</w:t>
      </w:r>
      <w:r w:rsidRPr="001F653F">
        <w:t xml:space="preserve"> advisory support provided through MAGC has successfully support</w:t>
      </w:r>
      <w:r w:rsidR="00AA60AE">
        <w:t>ed</w:t>
      </w:r>
      <w:r w:rsidRPr="001F653F">
        <w:t xml:space="preserve"> FIs to develop their green finance offering and </w:t>
      </w:r>
      <w:r w:rsidR="00BF6F62">
        <w:t>client engagement.</w:t>
      </w:r>
      <w:r w:rsidRPr="001F653F">
        <w:t xml:space="preserve"> </w:t>
      </w:r>
      <w:r w:rsidR="00E7659A" w:rsidRPr="00E7659A">
        <w:t>FIs interviewed mentioned that it is difficult for them to evaluate the risks of green construction projects. These projects are perceived as riskier than traditional construction because of the higher costs, longer timeframes to complete the project, and risk of low demand for green buildings. The advisory activity within component 1 is helping FIs to assess the risk of these operations. This was particularly prominent in Vietnam, where green construction is still a small market, compared to other countries.</w:t>
      </w:r>
      <w:r w:rsidR="00845AA3">
        <w:t xml:space="preserve"> </w:t>
      </w:r>
    </w:p>
    <w:p w14:paraId="7AF71924" w14:textId="0CCED435" w:rsidR="001444E1" w:rsidRDefault="001E0859" w:rsidP="00E7659A">
      <w:r>
        <w:t>Another example is a deal closed with an FI in Egyp</w:t>
      </w:r>
      <w:r w:rsidR="00242D5F">
        <w:t>t</w:t>
      </w:r>
      <w:r>
        <w:t xml:space="preserve">. </w:t>
      </w:r>
      <w:r w:rsidR="001444E1">
        <w:t xml:space="preserve">As part of MAGC, an FI developed a green bond facility </w:t>
      </w:r>
      <w:r w:rsidR="001444E1" w:rsidRPr="001F653F">
        <w:t xml:space="preserve">contingent on </w:t>
      </w:r>
      <w:r w:rsidR="001444E1">
        <w:t xml:space="preserve">green </w:t>
      </w:r>
      <w:r w:rsidR="001444E1" w:rsidRPr="001F653F">
        <w:t xml:space="preserve">building certification. IFC provided technical expertise to issue the green bond </w:t>
      </w:r>
      <w:r w:rsidR="001444E1">
        <w:t>and</w:t>
      </w:r>
      <w:r w:rsidR="001444E1" w:rsidRPr="001F653F">
        <w:t xml:space="preserve"> supported them to use the EDGE platform. </w:t>
      </w:r>
      <w:r w:rsidR="001444E1">
        <w:t>The u</w:t>
      </w:r>
      <w:r w:rsidR="001444E1" w:rsidRPr="001F653F">
        <w:t>se of CAFI has led to the bank deciding to establish an internal tool</w:t>
      </w:r>
      <w:r w:rsidR="001444E1">
        <w:t xml:space="preserve"> to assess compliance of projects with the criteria for green finance</w:t>
      </w:r>
      <w:r w:rsidR="001444E1" w:rsidRPr="001F653F">
        <w:t>.</w:t>
      </w:r>
      <w:r w:rsidR="001444E1">
        <w:t xml:space="preserve"> IFC held </w:t>
      </w:r>
      <w:r w:rsidR="001444E1" w:rsidRPr="00E7659A">
        <w:t xml:space="preserve">several outreach events with the </w:t>
      </w:r>
      <w:r w:rsidR="001444E1">
        <w:t>b</w:t>
      </w:r>
      <w:r w:rsidR="001444E1" w:rsidRPr="00E7659A">
        <w:t>ank (EDGE training for bank staff, organising site and joint visits with key accounts, awareness raising sessions with other teams</w:t>
      </w:r>
      <w:r w:rsidR="001444E1">
        <w:t>). The first deal was fully disbursed within two years and in 2023 a second deal was signed with the same FI. Without the advisory activity, i</w:t>
      </w:r>
      <w:r w:rsidR="001444E1" w:rsidRPr="00E7659A">
        <w:t xml:space="preserve">t is unlikely that MAGC would have </w:t>
      </w:r>
      <w:r w:rsidR="001444E1">
        <w:t>achieved the same number of deals and amount of funding disbursed</w:t>
      </w:r>
      <w:r w:rsidR="001444E1" w:rsidRPr="00E7659A">
        <w:t>.</w:t>
      </w:r>
    </w:p>
    <w:p w14:paraId="0F09B92A" w14:textId="1FA6E6C8" w:rsidR="00E7659A" w:rsidRDefault="006A265B" w:rsidP="00E7659A">
      <w:r>
        <w:t>T</w:t>
      </w:r>
      <w:r w:rsidR="00A40CEF">
        <w:t xml:space="preserve">he advisory </w:t>
      </w:r>
      <w:r w:rsidR="009207FC">
        <w:t xml:space="preserve">support </w:t>
      </w:r>
      <w:r>
        <w:t>provided</w:t>
      </w:r>
      <w:r w:rsidR="00A40CEF">
        <w:t xml:space="preserve"> through component 1 </w:t>
      </w:r>
      <w:r>
        <w:t xml:space="preserve">has worked </w:t>
      </w:r>
      <w:r w:rsidR="006D769D">
        <w:t>well</w:t>
      </w:r>
      <w:r>
        <w:t xml:space="preserve"> with the capacity building provided through</w:t>
      </w:r>
      <w:r w:rsidR="00A40CEF">
        <w:t xml:space="preserve"> component 2. This has enabled </w:t>
      </w:r>
      <w:r>
        <w:t xml:space="preserve">both </w:t>
      </w:r>
      <w:r w:rsidR="00A40CEF">
        <w:t>FIs and their developer clients to build the necessary knowledge to understand green construction standards and the process of certification. Advisory support targeted at expanding EDGE awareness, knowledge, adoption and certification with</w:t>
      </w:r>
      <w:r w:rsidR="00A97DC4">
        <w:t>in</w:t>
      </w:r>
      <w:r w:rsidR="00A40CEF">
        <w:t xml:space="preserve"> FIs and </w:t>
      </w:r>
      <w:r w:rsidR="00A97DC4">
        <w:t xml:space="preserve">amongst </w:t>
      </w:r>
      <w:r w:rsidR="00A40CEF">
        <w:t xml:space="preserve">their clients is helping to </w:t>
      </w:r>
      <w:r w:rsidR="006E1337">
        <w:t>accelerate the market</w:t>
      </w:r>
      <w:r w:rsidR="00441513">
        <w:t xml:space="preserve"> </w:t>
      </w:r>
      <w:r w:rsidR="00A40CEF">
        <w:t xml:space="preserve">achieve </w:t>
      </w:r>
      <w:r w:rsidR="00A97DC4">
        <w:t xml:space="preserve">financing </w:t>
      </w:r>
      <w:r w:rsidR="00A40CEF">
        <w:t xml:space="preserve">outcomes. </w:t>
      </w:r>
    </w:p>
    <w:p w14:paraId="59571CF1" w14:textId="191B6922" w:rsidR="00A566DE" w:rsidRDefault="00510860" w:rsidP="003B3C43">
      <w:r>
        <w:t xml:space="preserve">The evidence available suggests that MAGC is helping individual FIs </w:t>
      </w:r>
      <w:r w:rsidR="00BF6F62">
        <w:t xml:space="preserve">achieve </w:t>
      </w:r>
      <w:r>
        <w:t>desired outcomes around valuing and understanding green construction</w:t>
      </w:r>
      <w:r w:rsidR="00BF6F62">
        <w:t xml:space="preserve">. </w:t>
      </w:r>
    </w:p>
    <w:p w14:paraId="6E4EC74E" w14:textId="76F41A6B" w:rsidR="00A566DE" w:rsidRPr="009B5463" w:rsidRDefault="00A566DE" w:rsidP="00DF510D">
      <w:pPr>
        <w:pStyle w:val="Quote"/>
      </w:pPr>
      <w:r w:rsidRPr="00DF510D">
        <w:t>"I can say that wherever we are today in terms of green initiatives at our company, it is due to the advisory we have received from the IFC. That encompasses everything, I believe. Without it, we wouldn’t have obtained even a single certificate, and our teams would not have been trained towards it, if not for this advisory." (Financial Institution, India)</w:t>
      </w:r>
    </w:p>
    <w:p w14:paraId="6F484F9D" w14:textId="241A3E6A" w:rsidR="008C1C8D" w:rsidRPr="008C1C8D" w:rsidRDefault="008C1C8D" w:rsidP="008C1C8D">
      <w:pPr>
        <w:pStyle w:val="Heading3"/>
      </w:pPr>
      <w:bookmarkStart w:id="30" w:name="_Toc178692278"/>
      <w:bookmarkStart w:id="31" w:name="_Toc178758687"/>
      <w:bookmarkStart w:id="32" w:name="_Toc181361036"/>
      <w:bookmarkStart w:id="33" w:name="_Toc182236769"/>
      <w:bookmarkStart w:id="34" w:name="_Toc189155218"/>
      <w:r w:rsidRPr="008C1C8D">
        <w:t xml:space="preserve">5.1.2 </w:t>
      </w:r>
      <w:r w:rsidR="003E60F2">
        <w:t xml:space="preserve">Component 2: </w:t>
      </w:r>
      <w:r w:rsidRPr="008C1C8D">
        <w:t>Capacity building</w:t>
      </w:r>
      <w:bookmarkEnd w:id="30"/>
      <w:bookmarkEnd w:id="31"/>
      <w:bookmarkEnd w:id="32"/>
      <w:bookmarkEnd w:id="33"/>
      <w:bookmarkEnd w:id="34"/>
    </w:p>
    <w:p w14:paraId="58C39D60" w14:textId="516BB27D" w:rsidR="00FD7C2F" w:rsidRDefault="00393680" w:rsidP="0083442F">
      <w:r>
        <w:t>Component 2 focuse</w:t>
      </w:r>
      <w:r w:rsidR="00B175A5">
        <w:t>s</w:t>
      </w:r>
      <w:r>
        <w:t xml:space="preserve"> on capacity building at the </w:t>
      </w:r>
      <w:r w:rsidR="00D76E05">
        <w:t>country-</w:t>
      </w:r>
      <w:r>
        <w:t>level</w:t>
      </w:r>
      <w:r w:rsidR="00B175A5">
        <w:t xml:space="preserve">. It </w:t>
      </w:r>
      <w:r w:rsidR="00D05F3F">
        <w:t>aims to raise</w:t>
      </w:r>
      <w:r w:rsidR="008F7431">
        <w:t xml:space="preserve"> a</w:t>
      </w:r>
      <w:r w:rsidR="008F7431" w:rsidRPr="008F7431">
        <w:t>wareness on green buildings and technical assistance to the private and public sector, to strengthen capacity of the sector and improve the enabling environment</w:t>
      </w:r>
      <w:r w:rsidR="00D05F3F">
        <w:t>.</w:t>
      </w:r>
      <w:r w:rsidR="00CB6D14">
        <w:t xml:space="preserve"> </w:t>
      </w:r>
      <w:r w:rsidR="00753825">
        <w:t>To achieve this, t</w:t>
      </w:r>
      <w:r w:rsidR="003F68FB">
        <w:t>he programme uses</w:t>
      </w:r>
      <w:r w:rsidR="00DF5927">
        <w:t xml:space="preserve"> market engagement plans</w:t>
      </w:r>
      <w:r w:rsidR="00D327BB">
        <w:t xml:space="preserve">. These </w:t>
      </w:r>
      <w:r w:rsidR="00DF5927">
        <w:t>include the delivery of</w:t>
      </w:r>
      <w:r w:rsidR="00AB0FF5">
        <w:t xml:space="preserve"> workshops, webinars</w:t>
      </w:r>
      <w:r w:rsidR="00C9106E">
        <w:t>, publications, and</w:t>
      </w:r>
      <w:r w:rsidR="001165D8">
        <w:t xml:space="preserve"> trainings</w:t>
      </w:r>
      <w:r w:rsidR="00D71809">
        <w:t xml:space="preserve"> to</w:t>
      </w:r>
      <w:r w:rsidR="00215CB1">
        <w:t xml:space="preserve"> various professionals</w:t>
      </w:r>
      <w:r w:rsidR="000F1B10">
        <w:t xml:space="preserve"> (</w:t>
      </w:r>
      <w:r w:rsidR="00D71809">
        <w:t>architects, designers, building developers, auditors</w:t>
      </w:r>
      <w:r w:rsidR="0021500E">
        <w:t xml:space="preserve">, </w:t>
      </w:r>
      <w:r w:rsidR="00D71809">
        <w:t xml:space="preserve">certifiers, and </w:t>
      </w:r>
      <w:r w:rsidR="00C47001">
        <w:t>policymakers</w:t>
      </w:r>
      <w:r w:rsidR="000F1B10">
        <w:t>)</w:t>
      </w:r>
      <w:r w:rsidR="00EF3DD9">
        <w:t xml:space="preserve">. </w:t>
      </w:r>
      <w:r w:rsidR="003D2AE9" w:rsidRPr="003D2AE9">
        <w:t>The underlying hypothesis was that increased knowledge and skills within these key stakeholder groups would lead to greater adoption of green building practices.</w:t>
      </w:r>
    </w:p>
    <w:p w14:paraId="250746CD" w14:textId="79032323" w:rsidR="007D28F2" w:rsidRDefault="00F6566D" w:rsidP="00AB7BA1">
      <w:r>
        <w:t xml:space="preserve">Overall, the capacity building component of MAGC </w:t>
      </w:r>
      <w:r w:rsidR="001F7B27">
        <w:t>has been</w:t>
      </w:r>
      <w:r>
        <w:t xml:space="preserve"> effective in increasing awareness of green buildings across stakeholder types</w:t>
      </w:r>
      <w:r w:rsidR="00841B2F">
        <w:t xml:space="preserve"> (developers, auditors, certifiers, industry associations</w:t>
      </w:r>
      <w:r w:rsidR="00D327BB">
        <w:t xml:space="preserve">). Capacity building has also contributed </w:t>
      </w:r>
      <w:r>
        <w:t xml:space="preserve">to professional </w:t>
      </w:r>
      <w:r w:rsidR="00526795">
        <w:t>development and</w:t>
      </w:r>
      <w:r>
        <w:t xml:space="preserve"> creat</w:t>
      </w:r>
      <w:r w:rsidR="00B619B1">
        <w:t>ing</w:t>
      </w:r>
      <w:r>
        <w:t xml:space="preserve"> meaningful connections and partnerships. More focus on </w:t>
      </w:r>
      <w:r w:rsidR="00F4523B">
        <w:t>the public sector (potentially through engagement</w:t>
      </w:r>
      <w:r w:rsidR="00A97DC4">
        <w:t xml:space="preserve"> with Embassies</w:t>
      </w:r>
      <w:r w:rsidR="00F4523B">
        <w:t>) and on the demand side of green buildings</w:t>
      </w:r>
      <w:r w:rsidR="00A3768A">
        <w:t xml:space="preserve"> </w:t>
      </w:r>
      <w:r>
        <w:t>could further improve the outcomes of this component.</w:t>
      </w:r>
      <w:r w:rsidR="000A22CA">
        <w:t xml:space="preserve"> </w:t>
      </w:r>
    </w:p>
    <w:p w14:paraId="4BE1C05D" w14:textId="447D9A48" w:rsidR="00392A7A" w:rsidRDefault="00392A7A" w:rsidP="00392A7A">
      <w:r>
        <w:rPr>
          <w:rStyle w:val="Boldtext"/>
        </w:rPr>
        <w:t xml:space="preserve">A. </w:t>
      </w:r>
      <w:r w:rsidR="0083442F" w:rsidRPr="001A1F1B">
        <w:rPr>
          <w:rStyle w:val="Boldtext"/>
        </w:rPr>
        <w:t xml:space="preserve">Events and workshops </w:t>
      </w:r>
      <w:r w:rsidR="00677965">
        <w:rPr>
          <w:rStyle w:val="Boldtext"/>
        </w:rPr>
        <w:t xml:space="preserve">delivered through MAGC </w:t>
      </w:r>
      <w:r w:rsidR="0083442F" w:rsidRPr="001A1F1B">
        <w:rPr>
          <w:rStyle w:val="Boldtext"/>
        </w:rPr>
        <w:t xml:space="preserve">increased awareness and understanding about green building principles and practices amongst various stakeholder types (developers, FIs, </w:t>
      </w:r>
      <w:r w:rsidR="0083442F" w:rsidRPr="00C85CAA">
        <w:rPr>
          <w:rStyle w:val="Boldtext"/>
        </w:rPr>
        <w:t>public sector</w:t>
      </w:r>
      <w:r w:rsidR="0083442F" w:rsidRPr="001A1F1B">
        <w:rPr>
          <w:rStyle w:val="Boldtext"/>
        </w:rPr>
        <w:t>).</w:t>
      </w:r>
      <w:r w:rsidR="00F6566D">
        <w:t xml:space="preserve"> </w:t>
      </w:r>
      <w:r w:rsidR="00977141">
        <w:t>Beyond the advisory services to FIs</w:t>
      </w:r>
      <w:r w:rsidR="00957128">
        <w:t xml:space="preserve"> (component 1)</w:t>
      </w:r>
      <w:r w:rsidR="00977141">
        <w:t xml:space="preserve">, </w:t>
      </w:r>
      <w:r w:rsidR="00F6566D">
        <w:t>IFC delivered a variety of activities</w:t>
      </w:r>
      <w:r w:rsidR="00977141">
        <w:t xml:space="preserve"> as part of market-level engagement plans</w:t>
      </w:r>
      <w:r w:rsidR="00056436">
        <w:t>:</w:t>
      </w:r>
      <w:r w:rsidR="00F6566D">
        <w:t xml:space="preserve"> </w:t>
      </w:r>
    </w:p>
    <w:p w14:paraId="4CFF2262" w14:textId="3F3B3C1A" w:rsidR="00392A7A" w:rsidRDefault="00D327BB" w:rsidP="00392A7A">
      <w:pPr>
        <w:pStyle w:val="DESNZbulletedlist"/>
      </w:pPr>
      <w:r>
        <w:t xml:space="preserve">Events </w:t>
      </w:r>
      <w:r w:rsidR="00F6566D">
        <w:t>to promote green construction and EDGE</w:t>
      </w:r>
      <w:r w:rsidR="00392A7A">
        <w:t>.</w:t>
      </w:r>
      <w:r w:rsidR="00F6566D">
        <w:t xml:space="preserve"> </w:t>
      </w:r>
    </w:p>
    <w:p w14:paraId="394A92F0" w14:textId="7E93B2A1" w:rsidR="00392A7A" w:rsidRDefault="00392A7A" w:rsidP="00392A7A">
      <w:pPr>
        <w:pStyle w:val="DESNZbulletedlist"/>
      </w:pPr>
      <w:r>
        <w:t>W</w:t>
      </w:r>
      <w:r w:rsidR="00F6566D">
        <w:t xml:space="preserve">orkshops focused on technical skills for </w:t>
      </w:r>
      <w:r w:rsidR="00E2596E">
        <w:t xml:space="preserve">real estate </w:t>
      </w:r>
      <w:r w:rsidR="00F6566D">
        <w:t>developers</w:t>
      </w:r>
      <w:r>
        <w:t>.</w:t>
      </w:r>
      <w:r w:rsidR="00F6566D">
        <w:t xml:space="preserve"> </w:t>
      </w:r>
    </w:p>
    <w:p w14:paraId="323D6C2E" w14:textId="323277BD" w:rsidR="00392A7A" w:rsidRPr="00C85CAA" w:rsidRDefault="00392A7A" w:rsidP="00392A7A">
      <w:pPr>
        <w:pStyle w:val="DESNZbulletedlist"/>
      </w:pPr>
      <w:r w:rsidRPr="00C85CAA">
        <w:t>W</w:t>
      </w:r>
      <w:r w:rsidR="00F6566D" w:rsidRPr="00C85CAA">
        <w:t xml:space="preserve">orkshops for Ministry staff to build a </w:t>
      </w:r>
      <w:r w:rsidR="005B466A" w:rsidRPr="00C85CAA">
        <w:t>foundational understanding</w:t>
      </w:r>
      <w:r w:rsidR="00F6566D" w:rsidRPr="00C85CAA">
        <w:t xml:space="preserve"> of green building </w:t>
      </w:r>
      <w:r w:rsidR="00977141" w:rsidRPr="00C85CAA">
        <w:t>principles</w:t>
      </w:r>
      <w:r w:rsidRPr="00C85CAA">
        <w:t>.</w:t>
      </w:r>
    </w:p>
    <w:p w14:paraId="0BE3D349" w14:textId="09CFA569" w:rsidR="00392A7A" w:rsidRPr="00C85CAA" w:rsidRDefault="00392A7A" w:rsidP="00392A7A">
      <w:pPr>
        <w:pStyle w:val="DESNZbulletedlist"/>
      </w:pPr>
      <w:r w:rsidRPr="00C85CAA">
        <w:t>O</w:t>
      </w:r>
      <w:r w:rsidR="00977141" w:rsidRPr="00C85CAA">
        <w:t xml:space="preserve">ther sustainability events in partnership with private and public organisations. </w:t>
      </w:r>
    </w:p>
    <w:p w14:paraId="160F66BD" w14:textId="0867DB52" w:rsidR="00A3768A" w:rsidRDefault="00841B2F" w:rsidP="00392A7A">
      <w:r w:rsidRPr="00C85CAA">
        <w:t>Public and</w:t>
      </w:r>
      <w:r>
        <w:t xml:space="preserve"> private sector organisations</w:t>
      </w:r>
      <w:r w:rsidR="007845F6">
        <w:t xml:space="preserve"> interviewed for this evaluation converged in</w:t>
      </w:r>
      <w:r w:rsidR="001A1F1B">
        <w:t xml:space="preserve"> </w:t>
      </w:r>
      <w:r w:rsidR="007845F6">
        <w:t>their view that the events had</w:t>
      </w:r>
      <w:r w:rsidR="001A1F1B">
        <w:t xml:space="preserve"> increased</w:t>
      </w:r>
      <w:r w:rsidR="007845F6">
        <w:t xml:space="preserve"> their</w:t>
      </w:r>
      <w:r w:rsidR="001A1F1B">
        <w:t xml:space="preserve"> awareness and understanding about green building principles and practices. </w:t>
      </w:r>
      <w:r w:rsidR="005362B7">
        <w:t>It was particularly helpful for</w:t>
      </w:r>
      <w:r w:rsidR="00612F42">
        <w:t xml:space="preserve"> </w:t>
      </w:r>
      <w:r w:rsidR="007A15C9" w:rsidRPr="00C85CAA">
        <w:t>policymakers</w:t>
      </w:r>
      <w:r w:rsidR="00612F42" w:rsidRPr="00C85CAA">
        <w:t xml:space="preserve"> and</w:t>
      </w:r>
      <w:r w:rsidR="00612F42">
        <w:t xml:space="preserve"> </w:t>
      </w:r>
      <w:r w:rsidR="007A15C9">
        <w:t>building developers</w:t>
      </w:r>
      <w:r w:rsidR="00612F42">
        <w:t xml:space="preserve"> who were not previously involved in the green building sector</w:t>
      </w:r>
      <w:r w:rsidR="005362B7">
        <w:t>.</w:t>
      </w:r>
      <w:r w:rsidR="00612F42">
        <w:t xml:space="preserve"> </w:t>
      </w:r>
      <w:r w:rsidR="005362B7">
        <w:t xml:space="preserve">They </w:t>
      </w:r>
      <w:r w:rsidR="00612F42">
        <w:t xml:space="preserve">reported that </w:t>
      </w:r>
      <w:r w:rsidR="00451346">
        <w:t xml:space="preserve">the </w:t>
      </w:r>
      <w:r w:rsidR="00612F42">
        <w:t>training</w:t>
      </w:r>
      <w:r w:rsidR="00451346">
        <w:t xml:space="preserve"> </w:t>
      </w:r>
      <w:r w:rsidR="00BB2F7D" w:rsidRPr="00BB2F7D">
        <w:t>provided a foundation for their awareness and understanding of green building definitions and certification systems</w:t>
      </w:r>
      <w:r w:rsidR="00612F42">
        <w:t xml:space="preserve">. </w:t>
      </w:r>
      <w:r w:rsidR="00692337">
        <w:t xml:space="preserve">This is reflected also in the </w:t>
      </w:r>
      <w:r w:rsidR="00015016">
        <w:t xml:space="preserve">FY24 </w:t>
      </w:r>
      <w:r w:rsidR="00692337">
        <w:t>annual results, with</w:t>
      </w:r>
      <w:r w:rsidR="00692337" w:rsidRPr="00692337">
        <w:t xml:space="preserve"> </w:t>
      </w:r>
      <w:r w:rsidR="00015016" w:rsidRPr="00692337">
        <w:t>9</w:t>
      </w:r>
      <w:r w:rsidR="00015016">
        <w:t>7</w:t>
      </w:r>
      <w:r w:rsidR="00692337" w:rsidRPr="00692337">
        <w:t xml:space="preserve">% of </w:t>
      </w:r>
      <w:r w:rsidR="00692337">
        <w:t xml:space="preserve">participants </w:t>
      </w:r>
      <w:r w:rsidR="00015016">
        <w:t>(out of 1</w:t>
      </w:r>
      <w:r w:rsidR="45B6780D">
        <w:t>,</w:t>
      </w:r>
      <w:r w:rsidR="00015016">
        <w:t>972</w:t>
      </w:r>
      <w:r w:rsidR="600C5603">
        <w:t xml:space="preserve"> surveyed</w:t>
      </w:r>
      <w:r w:rsidR="00015016">
        <w:t xml:space="preserve">) </w:t>
      </w:r>
      <w:r w:rsidR="00692337">
        <w:t xml:space="preserve">in MAGC activities reporting </w:t>
      </w:r>
      <w:r w:rsidR="00692337" w:rsidRPr="00692337">
        <w:t xml:space="preserve">an increased understanding of certified green buildings. </w:t>
      </w:r>
    </w:p>
    <w:p w14:paraId="6C1945A1" w14:textId="1470487C" w:rsidR="003D3E04" w:rsidRDefault="00A3768A" w:rsidP="00A3768A">
      <w:pPr>
        <w:pStyle w:val="Quote"/>
      </w:pPr>
      <w:r w:rsidRPr="00C85CAA">
        <w:t>“We are mindful of embodied carbon, we are mindful of water conservation, we are mindful of all the principles for EDGE. So, we treat every building like we are submitting it for EDGE certification. So, there's been a paradigm shift, really, in how we approach our work, after that training." (Ghana, policy stakeholder)</w:t>
      </w:r>
    </w:p>
    <w:p w14:paraId="06EE8C25" w14:textId="3D59FB9A" w:rsidR="00FD526B" w:rsidRPr="00FD526B" w:rsidRDefault="00FD526B" w:rsidP="00FD526B">
      <w:pPr>
        <w:pStyle w:val="Tintbox"/>
        <w:rPr>
          <w:rStyle w:val="Boldtext"/>
        </w:rPr>
      </w:pPr>
      <w:r w:rsidRPr="00FD526B">
        <w:rPr>
          <w:rStyle w:val="Boldtext"/>
        </w:rPr>
        <w:t>Egypt</w:t>
      </w:r>
    </w:p>
    <w:p w14:paraId="088312AE" w14:textId="0E9149F7" w:rsidR="00FD526B" w:rsidRDefault="00FD526B" w:rsidP="00FD526B">
      <w:pPr>
        <w:pStyle w:val="Tintbox"/>
      </w:pPr>
      <w:r w:rsidRPr="00FD526B">
        <w:t xml:space="preserve">A fund for social housing participated in </w:t>
      </w:r>
      <w:r w:rsidR="00143AC2">
        <w:t xml:space="preserve">an </w:t>
      </w:r>
      <w:r w:rsidRPr="00FD526B">
        <w:t>IFC capacity building</w:t>
      </w:r>
      <w:r w:rsidR="00143AC2">
        <w:t xml:space="preserve"> event</w:t>
      </w:r>
      <w:r w:rsidRPr="00FD526B">
        <w:t>, which helped them understand green building benefits</w:t>
      </w:r>
      <w:r w:rsidR="005362B7">
        <w:t>. A</w:t>
      </w:r>
      <w:r w:rsidR="00464DFA">
        <w:t>s part of their future plans,</w:t>
      </w:r>
      <w:r w:rsidRPr="00FD526B">
        <w:t xml:space="preserve"> they </w:t>
      </w:r>
      <w:r w:rsidR="00464DFA">
        <w:t>are</w:t>
      </w:r>
      <w:r w:rsidR="00925DA7">
        <w:t xml:space="preserve"> </w:t>
      </w:r>
      <w:r w:rsidRPr="00FD526B">
        <w:t>consider</w:t>
      </w:r>
      <w:r w:rsidR="00464DFA">
        <w:t>ing</w:t>
      </w:r>
      <w:r w:rsidRPr="00FD526B">
        <w:t xml:space="preserve"> making green building standards mandatory for all projects.</w:t>
      </w:r>
    </w:p>
    <w:p w14:paraId="45CE76C2" w14:textId="2990336D" w:rsidR="00D645AF" w:rsidRPr="00392A7A" w:rsidRDefault="00D645AF" w:rsidP="00FD526B">
      <w:pPr>
        <w:pStyle w:val="Tintbox"/>
        <w:rPr>
          <w:b/>
          <w:bCs/>
        </w:rPr>
      </w:pPr>
      <w:r w:rsidRPr="00392A7A">
        <w:rPr>
          <w:b/>
          <w:bCs/>
        </w:rPr>
        <w:t>Vietnam</w:t>
      </w:r>
    </w:p>
    <w:p w14:paraId="05FAD810" w14:textId="261F07D8" w:rsidR="00D645AF" w:rsidRPr="00FD526B" w:rsidRDefault="00D645AF" w:rsidP="00FD526B">
      <w:pPr>
        <w:pStyle w:val="Tintbox"/>
      </w:pPr>
      <w:r>
        <w:t xml:space="preserve">A common theme among </w:t>
      </w:r>
      <w:r w:rsidR="00841B2F">
        <w:t xml:space="preserve">interviewees </w:t>
      </w:r>
      <w:r>
        <w:t xml:space="preserve">from all sectors consulted in Vietnam was that </w:t>
      </w:r>
      <w:r w:rsidRPr="00730E97">
        <w:t>IFC-sponsored or supported events like Green Building Week introduce</w:t>
      </w:r>
      <w:r>
        <w:t>d</w:t>
      </w:r>
      <w:r w:rsidRPr="00730E97">
        <w:t xml:space="preserve"> the green construction sector to a broader audience</w:t>
      </w:r>
      <w:r w:rsidR="00680649">
        <w:t>. This spread awareness to those</w:t>
      </w:r>
      <w:r w:rsidRPr="00730E97">
        <w:t xml:space="preserve"> who may not </w:t>
      </w:r>
      <w:r w:rsidR="00680649">
        <w:t xml:space="preserve">have </w:t>
      </w:r>
      <w:r w:rsidRPr="00730E97">
        <w:t>be</w:t>
      </w:r>
      <w:r w:rsidR="00680649">
        <w:t>en</w:t>
      </w:r>
      <w:r w:rsidRPr="00730E97">
        <w:t xml:space="preserve"> directly involved in the green construction segment yet</w:t>
      </w:r>
      <w:r>
        <w:t>.</w:t>
      </w:r>
    </w:p>
    <w:p w14:paraId="3566256A" w14:textId="2FB5D60A" w:rsidR="0088240F" w:rsidRDefault="000F43BC" w:rsidP="00C85CAA">
      <w:r>
        <w:rPr>
          <w:rStyle w:val="Boldtext"/>
        </w:rPr>
        <w:t xml:space="preserve">B. </w:t>
      </w:r>
      <w:r w:rsidR="00612F42" w:rsidRPr="004A6298">
        <w:rPr>
          <w:rStyle w:val="Boldtext"/>
        </w:rPr>
        <w:t>C</w:t>
      </w:r>
      <w:r w:rsidR="0083442F" w:rsidRPr="004A6298">
        <w:rPr>
          <w:rStyle w:val="Boldtext"/>
        </w:rPr>
        <w:t xml:space="preserve">apacity building </w:t>
      </w:r>
      <w:r w:rsidR="00DC1467">
        <w:rPr>
          <w:rStyle w:val="Boldtext"/>
        </w:rPr>
        <w:t xml:space="preserve">delivered through MAGC </w:t>
      </w:r>
      <w:r w:rsidR="00612F42" w:rsidRPr="004A6298">
        <w:rPr>
          <w:rStyle w:val="Boldtext"/>
        </w:rPr>
        <w:t xml:space="preserve">also </w:t>
      </w:r>
      <w:r w:rsidR="0083442F" w:rsidRPr="004A6298">
        <w:rPr>
          <w:rStyle w:val="Boldtext"/>
        </w:rPr>
        <w:t xml:space="preserve">contributed to professional development within construction and certification companies, </w:t>
      </w:r>
      <w:r w:rsidR="00143AC2">
        <w:rPr>
          <w:rStyle w:val="Boldtext"/>
        </w:rPr>
        <w:t xml:space="preserve">leading to </w:t>
      </w:r>
      <w:r w:rsidR="0083442F" w:rsidRPr="004A6298">
        <w:rPr>
          <w:rStyle w:val="Boldtext"/>
        </w:rPr>
        <w:t>improvements in daily work and technical knowledge</w:t>
      </w:r>
      <w:r w:rsidR="0083442F" w:rsidRPr="0083442F">
        <w:t>.</w:t>
      </w:r>
      <w:r w:rsidR="00612F42">
        <w:t xml:space="preserve"> </w:t>
      </w:r>
      <w:r w:rsidR="00281CA0">
        <w:t>After participating in</w:t>
      </w:r>
      <w:r w:rsidR="00612F42">
        <w:t xml:space="preserve"> training</w:t>
      </w:r>
      <w:r w:rsidR="00281CA0">
        <w:t xml:space="preserve"> </w:t>
      </w:r>
      <w:r w:rsidR="00612F42">
        <w:t>s</w:t>
      </w:r>
      <w:r w:rsidR="00281CA0">
        <w:t>essions</w:t>
      </w:r>
      <w:r w:rsidR="00612F42">
        <w:t xml:space="preserve"> on EDGE, developers</w:t>
      </w:r>
      <w:r w:rsidR="004A6298">
        <w:t xml:space="preserve"> and certification companies</w:t>
      </w:r>
      <w:r w:rsidR="00281CA0">
        <w:t xml:space="preserve"> interviewed for this evaluation</w:t>
      </w:r>
      <w:r w:rsidR="00612F42">
        <w:t xml:space="preserve"> reported enhanced skills related to EDGE.</w:t>
      </w:r>
      <w:r w:rsidR="004A6298">
        <w:t xml:space="preserve"> For example, developers recognised an improved understanding </w:t>
      </w:r>
      <w:r w:rsidR="008C4E04">
        <w:t xml:space="preserve">in </w:t>
      </w:r>
      <w:r w:rsidR="004A6298">
        <w:t xml:space="preserve">how to implement EDGE in practice and the types of EDGE certifications. </w:t>
      </w:r>
    </w:p>
    <w:p w14:paraId="2118196C" w14:textId="6FB3CAD1" w:rsidR="0088240F" w:rsidRPr="00FD526B" w:rsidRDefault="0088240F" w:rsidP="0088240F">
      <w:pPr>
        <w:pStyle w:val="Tintbox"/>
        <w:rPr>
          <w:rStyle w:val="Boldtext"/>
        </w:rPr>
      </w:pPr>
      <w:r>
        <w:rPr>
          <w:rStyle w:val="Boldtext"/>
        </w:rPr>
        <w:t>Mexico</w:t>
      </w:r>
    </w:p>
    <w:p w14:paraId="3493FE28" w14:textId="2408A464" w:rsidR="0088240F" w:rsidRPr="00FD526B" w:rsidRDefault="0088240F" w:rsidP="0088240F">
      <w:pPr>
        <w:pStyle w:val="Tintbox"/>
      </w:pPr>
      <w:r w:rsidRPr="0088240F">
        <w:t>A developer in Mexico initially used LEED for new constructions but switched to EDGE for existing buildings after learning about its less intrusive process and easier retrofitting application through interactions with IFC. This led to a</w:t>
      </w:r>
      <w:r>
        <w:t xml:space="preserve">n </w:t>
      </w:r>
      <w:r w:rsidRPr="0088240F">
        <w:t>increase in their EDGE certifications</w:t>
      </w:r>
      <w:r w:rsidRPr="00FD526B">
        <w:t>.</w:t>
      </w:r>
    </w:p>
    <w:p w14:paraId="6043C5AF" w14:textId="063A3AF5" w:rsidR="001C5342" w:rsidRDefault="00265FB4" w:rsidP="0083442F">
      <w:r>
        <w:t>EDGE certification partners</w:t>
      </w:r>
      <w:r w:rsidR="004A6298">
        <w:t xml:space="preserve"> also reported </w:t>
      </w:r>
      <w:r w:rsidR="008C4E04">
        <w:t xml:space="preserve">in </w:t>
      </w:r>
      <w:r w:rsidR="00A6284D">
        <w:t>the evaluation</w:t>
      </w:r>
      <w:r w:rsidR="008C4E04">
        <w:t xml:space="preserve"> interviews </w:t>
      </w:r>
      <w:r w:rsidR="004A6298">
        <w:t xml:space="preserve">that more professionals they work with </w:t>
      </w:r>
      <w:r w:rsidR="008C4E04">
        <w:t xml:space="preserve">were demonstrating </w:t>
      </w:r>
      <w:r w:rsidR="004A6298">
        <w:t>aware</w:t>
      </w:r>
      <w:r w:rsidR="006D66FC">
        <w:t>ness</w:t>
      </w:r>
      <w:r w:rsidR="004A6298">
        <w:t xml:space="preserve"> of the technical requirements for green building construction</w:t>
      </w:r>
      <w:r w:rsidR="0025214C">
        <w:t>. T</w:t>
      </w:r>
      <w:r w:rsidR="007A1411">
        <w:t xml:space="preserve">hey highlighted </w:t>
      </w:r>
      <w:r w:rsidR="00A564B1" w:rsidRPr="00A564B1">
        <w:t xml:space="preserve">that IFC capacity building </w:t>
      </w:r>
      <w:r w:rsidR="00A564B1">
        <w:t>may have</w:t>
      </w:r>
      <w:r w:rsidR="00A564B1" w:rsidRPr="00A564B1">
        <w:t xml:space="preserve"> contributed to this</w:t>
      </w:r>
      <w:r w:rsidR="004A6298">
        <w:t>.</w:t>
      </w:r>
      <w:r w:rsidR="007A1411">
        <w:t xml:space="preserve"> </w:t>
      </w:r>
    </w:p>
    <w:p w14:paraId="39E07482" w14:textId="7CC2A5D4" w:rsidR="0083442F" w:rsidRPr="0083442F" w:rsidRDefault="00155770" w:rsidP="00155770">
      <w:pPr>
        <w:pStyle w:val="Quote"/>
      </w:pPr>
      <w:r>
        <w:t>“F</w:t>
      </w:r>
      <w:r w:rsidRPr="00155770">
        <w:t xml:space="preserve">rom what we can see now in the market, many training sessions have been done, and people have been more and more qualified. For example, for </w:t>
      </w:r>
      <w:r>
        <w:t>EDGE</w:t>
      </w:r>
      <w:r w:rsidRPr="00155770">
        <w:t>, this is something that we have seen in the market.</w:t>
      </w:r>
      <w:r>
        <w:t>” (Egypt, green building consultant)</w:t>
      </w:r>
    </w:p>
    <w:p w14:paraId="41BBD3BD" w14:textId="783B8DA5" w:rsidR="0083442F" w:rsidRDefault="000F43BC" w:rsidP="0083442F">
      <w:r>
        <w:rPr>
          <w:rStyle w:val="Boldtext"/>
        </w:rPr>
        <w:t xml:space="preserve">C. </w:t>
      </w:r>
      <w:r w:rsidR="007E0746">
        <w:rPr>
          <w:rStyle w:val="Boldtext"/>
        </w:rPr>
        <w:t>As an unintended outcome (as it was</w:t>
      </w:r>
      <w:r w:rsidR="00871C20">
        <w:rPr>
          <w:rStyle w:val="Boldtext"/>
        </w:rPr>
        <w:t xml:space="preserve"> not a specific aim of component 2</w:t>
      </w:r>
      <w:r w:rsidR="007E0746">
        <w:rPr>
          <w:rStyle w:val="Boldtext"/>
        </w:rPr>
        <w:t>)</w:t>
      </w:r>
      <w:r w:rsidR="00871C20">
        <w:rPr>
          <w:rStyle w:val="Boldtext"/>
        </w:rPr>
        <w:t xml:space="preserve"> e</w:t>
      </w:r>
      <w:r w:rsidR="0083442F" w:rsidRPr="007A1411">
        <w:rPr>
          <w:rStyle w:val="Boldtext"/>
        </w:rPr>
        <w:t xml:space="preserve">vents </w:t>
      </w:r>
      <w:r w:rsidR="007A1411" w:rsidRPr="007A1411">
        <w:rPr>
          <w:rStyle w:val="Boldtext"/>
        </w:rPr>
        <w:t xml:space="preserve">also </w:t>
      </w:r>
      <w:r w:rsidR="0083442F" w:rsidRPr="007A1411">
        <w:rPr>
          <w:rStyle w:val="Boldtext"/>
        </w:rPr>
        <w:t>supported the creation of connections and networks</w:t>
      </w:r>
      <w:r w:rsidR="0083442F" w:rsidRPr="0083442F">
        <w:t>.</w:t>
      </w:r>
      <w:r w:rsidR="007A1411">
        <w:t xml:space="preserve"> Certification companies reported that through EDGE workshops, they came into contact with developers and potential clients. Where the embassy was involved in MAGC activities, such as in Colombia, they reported a positive impact of MAGC events on their work</w:t>
      </w:r>
      <w:r w:rsidR="00902A32">
        <w:t>. These impacts included</w:t>
      </w:r>
      <w:r w:rsidR="007A1411">
        <w:t xml:space="preserve"> increased engagement with financial institutions and a closer relationship with the green building sector and business associations. For some organisations already involved in promoting green buildings, p</w:t>
      </w:r>
      <w:r w:rsidR="0083442F" w:rsidRPr="0083442F">
        <w:t xml:space="preserve">artnering with IFC helped increase capacity and reach </w:t>
      </w:r>
      <w:r w:rsidR="007A1411">
        <w:t>for their</w:t>
      </w:r>
      <w:r w:rsidR="0083442F" w:rsidRPr="0083442F">
        <w:t xml:space="preserve"> awareness raising activities.</w:t>
      </w:r>
    </w:p>
    <w:p w14:paraId="2DF8D42C" w14:textId="78DEE2EA" w:rsidR="00856EC2" w:rsidRDefault="00856EC2" w:rsidP="00856EC2">
      <w:pPr>
        <w:pStyle w:val="Quote"/>
      </w:pPr>
      <w:r>
        <w:t>“</w:t>
      </w:r>
      <w:r w:rsidRPr="00856EC2">
        <w:t>There are some connections buil</w:t>
      </w:r>
      <w:r>
        <w:t>t</w:t>
      </w:r>
      <w:r w:rsidRPr="00856EC2">
        <w:t xml:space="preserve"> after attending events. For example, some sales colleagues of mine have received requests or </w:t>
      </w:r>
      <w:r w:rsidR="002C32A4">
        <w:t>e</w:t>
      </w:r>
      <w:r w:rsidR="002C32A4" w:rsidRPr="00856EC2">
        <w:t xml:space="preserve">nquiries </w:t>
      </w:r>
      <w:r w:rsidRPr="00856EC2">
        <w:t xml:space="preserve">after events. It might not happen immediately, but within 1-2 months, they get some </w:t>
      </w:r>
      <w:r w:rsidR="00437341">
        <w:t>e</w:t>
      </w:r>
      <w:r w:rsidR="00437341" w:rsidRPr="00856EC2">
        <w:t xml:space="preserve">nquiries </w:t>
      </w:r>
      <w:r w:rsidRPr="00856EC2">
        <w:t>about EDGE, with people reaching out saying: 'We met at that event, and I'd like to discuss further,' or something similar. I find that networking through these events is quite effective."</w:t>
      </w:r>
      <w:r>
        <w:t xml:space="preserve"> (Vietnam, certification company)</w:t>
      </w:r>
    </w:p>
    <w:p w14:paraId="4B65C2BC" w14:textId="2F636E5E" w:rsidR="00DF24D3" w:rsidRDefault="00115A06" w:rsidP="006A0317">
      <w:r>
        <w:t>T</w:t>
      </w:r>
      <w:r w:rsidRPr="00115A06">
        <w:t xml:space="preserve">he strong presence of IFC in countries with </w:t>
      </w:r>
      <w:r w:rsidR="00D76E05" w:rsidRPr="00115A06">
        <w:t>country</w:t>
      </w:r>
      <w:r w:rsidR="00D76E05">
        <w:t>-</w:t>
      </w:r>
      <w:r w:rsidRPr="00115A06">
        <w:t>level market engagement plans</w:t>
      </w:r>
      <w:r w:rsidR="00B90C09">
        <w:t>, which</w:t>
      </w:r>
      <w:r>
        <w:t xml:space="preserve"> clearly emerged from stakeholder interviews</w:t>
      </w:r>
      <w:r w:rsidR="00841B2F">
        <w:t xml:space="preserve"> (FIs, building sector, policy)</w:t>
      </w:r>
      <w:r>
        <w:t>, was</w:t>
      </w:r>
      <w:r w:rsidRPr="00115A06">
        <w:t xml:space="preserve"> key to inform outcomes on understanding and valuing green buildings</w:t>
      </w:r>
      <w:r>
        <w:t xml:space="preserve">. </w:t>
      </w:r>
      <w:r w:rsidR="00DB0068">
        <w:t xml:space="preserve">One factor </w:t>
      </w:r>
      <w:r>
        <w:t>also</w:t>
      </w:r>
      <w:r w:rsidR="00DB0068">
        <w:t xml:space="preserve"> influencing</w:t>
      </w:r>
      <w:r w:rsidR="009C48A6">
        <w:t xml:space="preserve"> the</w:t>
      </w:r>
      <w:r w:rsidR="00A25EB1">
        <w:t xml:space="preserve"> achievement of these outcomes </w:t>
      </w:r>
      <w:r w:rsidR="00DB0068">
        <w:t xml:space="preserve">was </w:t>
      </w:r>
      <w:r w:rsidR="00F6597E" w:rsidRPr="0098546B">
        <w:t xml:space="preserve">IFC engagement with chambers, business associations, </w:t>
      </w:r>
      <w:r w:rsidR="00F6597E" w:rsidRPr="00F6597E">
        <w:t>green building councils, and embassies</w:t>
      </w:r>
      <w:r w:rsidR="00DB0068">
        <w:t>. Where this engagement was strong</w:t>
      </w:r>
      <w:r w:rsidR="00A25EB1">
        <w:t xml:space="preserve">, </w:t>
      </w:r>
      <w:r w:rsidR="00BC13C9">
        <w:t>it</w:t>
      </w:r>
      <w:r w:rsidR="00F6597E" w:rsidRPr="00F6597E">
        <w:t xml:space="preserve"> amplifie</w:t>
      </w:r>
      <w:r w:rsidR="00A25EB1">
        <w:t>d</w:t>
      </w:r>
      <w:r w:rsidR="00F6597E" w:rsidRPr="00F6597E">
        <w:t xml:space="preserve"> </w:t>
      </w:r>
      <w:r w:rsidR="00746843">
        <w:t xml:space="preserve">IFC’s </w:t>
      </w:r>
      <w:r w:rsidR="00F6597E" w:rsidRPr="00F6597E">
        <w:t>awareness and promot</w:t>
      </w:r>
      <w:r w:rsidR="00583A69">
        <w:t>ion</w:t>
      </w:r>
      <w:r w:rsidR="00F6597E" w:rsidRPr="00F6597E">
        <w:t xml:space="preserve"> </w:t>
      </w:r>
      <w:r w:rsidR="00746843">
        <w:t>efforts on</w:t>
      </w:r>
      <w:r w:rsidR="00F6597E" w:rsidRPr="00F6597E">
        <w:t xml:space="preserve"> green building adoption.</w:t>
      </w:r>
      <w:r w:rsidR="007820C8">
        <w:t xml:space="preserve"> </w:t>
      </w:r>
      <w:r w:rsidR="00746843" w:rsidRPr="00746843">
        <w:t xml:space="preserve">In Colombia, </w:t>
      </w:r>
      <w:r w:rsidR="00464DFA">
        <w:t xml:space="preserve">a </w:t>
      </w:r>
      <w:r w:rsidR="00746843" w:rsidRPr="00746843">
        <w:t>collaboration with Camacol (the Colombian Chamber of Construction)</w:t>
      </w:r>
      <w:r w:rsidR="00464DFA">
        <w:t>, which started before MAGC,</w:t>
      </w:r>
      <w:r w:rsidR="00746843" w:rsidRPr="00746843">
        <w:t xml:space="preserve"> enabled IFC to effectively engage local housing departments and advocate for green building incentives. Camacol’s established relationships within the local housing sector facilitated these engagements</w:t>
      </w:r>
      <w:r w:rsidR="00F6597E" w:rsidRPr="00F6597E">
        <w:t>. Similar partnerships in Kenya, through the Kenya Green Building Society, provided technical assistance and knowledge sharing.</w:t>
      </w:r>
    </w:p>
    <w:p w14:paraId="106A1900" w14:textId="23858326" w:rsidR="000C3A87" w:rsidRPr="000C3A87" w:rsidRDefault="00313846" w:rsidP="000C3A87">
      <w:pPr>
        <w:rPr>
          <w:b/>
        </w:rPr>
      </w:pPr>
      <w:bookmarkStart w:id="35" w:name="_Toc178692279"/>
      <w:bookmarkStart w:id="36" w:name="_Toc178758688"/>
      <w:bookmarkStart w:id="37" w:name="_Toc181361037"/>
      <w:bookmarkStart w:id="38" w:name="_Toc182236770"/>
      <w:bookmarkStart w:id="39" w:name="_Toc189155219"/>
      <w:r w:rsidRPr="001C6F7A">
        <w:rPr>
          <w:rStyle w:val="Boldtext"/>
        </w:rPr>
        <w:t>D</w:t>
      </w:r>
      <w:r w:rsidR="00733FC0" w:rsidRPr="001C6F7A">
        <w:rPr>
          <w:rStyle w:val="Boldtext"/>
        </w:rPr>
        <w:t xml:space="preserve">. </w:t>
      </w:r>
      <w:r w:rsidR="000C3A87">
        <w:rPr>
          <w:rStyle w:val="Boldtext"/>
        </w:rPr>
        <w:t>Support to the public sector</w:t>
      </w:r>
      <w:r w:rsidR="000C3A87" w:rsidRPr="000C3A87">
        <w:rPr>
          <w:b/>
        </w:rPr>
        <w:t xml:space="preserve"> is key in driving green construction</w:t>
      </w:r>
      <w:r w:rsidR="000C3A87">
        <w:rPr>
          <w:b/>
        </w:rPr>
        <w:t>,</w:t>
      </w:r>
      <w:r w:rsidR="000C3A87" w:rsidRPr="000C3A87">
        <w:rPr>
          <w:b/>
        </w:rPr>
        <w:t xml:space="preserve"> as demonstrated in successful examples </w:t>
      </w:r>
      <w:r w:rsidR="000C3A87">
        <w:rPr>
          <w:b/>
        </w:rPr>
        <w:t xml:space="preserve">of MAGC </w:t>
      </w:r>
      <w:r w:rsidR="000C3A87" w:rsidRPr="000C3A87">
        <w:rPr>
          <w:b/>
        </w:rPr>
        <w:t>supporting green building codes</w:t>
      </w:r>
      <w:r w:rsidR="000C3A87">
        <w:rPr>
          <w:b/>
        </w:rPr>
        <w:t xml:space="preserve"> and </w:t>
      </w:r>
      <w:r w:rsidR="000C3A87" w:rsidRPr="000C3A87">
        <w:rPr>
          <w:b/>
        </w:rPr>
        <w:t>designing incentives with municipalities.</w:t>
      </w:r>
    </w:p>
    <w:p w14:paraId="4D74435D" w14:textId="0EDCD767" w:rsidR="00F74428" w:rsidRPr="001C6F7A" w:rsidRDefault="00DF2C65" w:rsidP="00F74428">
      <w:pPr>
        <w:rPr>
          <w:rStyle w:val="Boldtext"/>
          <w:b w:val="0"/>
          <w:bCs/>
        </w:rPr>
      </w:pPr>
      <w:r w:rsidRPr="00DF2C65">
        <w:rPr>
          <w:rStyle w:val="Boldtext"/>
          <w:b w:val="0"/>
          <w:bCs/>
        </w:rPr>
        <w:t>In interviews</w:t>
      </w:r>
      <w:r w:rsidR="00B657C6">
        <w:rPr>
          <w:rStyle w:val="Boldtext"/>
          <w:b w:val="0"/>
          <w:bCs/>
        </w:rPr>
        <w:t>, the</w:t>
      </w:r>
      <w:r w:rsidRPr="00DF2C65">
        <w:rPr>
          <w:rStyle w:val="Boldtext"/>
          <w:b w:val="0"/>
          <w:bCs/>
        </w:rPr>
        <w:t xml:space="preserve"> </w:t>
      </w:r>
      <w:r w:rsidR="00B657C6" w:rsidRPr="00B657C6">
        <w:rPr>
          <w:bCs/>
        </w:rPr>
        <w:t>DESNZ programme team acknowledged that IFC’s core business is with the private sector,</w:t>
      </w:r>
      <w:r w:rsidR="003E513E">
        <w:rPr>
          <w:bCs/>
        </w:rPr>
        <w:t xml:space="preserve"> </w:t>
      </w:r>
      <w:r w:rsidR="006C3DD4">
        <w:rPr>
          <w:bCs/>
        </w:rPr>
        <w:t xml:space="preserve">with whom they have good networks and </w:t>
      </w:r>
      <w:r w:rsidR="00EF47DD">
        <w:rPr>
          <w:bCs/>
        </w:rPr>
        <w:t xml:space="preserve">experience in engaging key actors. </w:t>
      </w:r>
      <w:r w:rsidR="00AB5114">
        <w:rPr>
          <w:bCs/>
        </w:rPr>
        <w:t>Notwithstanding,</w:t>
      </w:r>
      <w:r w:rsidR="00A804B6">
        <w:rPr>
          <w:rStyle w:val="Boldtext"/>
          <w:b w:val="0"/>
          <w:bCs/>
        </w:rPr>
        <w:t xml:space="preserve"> </w:t>
      </w:r>
      <w:r w:rsidRPr="00DF2C65">
        <w:rPr>
          <w:rStyle w:val="Boldtext"/>
          <w:b w:val="0"/>
          <w:bCs/>
        </w:rPr>
        <w:t>IFC’s</w:t>
      </w:r>
      <w:r w:rsidR="00F74428" w:rsidRPr="001C6F7A">
        <w:rPr>
          <w:rStyle w:val="Boldtext"/>
          <w:b w:val="0"/>
          <w:bCs/>
        </w:rPr>
        <w:t xml:space="preserve"> capacity building efforts with government agencies have </w:t>
      </w:r>
      <w:r w:rsidR="000C3A87">
        <w:rPr>
          <w:rStyle w:val="Boldtext"/>
          <w:b w:val="0"/>
          <w:bCs/>
        </w:rPr>
        <w:t xml:space="preserve">also </w:t>
      </w:r>
      <w:r w:rsidR="00F74428" w:rsidRPr="001C6F7A">
        <w:rPr>
          <w:rStyle w:val="Boldtext"/>
          <w:b w:val="0"/>
          <w:bCs/>
        </w:rPr>
        <w:t>proven effective in supporting the development of green building policies and regulations</w:t>
      </w:r>
      <w:r w:rsidR="0079309A">
        <w:rPr>
          <w:rStyle w:val="Boldtext"/>
          <w:b w:val="0"/>
          <w:bCs/>
        </w:rPr>
        <w:t xml:space="preserve">. </w:t>
      </w:r>
      <w:r w:rsidR="00E00744">
        <w:rPr>
          <w:rStyle w:val="Boldtext"/>
          <w:b w:val="0"/>
          <w:bCs/>
        </w:rPr>
        <w:t xml:space="preserve">In most cases, these are quite recent, and more time is needed to assess their effectiveness. </w:t>
      </w:r>
      <w:r w:rsidR="00A804B6">
        <w:rPr>
          <w:rStyle w:val="Boldtext"/>
          <w:b w:val="0"/>
          <w:bCs/>
        </w:rPr>
        <w:t>Some examples include:</w:t>
      </w:r>
    </w:p>
    <w:p w14:paraId="2C92BD44" w14:textId="6B377C5A" w:rsidR="004B5D3D" w:rsidRDefault="004B5D3D" w:rsidP="00EB7D5A">
      <w:pPr>
        <w:pStyle w:val="Tintbox"/>
        <w:rPr>
          <w:rStyle w:val="Boldtext"/>
        </w:rPr>
      </w:pPr>
      <w:r>
        <w:rPr>
          <w:rStyle w:val="Boldtext"/>
        </w:rPr>
        <w:t>Peru</w:t>
      </w:r>
    </w:p>
    <w:p w14:paraId="50B960A9" w14:textId="25DB6CAC" w:rsidR="004B5D3D" w:rsidRDefault="004B5D3D" w:rsidP="00EB7D5A">
      <w:pPr>
        <w:pStyle w:val="Tintbox"/>
        <w:rPr>
          <w:rStyle w:val="Boldtext"/>
        </w:rPr>
      </w:pPr>
      <w:r w:rsidRPr="00DF2C65">
        <w:rPr>
          <w:rStyle w:val="Boldtext"/>
          <w:b w:val="0"/>
          <w:bCs/>
        </w:rPr>
        <w:t>IFC collaborated with the Ministry of Housing, Construction and Sanitation to develop a Green Building Code, establishing clear guidelines and standards for green construction in the country.</w:t>
      </w:r>
      <w:r w:rsidR="002C3C64">
        <w:rPr>
          <w:rStyle w:val="Boldtext"/>
          <w:b w:val="0"/>
          <w:bCs/>
        </w:rPr>
        <w:t xml:space="preserve"> </w:t>
      </w:r>
      <w:r w:rsidR="002C3C64" w:rsidRPr="002C3C64">
        <w:rPr>
          <w:rStyle w:val="Boldtext"/>
          <w:b w:val="0"/>
          <w:bCs/>
        </w:rPr>
        <w:t>Moreover, IFC has supported the municipalities of Metropolitan Lima and Surquillo (Lima) in Peru to approve ordinances that regulate and promote sustainable buildings through incentives such as height bonuses for green building certified projects and urban planning incentives for residential and commercial buildings.</w:t>
      </w:r>
      <w:r w:rsidR="002C3C64">
        <w:rPr>
          <w:rStyle w:val="FootnoteReference"/>
          <w:bCs/>
        </w:rPr>
        <w:footnoteReference w:id="37"/>
      </w:r>
      <w:r w:rsidR="005E53CD">
        <w:rPr>
          <w:rStyle w:val="Boldtext"/>
          <w:b w:val="0"/>
          <w:bCs/>
        </w:rPr>
        <w:t xml:space="preserve"> </w:t>
      </w:r>
      <w:r w:rsidR="005E53CD" w:rsidRPr="005E53CD">
        <w:rPr>
          <w:rStyle w:val="Boldtext"/>
          <w:b w:val="0"/>
          <w:bCs/>
        </w:rPr>
        <w:t>While these ordinances are recent, early signs of market uptake are emerging, such as the Marsano 1855 real estate project, which is the first to be developed under Surquillo's Ordinance No. 550.</w:t>
      </w:r>
      <w:r w:rsidR="005E53CD">
        <w:rPr>
          <w:rStyle w:val="FootnoteReference"/>
          <w:bCs/>
        </w:rPr>
        <w:footnoteReference w:id="38"/>
      </w:r>
    </w:p>
    <w:p w14:paraId="34846876" w14:textId="5ECD3CDB" w:rsidR="00EB7D5A" w:rsidRDefault="00EB7D5A" w:rsidP="00EB7D5A">
      <w:pPr>
        <w:pStyle w:val="Tintbox"/>
      </w:pPr>
      <w:r w:rsidRPr="00C85CAA">
        <w:rPr>
          <w:rStyle w:val="Boldtext"/>
        </w:rPr>
        <w:t>Colombia</w:t>
      </w:r>
    </w:p>
    <w:p w14:paraId="1DB2DEDE" w14:textId="596B59F1" w:rsidR="002F7AA3" w:rsidRDefault="004B5D3D" w:rsidP="00EB7D5A">
      <w:pPr>
        <w:pStyle w:val="Tintbox"/>
      </w:pPr>
      <w:r w:rsidRPr="004B5D3D">
        <w:t>IFC provided technical assistance to five municipalities to draft green building incentives, encouraging developers to adopt sustainable practices by offering benefits such as expedited permitting or density bonuses for certified green projects.</w:t>
      </w:r>
      <w:r w:rsidR="000C3A87">
        <w:t xml:space="preserve"> </w:t>
      </w:r>
      <w:r w:rsidR="00EB7D5A">
        <w:t>A</w:t>
      </w:r>
      <w:r w:rsidR="00EB7D5A" w:rsidRPr="005E18F6">
        <w:t>n example of the results of the technical advice provided by IFC</w:t>
      </w:r>
      <w:r w:rsidR="00EB7D5A">
        <w:t xml:space="preserve"> is </w:t>
      </w:r>
      <w:r w:rsidR="00EB7D5A" w:rsidRPr="005E18F6">
        <w:t>the publication of a decree on incentives for green construction in the Municipality of Envigado (Antioquia)</w:t>
      </w:r>
      <w:r w:rsidR="00EB7D5A">
        <w:t>.</w:t>
      </w:r>
      <w:r w:rsidR="00EB7D5A">
        <w:rPr>
          <w:rStyle w:val="FootnoteReference"/>
        </w:rPr>
        <w:footnoteReference w:id="39"/>
      </w:r>
      <w:r w:rsidR="00EB7D5A" w:rsidRPr="005E18F6">
        <w:t xml:space="preserve"> </w:t>
      </w:r>
      <w:r w:rsidR="00EB7D5A">
        <w:t>This</w:t>
      </w:r>
      <w:r w:rsidR="00EB7D5A" w:rsidRPr="005E18F6">
        <w:t xml:space="preserve"> was achieved within the framework of the activities developed between the municipality and </w:t>
      </w:r>
      <w:r w:rsidR="00EB7D5A">
        <w:t>MAGC</w:t>
      </w:r>
      <w:r w:rsidR="00EB7D5A" w:rsidRPr="005E18F6">
        <w:t>.</w:t>
      </w:r>
      <w:r w:rsidR="00EB7D5A">
        <w:t xml:space="preserve"> This Decree includes incentives for developers if a development is certified as being a green building (e.g., by granting one additional storey). Certifications through EDGE, LEED, and CASA are accepted.</w:t>
      </w:r>
      <w:r w:rsidR="005E53CD">
        <w:t xml:space="preserve"> </w:t>
      </w:r>
      <w:r w:rsidR="005E53CD" w:rsidRPr="005E53CD">
        <w:t>Envigado is</w:t>
      </w:r>
      <w:r w:rsidR="00E00744">
        <w:t xml:space="preserve"> </w:t>
      </w:r>
      <w:r w:rsidR="005E53CD" w:rsidRPr="005E53CD">
        <w:t>the first municipality in the country to establish a technical incentive agreement for sustainable construction</w:t>
      </w:r>
      <w:r w:rsidR="005E53CD">
        <w:t>.</w:t>
      </w:r>
      <w:r w:rsidR="005E53CD">
        <w:rPr>
          <w:rStyle w:val="FootnoteReference"/>
        </w:rPr>
        <w:footnoteReference w:id="40"/>
      </w:r>
      <w:r w:rsidR="005E53CD">
        <w:t xml:space="preserve"> </w:t>
      </w:r>
      <w:r w:rsidR="002F7AA3">
        <w:t>At the national level, the policy framework is supportive of green buildings and this has driven market transformation. The policy framework includes the first mandatory green building code, which was developed with IFC support in 2015 (before MAGC’s intervention).</w:t>
      </w:r>
      <w:r w:rsidR="002F7AA3" w:rsidRPr="002F7AA3">
        <w:rPr>
          <w:rStyle w:val="FootnoteReference"/>
        </w:rPr>
        <w:t xml:space="preserve"> </w:t>
      </w:r>
      <w:r w:rsidR="002F7AA3">
        <w:rPr>
          <w:rStyle w:val="FootnoteReference"/>
        </w:rPr>
        <w:footnoteReference w:id="41"/>
      </w:r>
    </w:p>
    <w:p w14:paraId="0D30078A" w14:textId="33CB4733" w:rsidR="004B5D3D" w:rsidRPr="001C6F7A" w:rsidRDefault="002C3C64" w:rsidP="00EB7D5A">
      <w:pPr>
        <w:pStyle w:val="Tintbox"/>
        <w:rPr>
          <w:b/>
          <w:bCs/>
        </w:rPr>
      </w:pPr>
      <w:r w:rsidRPr="001C6F7A">
        <w:rPr>
          <w:b/>
          <w:bCs/>
        </w:rPr>
        <w:t>Kenya</w:t>
      </w:r>
    </w:p>
    <w:p w14:paraId="1945D3D7" w14:textId="2E28A7F5" w:rsidR="004B5D3D" w:rsidRPr="00DF2C65" w:rsidRDefault="00BF5895" w:rsidP="001C6F7A">
      <w:pPr>
        <w:pStyle w:val="Tintbox"/>
        <w:rPr>
          <w:rStyle w:val="Boldtext"/>
          <w:b w:val="0"/>
          <w:bCs/>
        </w:rPr>
      </w:pPr>
      <w:r>
        <w:t>C</w:t>
      </w:r>
      <w:r w:rsidR="002C3C64" w:rsidRPr="002C3C64">
        <w:t xml:space="preserve">ounties </w:t>
      </w:r>
      <w:r>
        <w:t>of</w:t>
      </w:r>
      <w:r w:rsidR="002C3C64" w:rsidRPr="002C3C64">
        <w:t xml:space="preserve"> Nairobi and Mombasa are developing specific green building guidelines with support from partners</w:t>
      </w:r>
      <w:r w:rsidR="00B778C7">
        <w:t>, including</w:t>
      </w:r>
      <w:r w:rsidR="002C3C64" w:rsidRPr="002C3C64">
        <w:t xml:space="preserve"> IFC and Kenya Green Building Society.</w:t>
      </w:r>
      <w:r w:rsidR="002C3C43">
        <w:t xml:space="preserve"> As t</w:t>
      </w:r>
      <w:r w:rsidR="002C3C43" w:rsidRPr="002C3C43">
        <w:t>hese county</w:t>
      </w:r>
      <w:r w:rsidR="002C3C43">
        <w:t>-</w:t>
      </w:r>
      <w:r w:rsidR="002C3C43" w:rsidRPr="002C3C43">
        <w:t>level guidelines are still under development</w:t>
      </w:r>
      <w:r w:rsidR="002C3C43">
        <w:t xml:space="preserve">, it is too early to assess their impact on market transformation. </w:t>
      </w:r>
    </w:p>
    <w:p w14:paraId="70395ED5" w14:textId="50E23551" w:rsidR="00353B6C" w:rsidRDefault="000C3A87" w:rsidP="00A54946">
      <w:pPr>
        <w:rPr>
          <w:bCs/>
        </w:rPr>
      </w:pPr>
      <w:r>
        <w:rPr>
          <w:rStyle w:val="Boldtext"/>
          <w:b w:val="0"/>
          <w:bCs/>
        </w:rPr>
        <w:t>T</w:t>
      </w:r>
      <w:r w:rsidR="00A804B6">
        <w:rPr>
          <w:rStyle w:val="Boldtext"/>
          <w:b w:val="0"/>
          <w:bCs/>
        </w:rPr>
        <w:t xml:space="preserve">he case studies </w:t>
      </w:r>
      <w:r w:rsidR="00E64B5A">
        <w:rPr>
          <w:rStyle w:val="Boldtext"/>
          <w:b w:val="0"/>
          <w:bCs/>
        </w:rPr>
        <w:t>highlighted</w:t>
      </w:r>
      <w:r>
        <w:rPr>
          <w:rStyle w:val="Boldtext"/>
          <w:b w:val="0"/>
          <w:bCs/>
        </w:rPr>
        <w:t xml:space="preserve"> the need to prioritise </w:t>
      </w:r>
      <w:r w:rsidR="00E64B5A">
        <w:rPr>
          <w:rStyle w:val="Boldtext"/>
          <w:b w:val="0"/>
          <w:bCs/>
        </w:rPr>
        <w:t>public sector</w:t>
      </w:r>
      <w:r>
        <w:rPr>
          <w:rStyle w:val="Boldtext"/>
          <w:b w:val="0"/>
          <w:bCs/>
        </w:rPr>
        <w:t xml:space="preserve"> engagements, as</w:t>
      </w:r>
      <w:r w:rsidR="00A804B6">
        <w:rPr>
          <w:rStyle w:val="Boldtext"/>
          <w:b w:val="0"/>
          <w:bCs/>
        </w:rPr>
        <w:t xml:space="preserve"> t</w:t>
      </w:r>
      <w:r w:rsidR="00A804B6" w:rsidRPr="0079309A">
        <w:rPr>
          <w:bCs/>
        </w:rPr>
        <w:t xml:space="preserve">he </w:t>
      </w:r>
      <w:r w:rsidR="00E64B5A">
        <w:rPr>
          <w:bCs/>
        </w:rPr>
        <w:t>government can create</w:t>
      </w:r>
      <w:r w:rsidR="00A804B6" w:rsidRPr="0079309A">
        <w:rPr>
          <w:bCs/>
        </w:rPr>
        <w:t xml:space="preserve"> the enabling environment to increase green building construction</w:t>
      </w:r>
      <w:r w:rsidR="00A804B6">
        <w:rPr>
          <w:bCs/>
        </w:rPr>
        <w:t xml:space="preserve">. </w:t>
      </w:r>
      <w:r w:rsidR="00353B6C">
        <w:rPr>
          <w:bCs/>
        </w:rPr>
        <w:t>The evaluation identified opportunities to further engage with the public sector by</w:t>
      </w:r>
      <w:r w:rsidR="00F4523B">
        <w:rPr>
          <w:bCs/>
        </w:rPr>
        <w:t xml:space="preserve"> strengthening the </w:t>
      </w:r>
      <w:r w:rsidR="000B17B6">
        <w:rPr>
          <w:bCs/>
        </w:rPr>
        <w:t>collaboration</w:t>
      </w:r>
      <w:r w:rsidR="00F4523B">
        <w:rPr>
          <w:bCs/>
        </w:rPr>
        <w:t xml:space="preserve"> with UK Embassies, in particular in countries where:</w:t>
      </w:r>
    </w:p>
    <w:p w14:paraId="40A8601C" w14:textId="5F779711" w:rsidR="00353B6C" w:rsidRDefault="00F4523B" w:rsidP="00353B6C">
      <w:pPr>
        <w:pStyle w:val="DESNZbulletedlist"/>
        <w:rPr>
          <w:rStyle w:val="Boldtext"/>
          <w:b w:val="0"/>
          <w:bCs/>
        </w:rPr>
      </w:pPr>
      <w:r w:rsidRPr="00F4523B">
        <w:t>there is a lot of appetite for involvement from the Embassy (e.g., India, Peru, South Africa, Colombia)</w:t>
      </w:r>
      <w:r w:rsidR="00353B6C">
        <w:rPr>
          <w:rStyle w:val="Boldtext"/>
          <w:b w:val="0"/>
          <w:bCs/>
        </w:rPr>
        <w:t>.</w:t>
      </w:r>
      <w:r w:rsidR="00353B6C" w:rsidRPr="00A54946">
        <w:rPr>
          <w:rStyle w:val="Boldtext"/>
          <w:b w:val="0"/>
          <w:bCs/>
        </w:rPr>
        <w:t xml:space="preserve"> </w:t>
      </w:r>
      <w:r w:rsidR="00A54946">
        <w:rPr>
          <w:rStyle w:val="Boldtext"/>
          <w:b w:val="0"/>
          <w:bCs/>
        </w:rPr>
        <w:t xml:space="preserve"> </w:t>
      </w:r>
    </w:p>
    <w:p w14:paraId="4B164DAB" w14:textId="1C37C92F" w:rsidR="00A54946" w:rsidRDefault="00353B6C" w:rsidP="001C6F7A">
      <w:pPr>
        <w:pStyle w:val="DESNZbulletedlist"/>
        <w:rPr>
          <w:rStyle w:val="Boldtext"/>
          <w:b w:val="0"/>
          <w:bCs/>
        </w:rPr>
      </w:pPr>
      <w:r>
        <w:rPr>
          <w:rStyle w:val="Boldtext"/>
          <w:b w:val="0"/>
          <w:bCs/>
        </w:rPr>
        <w:t xml:space="preserve">the IFC market maturity assessments identified </w:t>
      </w:r>
      <w:r w:rsidR="00A54946" w:rsidRPr="00A54946">
        <w:rPr>
          <w:rStyle w:val="Boldtext"/>
          <w:b w:val="0"/>
          <w:bCs/>
        </w:rPr>
        <w:t xml:space="preserve">government action </w:t>
      </w:r>
      <w:r>
        <w:rPr>
          <w:rStyle w:val="Boldtext"/>
          <w:b w:val="0"/>
          <w:bCs/>
        </w:rPr>
        <w:t>as</w:t>
      </w:r>
      <w:r w:rsidR="00A54946" w:rsidRPr="00A54946">
        <w:rPr>
          <w:rStyle w:val="Boldtext"/>
          <w:b w:val="0"/>
          <w:bCs/>
        </w:rPr>
        <w:t xml:space="preserve"> one of the </w:t>
      </w:r>
      <w:r w:rsidR="00F4523B">
        <w:rPr>
          <w:rStyle w:val="Boldtext"/>
          <w:b w:val="0"/>
          <w:bCs/>
        </w:rPr>
        <w:t xml:space="preserve">main </w:t>
      </w:r>
      <w:r w:rsidR="00A54946" w:rsidRPr="00A54946">
        <w:rPr>
          <w:rStyle w:val="Boldtext"/>
          <w:b w:val="0"/>
          <w:bCs/>
        </w:rPr>
        <w:t>drivers in accelerating the uptake of green construction practices</w:t>
      </w:r>
      <w:r w:rsidR="002F5732">
        <w:rPr>
          <w:rStyle w:val="Boldtext"/>
          <w:b w:val="0"/>
          <w:bCs/>
        </w:rPr>
        <w:t xml:space="preserve"> (e.g., Philippines and Indonesia)</w:t>
      </w:r>
      <w:r w:rsidR="00A54946" w:rsidRPr="00A54946">
        <w:rPr>
          <w:rStyle w:val="Boldtext"/>
          <w:b w:val="0"/>
          <w:bCs/>
        </w:rPr>
        <w:t>.</w:t>
      </w:r>
    </w:p>
    <w:p w14:paraId="7E79DEF0" w14:textId="3F61DDF4" w:rsidR="00F262F1" w:rsidRDefault="00313846" w:rsidP="00F262F1">
      <w:pPr>
        <w:rPr>
          <w:rStyle w:val="Boldtext"/>
          <w:b w:val="0"/>
          <w:bCs/>
        </w:rPr>
      </w:pPr>
      <w:r w:rsidRPr="001C6F7A">
        <w:rPr>
          <w:rStyle w:val="Boldtext"/>
        </w:rPr>
        <w:t xml:space="preserve">E. </w:t>
      </w:r>
      <w:r w:rsidR="00E64B5A">
        <w:rPr>
          <w:rStyle w:val="Boldtext"/>
        </w:rPr>
        <w:t xml:space="preserve">Capacity building activities targeting </w:t>
      </w:r>
      <w:r w:rsidR="00E64B5A" w:rsidRPr="00EC2B55">
        <w:rPr>
          <w:rStyle w:val="Boldtext"/>
        </w:rPr>
        <w:t>demand</w:t>
      </w:r>
      <w:r w:rsidR="00E64B5A">
        <w:rPr>
          <w:rStyle w:val="Boldtext"/>
        </w:rPr>
        <w:t xml:space="preserve"> for green buildings have also been identified as key for market transformation</w:t>
      </w:r>
      <w:r w:rsidRPr="001C6F7A">
        <w:rPr>
          <w:rStyle w:val="Boldtext"/>
        </w:rPr>
        <w:t>.</w:t>
      </w:r>
      <w:r w:rsidR="00F262F1">
        <w:rPr>
          <w:rStyle w:val="Boldtext"/>
        </w:rPr>
        <w:t xml:space="preserve"> </w:t>
      </w:r>
      <w:r w:rsidR="00F262F1" w:rsidRPr="001C6F7A">
        <w:rPr>
          <w:rStyle w:val="Boldtext"/>
          <w:b w:val="0"/>
          <w:bCs/>
        </w:rPr>
        <w:t xml:space="preserve">Component 2 of </w:t>
      </w:r>
      <w:r w:rsidR="00F262F1">
        <w:rPr>
          <w:rStyle w:val="Boldtext"/>
          <w:b w:val="0"/>
          <w:bCs/>
        </w:rPr>
        <w:t>MAGC</w:t>
      </w:r>
      <w:r w:rsidR="00F262F1" w:rsidRPr="001C6F7A">
        <w:rPr>
          <w:rStyle w:val="Boldtext"/>
          <w:b w:val="0"/>
          <w:bCs/>
        </w:rPr>
        <w:t xml:space="preserve"> has primarily focused on </w:t>
      </w:r>
      <w:r w:rsidR="00B778C7">
        <w:rPr>
          <w:rStyle w:val="Boldtext"/>
          <w:b w:val="0"/>
          <w:bCs/>
        </w:rPr>
        <w:t xml:space="preserve">training actors in the supply side of green construction (e.g., developers, </w:t>
      </w:r>
      <w:r w:rsidR="00C52533">
        <w:rPr>
          <w:rStyle w:val="Boldtext"/>
          <w:b w:val="0"/>
          <w:bCs/>
        </w:rPr>
        <w:t xml:space="preserve">building professionals, </w:t>
      </w:r>
      <w:r w:rsidR="00E40DF1">
        <w:rPr>
          <w:rStyle w:val="Boldtext"/>
          <w:b w:val="0"/>
          <w:bCs/>
        </w:rPr>
        <w:t>EDGE experts</w:t>
      </w:r>
      <w:r w:rsidR="00B778C7">
        <w:rPr>
          <w:rStyle w:val="Boldtext"/>
          <w:b w:val="0"/>
          <w:bCs/>
        </w:rPr>
        <w:t xml:space="preserve">), </w:t>
      </w:r>
      <w:r w:rsidR="00F262F1" w:rsidRPr="001C6F7A">
        <w:rPr>
          <w:rStyle w:val="Boldtext"/>
          <w:b w:val="0"/>
          <w:bCs/>
        </w:rPr>
        <w:t xml:space="preserve">with less emphasis on driving demand. </w:t>
      </w:r>
      <w:r w:rsidR="004976B9">
        <w:rPr>
          <w:rStyle w:val="Boldtext"/>
          <w:b w:val="0"/>
          <w:bCs/>
        </w:rPr>
        <w:t xml:space="preserve">According to industry stakeholders interviewed, </w:t>
      </w:r>
      <w:r w:rsidR="00F262F1" w:rsidRPr="001C6F7A">
        <w:rPr>
          <w:rStyle w:val="Boldtext"/>
          <w:b w:val="0"/>
          <w:bCs/>
        </w:rPr>
        <w:t>demand for green buildings is high in the commercial sector, largely driven by companies' ESG commitments</w:t>
      </w:r>
      <w:r w:rsidR="004976B9">
        <w:rPr>
          <w:rStyle w:val="Boldtext"/>
          <w:b w:val="0"/>
          <w:bCs/>
        </w:rPr>
        <w:t>; however,</w:t>
      </w:r>
      <w:r w:rsidR="00F262F1" w:rsidRPr="001C6F7A">
        <w:rPr>
          <w:rStyle w:val="Boldtext"/>
          <w:b w:val="0"/>
          <w:bCs/>
        </w:rPr>
        <w:t xml:space="preserve"> it remains relatively low in the residential market, except for high-end buildings which are not the primary target of MAGC.</w:t>
      </w:r>
    </w:p>
    <w:p w14:paraId="0DDFE54A" w14:textId="456C0AB1" w:rsidR="004673D5" w:rsidRPr="001C6F7A" w:rsidRDefault="008E4D09" w:rsidP="001C6F7A">
      <w:pPr>
        <w:ind w:left="709" w:right="736"/>
        <w:rPr>
          <w:i/>
          <w:iCs/>
        </w:rPr>
      </w:pPr>
      <w:r w:rsidRPr="001C6F7A">
        <w:rPr>
          <w:i/>
          <w:iCs/>
        </w:rPr>
        <w:t>“</w:t>
      </w:r>
      <w:r w:rsidR="004673D5" w:rsidRPr="001C6F7A">
        <w:rPr>
          <w:i/>
          <w:iCs/>
        </w:rPr>
        <w:t>If we look at some of the EDGE numbers, for instance, EDGE have certified 29 projects in Ghana so far</w:t>
      </w:r>
      <w:r w:rsidRPr="001C6F7A">
        <w:rPr>
          <w:i/>
          <w:iCs/>
        </w:rPr>
        <w:t>… a</w:t>
      </w:r>
      <w:r w:rsidR="004673D5" w:rsidRPr="001C6F7A">
        <w:rPr>
          <w:i/>
          <w:iCs/>
        </w:rPr>
        <w:t xml:space="preserve">nd out of these 29, most are actually commercial buildings. </w:t>
      </w:r>
      <w:r w:rsidRPr="001C6F7A">
        <w:rPr>
          <w:i/>
          <w:iCs/>
        </w:rPr>
        <w:t>T</w:t>
      </w:r>
      <w:r w:rsidR="004673D5" w:rsidRPr="001C6F7A">
        <w:rPr>
          <w:i/>
          <w:iCs/>
        </w:rPr>
        <w:t>he commercial buildings take up the green certification as a marketing tool</w:t>
      </w:r>
      <w:r w:rsidRPr="001C6F7A">
        <w:rPr>
          <w:i/>
          <w:iCs/>
        </w:rPr>
        <w:t>…</w:t>
      </w:r>
      <w:r w:rsidR="004673D5" w:rsidRPr="001C6F7A">
        <w:rPr>
          <w:i/>
          <w:iCs/>
        </w:rPr>
        <w:t xml:space="preserve"> they use that as a selling and a marketing tool, and that's why they take out the green certification. </w:t>
      </w:r>
      <w:r w:rsidRPr="001C6F7A">
        <w:rPr>
          <w:i/>
          <w:iCs/>
        </w:rPr>
        <w:t>[…] (In) The residential sector, the uptake is very, very low.”</w:t>
      </w:r>
      <w:r>
        <w:rPr>
          <w:i/>
          <w:iCs/>
        </w:rPr>
        <w:t xml:space="preserve"> </w:t>
      </w:r>
      <w:r w:rsidRPr="001C6F7A">
        <w:rPr>
          <w:i/>
          <w:iCs/>
        </w:rPr>
        <w:t>(</w:t>
      </w:r>
      <w:r>
        <w:rPr>
          <w:i/>
          <w:iCs/>
        </w:rPr>
        <w:t>Ghana</w:t>
      </w:r>
      <w:r w:rsidRPr="001C6F7A">
        <w:rPr>
          <w:i/>
          <w:iCs/>
        </w:rPr>
        <w:t>,</w:t>
      </w:r>
      <w:r>
        <w:rPr>
          <w:i/>
          <w:iCs/>
        </w:rPr>
        <w:t xml:space="preserve"> building sector organisation</w:t>
      </w:r>
      <w:r w:rsidRPr="001C6F7A">
        <w:rPr>
          <w:i/>
          <w:iCs/>
        </w:rPr>
        <w:t>)</w:t>
      </w:r>
    </w:p>
    <w:p w14:paraId="2678B5DB" w14:textId="4FB36A9E" w:rsidR="00F262F1" w:rsidRPr="001C6F7A" w:rsidRDefault="00F262F1" w:rsidP="00F262F1">
      <w:pPr>
        <w:rPr>
          <w:rStyle w:val="Boldtext"/>
          <w:b w:val="0"/>
          <w:bCs/>
        </w:rPr>
      </w:pPr>
      <w:r w:rsidRPr="001C6F7A">
        <w:rPr>
          <w:rStyle w:val="Boldtext"/>
          <w:b w:val="0"/>
          <w:bCs/>
        </w:rPr>
        <w:t xml:space="preserve">Evidence collected during the evaluation </w:t>
      </w:r>
      <w:r w:rsidR="00A97DC4">
        <w:rPr>
          <w:rStyle w:val="Boldtext"/>
          <w:b w:val="0"/>
          <w:bCs/>
        </w:rPr>
        <w:t>indicate</w:t>
      </w:r>
      <w:r w:rsidRPr="001C6F7A">
        <w:rPr>
          <w:rStyle w:val="Boldtext"/>
          <w:b w:val="0"/>
          <w:bCs/>
        </w:rPr>
        <w:t xml:space="preserve">d a need for </w:t>
      </w:r>
      <w:r w:rsidRPr="00F262F1">
        <w:rPr>
          <w:rStyle w:val="Boldtext"/>
          <w:b w:val="0"/>
          <w:bCs/>
        </w:rPr>
        <w:t>target</w:t>
      </w:r>
      <w:r>
        <w:rPr>
          <w:rStyle w:val="Boldtext"/>
          <w:b w:val="0"/>
          <w:bCs/>
        </w:rPr>
        <w:t>e</w:t>
      </w:r>
      <w:r w:rsidRPr="00F262F1">
        <w:rPr>
          <w:rStyle w:val="Boldtext"/>
          <w:b w:val="0"/>
          <w:bCs/>
        </w:rPr>
        <w:t>d</w:t>
      </w:r>
      <w:r w:rsidRPr="001C6F7A">
        <w:rPr>
          <w:rStyle w:val="Boldtext"/>
          <w:b w:val="0"/>
          <w:bCs/>
        </w:rPr>
        <w:t xml:space="preserve"> capacity building efforts to stimulate demand in the residential sector:</w:t>
      </w:r>
    </w:p>
    <w:p w14:paraId="6AACFD9E" w14:textId="38A3294C" w:rsidR="00F262F1" w:rsidRDefault="00F262F1" w:rsidP="00F262F1">
      <w:pPr>
        <w:pStyle w:val="DESNZbulletedlist"/>
        <w:rPr>
          <w:rStyle w:val="Boldtext"/>
          <w:b w:val="0"/>
          <w:bCs/>
        </w:rPr>
      </w:pPr>
      <w:r w:rsidRPr="00F262F1">
        <w:rPr>
          <w:rStyle w:val="Boldtext"/>
          <w:b w:val="0"/>
          <w:bCs/>
        </w:rPr>
        <w:t>End</w:t>
      </w:r>
      <w:r w:rsidR="00E6488F">
        <w:rPr>
          <w:rStyle w:val="Boldtext"/>
          <w:b w:val="0"/>
          <w:bCs/>
        </w:rPr>
        <w:t xml:space="preserve"> </w:t>
      </w:r>
      <w:r w:rsidRPr="00F262F1">
        <w:rPr>
          <w:rStyle w:val="Boldtext"/>
          <w:b w:val="0"/>
          <w:bCs/>
        </w:rPr>
        <w:t xml:space="preserve">users: </w:t>
      </w:r>
      <w:r w:rsidR="00A97DC4">
        <w:rPr>
          <w:rStyle w:val="Boldtext"/>
          <w:b w:val="0"/>
          <w:bCs/>
        </w:rPr>
        <w:t>E</w:t>
      </w:r>
      <w:r w:rsidRPr="00F262F1">
        <w:rPr>
          <w:rStyle w:val="Boldtext"/>
          <w:b w:val="0"/>
          <w:bCs/>
        </w:rPr>
        <w:t>nd</w:t>
      </w:r>
      <w:r w:rsidR="00E6488F">
        <w:rPr>
          <w:rStyle w:val="Boldtext"/>
          <w:b w:val="0"/>
          <w:bCs/>
        </w:rPr>
        <w:t xml:space="preserve"> </w:t>
      </w:r>
      <w:r w:rsidRPr="00F262F1">
        <w:rPr>
          <w:rStyle w:val="Boldtext"/>
          <w:b w:val="0"/>
          <w:bCs/>
        </w:rPr>
        <w:t xml:space="preserve">users </w:t>
      </w:r>
      <w:r w:rsidR="00A97DC4">
        <w:rPr>
          <w:rStyle w:val="Boldtext"/>
          <w:b w:val="0"/>
          <w:bCs/>
        </w:rPr>
        <w:t xml:space="preserve">have limited awareness of </w:t>
      </w:r>
      <w:r w:rsidRPr="00F262F1">
        <w:rPr>
          <w:rStyle w:val="Boldtext"/>
          <w:b w:val="0"/>
          <w:bCs/>
        </w:rPr>
        <w:t xml:space="preserve">the benefits of green buildings, such as energy savings, improved comfort, and health benefits, </w:t>
      </w:r>
      <w:r>
        <w:rPr>
          <w:rStyle w:val="Boldtext"/>
          <w:b w:val="0"/>
          <w:bCs/>
        </w:rPr>
        <w:t>therefore impacting demand.</w:t>
      </w:r>
    </w:p>
    <w:p w14:paraId="5C8E378D" w14:textId="66741316" w:rsidR="00F262F1" w:rsidRPr="00F262F1" w:rsidRDefault="00F262F1" w:rsidP="001C6F7A">
      <w:pPr>
        <w:pStyle w:val="DESNZbulletedlist"/>
        <w:rPr>
          <w:rStyle w:val="Boldtext"/>
          <w:b w:val="0"/>
          <w:bCs/>
        </w:rPr>
      </w:pPr>
      <w:r w:rsidRPr="00F262F1">
        <w:rPr>
          <w:rStyle w:val="Boldtext"/>
          <w:b w:val="0"/>
        </w:rPr>
        <w:t>Sales</w:t>
      </w:r>
      <w:r w:rsidRPr="00F262F1">
        <w:rPr>
          <w:rStyle w:val="Boldtext"/>
          <w:b w:val="0"/>
          <w:bCs/>
        </w:rPr>
        <w:t xml:space="preserve"> teams: Increasing the awareness and knowledge of sales teams is crucial for effectively communicating the benefits of green buildings to end</w:t>
      </w:r>
      <w:r w:rsidR="00E6488F">
        <w:rPr>
          <w:rStyle w:val="Boldtext"/>
          <w:b w:val="0"/>
          <w:bCs/>
        </w:rPr>
        <w:t xml:space="preserve"> </w:t>
      </w:r>
      <w:r w:rsidRPr="00F262F1">
        <w:rPr>
          <w:rStyle w:val="Boldtext"/>
          <w:b w:val="0"/>
          <w:bCs/>
        </w:rPr>
        <w:t>users. Equipping sales professionals with the necessary tools, information, and skills to highlight the value proposition of green homes can help to bridge the information gap and drive demand.</w:t>
      </w:r>
      <w:r w:rsidR="005759C6">
        <w:rPr>
          <w:rStyle w:val="Boldtext"/>
          <w:b w:val="0"/>
          <w:bCs/>
        </w:rPr>
        <w:t xml:space="preserve"> T</w:t>
      </w:r>
      <w:r w:rsidR="005759C6" w:rsidRPr="004F29D4">
        <w:rPr>
          <w:rStyle w:val="Boldtext"/>
          <w:b w:val="0"/>
          <w:bCs/>
        </w:rPr>
        <w:t xml:space="preserve">he evaluation found that it is unclear from the current monitoring information whether sales teams have been effectively reached through </w:t>
      </w:r>
      <w:r w:rsidR="005759C6">
        <w:rPr>
          <w:rStyle w:val="Boldtext"/>
          <w:b w:val="0"/>
          <w:bCs/>
        </w:rPr>
        <w:t>MAGC</w:t>
      </w:r>
      <w:r w:rsidR="005759C6" w:rsidRPr="004F29D4">
        <w:rPr>
          <w:rStyle w:val="Boldtext"/>
          <w:b w:val="0"/>
          <w:bCs/>
        </w:rPr>
        <w:t>.</w:t>
      </w:r>
      <w:r w:rsidR="004976B9">
        <w:rPr>
          <w:rStyle w:val="FootnoteReference"/>
          <w:bCs/>
        </w:rPr>
        <w:footnoteReference w:id="42"/>
      </w:r>
      <w:r w:rsidR="005759C6">
        <w:rPr>
          <w:rStyle w:val="Boldtext"/>
          <w:b w:val="0"/>
          <w:bCs/>
        </w:rPr>
        <w:t xml:space="preserve"> </w:t>
      </w:r>
    </w:p>
    <w:p w14:paraId="3532E22F" w14:textId="67B61F04" w:rsidR="008E4D09" w:rsidRDefault="008E4D09" w:rsidP="00F262F1">
      <w:pPr>
        <w:pStyle w:val="Tintbox"/>
        <w:rPr>
          <w:rStyle w:val="Boldtext"/>
        </w:rPr>
      </w:pPr>
      <w:r>
        <w:rPr>
          <w:rStyle w:val="Boldtext"/>
        </w:rPr>
        <w:t>India</w:t>
      </w:r>
    </w:p>
    <w:p w14:paraId="4538B873" w14:textId="2DA6EE76" w:rsidR="008E4D09" w:rsidRPr="001C6F7A" w:rsidRDefault="008E4D09" w:rsidP="00F262F1">
      <w:pPr>
        <w:pStyle w:val="Tintbox"/>
        <w:rPr>
          <w:rStyle w:val="Boldtext"/>
          <w:b w:val="0"/>
          <w:bCs/>
        </w:rPr>
      </w:pPr>
      <w:r w:rsidRPr="008E4D09">
        <w:rPr>
          <w:rStyle w:val="Boldtext"/>
          <w:b w:val="0"/>
          <w:bCs/>
        </w:rPr>
        <w:t>FIs</w:t>
      </w:r>
      <w:r>
        <w:rPr>
          <w:rStyle w:val="Boldtext"/>
          <w:b w:val="0"/>
          <w:bCs/>
        </w:rPr>
        <w:t xml:space="preserve"> in interviews</w:t>
      </w:r>
      <w:r w:rsidRPr="008E4D09">
        <w:rPr>
          <w:rStyle w:val="Boldtext"/>
          <w:b w:val="0"/>
          <w:bCs/>
        </w:rPr>
        <w:t xml:space="preserve"> also note</w:t>
      </w:r>
      <w:r>
        <w:rPr>
          <w:rStyle w:val="Boldtext"/>
          <w:b w:val="0"/>
          <w:bCs/>
        </w:rPr>
        <w:t>d</w:t>
      </w:r>
      <w:r w:rsidRPr="008E4D09">
        <w:rPr>
          <w:rStyle w:val="Boldtext"/>
          <w:b w:val="0"/>
          <w:bCs/>
        </w:rPr>
        <w:t xml:space="preserve"> that convincing customers about the benefits of green construction requires substantial investment in awareness campaigns, workshops, and counselling sessions to dispel myths about design and cost.</w:t>
      </w:r>
    </w:p>
    <w:p w14:paraId="61D6341B" w14:textId="48E49BE3" w:rsidR="00F262F1" w:rsidRPr="001C6F7A" w:rsidRDefault="00F262F1" w:rsidP="00F262F1">
      <w:pPr>
        <w:pStyle w:val="Tintbox"/>
        <w:rPr>
          <w:rStyle w:val="Boldtext"/>
        </w:rPr>
      </w:pPr>
      <w:r w:rsidRPr="001C6F7A">
        <w:rPr>
          <w:rStyle w:val="Boldtext"/>
        </w:rPr>
        <w:t>Colombia</w:t>
      </w:r>
    </w:p>
    <w:p w14:paraId="7199ED03" w14:textId="28DCB495" w:rsidR="00F262F1" w:rsidRPr="001C6F7A" w:rsidRDefault="00F262F1" w:rsidP="00F262F1">
      <w:pPr>
        <w:pStyle w:val="Tintbox"/>
        <w:rPr>
          <w:i/>
        </w:rPr>
      </w:pPr>
      <w:r w:rsidRPr="001C6F7A">
        <w:t>Colombia has the highest take-up of the EDGE standard among countries where MAGC operates. It provides an example of where building sector stakeholders raised the issue of maintaining demand and ensuring buildings deliver the expected savings.</w:t>
      </w:r>
      <w:r w:rsidRPr="001C6F7A">
        <w:br/>
      </w:r>
      <w:r w:rsidRPr="001C6F7A">
        <w:br/>
      </w:r>
      <w:r w:rsidRPr="001C6F7A">
        <w:rPr>
          <w:rStyle w:val="Italic"/>
        </w:rPr>
        <w:t>“One of the headaches that we have, for example, with projects or companies that build green buildings, is that</w:t>
      </w:r>
      <w:r w:rsidR="00F60C7C">
        <w:rPr>
          <w:rStyle w:val="Italic"/>
        </w:rPr>
        <w:t>,</w:t>
      </w:r>
      <w:r w:rsidRPr="001C6F7A">
        <w:rPr>
          <w:rStyle w:val="Italic"/>
        </w:rPr>
        <w:t xml:space="preserve"> at the time of selling that building, the sales consultant does not have enough language and understanding of the information to sell the end</w:t>
      </w:r>
      <w:r w:rsidR="00E6488F">
        <w:rPr>
          <w:rStyle w:val="Italic"/>
        </w:rPr>
        <w:t xml:space="preserve"> </w:t>
      </w:r>
      <w:r w:rsidRPr="001C6F7A">
        <w:rPr>
          <w:rStyle w:val="Italic"/>
        </w:rPr>
        <w:t>user a green building.”</w:t>
      </w:r>
      <w:r w:rsidRPr="001C6F7A">
        <w:t xml:space="preserve"> </w:t>
      </w:r>
      <w:r w:rsidRPr="001C6F7A">
        <w:rPr>
          <w:i/>
        </w:rPr>
        <w:t>(Colombia, building sector)</w:t>
      </w:r>
    </w:p>
    <w:p w14:paraId="38156EEE" w14:textId="18CD0AED" w:rsidR="00F262F1" w:rsidRPr="006A265B" w:rsidRDefault="00F262F1" w:rsidP="001C6F7A">
      <w:pPr>
        <w:pStyle w:val="Tintbox"/>
        <w:rPr>
          <w:rStyle w:val="Boldtext"/>
          <w:b w:val="0"/>
          <w:bCs/>
        </w:rPr>
      </w:pPr>
      <w:r w:rsidRPr="001C6F7A">
        <w:rPr>
          <w:rStyle w:val="Italic"/>
        </w:rPr>
        <w:t>“Those of us who build housing develop the project, but we do not operate it, so the person who is going to operate that project and live in that house can modify the specifications that you left.”</w:t>
      </w:r>
      <w:r w:rsidRPr="001C6F7A">
        <w:t xml:space="preserve"> </w:t>
      </w:r>
      <w:r w:rsidRPr="001C6F7A">
        <w:rPr>
          <w:i/>
        </w:rPr>
        <w:t>(Colombia, building sector)</w:t>
      </w:r>
    </w:p>
    <w:p w14:paraId="58B4808E" w14:textId="31E9CA92" w:rsidR="00A4160B" w:rsidRPr="008C1C8D" w:rsidRDefault="00A4160B" w:rsidP="00A4160B">
      <w:pPr>
        <w:pStyle w:val="Heading3"/>
      </w:pPr>
      <w:r>
        <w:t xml:space="preserve">5.1.3 </w:t>
      </w:r>
      <w:r w:rsidR="003E60F2">
        <w:t xml:space="preserve">Component 3: </w:t>
      </w:r>
      <w:r>
        <w:t>Green Certification</w:t>
      </w:r>
      <w:bookmarkEnd w:id="35"/>
      <w:bookmarkEnd w:id="36"/>
      <w:bookmarkEnd w:id="37"/>
      <w:bookmarkEnd w:id="38"/>
      <w:bookmarkEnd w:id="39"/>
    </w:p>
    <w:p w14:paraId="08E64C1D" w14:textId="1EE75163" w:rsidR="00073461" w:rsidRDefault="00ED7646" w:rsidP="00A32E40">
      <w:pPr>
        <w:rPr>
          <w:rStyle w:val="Boldtext"/>
        </w:rPr>
      </w:pPr>
      <w:r w:rsidRPr="00ED7646">
        <w:t>Component 3</w:t>
      </w:r>
      <w:r>
        <w:t xml:space="preserve"> aims to</w:t>
      </w:r>
      <w:r w:rsidRPr="00ED7646">
        <w:t xml:space="preserve"> </w:t>
      </w:r>
      <w:r>
        <w:t>i</w:t>
      </w:r>
      <w:r w:rsidRPr="00ED7646">
        <w:t>mprov</w:t>
      </w:r>
      <w:r w:rsidR="0059088C">
        <w:t>e</w:t>
      </w:r>
      <w:r w:rsidRPr="00ED7646">
        <w:t xml:space="preserve"> construction standards by maintaining and improving IFC’s EDGE certification and design tool.</w:t>
      </w:r>
      <w:r w:rsidR="0059088C">
        <w:t xml:space="preserve"> </w:t>
      </w:r>
      <w:r w:rsidR="006D76B5">
        <w:t xml:space="preserve">This is done through </w:t>
      </w:r>
      <w:r w:rsidR="000A2DE5">
        <w:t>updates to the software, launch of more ambitious certification</w:t>
      </w:r>
      <w:r w:rsidR="00434932">
        <w:t>s</w:t>
      </w:r>
      <w:r w:rsidR="000A2DE5">
        <w:t xml:space="preserve"> (EDGE Advanced and EDGE Zero Carbon)</w:t>
      </w:r>
      <w:r w:rsidR="00434932">
        <w:t>, and improvements for users (such as user guide translations).</w:t>
      </w:r>
      <w:r w:rsidR="000B1871">
        <w:t xml:space="preserve"> The hypothesis </w:t>
      </w:r>
      <w:r w:rsidR="00CA2D4D">
        <w:t xml:space="preserve">was that the maintenance, operation, and improvements of the EDGE certification platform contribute to </w:t>
      </w:r>
      <w:r w:rsidR="00657FD7">
        <w:t>the</w:t>
      </w:r>
      <w:r w:rsidR="00CA2D4D">
        <w:t xml:space="preserve"> strengthen</w:t>
      </w:r>
      <w:r w:rsidR="00657FD7">
        <w:t>ing of</w:t>
      </w:r>
      <w:r w:rsidR="00CA2D4D">
        <w:t xml:space="preserve"> the EDGE system in countries and encourage green construction standards.</w:t>
      </w:r>
    </w:p>
    <w:p w14:paraId="00F7D507" w14:textId="395760F7" w:rsidR="003A2538" w:rsidRPr="003A2538" w:rsidRDefault="000F43BC" w:rsidP="003A2538">
      <w:r>
        <w:rPr>
          <w:rStyle w:val="Boldtext"/>
        </w:rPr>
        <w:t xml:space="preserve">A. </w:t>
      </w:r>
      <w:r w:rsidR="00FF0BFF">
        <w:rPr>
          <w:rStyle w:val="Boldtext"/>
        </w:rPr>
        <w:t xml:space="preserve">In </w:t>
      </w:r>
      <w:r w:rsidR="00155770">
        <w:rPr>
          <w:rStyle w:val="Boldtext"/>
        </w:rPr>
        <w:t>most</w:t>
      </w:r>
      <w:r w:rsidR="00FF0BFF">
        <w:rPr>
          <w:rStyle w:val="Boldtext"/>
        </w:rPr>
        <w:t xml:space="preserve"> countries considered, </w:t>
      </w:r>
      <w:r w:rsidR="00D460A8">
        <w:rPr>
          <w:rStyle w:val="Boldtext"/>
        </w:rPr>
        <w:t xml:space="preserve">there is evidence of the </w:t>
      </w:r>
      <w:r w:rsidR="00D460A8" w:rsidRPr="003D3E04">
        <w:rPr>
          <w:rStyle w:val="Boldtext"/>
        </w:rPr>
        <w:t xml:space="preserve">EDGE </w:t>
      </w:r>
      <w:r w:rsidR="00D460A8">
        <w:rPr>
          <w:rStyle w:val="Boldtext"/>
        </w:rPr>
        <w:t>certification</w:t>
      </w:r>
      <w:r w:rsidR="00D460A8" w:rsidRPr="003D3E04">
        <w:rPr>
          <w:rStyle w:val="Boldtext"/>
        </w:rPr>
        <w:t xml:space="preserve"> gaining traction thanks to its simplicity and cost-effectiveness</w:t>
      </w:r>
      <w:r w:rsidR="00D460A8" w:rsidRPr="003A2538">
        <w:t xml:space="preserve">. </w:t>
      </w:r>
      <w:r w:rsidR="00D645AF" w:rsidRPr="00D645AF">
        <w:t xml:space="preserve">65 million </w:t>
      </w:r>
      <w:r w:rsidR="005F2C20" w:rsidRPr="00D645AF">
        <w:t>(</w:t>
      </w:r>
      <w:r w:rsidR="005F2C20">
        <w:t>m</w:t>
      </w:r>
      <w:r w:rsidR="005F2C20" w:rsidRPr="0030350A">
        <w:rPr>
          <w:vertAlign w:val="superscript"/>
        </w:rPr>
        <w:t>2</w:t>
      </w:r>
      <w:r w:rsidR="005F2C20" w:rsidRPr="00D645AF">
        <w:t>)</w:t>
      </w:r>
      <w:r w:rsidR="00D645AF" w:rsidRPr="00D645AF">
        <w:t xml:space="preserve"> of floor space received EDGE Certification  in MAGC countries</w:t>
      </w:r>
      <w:r w:rsidR="00D645AF">
        <w:t xml:space="preserve"> as of June 2024</w:t>
      </w:r>
      <w:r w:rsidR="00D645AF" w:rsidRPr="00D645AF">
        <w:t>, exceeding the target of 51 million (</w:t>
      </w:r>
      <w:r w:rsidR="00406565">
        <w:t>m</w:t>
      </w:r>
      <w:r w:rsidR="00406565" w:rsidRPr="0030350A">
        <w:rPr>
          <w:vertAlign w:val="superscript"/>
        </w:rPr>
        <w:t>2</w:t>
      </w:r>
      <w:r w:rsidR="00D645AF" w:rsidRPr="00D645AF">
        <w:t>).</w:t>
      </w:r>
      <w:r w:rsidR="00D645AF">
        <w:rPr>
          <w:rStyle w:val="FootnoteReference"/>
        </w:rPr>
        <w:footnoteReference w:id="43"/>
      </w:r>
      <w:r w:rsidR="00D645AF" w:rsidRPr="00D645AF">
        <w:t xml:space="preserve"> </w:t>
      </w:r>
      <w:r w:rsidR="00D645AF">
        <w:t>The evaluation examined the key drivers of this growth in MAGC countries, and m</w:t>
      </w:r>
      <w:r w:rsidR="003A2538" w:rsidRPr="003A2538">
        <w:t>ultiple benefits were highlighted in comparison to other certifications:</w:t>
      </w:r>
    </w:p>
    <w:p w14:paraId="3EB42DC2" w14:textId="632C0E38" w:rsidR="003A2538" w:rsidRPr="003A2538" w:rsidRDefault="003A2538" w:rsidP="003A2538">
      <w:pPr>
        <w:pStyle w:val="DESNZbulletedlist"/>
      </w:pPr>
      <w:r w:rsidRPr="00FF0BFF">
        <w:rPr>
          <w:rStyle w:val="Boldtext"/>
        </w:rPr>
        <w:t>Cheaper</w:t>
      </w:r>
      <w:r w:rsidR="003D3E04">
        <w:t>:</w:t>
      </w:r>
      <w:r w:rsidR="00FF0BFF">
        <w:t xml:space="preserve"> one of the key advantages of EDGE is being more affordable than the other available certifications.</w:t>
      </w:r>
      <w:r w:rsidR="00B738E3">
        <w:rPr>
          <w:rStyle w:val="FootnoteReference"/>
        </w:rPr>
        <w:footnoteReference w:id="44"/>
      </w:r>
      <w:r w:rsidR="00FF0BFF">
        <w:t xml:space="preserve"> This has been reported in countries where EDGE is the </w:t>
      </w:r>
      <w:r w:rsidR="007A0DB1">
        <w:t>leading green</w:t>
      </w:r>
      <w:r w:rsidR="00FF0BFF">
        <w:t xml:space="preserve"> building certification, but also in countries where other certifications (such as LEED or local certifications) are still prevalent.</w:t>
      </w:r>
      <w:r w:rsidR="00193822">
        <w:t xml:space="preserve"> Other certifications, such as LEED, mainly operate with private funds and certification fees.</w:t>
      </w:r>
    </w:p>
    <w:p w14:paraId="214C3882" w14:textId="44C6D910" w:rsidR="003A2538" w:rsidRPr="003A2538" w:rsidRDefault="003A2538" w:rsidP="003A2538">
      <w:pPr>
        <w:pStyle w:val="DESNZbulletedlist"/>
      </w:pPr>
      <w:r w:rsidRPr="00FF0BFF">
        <w:rPr>
          <w:rStyle w:val="Boldtext"/>
        </w:rPr>
        <w:t>Easier to use</w:t>
      </w:r>
      <w:r w:rsidR="003D3E04">
        <w:t>:</w:t>
      </w:r>
      <w:r w:rsidRPr="003A2538">
        <w:t xml:space="preserve"> </w:t>
      </w:r>
      <w:r w:rsidR="00FF0BFF">
        <w:t xml:space="preserve">EDGE has been described by multiple stakeholders </w:t>
      </w:r>
      <w:r w:rsidR="00841B2F">
        <w:t xml:space="preserve">(developers, auditors, certifiers) </w:t>
      </w:r>
      <w:r w:rsidR="00FF0BFF">
        <w:t xml:space="preserve">as </w:t>
      </w:r>
      <w:r w:rsidRPr="003A2538">
        <w:t>more accessible</w:t>
      </w:r>
      <w:r w:rsidR="006F39EA">
        <w:t xml:space="preserve"> (</w:t>
      </w:r>
      <w:r w:rsidR="00FF0E6C">
        <w:t>for example, by being more</w:t>
      </w:r>
      <w:r w:rsidR="004446CA">
        <w:t xml:space="preserve"> </w:t>
      </w:r>
      <w:r w:rsidR="006F39EA">
        <w:t xml:space="preserve">streamlined and requiring </w:t>
      </w:r>
      <w:r w:rsidR="06332EA2">
        <w:t xml:space="preserve">less </w:t>
      </w:r>
      <w:r w:rsidR="006F39EA">
        <w:t>documentation)</w:t>
      </w:r>
      <w:r w:rsidR="00FF0BFF">
        <w:t xml:space="preserve"> and</w:t>
      </w:r>
      <w:r w:rsidRPr="003A2538">
        <w:t xml:space="preserve"> user-friendly</w:t>
      </w:r>
      <w:r w:rsidR="00FF0BFF">
        <w:t xml:space="preserve"> than other certification tools.</w:t>
      </w:r>
      <w:r w:rsidR="007A0DB1">
        <w:t xml:space="preserve"> </w:t>
      </w:r>
    </w:p>
    <w:p w14:paraId="042087AE" w14:textId="43997D00" w:rsidR="003A2538" w:rsidRPr="003A2538" w:rsidRDefault="003A2538" w:rsidP="003A2538">
      <w:pPr>
        <w:pStyle w:val="DESNZbulletedlist"/>
      </w:pPr>
      <w:r w:rsidRPr="007A0DB1">
        <w:rPr>
          <w:rStyle w:val="Boldtext"/>
        </w:rPr>
        <w:t>Internationally recognised</w:t>
      </w:r>
      <w:r w:rsidR="003D3E04">
        <w:t>:</w:t>
      </w:r>
      <w:r w:rsidRPr="003A2538">
        <w:t xml:space="preserve"> </w:t>
      </w:r>
      <w:r w:rsidR="00FA0219">
        <w:t xml:space="preserve">EDGE as an international standard is </w:t>
      </w:r>
      <w:r w:rsidRPr="003A2538">
        <w:t>helping to create a “common language”</w:t>
      </w:r>
      <w:r w:rsidR="00FA0219">
        <w:t xml:space="preserve"> for green building certification and is seen as attracting international investment.</w:t>
      </w:r>
    </w:p>
    <w:p w14:paraId="5D5EE67E" w14:textId="034E372D" w:rsidR="00753844" w:rsidRDefault="00AF1556" w:rsidP="00753844">
      <w:pPr>
        <w:pStyle w:val="DESNZbulletedlist"/>
      </w:pPr>
      <w:r>
        <w:t>E</w:t>
      </w:r>
      <w:r w:rsidR="007B7A78">
        <w:t xml:space="preserve">DGE </w:t>
      </w:r>
      <w:r w:rsidR="0078216E">
        <w:t>h</w:t>
      </w:r>
      <w:r w:rsidR="007A0DB1">
        <w:t>as a</w:t>
      </w:r>
      <w:r w:rsidR="003A2538" w:rsidRPr="003A2538">
        <w:t xml:space="preserve"> larger pool of </w:t>
      </w:r>
      <w:r w:rsidR="003A2538" w:rsidRPr="00FA0219">
        <w:rPr>
          <w:rStyle w:val="Boldtext"/>
        </w:rPr>
        <w:t>certified professionals</w:t>
      </w:r>
      <w:r w:rsidR="00FA0219">
        <w:rPr>
          <w:rStyle w:val="Boldtext"/>
        </w:rPr>
        <w:t xml:space="preserve"> who are EDGE experts. </w:t>
      </w:r>
      <w:r w:rsidR="00FA0219">
        <w:t>A b</w:t>
      </w:r>
      <w:r w:rsidR="00FA0219" w:rsidRPr="00FA0219">
        <w:t xml:space="preserve">enefit of EDGE is that </w:t>
      </w:r>
      <w:r w:rsidR="00FA12B3">
        <w:t xml:space="preserve">it </w:t>
      </w:r>
      <w:r w:rsidR="00FA0219" w:rsidRPr="00FA0219">
        <w:t xml:space="preserve">is increasingly </w:t>
      </w:r>
      <w:r w:rsidR="00FA0219" w:rsidRPr="00FA0219">
        <w:rPr>
          <w:rStyle w:val="Boldtext"/>
        </w:rPr>
        <w:t>allowing companies to build inhouse technical capacity</w:t>
      </w:r>
      <w:r w:rsidR="00FA0219" w:rsidRPr="00FA0219">
        <w:t xml:space="preserve"> and reduce reliance on external consultants.</w:t>
      </w:r>
    </w:p>
    <w:p w14:paraId="54A9E57A" w14:textId="682FC92E" w:rsidR="00FA0219" w:rsidRDefault="00A429DC" w:rsidP="00FA0219">
      <w:pPr>
        <w:pStyle w:val="Quote"/>
      </w:pPr>
      <w:r>
        <w:t>“</w:t>
      </w:r>
      <w:r w:rsidRPr="00A429DC">
        <w:t xml:space="preserve">EDGE is specifically built for homes. So, it's really, really easy to deal with. It's faster. And we analyse a lot of other certifying systems, but it was </w:t>
      </w:r>
      <w:r w:rsidR="00FA2815">
        <w:t>more</w:t>
      </w:r>
      <w:r w:rsidRPr="00A429DC">
        <w:t xml:space="preserve"> focused on, maybe, health. Or more for offices. I think we analyse around 10 different certify</w:t>
      </w:r>
      <w:r w:rsidR="00E15355">
        <w:t>ing</w:t>
      </w:r>
      <w:r w:rsidRPr="00A429DC">
        <w:t xml:space="preserve"> systems. And EDGE is the best for the way we work. I think it's the best for home developers</w:t>
      </w:r>
      <w:r w:rsidR="00A70565">
        <w:t>.</w:t>
      </w:r>
      <w:r>
        <w:t>” (Mexico, developer)</w:t>
      </w:r>
    </w:p>
    <w:p w14:paraId="438CB7D2" w14:textId="4E319819" w:rsidR="003D3E04" w:rsidRDefault="00FA0219" w:rsidP="00FA0219">
      <w:pPr>
        <w:pStyle w:val="Quote"/>
      </w:pPr>
      <w:r>
        <w:t>“</w:t>
      </w:r>
      <w:r w:rsidR="00895764">
        <w:t>I</w:t>
      </w:r>
      <w:r w:rsidRPr="00FA0219">
        <w:t>t has, first of all, a big number of certifiers and is less expensive, for instance, compared to LEED certification in Colombia.</w:t>
      </w:r>
      <w:r>
        <w:t>” (Colombia, policy)</w:t>
      </w:r>
    </w:p>
    <w:p w14:paraId="7B1597AA" w14:textId="3663D70D" w:rsidR="00FA0219" w:rsidRDefault="000F43BC" w:rsidP="00FA0219">
      <w:r>
        <w:rPr>
          <w:rStyle w:val="Boldtext"/>
        </w:rPr>
        <w:t xml:space="preserve">B. </w:t>
      </w:r>
      <w:r w:rsidR="00EE3C68">
        <w:rPr>
          <w:rStyle w:val="Boldtext"/>
        </w:rPr>
        <w:t xml:space="preserve">Stakeholders interviewed </w:t>
      </w:r>
      <w:r w:rsidR="00841B2F">
        <w:rPr>
          <w:rStyle w:val="Boldtext"/>
        </w:rPr>
        <w:t xml:space="preserve">(developers, certifiers) </w:t>
      </w:r>
      <w:r w:rsidR="00EE3C68">
        <w:rPr>
          <w:rStyle w:val="Boldtext"/>
        </w:rPr>
        <w:t>also gave the view that the</w:t>
      </w:r>
      <w:r w:rsidR="003D3E04" w:rsidRPr="003D3E04">
        <w:rPr>
          <w:rStyle w:val="Boldtext"/>
        </w:rPr>
        <w:t xml:space="preserve"> </w:t>
      </w:r>
      <w:r w:rsidR="003A2538" w:rsidRPr="003D3E04">
        <w:rPr>
          <w:rStyle w:val="Boldtext"/>
        </w:rPr>
        <w:t>EDGE</w:t>
      </w:r>
      <w:r w:rsidR="003D3E04" w:rsidRPr="003D3E04">
        <w:rPr>
          <w:rStyle w:val="Boldtext"/>
        </w:rPr>
        <w:t xml:space="preserve"> App </w:t>
      </w:r>
      <w:r w:rsidR="00EE3C68">
        <w:rPr>
          <w:rStyle w:val="Boldtext"/>
        </w:rPr>
        <w:t xml:space="preserve">encouraged the take-up of </w:t>
      </w:r>
      <w:r w:rsidR="003A2538" w:rsidRPr="003D3E04">
        <w:rPr>
          <w:rStyle w:val="Boldtext"/>
        </w:rPr>
        <w:t xml:space="preserve">green construction </w:t>
      </w:r>
      <w:r w:rsidR="00EE3C68">
        <w:rPr>
          <w:rStyle w:val="Boldtext"/>
        </w:rPr>
        <w:t>practices</w:t>
      </w:r>
      <w:r w:rsidR="005E5682">
        <w:rPr>
          <w:rStyle w:val="Boldtext"/>
        </w:rPr>
        <w:t xml:space="preserve"> amongst developers</w:t>
      </w:r>
      <w:r w:rsidR="0049210E">
        <w:t>. I</w:t>
      </w:r>
      <w:r w:rsidR="003D3E04">
        <w:t>t</w:t>
      </w:r>
      <w:r w:rsidR="003A2538" w:rsidRPr="003A2538">
        <w:t xml:space="preserve"> enables companies to get an early indication of potential resource efficiency and cost savings, helping </w:t>
      </w:r>
      <w:r w:rsidR="00EE3C68">
        <w:t xml:space="preserve">the </w:t>
      </w:r>
      <w:r w:rsidR="003A2538" w:rsidRPr="003A2538">
        <w:t>decision-making processes.</w:t>
      </w:r>
      <w:r w:rsidR="007A0DB1">
        <w:t xml:space="preserve"> For example, in Colombia, </w:t>
      </w:r>
      <w:r w:rsidR="005E5682">
        <w:t xml:space="preserve">the </w:t>
      </w:r>
      <w:r w:rsidR="007A0DB1">
        <w:t>EDGE</w:t>
      </w:r>
      <w:r w:rsidR="005E5682">
        <w:t xml:space="preserve"> App</w:t>
      </w:r>
      <w:r w:rsidR="007A0DB1">
        <w:t xml:space="preserve"> is used</w:t>
      </w:r>
      <w:r w:rsidR="007A0DB1" w:rsidRPr="007A0DB1">
        <w:t xml:space="preserve"> by companies starting to learn what green buildings entail</w:t>
      </w:r>
      <w:r w:rsidR="00715675">
        <w:t>s</w:t>
      </w:r>
      <w:r w:rsidR="0049210E">
        <w:t>.</w:t>
      </w:r>
      <w:r w:rsidR="0049210E" w:rsidRPr="007A0DB1">
        <w:t xml:space="preserve"> </w:t>
      </w:r>
      <w:r w:rsidR="0049210E">
        <w:t>T</w:t>
      </w:r>
      <w:r w:rsidR="007A0DB1" w:rsidRPr="007A0DB1">
        <w:t xml:space="preserve">he application </w:t>
      </w:r>
      <w:r w:rsidR="0049210E">
        <w:t xml:space="preserve">allows them </w:t>
      </w:r>
      <w:r w:rsidR="007A0DB1" w:rsidRPr="007A0DB1">
        <w:t xml:space="preserve">to see how far or close they are to being able to certify </w:t>
      </w:r>
      <w:r w:rsidR="007A0DB1">
        <w:t>their</w:t>
      </w:r>
      <w:r w:rsidR="007A0DB1" w:rsidRPr="007A0DB1">
        <w:t xml:space="preserve"> projects</w:t>
      </w:r>
      <w:r w:rsidR="007A0DB1">
        <w:t>.</w:t>
      </w:r>
    </w:p>
    <w:p w14:paraId="658FD313" w14:textId="75762AA5" w:rsidR="003A2538" w:rsidRDefault="000F43BC" w:rsidP="003A2538">
      <w:pPr>
        <w:pStyle w:val="DESNZbulletedlist"/>
        <w:numPr>
          <w:ilvl w:val="0"/>
          <w:numId w:val="0"/>
        </w:numPr>
      </w:pPr>
      <w:r>
        <w:rPr>
          <w:rStyle w:val="Boldtext"/>
        </w:rPr>
        <w:t xml:space="preserve">C. </w:t>
      </w:r>
      <w:r w:rsidR="003A2538" w:rsidRPr="001C5342">
        <w:rPr>
          <w:rStyle w:val="Boldtext"/>
        </w:rPr>
        <w:t xml:space="preserve">Improvements to </w:t>
      </w:r>
      <w:r w:rsidR="007A0DB1">
        <w:rPr>
          <w:rStyle w:val="Boldtext"/>
        </w:rPr>
        <w:t xml:space="preserve">the EDGE </w:t>
      </w:r>
      <w:r w:rsidR="003A2538" w:rsidRPr="001C5342">
        <w:rPr>
          <w:rStyle w:val="Boldtext"/>
        </w:rPr>
        <w:t xml:space="preserve">platform </w:t>
      </w:r>
      <w:r w:rsidR="007A0DB1">
        <w:rPr>
          <w:rStyle w:val="Boldtext"/>
        </w:rPr>
        <w:t xml:space="preserve">have been </w:t>
      </w:r>
      <w:r w:rsidR="006D33CB">
        <w:rPr>
          <w:rStyle w:val="Boldtext"/>
        </w:rPr>
        <w:t xml:space="preserve">generally </w:t>
      </w:r>
      <w:r w:rsidR="007A0DB1">
        <w:rPr>
          <w:rStyle w:val="Boldtext"/>
        </w:rPr>
        <w:t xml:space="preserve">received </w:t>
      </w:r>
      <w:r w:rsidR="003A2538" w:rsidRPr="001C5342">
        <w:rPr>
          <w:rStyle w:val="Boldtext"/>
        </w:rPr>
        <w:t>positive</w:t>
      </w:r>
      <w:r w:rsidR="007A0DB1">
        <w:rPr>
          <w:rStyle w:val="Boldtext"/>
        </w:rPr>
        <w:t>ly</w:t>
      </w:r>
      <w:r w:rsidR="003A2538" w:rsidRPr="003A2538">
        <w:t xml:space="preserve">, </w:t>
      </w:r>
      <w:r w:rsidR="007A0DB1">
        <w:t xml:space="preserve">despite some companies reporting </w:t>
      </w:r>
      <w:r w:rsidR="00A4743E">
        <w:t xml:space="preserve">difficulties with </w:t>
      </w:r>
      <w:r w:rsidR="00DC4FC5">
        <w:t>keeping up with the updates</w:t>
      </w:r>
      <w:r w:rsidR="00AC5028">
        <w:t>. Updates to the platform were</w:t>
      </w:r>
      <w:r w:rsidR="00B60F23">
        <w:t xml:space="preserve"> introduced to </w:t>
      </w:r>
      <w:r w:rsidR="00B60F23" w:rsidRPr="00B60F23">
        <w:t>achieve more precise results</w:t>
      </w:r>
      <w:r w:rsidR="0049210E">
        <w:t>. T</w:t>
      </w:r>
      <w:r w:rsidR="00B60F23">
        <w:t>his meant some companies needed</w:t>
      </w:r>
      <w:r w:rsidR="00453125">
        <w:t xml:space="preserve"> further support to understand </w:t>
      </w:r>
      <w:r w:rsidR="00DC6F6D">
        <w:t xml:space="preserve">changes and additions </w:t>
      </w:r>
      <w:r w:rsidR="00B60F23">
        <w:t>on how to use the new functionalities.</w:t>
      </w:r>
      <w:r w:rsidR="00DC6F6D">
        <w:t xml:space="preserve"> </w:t>
      </w:r>
    </w:p>
    <w:p w14:paraId="3EFDDD13" w14:textId="370BE1D4" w:rsidR="0023404E" w:rsidRPr="00EF6A91" w:rsidRDefault="0023404E" w:rsidP="00786133">
      <w:pPr>
        <w:pStyle w:val="Quote"/>
      </w:pPr>
      <w:r w:rsidRPr="00EF6A91">
        <w:t>“</w:t>
      </w:r>
      <w:r w:rsidRPr="00EF6A91">
        <w:rPr>
          <w:iCs w:val="0"/>
        </w:rPr>
        <w:t>When E</w:t>
      </w:r>
      <w:r w:rsidR="00EE3C68" w:rsidRPr="00EF6A91">
        <w:rPr>
          <w:iCs w:val="0"/>
        </w:rPr>
        <w:t>DGE</w:t>
      </w:r>
      <w:r w:rsidRPr="00EF6A91">
        <w:rPr>
          <w:iCs w:val="0"/>
        </w:rPr>
        <w:t xml:space="preserve"> made the transition from the previous standard to the 3.0 standard, or the current standard, we had many difficulties with the tool, but through technical meetings we have been able to solve them with IFC</w:t>
      </w:r>
      <w:r w:rsidRPr="00786133">
        <w:rPr>
          <w:i w:val="0"/>
        </w:rPr>
        <w:t xml:space="preserve">.” </w:t>
      </w:r>
      <w:r w:rsidRPr="00EF6A91">
        <w:t>(Colombia, developer)</w:t>
      </w:r>
    </w:p>
    <w:p w14:paraId="79A92531" w14:textId="4A30A1DC" w:rsidR="000B4628" w:rsidRPr="000B4628" w:rsidRDefault="000F43BC" w:rsidP="000B4628">
      <w:pPr>
        <w:rPr>
          <w:b/>
        </w:rPr>
      </w:pPr>
      <w:r>
        <w:rPr>
          <w:rStyle w:val="Boldtext"/>
        </w:rPr>
        <w:t xml:space="preserve">D. </w:t>
      </w:r>
      <w:r w:rsidR="003A2538" w:rsidRPr="003D3E04">
        <w:rPr>
          <w:rStyle w:val="Boldtext"/>
        </w:rPr>
        <w:t xml:space="preserve">EDGE </w:t>
      </w:r>
      <w:r w:rsidR="007A0DB1">
        <w:rPr>
          <w:rStyle w:val="Boldtext"/>
        </w:rPr>
        <w:t>appears</w:t>
      </w:r>
      <w:r w:rsidR="0080074F">
        <w:rPr>
          <w:rStyle w:val="Boldtext"/>
        </w:rPr>
        <w:t xml:space="preserve"> </w:t>
      </w:r>
      <w:r w:rsidR="003A2538" w:rsidRPr="003D3E04">
        <w:rPr>
          <w:rStyle w:val="Boldtext"/>
        </w:rPr>
        <w:t>more suitable and appropriate for specific contexts, while other certification</w:t>
      </w:r>
      <w:r w:rsidR="003D3E04" w:rsidRPr="003D3E04">
        <w:rPr>
          <w:rStyle w:val="Boldtext"/>
        </w:rPr>
        <w:t>s are</w:t>
      </w:r>
      <w:r w:rsidR="003A2538" w:rsidRPr="003D3E04">
        <w:rPr>
          <w:rStyle w:val="Boldtext"/>
        </w:rPr>
        <w:t xml:space="preserve"> still leading in others</w:t>
      </w:r>
      <w:r w:rsidR="003A2538">
        <w:t>.</w:t>
      </w:r>
      <w:r w:rsidR="007A0DB1">
        <w:t xml:space="preserve"> </w:t>
      </w:r>
      <w:r w:rsidR="000B4628">
        <w:t xml:space="preserve">Key factors </w:t>
      </w:r>
      <w:r w:rsidR="0023404E">
        <w:t>and differences can be summarised as</w:t>
      </w:r>
      <w:r w:rsidR="000B4628">
        <w:t>:</w:t>
      </w:r>
    </w:p>
    <w:p w14:paraId="05B54F34" w14:textId="258C1B35" w:rsidR="003A2538" w:rsidRPr="003A2538" w:rsidRDefault="003A2538" w:rsidP="003A2538">
      <w:pPr>
        <w:pStyle w:val="DESNZbulletedlist"/>
      </w:pPr>
      <w:r w:rsidRPr="003D3E04">
        <w:rPr>
          <w:rStyle w:val="Boldtext"/>
        </w:rPr>
        <w:t>Building type</w:t>
      </w:r>
      <w:r w:rsidRPr="003A2538">
        <w:t xml:space="preserve">: EDGE </w:t>
      </w:r>
      <w:r w:rsidR="00895764">
        <w:t xml:space="preserve">is </w:t>
      </w:r>
      <w:r w:rsidRPr="003A2538">
        <w:t xml:space="preserve">particularly useful for residential projects, while LEED </w:t>
      </w:r>
      <w:r w:rsidR="00895764">
        <w:t xml:space="preserve">is </w:t>
      </w:r>
      <w:r w:rsidRPr="003A2538">
        <w:t>still considered more appropriate for large corporate or industrial buildings</w:t>
      </w:r>
      <w:r w:rsidR="00895764">
        <w:t xml:space="preserve"> due to a stronger reputation for landmark-type of buildings</w:t>
      </w:r>
      <w:r w:rsidRPr="003A2538">
        <w:t>.</w:t>
      </w:r>
    </w:p>
    <w:p w14:paraId="17AC2FA5" w14:textId="18D84416" w:rsidR="003A2538" w:rsidRPr="003A2538" w:rsidRDefault="003A2538" w:rsidP="003A2538">
      <w:pPr>
        <w:pStyle w:val="DESNZbulletedlist"/>
      </w:pPr>
      <w:r w:rsidRPr="003D3E04">
        <w:rPr>
          <w:rStyle w:val="Boldtext"/>
        </w:rPr>
        <w:t>Focus</w:t>
      </w:r>
      <w:r w:rsidRPr="003A2538">
        <w:t>: EDGE is focused on three key areas of energy, water, and embodied carbon savings</w:t>
      </w:r>
      <w:r w:rsidR="0049210E">
        <w:t>.</w:t>
      </w:r>
      <w:r w:rsidR="0049210E" w:rsidRPr="003A2538">
        <w:t xml:space="preserve"> </w:t>
      </w:r>
      <w:r w:rsidR="0049210E">
        <w:t xml:space="preserve">Some </w:t>
      </w:r>
      <w:r w:rsidRPr="003A2538">
        <w:t>other certifications have a broader focus on sustainability and wellbeing (LEED, WELL) which is valued by stakeholders in the building sector.</w:t>
      </w:r>
    </w:p>
    <w:p w14:paraId="43AC97CB" w14:textId="3BB8B784" w:rsidR="003A2538" w:rsidRDefault="003A2538" w:rsidP="003A2538">
      <w:pPr>
        <w:pStyle w:val="DESNZbulletedlist"/>
      </w:pPr>
      <w:r w:rsidRPr="003D3E04">
        <w:rPr>
          <w:rStyle w:val="Boldtext"/>
        </w:rPr>
        <w:t>Localisation</w:t>
      </w:r>
      <w:r w:rsidRPr="003A2538">
        <w:t xml:space="preserve">: Across countries, </w:t>
      </w:r>
      <w:r w:rsidR="00895764">
        <w:t>there are</w:t>
      </w:r>
      <w:r w:rsidRPr="003A2538">
        <w:t xml:space="preserve"> local certifications that share characteristics of EDGE and LEED</w:t>
      </w:r>
      <w:r w:rsidR="0049210E">
        <w:t>.</w:t>
      </w:r>
      <w:r w:rsidRPr="003A2538">
        <w:t xml:space="preserve"> </w:t>
      </w:r>
      <w:r w:rsidR="0049210E">
        <w:t>They</w:t>
      </w:r>
      <w:r w:rsidRPr="003A2538">
        <w:t xml:space="preserve"> can be better adapted to the local context for residential sector </w:t>
      </w:r>
      <w:r w:rsidR="00895764">
        <w:t>(f</w:t>
      </w:r>
      <w:r w:rsidRPr="003A2538">
        <w:t>or example, they are more aligned with local regulations</w:t>
      </w:r>
      <w:r w:rsidR="00895764">
        <w:t>)</w:t>
      </w:r>
      <w:r w:rsidRPr="003A2538">
        <w:t>.</w:t>
      </w:r>
      <w:r w:rsidR="00895764">
        <w:t xml:space="preserve"> However, they are not internationally recognised.</w:t>
      </w:r>
      <w:r w:rsidR="003108FE">
        <w:t xml:space="preserve"> </w:t>
      </w:r>
    </w:p>
    <w:p w14:paraId="5B1A85FE" w14:textId="17BB6431" w:rsidR="003108FE" w:rsidRDefault="0091005A" w:rsidP="0091005A">
      <w:pPr>
        <w:pStyle w:val="DESNZbulletedlist"/>
        <w:rPr>
          <w:rStyle w:val="Italic"/>
          <w:i w:val="0"/>
        </w:rPr>
      </w:pPr>
      <w:r w:rsidRPr="0091005A">
        <w:rPr>
          <w:rStyle w:val="Boldtext"/>
        </w:rPr>
        <w:t>Level</w:t>
      </w:r>
      <w:r w:rsidRPr="0091005A">
        <w:rPr>
          <w:rStyle w:val="Italic"/>
          <w:i w:val="0"/>
        </w:rPr>
        <w:t>:</w:t>
      </w:r>
      <w:r w:rsidR="007820C8">
        <w:rPr>
          <w:rStyle w:val="Italic"/>
        </w:rPr>
        <w:t xml:space="preserve"> </w:t>
      </w:r>
      <w:r w:rsidRPr="0091005A">
        <w:rPr>
          <w:rStyle w:val="Italic"/>
          <w:i w:val="0"/>
        </w:rPr>
        <w:t>In some countries, there</w:t>
      </w:r>
      <w:r w:rsidR="003108FE" w:rsidRPr="0091005A">
        <w:rPr>
          <w:rStyle w:val="Italic"/>
          <w:i w:val="0"/>
        </w:rPr>
        <w:t xml:space="preserve"> is still </w:t>
      </w:r>
      <w:r w:rsidRPr="0091005A">
        <w:rPr>
          <w:rStyle w:val="Italic"/>
          <w:i w:val="0"/>
        </w:rPr>
        <w:t xml:space="preserve">the </w:t>
      </w:r>
      <w:r w:rsidR="003108FE" w:rsidRPr="0091005A">
        <w:rPr>
          <w:rStyle w:val="Italic"/>
          <w:i w:val="0"/>
        </w:rPr>
        <w:t>need for EDGE standard promotion</w:t>
      </w:r>
      <w:r w:rsidR="0049210E">
        <w:rPr>
          <w:rStyle w:val="Italic"/>
          <w:i w:val="0"/>
        </w:rPr>
        <w:t>.</w:t>
      </w:r>
      <w:r w:rsidR="0049210E" w:rsidRPr="0091005A">
        <w:rPr>
          <w:rStyle w:val="Italic"/>
          <w:i w:val="0"/>
        </w:rPr>
        <w:t xml:space="preserve"> </w:t>
      </w:r>
      <w:r w:rsidR="0049210E">
        <w:rPr>
          <w:rStyle w:val="Italic"/>
          <w:i w:val="0"/>
        </w:rPr>
        <w:t>I</w:t>
      </w:r>
      <w:r w:rsidRPr="0091005A">
        <w:rPr>
          <w:rStyle w:val="Italic"/>
          <w:i w:val="0"/>
        </w:rPr>
        <w:t xml:space="preserve">n others, there are initial signs that </w:t>
      </w:r>
      <w:r w:rsidR="00841B2F">
        <w:rPr>
          <w:rStyle w:val="Italic"/>
          <w:i w:val="0"/>
        </w:rPr>
        <w:t>developers</w:t>
      </w:r>
      <w:r w:rsidR="00841B2F" w:rsidRPr="0091005A">
        <w:rPr>
          <w:rStyle w:val="Italic"/>
          <w:i w:val="0"/>
        </w:rPr>
        <w:t xml:space="preserve"> </w:t>
      </w:r>
      <w:r w:rsidRPr="0091005A">
        <w:rPr>
          <w:rStyle w:val="Italic"/>
          <w:i w:val="0"/>
        </w:rPr>
        <w:t xml:space="preserve">could start implementing higher certification levels (EDGE Advanced and </w:t>
      </w:r>
      <w:r w:rsidR="00FA6A2A">
        <w:rPr>
          <w:rStyle w:val="Italic"/>
          <w:i w:val="0"/>
        </w:rPr>
        <w:t>Edge</w:t>
      </w:r>
      <w:r w:rsidR="00FA6A2A" w:rsidRPr="0091005A">
        <w:rPr>
          <w:rStyle w:val="Italic"/>
          <w:i w:val="0"/>
        </w:rPr>
        <w:t xml:space="preserve"> Zero</w:t>
      </w:r>
      <w:r w:rsidR="00FA6A2A">
        <w:rPr>
          <w:rStyle w:val="Italic"/>
          <w:i w:val="0"/>
        </w:rPr>
        <w:t xml:space="preserve"> Carbon</w:t>
      </w:r>
      <w:r w:rsidRPr="0091005A">
        <w:rPr>
          <w:rStyle w:val="Italic"/>
          <w:i w:val="0"/>
        </w:rPr>
        <w:t>).</w:t>
      </w:r>
    </w:p>
    <w:p w14:paraId="51AE4CED" w14:textId="2EC8EBCD" w:rsidR="00532D88" w:rsidRPr="0091005A" w:rsidRDefault="00532D88" w:rsidP="001C6F7A">
      <w:pPr>
        <w:pStyle w:val="DESNZbulletedlist"/>
        <w:numPr>
          <w:ilvl w:val="0"/>
          <w:numId w:val="0"/>
        </w:numPr>
        <w:rPr>
          <w:rStyle w:val="Italic"/>
          <w:i w:val="0"/>
        </w:rPr>
      </w:pPr>
      <w:r>
        <w:t xml:space="preserve">By design, </w:t>
      </w:r>
      <w:r w:rsidRPr="00532D88">
        <w:t xml:space="preserve">MAGC is supporting </w:t>
      </w:r>
      <w:r>
        <w:t xml:space="preserve">FIs to finance </w:t>
      </w:r>
      <w:r w:rsidRPr="00532D88">
        <w:t>projects with alternative certifications where equivalent (with the programme proactively approving them)</w:t>
      </w:r>
      <w:r w:rsidR="007C014D">
        <w:t>.</w:t>
      </w:r>
      <w:r>
        <w:rPr>
          <w:rStyle w:val="Italic"/>
          <w:i w:val="0"/>
        </w:rPr>
        <w:t xml:space="preserve"> </w:t>
      </w:r>
      <w:r w:rsidRPr="008443C1">
        <w:rPr>
          <w:rStyle w:val="Italic"/>
          <w:i w:val="0"/>
        </w:rPr>
        <w:t xml:space="preserve">So far, </w:t>
      </w:r>
      <w:r w:rsidR="008443C1" w:rsidRPr="001C6F7A">
        <w:rPr>
          <w:rStyle w:val="Italic"/>
          <w:i w:val="0"/>
        </w:rPr>
        <w:t>eight</w:t>
      </w:r>
      <w:r w:rsidRPr="008443C1">
        <w:rPr>
          <w:rStyle w:val="Italic"/>
          <w:i w:val="0"/>
        </w:rPr>
        <w:t xml:space="preserve"> certifications </w:t>
      </w:r>
      <w:r w:rsidR="006425A5" w:rsidRPr="001C6F7A">
        <w:rPr>
          <w:rStyle w:val="Italic"/>
          <w:i w:val="0"/>
        </w:rPr>
        <w:t xml:space="preserve">besides EDGE </w:t>
      </w:r>
      <w:r w:rsidRPr="008443C1">
        <w:rPr>
          <w:rStyle w:val="Italic"/>
          <w:i w:val="0"/>
        </w:rPr>
        <w:t xml:space="preserve">have been </w:t>
      </w:r>
      <w:r w:rsidR="006425A5" w:rsidRPr="001C6F7A">
        <w:rPr>
          <w:rStyle w:val="Italic"/>
          <w:i w:val="0"/>
        </w:rPr>
        <w:t>considered</w:t>
      </w:r>
      <w:r w:rsidRPr="008443C1">
        <w:rPr>
          <w:rStyle w:val="Italic"/>
          <w:i w:val="0"/>
        </w:rPr>
        <w:t xml:space="preserve"> under MAGC</w:t>
      </w:r>
      <w:r w:rsidR="006425A5" w:rsidRPr="001C6F7A">
        <w:rPr>
          <w:rStyle w:val="Italic"/>
          <w:i w:val="0"/>
        </w:rPr>
        <w:t xml:space="preserve"> and </w:t>
      </w:r>
      <w:r w:rsidR="008443C1" w:rsidRPr="001C6F7A">
        <w:rPr>
          <w:rStyle w:val="Italic"/>
          <w:i w:val="0"/>
        </w:rPr>
        <w:t>six</w:t>
      </w:r>
      <w:r w:rsidR="006425A5" w:rsidRPr="001C6F7A">
        <w:rPr>
          <w:rStyle w:val="Italic"/>
          <w:i w:val="0"/>
        </w:rPr>
        <w:t xml:space="preserve"> have been accepted</w:t>
      </w:r>
      <w:r w:rsidRPr="008443C1">
        <w:rPr>
          <w:rStyle w:val="Italic"/>
          <w:i w:val="0"/>
        </w:rPr>
        <w:t>.</w:t>
      </w:r>
      <w:r>
        <w:rPr>
          <w:rStyle w:val="Italic"/>
          <w:i w:val="0"/>
        </w:rPr>
        <w:t xml:space="preserve"> </w:t>
      </w:r>
      <w:r w:rsidR="008443C1">
        <w:rPr>
          <w:rStyle w:val="Italic"/>
          <w:i w:val="0"/>
        </w:rPr>
        <w:t xml:space="preserve">LEED and BREEAM have been eligible since 2018. </w:t>
      </w:r>
      <w:r w:rsidR="006425A5">
        <w:rPr>
          <w:rStyle w:val="Italic"/>
          <w:i w:val="0"/>
        </w:rPr>
        <w:t xml:space="preserve">Greenship (Indonesia) was assessed and accepted in 2020, Green Star (South Africa) and AQUA (Brazil) were accepted in 2021, and GRIHA (India) in 2022. Green Pyramid (Egypt) and Luhlaza (South Africa) were assessed and rejected in 2020, the former because of lack of proper auditing and quality control, the latter because it did not meet the </w:t>
      </w:r>
      <w:r w:rsidR="000F5007">
        <w:rPr>
          <w:rStyle w:val="Italic"/>
          <w:i w:val="0"/>
        </w:rPr>
        <w:t>third-party</w:t>
      </w:r>
      <w:r w:rsidR="006425A5">
        <w:rPr>
          <w:rStyle w:val="Italic"/>
          <w:i w:val="0"/>
        </w:rPr>
        <w:t xml:space="preserve"> verification criterion.</w:t>
      </w:r>
      <w:r w:rsidR="008443C1">
        <w:rPr>
          <w:rStyle w:val="FootnoteReference"/>
        </w:rPr>
        <w:footnoteReference w:id="45"/>
      </w:r>
      <w:r w:rsidR="006425A5">
        <w:rPr>
          <w:rStyle w:val="Italic"/>
          <w:i w:val="0"/>
        </w:rPr>
        <w:t xml:space="preserve"> </w:t>
      </w:r>
      <w:r w:rsidR="007C014D">
        <w:t>This mechanism</w:t>
      </w:r>
      <w:r w:rsidR="007C014D" w:rsidRPr="00532D88">
        <w:t xml:space="preserve"> works well in ensuring market barriers are lowered without being too prescriptive on the solution used.</w:t>
      </w:r>
      <w:r w:rsidR="007C014D">
        <w:t xml:space="preserve"> However, </w:t>
      </w:r>
      <w:r w:rsidR="00E32817">
        <w:t xml:space="preserve">the programme should consider </w:t>
      </w:r>
      <w:r w:rsidR="00BF5895">
        <w:t>that t</w:t>
      </w:r>
      <w:r w:rsidR="00BF5895" w:rsidRPr="00B30533">
        <w:t>here may be less value for MAGC investing in training experts in EDGE in countries where other certifications are well established</w:t>
      </w:r>
      <w:r w:rsidR="007C014D">
        <w:t>. The box below provides context on the status of EDGE vs other certifications in a sample of MAGC countries.</w:t>
      </w:r>
    </w:p>
    <w:p w14:paraId="68FA0D26" w14:textId="77777777" w:rsidR="00895764" w:rsidRDefault="00895764" w:rsidP="003A2538">
      <w:pPr>
        <w:pStyle w:val="Tintbox"/>
        <w:rPr>
          <w:rStyle w:val="Boldtext"/>
        </w:rPr>
      </w:pPr>
      <w:r>
        <w:rPr>
          <w:rStyle w:val="Boldtext"/>
        </w:rPr>
        <w:t>EDGE and national certifications</w:t>
      </w:r>
    </w:p>
    <w:p w14:paraId="51D723CE" w14:textId="0448580D" w:rsidR="003D3E04" w:rsidRPr="00163A6B" w:rsidRDefault="003D3E04" w:rsidP="00163A6B">
      <w:pPr>
        <w:pStyle w:val="Tintbox"/>
        <w:rPr>
          <w:b/>
        </w:rPr>
      </w:pPr>
      <w:r>
        <w:rPr>
          <w:rStyle w:val="Boldtext"/>
        </w:rPr>
        <w:t>Indonesia</w:t>
      </w:r>
      <w:r w:rsidR="00163A6B">
        <w:rPr>
          <w:rStyle w:val="Boldtext"/>
        </w:rPr>
        <w:br/>
      </w:r>
      <w:r w:rsidR="003F4473">
        <w:t>In Indonesia</w:t>
      </w:r>
      <w:r w:rsidR="00147106">
        <w:t>, the Greenship certification is prevalent for certified green buildings</w:t>
      </w:r>
      <w:r w:rsidR="00290130">
        <w:t xml:space="preserve">, sharing </w:t>
      </w:r>
      <w:r w:rsidR="00290130" w:rsidRPr="003D3E04">
        <w:t xml:space="preserve">LEED and EDGE characteristics and </w:t>
      </w:r>
      <w:r w:rsidR="00290130">
        <w:t>is</w:t>
      </w:r>
      <w:r w:rsidR="00290130" w:rsidRPr="003D3E04">
        <w:t xml:space="preserve"> adaptable to local context</w:t>
      </w:r>
      <w:r w:rsidR="00147106">
        <w:t xml:space="preserve">. It was established in </w:t>
      </w:r>
      <w:r w:rsidR="00895764">
        <w:t>2009 (before all other certifications),</w:t>
      </w:r>
      <w:r w:rsidR="00147106">
        <w:t xml:space="preserve"> and it is widely used</w:t>
      </w:r>
      <w:r w:rsidR="00A07036">
        <w:t>,</w:t>
      </w:r>
      <w:r w:rsidR="00147106">
        <w:t xml:space="preserve"> </w:t>
      </w:r>
      <w:r w:rsidR="00753844">
        <w:t>especially for affordable housing</w:t>
      </w:r>
      <w:r w:rsidR="00147106">
        <w:t xml:space="preserve"> and</w:t>
      </w:r>
      <w:r w:rsidRPr="003D3E04">
        <w:t xml:space="preserve"> government projects.</w:t>
      </w:r>
      <w:r w:rsidR="00E70DFE">
        <w:t xml:space="preserve"> </w:t>
      </w:r>
      <w:r w:rsidR="00147106">
        <w:t>I</w:t>
      </w:r>
      <w:r w:rsidR="00E70DFE">
        <w:t xml:space="preserve">n 2019, </w:t>
      </w:r>
      <w:r w:rsidR="00A03CD7">
        <w:t xml:space="preserve">Greenship </w:t>
      </w:r>
      <w:r w:rsidR="00147106">
        <w:t xml:space="preserve">accounted for </w:t>
      </w:r>
      <w:r w:rsidR="00A03CD7">
        <w:t xml:space="preserve">70% of </w:t>
      </w:r>
      <w:r w:rsidR="00071282">
        <w:t>green buildings</w:t>
      </w:r>
      <w:r w:rsidR="00A03CD7">
        <w:t>, EDGE 13%, Green Mark 10%, LEED 8%</w:t>
      </w:r>
      <w:r w:rsidR="00147106">
        <w:t>.</w:t>
      </w:r>
      <w:r w:rsidR="00A03CD7">
        <w:rPr>
          <w:rStyle w:val="FootnoteReference"/>
        </w:rPr>
        <w:footnoteReference w:id="46"/>
      </w:r>
      <w:r w:rsidR="00A03CD7">
        <w:t xml:space="preserve"> </w:t>
      </w:r>
      <w:r w:rsidR="00895764">
        <w:t>The l</w:t>
      </w:r>
      <w:r w:rsidR="009F7E14">
        <w:t xml:space="preserve">ink of Greenship to construction permits </w:t>
      </w:r>
      <w:r w:rsidR="00895764">
        <w:t xml:space="preserve">has been identified as </w:t>
      </w:r>
      <w:r w:rsidR="009F7E14">
        <w:t xml:space="preserve">a key driver for the </w:t>
      </w:r>
      <w:r w:rsidR="00B47B36">
        <w:t>take-up</w:t>
      </w:r>
      <w:r w:rsidR="00447A9A">
        <w:t>. T</w:t>
      </w:r>
      <w:r w:rsidR="00895764">
        <w:t xml:space="preserve">here are still </w:t>
      </w:r>
      <w:r w:rsidR="009F7E14">
        <w:t xml:space="preserve">not enough incentives </w:t>
      </w:r>
      <w:r w:rsidR="00895764">
        <w:t xml:space="preserve">for developers </w:t>
      </w:r>
      <w:r w:rsidR="009F7E14">
        <w:t>to switch to other certifications such as EDGE.</w:t>
      </w:r>
      <w:r w:rsidR="005255BD">
        <w:t xml:space="preserve"> However, green building experts in Indonesia suggested EDGE is starting to be seen as more versatile and cheaper than Greenship.</w:t>
      </w:r>
      <w:r w:rsidR="00895764">
        <w:t xml:space="preserve"> Unlike the other certifications, </w:t>
      </w:r>
      <w:r w:rsidR="00895764" w:rsidRPr="00895764">
        <w:t xml:space="preserve">EDGE and Greenship are </w:t>
      </w:r>
      <w:r w:rsidR="00895764">
        <w:t xml:space="preserve">both </w:t>
      </w:r>
      <w:r w:rsidR="00895764" w:rsidRPr="00895764">
        <w:t>promoted in collaboration with the Green Building Council of Indonesia</w:t>
      </w:r>
      <w:r w:rsidR="00AD4D7C">
        <w:t xml:space="preserve">, and Greenship has been </w:t>
      </w:r>
      <w:r w:rsidR="00780877">
        <w:t>considered eligible under MAGC</w:t>
      </w:r>
      <w:r w:rsidR="00895764" w:rsidRPr="00895764">
        <w:t>.</w:t>
      </w:r>
    </w:p>
    <w:p w14:paraId="736CDC00" w14:textId="18A62748" w:rsidR="003D3E04" w:rsidRPr="00163A6B" w:rsidRDefault="003D3E04" w:rsidP="00163A6B">
      <w:pPr>
        <w:pStyle w:val="Tintbox"/>
        <w:rPr>
          <w:b/>
        </w:rPr>
      </w:pPr>
      <w:r w:rsidRPr="003D3E04">
        <w:rPr>
          <w:rStyle w:val="Boldtext"/>
        </w:rPr>
        <w:t>Egypt</w:t>
      </w:r>
      <w:r w:rsidR="00163A6B">
        <w:rPr>
          <w:rStyle w:val="Boldtext"/>
        </w:rPr>
        <w:br/>
      </w:r>
      <w:r w:rsidR="00063511">
        <w:t>In Egypt, LEED is the most used certification. I</w:t>
      </w:r>
      <w:r w:rsidR="00E70DFE">
        <w:t xml:space="preserve">n 2023, </w:t>
      </w:r>
      <w:r w:rsidR="004C6C2E">
        <w:t>green buildings were</w:t>
      </w:r>
      <w:r w:rsidR="00063511">
        <w:t xml:space="preserve"> certified</w:t>
      </w:r>
      <w:r w:rsidR="00E70DFE">
        <w:t xml:space="preserve"> 76% </w:t>
      </w:r>
      <w:r w:rsidR="004C6C2E">
        <w:t xml:space="preserve">with LEED, </w:t>
      </w:r>
      <w:r w:rsidR="00E70DFE">
        <w:t>12.5%</w:t>
      </w:r>
      <w:r w:rsidR="004C6C2E">
        <w:t xml:space="preserve"> with EDGE, </w:t>
      </w:r>
      <w:r w:rsidR="00E70DFE">
        <w:t>8.5%</w:t>
      </w:r>
      <w:r w:rsidR="004C6C2E">
        <w:t xml:space="preserve"> with Green Pyramid</w:t>
      </w:r>
      <w:r w:rsidR="00E70DFE">
        <w:t>, 3%</w:t>
      </w:r>
      <w:r w:rsidR="004C6C2E">
        <w:t xml:space="preserve"> with TARSHEED</w:t>
      </w:r>
      <w:r w:rsidR="006A1A0C">
        <w:t>.</w:t>
      </w:r>
      <w:r w:rsidR="00E70DFE">
        <w:rPr>
          <w:rStyle w:val="FootnoteReference"/>
        </w:rPr>
        <w:footnoteReference w:id="47"/>
      </w:r>
      <w:r w:rsidR="00E70DFE">
        <w:t xml:space="preserve"> </w:t>
      </w:r>
      <w:r w:rsidR="00071282">
        <w:t>LEED</w:t>
      </w:r>
      <w:r w:rsidR="009F7E14">
        <w:t xml:space="preserve"> </w:t>
      </w:r>
      <w:r w:rsidR="00063511">
        <w:t>is</w:t>
      </w:r>
      <w:r w:rsidR="009F7E14">
        <w:t xml:space="preserve"> supported by existing government incentives</w:t>
      </w:r>
      <w:r w:rsidR="00063511">
        <w:t>,</w:t>
      </w:r>
      <w:r w:rsidR="004C6C2E">
        <w:t xml:space="preserve"> and G</w:t>
      </w:r>
      <w:r w:rsidR="009F7E14">
        <w:t xml:space="preserve">reen Pyramid is </w:t>
      </w:r>
      <w:r w:rsidR="0070252C">
        <w:t xml:space="preserve">the national certification, </w:t>
      </w:r>
      <w:r w:rsidR="004C6C2E">
        <w:t xml:space="preserve">mostly </w:t>
      </w:r>
      <w:r w:rsidR="009F7E14">
        <w:t>used for government</w:t>
      </w:r>
      <w:r w:rsidR="004C6C2E">
        <w:t>-owned</w:t>
      </w:r>
      <w:r w:rsidR="009F7E14">
        <w:t xml:space="preserve"> projects</w:t>
      </w:r>
      <w:r w:rsidR="004C6C2E">
        <w:t xml:space="preserve">. </w:t>
      </w:r>
      <w:r w:rsidR="008443C1">
        <w:t xml:space="preserve">As mentioned above, </w:t>
      </w:r>
      <w:r w:rsidR="0070252C">
        <w:t xml:space="preserve">Green Pyramid was considered under MAGC </w:t>
      </w:r>
      <w:r w:rsidR="008443C1">
        <w:t xml:space="preserve">but rejected </w:t>
      </w:r>
      <w:r w:rsidR="0070252C">
        <w:t xml:space="preserve">in </w:t>
      </w:r>
      <w:r w:rsidR="008443C1">
        <w:t>2020.</w:t>
      </w:r>
      <w:r w:rsidR="0070252C">
        <w:t xml:space="preserve"> </w:t>
      </w:r>
      <w:r w:rsidR="009F7E14">
        <w:t xml:space="preserve">EDGE is seen as having great </w:t>
      </w:r>
      <w:r w:rsidR="004C6C2E">
        <w:t xml:space="preserve">growth </w:t>
      </w:r>
      <w:r w:rsidR="009F7E14">
        <w:t xml:space="preserve">potential in Egypt as </w:t>
      </w:r>
      <w:r w:rsidR="004F18B5">
        <w:t>it</w:t>
      </w:r>
      <w:r w:rsidR="00D8156D">
        <w:t xml:space="preserve"> i</w:t>
      </w:r>
      <w:r w:rsidR="004F18B5">
        <w:t xml:space="preserve">s </w:t>
      </w:r>
      <w:r w:rsidR="009F7E14">
        <w:t xml:space="preserve">less complex than LEED and more internationally recognised than </w:t>
      </w:r>
      <w:r w:rsidR="004B3E29">
        <w:t>Green Pyramid</w:t>
      </w:r>
      <w:r w:rsidR="009F7E14">
        <w:t>.</w:t>
      </w:r>
    </w:p>
    <w:p w14:paraId="437D9396" w14:textId="25C28C7B" w:rsidR="003A2538" w:rsidRPr="00163A6B" w:rsidRDefault="003D3E04" w:rsidP="00163A6B">
      <w:pPr>
        <w:pStyle w:val="Tintbox"/>
        <w:rPr>
          <w:b/>
        </w:rPr>
      </w:pPr>
      <w:r w:rsidRPr="003D3E04">
        <w:rPr>
          <w:rStyle w:val="Boldtext"/>
        </w:rPr>
        <w:t>Vietnam</w:t>
      </w:r>
      <w:r w:rsidR="00163A6B">
        <w:rPr>
          <w:rStyle w:val="Boldtext"/>
        </w:rPr>
        <w:br/>
      </w:r>
      <w:r w:rsidR="004C6C2E">
        <w:t>LOTUS is the national certification.</w:t>
      </w:r>
      <w:r w:rsidR="00A03CD7">
        <w:t xml:space="preserve"> In 2019, LEED </w:t>
      </w:r>
      <w:r w:rsidR="004C6C2E">
        <w:t xml:space="preserve">certified </w:t>
      </w:r>
      <w:r w:rsidR="00A03CD7">
        <w:t xml:space="preserve">47% of </w:t>
      </w:r>
      <w:r w:rsidR="00071282">
        <w:t>green buildings</w:t>
      </w:r>
      <w:r w:rsidR="00A03CD7">
        <w:t>, EDGE 43%, LOTUS 10%.</w:t>
      </w:r>
      <w:r w:rsidR="00A03CD7">
        <w:rPr>
          <w:rStyle w:val="FootnoteReference"/>
        </w:rPr>
        <w:footnoteReference w:id="48"/>
      </w:r>
      <w:r w:rsidR="005255BD">
        <w:t xml:space="preserve"> Building sector stakeholders attribute LEED</w:t>
      </w:r>
      <w:r w:rsidR="004C6C2E">
        <w:t>’s success in the country to its</w:t>
      </w:r>
      <w:r w:rsidR="005255BD">
        <w:t xml:space="preserve"> longer history </w:t>
      </w:r>
      <w:r w:rsidR="004C6C2E">
        <w:t xml:space="preserve">(introduced in 2009) </w:t>
      </w:r>
      <w:r w:rsidR="005255BD">
        <w:t>and strong reputation</w:t>
      </w:r>
      <w:r w:rsidR="00447A9A">
        <w:t xml:space="preserve">. </w:t>
      </w:r>
      <w:r w:rsidR="00FA2815">
        <w:t xml:space="preserve">However, interviewees mention EDGE has an advantage </w:t>
      </w:r>
      <w:r w:rsidR="00FA2815" w:rsidRPr="001C6F7A">
        <w:rPr>
          <w:i/>
        </w:rPr>
        <w:t>“</w:t>
      </w:r>
      <w:r w:rsidR="00FA2815" w:rsidRPr="004C6C2E">
        <w:rPr>
          <w:rStyle w:val="Italic"/>
        </w:rPr>
        <w:t xml:space="preserve">when </w:t>
      </w:r>
      <w:r w:rsidR="005255BD" w:rsidRPr="004C6C2E">
        <w:rPr>
          <w:rStyle w:val="Italic"/>
        </w:rPr>
        <w:t>it comes to residential buildings due to lower complexities and costs</w:t>
      </w:r>
      <w:r w:rsidR="005255BD" w:rsidRPr="001C6F7A">
        <w:rPr>
          <w:i/>
        </w:rPr>
        <w:t>”</w:t>
      </w:r>
      <w:r w:rsidR="005255BD">
        <w:t xml:space="preserve">. LOTUS </w:t>
      </w:r>
      <w:r w:rsidR="004C6C2E">
        <w:t>shares commonalities of</w:t>
      </w:r>
      <w:r w:rsidR="005255BD">
        <w:t xml:space="preserve"> EDGE and LEED and </w:t>
      </w:r>
      <w:r w:rsidR="004C6C2E">
        <w:t xml:space="preserve">is </w:t>
      </w:r>
      <w:r w:rsidR="005255BD">
        <w:t>used for governmental projects</w:t>
      </w:r>
      <w:r w:rsidR="00A4160B">
        <w:t xml:space="preserve">, as </w:t>
      </w:r>
      <w:r w:rsidR="00071282">
        <w:t xml:space="preserve">well as being </w:t>
      </w:r>
      <w:r w:rsidR="004C6C2E">
        <w:t xml:space="preserve">specifically </w:t>
      </w:r>
      <w:r w:rsidR="00071282">
        <w:t xml:space="preserve">designed for the Vietnamese climate. </w:t>
      </w:r>
      <w:r w:rsidR="00841B2F">
        <w:t>Interviewees from the green building sector, including consultancies,</w:t>
      </w:r>
      <w:r w:rsidR="004C6C2E">
        <w:t xml:space="preserve"> reported attending several </w:t>
      </w:r>
      <w:r w:rsidR="00071282" w:rsidRPr="00071282">
        <w:t xml:space="preserve">LOTUS </w:t>
      </w:r>
      <w:r w:rsidR="004C6C2E">
        <w:t>events to build capacity and awareness in collaboration with the Vietnam Green Building Council</w:t>
      </w:r>
      <w:r w:rsidR="00071282" w:rsidRPr="00071282">
        <w:t>.</w:t>
      </w:r>
    </w:p>
    <w:p w14:paraId="2E55B863" w14:textId="7697A2F8" w:rsidR="003D3E04" w:rsidRPr="00163A6B" w:rsidRDefault="003D3E04" w:rsidP="00163A6B">
      <w:pPr>
        <w:pStyle w:val="Tintbox"/>
        <w:rPr>
          <w:b/>
        </w:rPr>
      </w:pPr>
      <w:r w:rsidRPr="003D3E04">
        <w:rPr>
          <w:rStyle w:val="Boldtext"/>
        </w:rPr>
        <w:t>Kenya</w:t>
      </w:r>
      <w:r w:rsidR="00163A6B">
        <w:rPr>
          <w:rStyle w:val="Boldtext"/>
        </w:rPr>
        <w:br/>
      </w:r>
      <w:r w:rsidR="004C6C2E">
        <w:t>EDGE is leading in the country among green building certifications</w:t>
      </w:r>
      <w:r w:rsidR="00A03CD7">
        <w:t>. In 2020, EDGE</w:t>
      </w:r>
      <w:r w:rsidR="004C6C2E">
        <w:t xml:space="preserve"> certified</w:t>
      </w:r>
      <w:r w:rsidR="00A03CD7">
        <w:t xml:space="preserve"> 75% of </w:t>
      </w:r>
      <w:r w:rsidR="00071282">
        <w:t>green buildings</w:t>
      </w:r>
      <w:r w:rsidR="00A03CD7">
        <w:t xml:space="preserve">, LEED 15%, Green </w:t>
      </w:r>
      <w:r w:rsidR="00FA2815">
        <w:t>S</w:t>
      </w:r>
      <w:r w:rsidR="00A03CD7">
        <w:t>tar 10%.</w:t>
      </w:r>
      <w:r w:rsidR="00A03CD7">
        <w:rPr>
          <w:rStyle w:val="FootnoteReference"/>
        </w:rPr>
        <w:footnoteReference w:id="49"/>
      </w:r>
      <w:r w:rsidR="005255BD">
        <w:t xml:space="preserve"> EDGE</w:t>
      </w:r>
      <w:r w:rsidR="004C6C2E">
        <w:t>’s strength in</w:t>
      </w:r>
      <w:r w:rsidR="005255BD">
        <w:t xml:space="preserve"> the country </w:t>
      </w:r>
      <w:r w:rsidR="004C6C2E">
        <w:t>has been associated</w:t>
      </w:r>
      <w:r w:rsidR="005255BD">
        <w:t xml:space="preserve"> to its simplicity, affordability and focus on resource efficiency. LEED and Green </w:t>
      </w:r>
      <w:r w:rsidR="00FA2815">
        <w:t>S</w:t>
      </w:r>
      <w:r w:rsidR="005255BD">
        <w:t>tar have been described as “</w:t>
      </w:r>
      <w:r w:rsidR="005255BD" w:rsidRPr="004C6C2E">
        <w:rPr>
          <w:rStyle w:val="Italic"/>
        </w:rPr>
        <w:t>more comprehensive, but also more expensive and time consuming</w:t>
      </w:r>
      <w:r w:rsidR="005255BD">
        <w:t xml:space="preserve">”. The </w:t>
      </w:r>
      <w:r w:rsidR="003F4473">
        <w:t xml:space="preserve">national </w:t>
      </w:r>
      <w:r w:rsidR="005255BD" w:rsidRPr="005255BD">
        <w:t>Safari</w:t>
      </w:r>
      <w:r w:rsidR="005255BD">
        <w:t xml:space="preserve"> Green Building Index</w:t>
      </w:r>
      <w:r w:rsidR="005255BD" w:rsidRPr="005255BD">
        <w:t>, launched in 2021</w:t>
      </w:r>
      <w:r w:rsidR="005255BD">
        <w:t xml:space="preserve"> by the Architectural Association of Kenya, is seen as promising but still nascent</w:t>
      </w:r>
      <w:r w:rsidR="005255BD" w:rsidRPr="005255BD">
        <w:t>.</w:t>
      </w:r>
      <w:r w:rsidR="005255BD">
        <w:t xml:space="preserve"> It a</w:t>
      </w:r>
      <w:r w:rsidR="005255BD" w:rsidRPr="005255BD">
        <w:t>ims to be more affordable and context specific than international certifications</w:t>
      </w:r>
      <w:r w:rsidR="00447A9A">
        <w:t>.</w:t>
      </w:r>
      <w:r w:rsidR="0023404E">
        <w:t xml:space="preserve"> </w:t>
      </w:r>
      <w:r w:rsidR="0023404E" w:rsidRPr="0023404E">
        <w:t xml:space="preserve">EDGE </w:t>
      </w:r>
      <w:r w:rsidR="0023404E">
        <w:t>has been defined as</w:t>
      </w:r>
      <w:r w:rsidR="0023404E" w:rsidRPr="0023404E">
        <w:t xml:space="preserve"> still not accessible or affordable for many smaller scale developers who make up a significant share of the construction market in Kenya</w:t>
      </w:r>
      <w:r w:rsidR="005255BD">
        <w:t>.</w:t>
      </w:r>
      <w:r w:rsidR="0094525A">
        <w:t xml:space="preserve"> </w:t>
      </w:r>
    </w:p>
    <w:p w14:paraId="3286C4E3" w14:textId="40348A93" w:rsidR="008C1C8D" w:rsidRPr="008C1C8D" w:rsidRDefault="008C1C8D" w:rsidP="008C1C8D">
      <w:pPr>
        <w:pStyle w:val="Heading3"/>
      </w:pPr>
      <w:bookmarkStart w:id="40" w:name="_Toc178692280"/>
      <w:bookmarkStart w:id="41" w:name="_Toc178758689"/>
      <w:bookmarkStart w:id="42" w:name="_Toc181361038"/>
      <w:bookmarkStart w:id="43" w:name="_Toc182236771"/>
      <w:bookmarkStart w:id="44" w:name="_Toc189155220"/>
      <w:r w:rsidRPr="008C1C8D">
        <w:t xml:space="preserve">5.1.4 </w:t>
      </w:r>
      <w:r w:rsidR="003E60F2">
        <w:t xml:space="preserve">Component 4: </w:t>
      </w:r>
      <w:r w:rsidRPr="008C1C8D">
        <w:t>Research and evidence</w:t>
      </w:r>
      <w:bookmarkEnd w:id="40"/>
      <w:bookmarkEnd w:id="41"/>
      <w:bookmarkEnd w:id="42"/>
      <w:bookmarkEnd w:id="43"/>
      <w:bookmarkEnd w:id="44"/>
    </w:p>
    <w:p w14:paraId="133C4BF4" w14:textId="393DA590" w:rsidR="00B01A78" w:rsidRPr="00B01A78" w:rsidRDefault="00B01A78" w:rsidP="00B01A78">
      <w:r>
        <w:t xml:space="preserve">The purpose of </w:t>
      </w:r>
      <w:r w:rsidR="006013C3">
        <w:t>c</w:t>
      </w:r>
      <w:r>
        <w:t xml:space="preserve">omponent 4 is to </w:t>
      </w:r>
      <w:r w:rsidR="00C96F94">
        <w:t xml:space="preserve">generate </w:t>
      </w:r>
      <w:r w:rsidRPr="002B6F71">
        <w:t xml:space="preserve">market intelligence </w:t>
      </w:r>
      <w:r w:rsidR="00C96F94">
        <w:t>through research in selected MAGC countries</w:t>
      </w:r>
      <w:bookmarkStart w:id="45" w:name="_Hlk184374074"/>
      <w:r w:rsidR="00447A9A">
        <w:t xml:space="preserve">. The research </w:t>
      </w:r>
      <w:r w:rsidR="00C96F94">
        <w:t>create</w:t>
      </w:r>
      <w:r w:rsidR="00447A9A">
        <w:t>s</w:t>
      </w:r>
      <w:r w:rsidR="00C96F94">
        <w:t xml:space="preserve"> high-quality empirical </w:t>
      </w:r>
      <w:r w:rsidRPr="002B6F71">
        <w:t>evidence</w:t>
      </w:r>
      <w:r w:rsidR="00F739C5">
        <w:t xml:space="preserve"> </w:t>
      </w:r>
      <w:r w:rsidR="00C96F94" w:rsidRPr="00C96F94">
        <w:t xml:space="preserve">to </w:t>
      </w:r>
      <w:bookmarkStart w:id="46" w:name="_Hlk184374389"/>
      <w:r w:rsidR="00F739C5" w:rsidRPr="00F739C5">
        <w:t xml:space="preserve">improve </w:t>
      </w:r>
      <w:r w:rsidR="00F739C5">
        <w:t xml:space="preserve">MAGC’s </w:t>
      </w:r>
      <w:r w:rsidR="00F739C5" w:rsidRPr="00F739C5">
        <w:t>delivery</w:t>
      </w:r>
      <w:r w:rsidR="00F739C5">
        <w:t xml:space="preserve"> and</w:t>
      </w:r>
      <w:r w:rsidR="00F739C5" w:rsidRPr="00F739C5">
        <w:t xml:space="preserve"> </w:t>
      </w:r>
      <w:r w:rsidR="00F739C5">
        <w:t>to</w:t>
      </w:r>
      <w:r w:rsidR="00F739C5" w:rsidRPr="00F739C5">
        <w:t xml:space="preserve"> build the evidence base </w:t>
      </w:r>
      <w:r w:rsidR="00F739C5">
        <w:t>that has the potential to</w:t>
      </w:r>
      <w:r w:rsidR="00F739C5" w:rsidRPr="00F739C5">
        <w:t xml:space="preserve"> support scaling up green buildings and market acceleration</w:t>
      </w:r>
      <w:bookmarkEnd w:id="45"/>
      <w:bookmarkEnd w:id="46"/>
      <w:r w:rsidR="00C96F94">
        <w:t>.</w:t>
      </w:r>
      <w:r w:rsidR="003D0578">
        <w:rPr>
          <w:rStyle w:val="FootnoteReference"/>
        </w:rPr>
        <w:footnoteReference w:id="50"/>
      </w:r>
      <w:r w:rsidR="00C96F94">
        <w:t xml:space="preserve"> </w:t>
      </w:r>
      <w:r w:rsidR="003E4A0B">
        <w:t>This i</w:t>
      </w:r>
      <w:r w:rsidR="00AB52D8">
        <w:t>s done</w:t>
      </w:r>
      <w:r>
        <w:t xml:space="preserve"> through the Smart Metering Study (EDGE impact evaluations), the stakeholder assessments, the market maturity assessments, and an embodied carbon study.</w:t>
      </w:r>
    </w:p>
    <w:p w14:paraId="3C74B35A" w14:textId="3775B1A4" w:rsidR="00B844AC" w:rsidRDefault="00FA2815" w:rsidP="00B844AC">
      <w:r w:rsidRPr="00E51B62">
        <w:rPr>
          <w:b/>
          <w:bCs/>
        </w:rPr>
        <w:t>As the outputs of the activities of component 4 are still being produced and disseminated to</w:t>
      </w:r>
      <w:r>
        <w:rPr>
          <w:b/>
          <w:bCs/>
        </w:rPr>
        <w:t xml:space="preserve"> in-country stakeholders and the broader public</w:t>
      </w:r>
      <w:r w:rsidRPr="00E51B62">
        <w:rPr>
          <w:b/>
          <w:bCs/>
        </w:rPr>
        <w:t>, it is too early to assess the extent to which the intended outcome has materialised</w:t>
      </w:r>
      <w:r>
        <w:t xml:space="preserve">. </w:t>
      </w:r>
      <w:r w:rsidRPr="00E51B62">
        <w:rPr>
          <w:b/>
          <w:bCs/>
        </w:rPr>
        <w:t>An assessment of component 4 outcomes is scheduled to take place in the final evaluation in 2026/2027</w:t>
      </w:r>
      <w:r w:rsidR="00B844AC">
        <w:t>. Despite that, evidence collected as part of the current phase of the evaluation included some early indications of the direction of this component and progress towards achieving its desired outcome.</w:t>
      </w:r>
    </w:p>
    <w:p w14:paraId="16683513" w14:textId="06ECA846" w:rsidR="0087142F" w:rsidRDefault="001B7217" w:rsidP="0087142F">
      <w:r>
        <w:t>Interviewees</w:t>
      </w:r>
      <w:r w:rsidR="0087142F">
        <w:t xml:space="preserve"> from the core DESNZ and IFC </w:t>
      </w:r>
      <w:r w:rsidR="00315C5E">
        <w:t>teams</w:t>
      </w:r>
      <w:r w:rsidR="0087142F">
        <w:t xml:space="preserve"> have expressed </w:t>
      </w:r>
      <w:r w:rsidR="00E424E4">
        <w:t>how</w:t>
      </w:r>
      <w:r w:rsidR="0087142F">
        <w:t xml:space="preserve"> the outputs of </w:t>
      </w:r>
      <w:r w:rsidR="00E424E4">
        <w:t>c</w:t>
      </w:r>
      <w:r w:rsidR="0087142F">
        <w:t xml:space="preserve">omponent 4 have </w:t>
      </w:r>
      <w:r w:rsidR="00472FD0">
        <w:t>provided actionable market intelligence</w:t>
      </w:r>
      <w:r w:rsidR="0087142F">
        <w:t xml:space="preserve"> </w:t>
      </w:r>
      <w:r w:rsidR="00E5522A">
        <w:t xml:space="preserve">and evidence to support decision-making </w:t>
      </w:r>
      <w:r w:rsidR="00FC1EFF">
        <w:t>so far</w:t>
      </w:r>
      <w:r w:rsidR="00767929">
        <w:t xml:space="preserve">. For each </w:t>
      </w:r>
      <w:r w:rsidR="00315C5E">
        <w:t>of</w:t>
      </w:r>
      <w:r w:rsidR="00767929">
        <w:t xml:space="preserve"> the outputs of </w:t>
      </w:r>
      <w:r w:rsidR="006013C3">
        <w:t>c</w:t>
      </w:r>
      <w:r w:rsidR="00767929">
        <w:t>omponent 4, these were the following:</w:t>
      </w:r>
    </w:p>
    <w:p w14:paraId="36C8E548" w14:textId="2F1DACDB" w:rsidR="0087142F" w:rsidRPr="0087142F" w:rsidRDefault="0087142F" w:rsidP="006A0317">
      <w:pPr>
        <w:pStyle w:val="DESNZbulletedlist"/>
      </w:pPr>
      <w:r w:rsidRPr="006A0317">
        <w:rPr>
          <w:rStyle w:val="Boldtext"/>
        </w:rPr>
        <w:t>Stakeholder assessments</w:t>
      </w:r>
      <w:r w:rsidR="00EC3630">
        <w:rPr>
          <w:rStyle w:val="FootnoteReference"/>
          <w:b/>
        </w:rPr>
        <w:footnoteReference w:id="51"/>
      </w:r>
      <w:r w:rsidRPr="0087142F">
        <w:t xml:space="preserve"> have been used by in-country IFC teams to inform strategies to expand the adoption of EDGE and to develop targeted capacity</w:t>
      </w:r>
      <w:r w:rsidR="00B00C2E">
        <w:t xml:space="preserve"> </w:t>
      </w:r>
      <w:r w:rsidRPr="0087142F">
        <w:t>building initiatives</w:t>
      </w:r>
      <w:r w:rsidR="001B7217">
        <w:t>.</w:t>
      </w:r>
      <w:r w:rsidR="001B7217" w:rsidRPr="0087142F">
        <w:t xml:space="preserve"> </w:t>
      </w:r>
      <w:r w:rsidR="001B7217">
        <w:t xml:space="preserve">This </w:t>
      </w:r>
      <w:r w:rsidR="001B7217" w:rsidRPr="0087142F">
        <w:t>showcas</w:t>
      </w:r>
      <w:r w:rsidR="001B7217">
        <w:t>es</w:t>
      </w:r>
      <w:r w:rsidR="001B7217" w:rsidRPr="0087142F">
        <w:t xml:space="preserve"> </w:t>
      </w:r>
      <w:r w:rsidRPr="0087142F">
        <w:t>good feedback loops between the research component, the EDGE component, and the capacity building component.</w:t>
      </w:r>
    </w:p>
    <w:p w14:paraId="5410CAA7" w14:textId="7F01708D" w:rsidR="0087142F" w:rsidRPr="0087142F" w:rsidRDefault="00404526" w:rsidP="006A0317">
      <w:pPr>
        <w:pStyle w:val="DESNZbulletedlist"/>
      </w:pPr>
      <w:r>
        <w:rPr>
          <w:rStyle w:val="Boldtext"/>
        </w:rPr>
        <w:t>Baseline and mature m</w:t>
      </w:r>
      <w:r w:rsidR="0087142F" w:rsidRPr="006A0317">
        <w:rPr>
          <w:rStyle w:val="Boldtext"/>
        </w:rPr>
        <w:t>arket assessments</w:t>
      </w:r>
      <w:r w:rsidR="00965694">
        <w:rPr>
          <w:rStyle w:val="FootnoteReference"/>
          <w:b/>
        </w:rPr>
        <w:footnoteReference w:id="52"/>
      </w:r>
      <w:r w:rsidR="0087142F" w:rsidRPr="0087142F">
        <w:t xml:space="preserve"> have been used within the UK Government in order to assess the country context for programmes beyond MAGC. Moreover, they have been used by IFC project teams (including investment officers and economists) to understand the landscape of green building market of interest, assess the potential impact of projects under development, and inform investment decisions.</w:t>
      </w:r>
    </w:p>
    <w:p w14:paraId="233B5E28" w14:textId="312D9F65" w:rsidR="0087142F" w:rsidRPr="0087142F" w:rsidRDefault="0087142F" w:rsidP="006A0317">
      <w:pPr>
        <w:pStyle w:val="DESNZbulletedlist"/>
      </w:pPr>
      <w:r>
        <w:t xml:space="preserve">The </w:t>
      </w:r>
      <w:r w:rsidRPr="0087142F">
        <w:t xml:space="preserve">potential of the </w:t>
      </w:r>
      <w:r w:rsidRPr="006A0317">
        <w:rPr>
          <w:rStyle w:val="Boldtext"/>
        </w:rPr>
        <w:t>Smart Metering Study</w:t>
      </w:r>
      <w:r w:rsidR="00965694">
        <w:rPr>
          <w:rStyle w:val="FootnoteReference"/>
          <w:b/>
        </w:rPr>
        <w:footnoteReference w:id="53"/>
      </w:r>
      <w:r w:rsidRPr="0087142F">
        <w:t xml:space="preserve"> </w:t>
      </w:r>
      <w:r w:rsidR="00E424E4" w:rsidRPr="0087142F">
        <w:t>in regard to</w:t>
      </w:r>
      <w:r w:rsidRPr="0087142F">
        <w:t xml:space="preserve"> materialising the </w:t>
      </w:r>
      <w:r w:rsidR="00E424E4">
        <w:t>c</w:t>
      </w:r>
      <w:r w:rsidRPr="0087142F">
        <w:t xml:space="preserve">omponent’s outcome was also highlighted, albeit </w:t>
      </w:r>
      <w:r w:rsidR="006D467E">
        <w:t>it</w:t>
      </w:r>
      <w:r w:rsidR="006236C0">
        <w:t xml:space="preserve"> i</w:t>
      </w:r>
      <w:r w:rsidR="006D467E">
        <w:t xml:space="preserve">s </w:t>
      </w:r>
      <w:r w:rsidRPr="0087142F">
        <w:t>too early to be commented on at the moment.</w:t>
      </w:r>
    </w:p>
    <w:p w14:paraId="3797F72E" w14:textId="7B51F1C0" w:rsidR="0087142F" w:rsidRPr="0087142F" w:rsidRDefault="0087142F" w:rsidP="006A0317">
      <w:pPr>
        <w:pStyle w:val="DESNZbulletedlist"/>
      </w:pPr>
      <w:r w:rsidRPr="006A0317">
        <w:rPr>
          <w:rStyle w:val="Boldtext"/>
        </w:rPr>
        <w:t xml:space="preserve">All </w:t>
      </w:r>
      <w:r w:rsidR="00E424E4">
        <w:rPr>
          <w:rStyle w:val="Boldtext"/>
        </w:rPr>
        <w:t>c</w:t>
      </w:r>
      <w:r w:rsidRPr="006A0317">
        <w:rPr>
          <w:rStyle w:val="Boldtext"/>
        </w:rPr>
        <w:t>omponent outputs</w:t>
      </w:r>
      <w:r w:rsidRPr="0087142F">
        <w:t xml:space="preserve"> were also seen as </w:t>
      </w:r>
      <w:r w:rsidR="005810CE">
        <w:t>useful</w:t>
      </w:r>
      <w:r w:rsidRPr="0087142F">
        <w:t xml:space="preserve"> resources </w:t>
      </w:r>
      <w:r w:rsidR="005810CE">
        <w:t>for consideration of an extension to the existing MAGC programme</w:t>
      </w:r>
      <w:r w:rsidR="001B7217">
        <w:t>.</w:t>
      </w:r>
      <w:r w:rsidRPr="0087142F">
        <w:t xml:space="preserve"> </w:t>
      </w:r>
      <w:r w:rsidR="001B7217">
        <w:t>T</w:t>
      </w:r>
      <w:r w:rsidRPr="0087142F">
        <w:t xml:space="preserve">hey offer insights on the use of blended finance to incentivise green buildings. </w:t>
      </w:r>
    </w:p>
    <w:p w14:paraId="59E1DC88" w14:textId="1420C578" w:rsidR="00FB6C34" w:rsidRDefault="00FB6C34" w:rsidP="00FB6C34">
      <w:r w:rsidRPr="00FB6C34">
        <w:t>On the other hand, programme stakeholders from DESNZ and IFC expressed that there is room for improvement</w:t>
      </w:r>
      <w:r w:rsidR="00753315">
        <w:t>.</w:t>
      </w:r>
      <w:r w:rsidRPr="00FB6C34">
        <w:t xml:space="preserve"> </w:t>
      </w:r>
      <w:r w:rsidR="00753315">
        <w:t>T</w:t>
      </w:r>
      <w:r w:rsidRPr="00FB6C34">
        <w:t xml:space="preserve">he research component </w:t>
      </w:r>
      <w:r w:rsidR="00753315">
        <w:t>could be better integrated with</w:t>
      </w:r>
      <w:r w:rsidR="00753315" w:rsidRPr="00FB6C34">
        <w:t xml:space="preserve"> </w:t>
      </w:r>
      <w:r w:rsidRPr="00FB6C34">
        <w:t xml:space="preserve">the broader programme, particularly in terms of increasing feedback loops with the advisory and investment component. This was partially attributed to the sequencing and timelines of the component’s activities, which are currently running in parallel with the investment component. </w:t>
      </w:r>
      <w:r w:rsidR="00FA2815" w:rsidRPr="00FB6C34">
        <w:t xml:space="preserve">DESNZ and IFC programme stakeholders suggested that it would be beneficial for research </w:t>
      </w:r>
      <w:r w:rsidR="00FA2815">
        <w:t>such as the stakeholder and market maturity assessments</w:t>
      </w:r>
      <w:r w:rsidR="00FA2815" w:rsidRPr="00FB6C34">
        <w:t xml:space="preserve"> to be conducted first</w:t>
      </w:r>
      <w:r w:rsidR="00FA2815">
        <w:t xml:space="preserve"> (before activities in the investment component)</w:t>
      </w:r>
      <w:r w:rsidR="00FA2815" w:rsidRPr="00FB6C34">
        <w:t xml:space="preserve">, </w:t>
      </w:r>
      <w:r w:rsidR="00FA2815">
        <w:t>whenever feasible,</w:t>
      </w:r>
      <w:r w:rsidR="00FA2815" w:rsidRPr="00FB6C34">
        <w:t xml:space="preserve"> in order </w:t>
      </w:r>
      <w:r w:rsidR="00FA2815">
        <w:t xml:space="preserve">to </w:t>
      </w:r>
      <w:r w:rsidR="00FA2815" w:rsidRPr="00FB6C34">
        <w:t>create the evidence base needed to inform policy and increase investment flows</w:t>
      </w:r>
      <w:r w:rsidRPr="00FB6C34">
        <w:t>.</w:t>
      </w:r>
    </w:p>
    <w:p w14:paraId="1B8EBDC8" w14:textId="1E54988E" w:rsidR="008D47D1" w:rsidRPr="008D47D1" w:rsidRDefault="00FA2815" w:rsidP="006A0317">
      <w:r>
        <w:t xml:space="preserve">At the </w:t>
      </w:r>
      <w:r w:rsidR="00D76E05">
        <w:t>country-</w:t>
      </w:r>
      <w:r>
        <w:t>level, w</w:t>
      </w:r>
      <w:r w:rsidRPr="00175B84">
        <w:t xml:space="preserve">hile </w:t>
      </w:r>
      <w:r>
        <w:t>the desired outcome of increased understanding of green building benefits is not yet observable among</w:t>
      </w:r>
      <w:r w:rsidRPr="00175B84">
        <w:t xml:space="preserve"> in-country stakeholders, </w:t>
      </w:r>
      <w:r>
        <w:t xml:space="preserve">interviews conducted in-country with policy officials, building sector stakeholders (developers, property managers, green building experts), financial intermediaries, and IFC in-country offices have provided some insights into the contextual factors that could potentially influence the achievement of this outcome (i.e., </w:t>
      </w:r>
      <w:r w:rsidRPr="00F739C5">
        <w:t xml:space="preserve">build the evidence base </w:t>
      </w:r>
      <w:r>
        <w:t>that has the potential to</w:t>
      </w:r>
      <w:r w:rsidRPr="00F739C5">
        <w:t xml:space="preserve"> support scaling up green buildings and market acceleration</w:t>
      </w:r>
      <w:r>
        <w:t xml:space="preserve">). These </w:t>
      </w:r>
      <w:r w:rsidR="00C944D5">
        <w:t>factors</w:t>
      </w:r>
      <w:r w:rsidR="00236009">
        <w:t xml:space="preserve"> </w:t>
      </w:r>
      <w:r w:rsidR="00C944D5">
        <w:t>include</w:t>
      </w:r>
      <w:r w:rsidR="00236009">
        <w:t>:</w:t>
      </w:r>
    </w:p>
    <w:p w14:paraId="56BB95BD" w14:textId="5026D3AD" w:rsidR="00FB6C34" w:rsidRPr="00FB6C34" w:rsidRDefault="00FB6C34" w:rsidP="00FB6C34">
      <w:pPr>
        <w:pStyle w:val="DESNZbulletedlist"/>
      </w:pPr>
      <w:r w:rsidRPr="00FB6C34">
        <w:rPr>
          <w:rStyle w:val="Boldtext"/>
        </w:rPr>
        <w:t>The maturity of the green building market and the level of awareness among stakeholders.</w:t>
      </w:r>
      <w:r w:rsidRPr="00FB6C34">
        <w:t xml:space="preserve"> In nascent markets, a perception of high upfront costs and uncertainty around financial returns can hinder the understanding of the benefits amongst building sector stakeholders. Conversely, in active green building markets, for example </w:t>
      </w:r>
      <w:r w:rsidR="009D5811">
        <w:t xml:space="preserve">in </w:t>
      </w:r>
      <w:r w:rsidRPr="00FB6C34">
        <w:t>Colombia, green buildings are more likely to be perceived as valuable assets, and their benefits might therefore be more understood.</w:t>
      </w:r>
    </w:p>
    <w:p w14:paraId="756C506C" w14:textId="3C194F70" w:rsidR="00FB6C34" w:rsidRPr="00FB6C34" w:rsidRDefault="00FB6C34" w:rsidP="00FB6C34">
      <w:pPr>
        <w:pStyle w:val="DESNZbulletedlist"/>
      </w:pPr>
      <w:r w:rsidRPr="00FB6C34">
        <w:rPr>
          <w:rStyle w:val="Boldtext"/>
        </w:rPr>
        <w:t>The visibility of the benefits of green buildings, which are influenced by local climate and resource availability.</w:t>
      </w:r>
      <w:r w:rsidRPr="00FB6C34">
        <w:t xml:space="preserve"> For instance, in regions with high energy costs</w:t>
      </w:r>
      <w:r w:rsidR="00674F3B">
        <w:t>,</w:t>
      </w:r>
      <w:r w:rsidRPr="00FB6C34">
        <w:t xml:space="preserve"> the potential for operational cost savings is more evident and therefore building green can be viewed more easily as beneficial. For example, in Vietnam residents of EDGE certified buildings spoke of the water and energy savings attributed to the building being cooler during hot seasons.</w:t>
      </w:r>
    </w:p>
    <w:p w14:paraId="57562B21" w14:textId="77777777" w:rsidR="00FB6C34" w:rsidRPr="00FB6C34" w:rsidRDefault="00FB6C34" w:rsidP="00FB6C34">
      <w:pPr>
        <w:pStyle w:val="DESNZbulletedlist"/>
      </w:pPr>
      <w:r w:rsidRPr="00FB6C34">
        <w:rPr>
          <w:rStyle w:val="Boldtext"/>
        </w:rPr>
        <w:t>The policy landscape and the presence of government incentives.</w:t>
      </w:r>
      <w:r w:rsidRPr="00FB6C34">
        <w:t xml:space="preserve"> Supportive policies, such as tax breaks, subsidies or green building codes, can raise awareness and understanding of green building benefits. However, an unfavourable regulatory context can pose challenges to this understanding.</w:t>
      </w:r>
    </w:p>
    <w:p w14:paraId="2AD26E89" w14:textId="2E6D3E74" w:rsidR="00CE39F2" w:rsidRDefault="00CE39F2" w:rsidP="00CE39F2">
      <w:pPr>
        <w:pStyle w:val="Heading3"/>
      </w:pPr>
      <w:bookmarkStart w:id="47" w:name="_Toc189155221"/>
      <w:r>
        <w:t xml:space="preserve">5.1.5 </w:t>
      </w:r>
      <w:r w:rsidR="00B755E9">
        <w:t>Progress on addressing b</w:t>
      </w:r>
      <w:r>
        <w:t xml:space="preserve">arriers to green </w:t>
      </w:r>
      <w:r w:rsidR="001B0493">
        <w:t>construc</w:t>
      </w:r>
      <w:r>
        <w:t>tion</w:t>
      </w:r>
    </w:p>
    <w:p w14:paraId="5C046053" w14:textId="379A367A" w:rsidR="00CE39F2" w:rsidRDefault="00CE39F2" w:rsidP="00CE39F2">
      <w:pPr>
        <w:rPr>
          <w:rStyle w:val="Boldtext"/>
        </w:rPr>
      </w:pPr>
      <w:r>
        <w:rPr>
          <w:rStyle w:val="Boldtext"/>
        </w:rPr>
        <w:t xml:space="preserve">A. MAGC has made considerable progress in </w:t>
      </w:r>
      <w:r w:rsidR="00937AFA">
        <w:rPr>
          <w:rStyle w:val="Boldtext"/>
        </w:rPr>
        <w:t xml:space="preserve">addressing barriers to green </w:t>
      </w:r>
      <w:r w:rsidR="006C5E58">
        <w:rPr>
          <w:rStyle w:val="Boldtext"/>
        </w:rPr>
        <w:t>construction</w:t>
      </w:r>
      <w:r w:rsidR="00937AFA">
        <w:rPr>
          <w:rStyle w:val="Boldtext"/>
        </w:rPr>
        <w:t xml:space="preserve">, </w:t>
      </w:r>
      <w:r w:rsidR="001F2FD6">
        <w:rPr>
          <w:rStyle w:val="Boldtext"/>
        </w:rPr>
        <w:t>but</w:t>
      </w:r>
      <w:r w:rsidR="00937AFA">
        <w:rPr>
          <w:rStyle w:val="Boldtext"/>
        </w:rPr>
        <w:t xml:space="preserve"> there are </w:t>
      </w:r>
      <w:r w:rsidR="000D201B">
        <w:rPr>
          <w:rStyle w:val="Boldtext"/>
        </w:rPr>
        <w:t>some that still remain</w:t>
      </w:r>
      <w:r>
        <w:rPr>
          <w:rStyle w:val="Boldtext"/>
        </w:rPr>
        <w:t xml:space="preserve">. </w:t>
      </w:r>
    </w:p>
    <w:p w14:paraId="5749F9B7" w14:textId="798BDEE2" w:rsidR="00910126" w:rsidRDefault="00910126" w:rsidP="005531FD">
      <w:r w:rsidRPr="00122551">
        <w:t>MAGC is demonstrably achieving early outcomes</w:t>
      </w:r>
      <w:r>
        <w:t xml:space="preserve"> and addressing several key barriers, and t</w:t>
      </w:r>
      <w:r w:rsidRPr="00122551">
        <w:t>hese achievements are contributing to the emerging signs of transformational change discussed in 5.2</w:t>
      </w:r>
      <w:r>
        <w:t xml:space="preserve">. However, there are still </w:t>
      </w:r>
      <w:r w:rsidR="001F47FB">
        <w:t xml:space="preserve">some </w:t>
      </w:r>
      <w:r w:rsidRPr="00122551">
        <w:t xml:space="preserve">barriers </w:t>
      </w:r>
      <w:r>
        <w:t>that</w:t>
      </w:r>
      <w:r w:rsidRPr="00122551">
        <w:t xml:space="preserve"> remain before widespread green building market transformation </w:t>
      </w:r>
      <w:r>
        <w:t>can be realised</w:t>
      </w:r>
      <w:r w:rsidR="00F96429">
        <w:t>, mainly:</w:t>
      </w:r>
    </w:p>
    <w:p w14:paraId="203333B4" w14:textId="1E5CBD05" w:rsidR="00F96429" w:rsidRDefault="00D84459" w:rsidP="001C6F7A">
      <w:pPr>
        <w:pStyle w:val="DESNZbulletedlist"/>
      </w:pPr>
      <w:r>
        <w:t>FI’s i</w:t>
      </w:r>
      <w:r w:rsidR="00B2495D">
        <w:t xml:space="preserve">nstitutional knowledge and capacity to </w:t>
      </w:r>
      <w:r w:rsidR="00F604ED">
        <w:t xml:space="preserve">design and implement green </w:t>
      </w:r>
      <w:r w:rsidR="007C7106">
        <w:t>construction products is not widespread yet</w:t>
      </w:r>
      <w:r w:rsidR="00761FA5">
        <w:t xml:space="preserve"> beyond FIs that have received advisory support from MAGC</w:t>
      </w:r>
      <w:r w:rsidR="007C7106">
        <w:t xml:space="preserve">. </w:t>
      </w:r>
      <w:r w:rsidR="00761FA5">
        <w:t>An FI in Ghana, which was not involved with MAGC, expressed a need for “</w:t>
      </w:r>
      <w:r w:rsidR="00761FA5" w:rsidRPr="00AE22DD">
        <w:rPr>
          <w:rStyle w:val="Italic"/>
        </w:rPr>
        <w:t>financial institutions to develop their professional capacity to initiate some of these projects and make them bankable projects.</w:t>
      </w:r>
      <w:r w:rsidR="00761FA5" w:rsidRPr="001F653F">
        <w:t>” This was something highlighted in interviews in different markets (Mexico, Peru</w:t>
      </w:r>
      <w:r w:rsidR="00761FA5">
        <w:t>). Once again, this validates the MAGC intervention addressing institutional capabilities through technical advisory as a means of achieving outcomes related to valuing green construction.</w:t>
      </w:r>
    </w:p>
    <w:p w14:paraId="39BD793B" w14:textId="6D0AD835" w:rsidR="005531FD" w:rsidRPr="001F653F" w:rsidRDefault="00AC7423" w:rsidP="001C6F7A">
      <w:pPr>
        <w:pStyle w:val="DESNZbulletedlist"/>
      </w:pPr>
      <w:r>
        <w:t>P</w:t>
      </w:r>
      <w:r w:rsidR="005531FD">
        <w:t xml:space="preserve">roject costs of green buildings </w:t>
      </w:r>
      <w:r w:rsidR="00673B68">
        <w:t>(</w:t>
      </w:r>
      <w:r w:rsidR="004604B0">
        <w:t>higher up-front</w:t>
      </w:r>
      <w:r w:rsidR="00673B68">
        <w:t xml:space="preserve"> costs, cost and availability of materials</w:t>
      </w:r>
      <w:r w:rsidR="00C456F7">
        <w:t xml:space="preserve">, </w:t>
      </w:r>
      <w:r w:rsidR="00E10024">
        <w:t>long-term operational costs</w:t>
      </w:r>
      <w:r w:rsidR="00F76123">
        <w:t xml:space="preserve">) </w:t>
      </w:r>
      <w:r w:rsidR="005531FD">
        <w:t xml:space="preserve">are still a concern in several MAGC markets (and emerged particularly in case study countries Kenya, India, and South Africa, but also in other countries). </w:t>
      </w:r>
      <w:r w:rsidR="00C96556">
        <w:t xml:space="preserve">This barrier has been addressed to a limited extent by MAGC: </w:t>
      </w:r>
      <w:r w:rsidR="00375277">
        <w:t>t</w:t>
      </w:r>
      <w:r w:rsidR="00C96556">
        <w:t xml:space="preserve">he PBIs have been used to offset the cost of certification and the </w:t>
      </w:r>
      <w:r w:rsidR="00674E96">
        <w:t xml:space="preserve">capacity building provided through component 2 helps </w:t>
      </w:r>
      <w:r w:rsidR="00797FC8">
        <w:t xml:space="preserve">developers to </w:t>
      </w:r>
      <w:r w:rsidR="00410D88">
        <w:t>reduce up-front costs</w:t>
      </w:r>
      <w:r w:rsidR="00797FC8">
        <w:t>. However, g</w:t>
      </w:r>
      <w:r w:rsidR="005531FD">
        <w:t xml:space="preserve">reen construction continues to be perceived as expensive when compared with the benefits it delivers and in comparison to traditional construction, meaning developers and FIs still regard green construction as a risky investment in terms of the return on investment it yields. </w:t>
      </w:r>
    </w:p>
    <w:p w14:paraId="34E0AB25" w14:textId="77777777" w:rsidR="005531FD" w:rsidRPr="001F653F" w:rsidRDefault="005531FD" w:rsidP="005531FD">
      <w:pPr>
        <w:pStyle w:val="Quote"/>
        <w:rPr>
          <w:rStyle w:val="Boldtext"/>
        </w:rPr>
      </w:pPr>
      <w:r w:rsidRPr="001F653F">
        <w:t xml:space="preserve">“Any developer or any owner that will have a better building at lowest cost will definitely choose this option.” (Building </w:t>
      </w:r>
      <w:r>
        <w:t>s</w:t>
      </w:r>
      <w:r w:rsidRPr="001F653F">
        <w:t xml:space="preserve">ector </w:t>
      </w:r>
      <w:r>
        <w:t>o</w:t>
      </w:r>
      <w:r w:rsidRPr="001F653F">
        <w:t>rganisation, Egypt)</w:t>
      </w:r>
    </w:p>
    <w:p w14:paraId="675F5C26" w14:textId="6DD12F6B" w:rsidR="00F67ECD" w:rsidRDefault="005531FD" w:rsidP="001C6F7A">
      <w:pPr>
        <w:pStyle w:val="DESNZbulletedlist"/>
      </w:pPr>
      <w:r>
        <w:t xml:space="preserve">Some FIs and other stakeholders (industry associations) also highlighted the persistent need for more buy in from policymakers to accelerate green construction. As </w:t>
      </w:r>
      <w:r w:rsidR="001400D2">
        <w:t>shown</w:t>
      </w:r>
      <w:r>
        <w:t xml:space="preserve"> in 5.1.2, p</w:t>
      </w:r>
      <w:r w:rsidRPr="001F653F">
        <w:t>olicymakers were seen as an important stakeholder group that could legislate changes to incentivise green construction furthe</w:t>
      </w:r>
      <w:r>
        <w:t xml:space="preserve">r through financial or regulatory means. Through its capacity building component, </w:t>
      </w:r>
      <w:r w:rsidRPr="00E21F8A">
        <w:t xml:space="preserve">MAGC can </w:t>
      </w:r>
      <w:r>
        <w:t>play</w:t>
      </w:r>
      <w:r w:rsidRPr="00E21F8A">
        <w:t xml:space="preserve"> a crucial role in supporting this policy development</w:t>
      </w:r>
      <w:r>
        <w:t>.</w:t>
      </w:r>
      <w:r w:rsidR="00F67ECD">
        <w:t xml:space="preserve"> </w:t>
      </w:r>
    </w:p>
    <w:p w14:paraId="2EF0348F" w14:textId="3E58C51B" w:rsidR="00CE39F2" w:rsidRDefault="00CE39F2" w:rsidP="00CE39F2">
      <w:r>
        <w:t xml:space="preserve">The table below </w:t>
      </w:r>
      <w:r w:rsidR="005550A8">
        <w:t>provides more detail on</w:t>
      </w:r>
      <w:r>
        <w:t xml:space="preserve"> the </w:t>
      </w:r>
      <w:r w:rsidR="00E215A8">
        <w:t xml:space="preserve">current </w:t>
      </w:r>
      <w:r>
        <w:t xml:space="preserve">key barriers to the development of a green construction market </w:t>
      </w:r>
      <w:r w:rsidR="002870EF">
        <w:t>experienced by</w:t>
      </w:r>
      <w:r>
        <w:t xml:space="preserve"> different stakeholder groups (FIs, developers, policymakers, residents), </w:t>
      </w:r>
      <w:r w:rsidR="00FF36E9">
        <w:t xml:space="preserve">together with an analysis of the instruments and activities that MAGC has used so far and that could use in the future to address them. </w:t>
      </w:r>
    </w:p>
    <w:p w14:paraId="501D14B6" w14:textId="1E5845EF" w:rsidR="00CE39F2" w:rsidRPr="00526795" w:rsidRDefault="00CE39F2" w:rsidP="00CE39F2">
      <w:pPr>
        <w:spacing w:after="120"/>
        <w:rPr>
          <w:b/>
          <w:bCs/>
        </w:rPr>
      </w:pPr>
      <w:r w:rsidRPr="00526795">
        <w:rPr>
          <w:b/>
          <w:bCs/>
        </w:rPr>
        <w:t>Table 5.1</w:t>
      </w:r>
      <w:r w:rsidR="00B7530F" w:rsidRPr="00526795">
        <w:rPr>
          <w:b/>
          <w:bCs/>
        </w:rPr>
        <w:t>: Summary of key barriers to the green construction market per stakeholder group</w:t>
      </w:r>
    </w:p>
    <w:tbl>
      <w:tblPr>
        <w:tblStyle w:val="Table-Darkblue"/>
        <w:tblW w:w="0" w:type="auto"/>
        <w:tblLook w:val="04A0" w:firstRow="1" w:lastRow="0" w:firstColumn="1" w:lastColumn="0" w:noHBand="0" w:noVBand="1"/>
      </w:tblPr>
      <w:tblGrid>
        <w:gridCol w:w="1584"/>
        <w:gridCol w:w="3187"/>
        <w:gridCol w:w="2474"/>
        <w:gridCol w:w="2837"/>
      </w:tblGrid>
      <w:tr w:rsidR="00C565D9" w14:paraId="0336CAC5" w14:textId="77777777" w:rsidTr="00F54046">
        <w:trPr>
          <w:cnfStyle w:val="100000000000" w:firstRow="1" w:lastRow="0" w:firstColumn="0" w:lastColumn="0" w:oddVBand="0" w:evenVBand="0" w:oddHBand="0" w:evenHBand="0" w:firstRowFirstColumn="0" w:firstRowLastColumn="0" w:lastRowFirstColumn="0" w:lastRowLastColumn="0"/>
        </w:trPr>
        <w:tc>
          <w:tcPr>
            <w:tcW w:w="1584" w:type="dxa"/>
          </w:tcPr>
          <w:p w14:paraId="06B05DE4" w14:textId="77777777" w:rsidR="00AE04C9" w:rsidRPr="00392A7A" w:rsidRDefault="00AE04C9">
            <w:pPr>
              <w:spacing w:after="120"/>
              <w:rPr>
                <w:sz w:val="20"/>
                <w:szCs w:val="18"/>
              </w:rPr>
            </w:pPr>
            <w:r w:rsidRPr="00392A7A">
              <w:rPr>
                <w:sz w:val="20"/>
                <w:szCs w:val="18"/>
              </w:rPr>
              <w:t>Stakeholder group</w:t>
            </w:r>
          </w:p>
        </w:tc>
        <w:tc>
          <w:tcPr>
            <w:tcW w:w="3187" w:type="dxa"/>
          </w:tcPr>
          <w:p w14:paraId="370EAA27" w14:textId="66459777" w:rsidR="00AE04C9" w:rsidRPr="00392A7A" w:rsidRDefault="00AE04C9">
            <w:pPr>
              <w:spacing w:after="120"/>
              <w:rPr>
                <w:sz w:val="20"/>
                <w:szCs w:val="18"/>
              </w:rPr>
            </w:pPr>
            <w:r w:rsidRPr="00392A7A">
              <w:rPr>
                <w:sz w:val="20"/>
                <w:szCs w:val="18"/>
              </w:rPr>
              <w:t>Key barriers</w:t>
            </w:r>
            <w:r>
              <w:rPr>
                <w:sz w:val="20"/>
                <w:szCs w:val="18"/>
              </w:rPr>
              <w:t xml:space="preserve"> experienced by the stakeholders</w:t>
            </w:r>
          </w:p>
        </w:tc>
        <w:tc>
          <w:tcPr>
            <w:tcW w:w="2474" w:type="dxa"/>
          </w:tcPr>
          <w:p w14:paraId="4D3870AA" w14:textId="38FA8EF8" w:rsidR="00AE04C9" w:rsidDel="00F558E1" w:rsidRDefault="00AE04C9">
            <w:pPr>
              <w:spacing w:after="120"/>
              <w:rPr>
                <w:sz w:val="20"/>
                <w:szCs w:val="18"/>
              </w:rPr>
            </w:pPr>
            <w:r>
              <w:rPr>
                <w:sz w:val="20"/>
                <w:szCs w:val="18"/>
              </w:rPr>
              <w:t>MAGC contributions to addressing the barriers</w:t>
            </w:r>
          </w:p>
        </w:tc>
        <w:tc>
          <w:tcPr>
            <w:tcW w:w="2837" w:type="dxa"/>
          </w:tcPr>
          <w:p w14:paraId="48A26818" w14:textId="3F2516D1" w:rsidR="00AE04C9" w:rsidRPr="00392A7A" w:rsidRDefault="008D4051">
            <w:pPr>
              <w:spacing w:after="120"/>
              <w:rPr>
                <w:sz w:val="20"/>
                <w:szCs w:val="18"/>
              </w:rPr>
            </w:pPr>
            <w:r>
              <w:rPr>
                <w:sz w:val="20"/>
                <w:szCs w:val="18"/>
              </w:rPr>
              <w:t xml:space="preserve">Other </w:t>
            </w:r>
            <w:r w:rsidR="006D4703">
              <w:rPr>
                <w:sz w:val="20"/>
                <w:szCs w:val="18"/>
              </w:rPr>
              <w:t xml:space="preserve">activities </w:t>
            </w:r>
            <w:r w:rsidR="00641161">
              <w:rPr>
                <w:sz w:val="20"/>
                <w:szCs w:val="18"/>
              </w:rPr>
              <w:t>within MAGC scope that could address these</w:t>
            </w:r>
            <w:r w:rsidR="00366020">
              <w:rPr>
                <w:sz w:val="20"/>
                <w:szCs w:val="18"/>
              </w:rPr>
              <w:t xml:space="preserve"> barriers </w:t>
            </w:r>
          </w:p>
        </w:tc>
      </w:tr>
      <w:tr w:rsidR="005E772E" w14:paraId="4703B2B7" w14:textId="77777777" w:rsidTr="00F54046">
        <w:tc>
          <w:tcPr>
            <w:tcW w:w="1584" w:type="dxa"/>
            <w:vMerge w:val="restart"/>
          </w:tcPr>
          <w:p w14:paraId="55C4A55C" w14:textId="764172E7" w:rsidR="005E772E" w:rsidRPr="00392A7A" w:rsidRDefault="005E772E" w:rsidP="005E772E">
            <w:pPr>
              <w:spacing w:after="120"/>
              <w:rPr>
                <w:b/>
                <w:bCs/>
                <w:sz w:val="20"/>
                <w:szCs w:val="18"/>
              </w:rPr>
            </w:pPr>
            <w:r w:rsidRPr="00392A7A">
              <w:rPr>
                <w:b/>
                <w:bCs/>
                <w:sz w:val="20"/>
                <w:szCs w:val="18"/>
              </w:rPr>
              <w:t>Developers</w:t>
            </w:r>
          </w:p>
        </w:tc>
        <w:tc>
          <w:tcPr>
            <w:tcW w:w="3187" w:type="dxa"/>
          </w:tcPr>
          <w:p w14:paraId="740897EE" w14:textId="7E659A6C" w:rsidR="005E772E" w:rsidRPr="001C6F7A" w:rsidRDefault="005E772E" w:rsidP="005E772E">
            <w:pPr>
              <w:spacing w:after="120"/>
              <w:rPr>
                <w:sz w:val="20"/>
                <w:szCs w:val="20"/>
              </w:rPr>
            </w:pPr>
            <w:r w:rsidRPr="007455A7">
              <w:rPr>
                <w:b/>
                <w:bCs/>
                <w:sz w:val="20"/>
                <w:szCs w:val="20"/>
              </w:rPr>
              <w:t>Higher costs</w:t>
            </w:r>
            <w:r>
              <w:rPr>
                <w:sz w:val="20"/>
                <w:szCs w:val="20"/>
              </w:rPr>
              <w:t xml:space="preserve">: </w:t>
            </w:r>
            <w:r w:rsidRPr="00E51B62">
              <w:rPr>
                <w:sz w:val="20"/>
                <w:szCs w:val="20"/>
              </w:rPr>
              <w:t>High upfront costs</w:t>
            </w:r>
            <w:r w:rsidRPr="4CDDE2D2">
              <w:rPr>
                <w:sz w:val="20"/>
                <w:szCs w:val="20"/>
              </w:rPr>
              <w:t xml:space="preserve"> </w:t>
            </w:r>
            <w:r w:rsidR="0049790A">
              <w:rPr>
                <w:sz w:val="20"/>
                <w:szCs w:val="20"/>
              </w:rPr>
              <w:t>to design green buildings,</w:t>
            </w:r>
            <w:r w:rsidRPr="4CDDE2D2">
              <w:rPr>
                <w:sz w:val="20"/>
                <w:szCs w:val="20"/>
              </w:rPr>
              <w:t xml:space="preserve"> and material costs, especially if importing materials</w:t>
            </w:r>
            <w:r w:rsidR="006B4B9B">
              <w:rPr>
                <w:sz w:val="20"/>
                <w:szCs w:val="20"/>
              </w:rPr>
              <w:t>.</w:t>
            </w:r>
            <w:r w:rsidRPr="00E51B62">
              <w:rPr>
                <w:sz w:val="20"/>
                <w:szCs w:val="20"/>
              </w:rPr>
              <w:t xml:space="preserve"> </w:t>
            </w:r>
          </w:p>
        </w:tc>
        <w:tc>
          <w:tcPr>
            <w:tcW w:w="2474" w:type="dxa"/>
          </w:tcPr>
          <w:p w14:paraId="08B979AE" w14:textId="0C6435BA" w:rsidR="005E772E" w:rsidRDefault="005E772E" w:rsidP="005E772E">
            <w:pPr>
              <w:spacing w:after="120"/>
              <w:rPr>
                <w:sz w:val="20"/>
                <w:szCs w:val="20"/>
              </w:rPr>
            </w:pPr>
            <w:r w:rsidRPr="00937AFA">
              <w:rPr>
                <w:sz w:val="20"/>
                <w:szCs w:val="20"/>
              </w:rPr>
              <w:t xml:space="preserve">PBIs have been </w:t>
            </w:r>
            <w:r>
              <w:rPr>
                <w:sz w:val="20"/>
                <w:szCs w:val="20"/>
              </w:rPr>
              <w:t>successful</w:t>
            </w:r>
            <w:r w:rsidRPr="00937AFA">
              <w:rPr>
                <w:sz w:val="20"/>
                <w:szCs w:val="20"/>
              </w:rPr>
              <w:t xml:space="preserve"> in MAGC </w:t>
            </w:r>
            <w:r>
              <w:rPr>
                <w:sz w:val="20"/>
                <w:szCs w:val="20"/>
              </w:rPr>
              <w:t>at</w:t>
            </w:r>
            <w:r w:rsidRPr="00937AFA">
              <w:rPr>
                <w:sz w:val="20"/>
                <w:szCs w:val="20"/>
              </w:rPr>
              <w:t xml:space="preserve"> offset</w:t>
            </w:r>
            <w:r>
              <w:rPr>
                <w:sz w:val="20"/>
                <w:szCs w:val="20"/>
              </w:rPr>
              <w:t>ting</w:t>
            </w:r>
            <w:r w:rsidRPr="00937AFA">
              <w:rPr>
                <w:sz w:val="20"/>
                <w:szCs w:val="20"/>
              </w:rPr>
              <w:t xml:space="preserve"> the cost of certification</w:t>
            </w:r>
            <w:r>
              <w:rPr>
                <w:sz w:val="20"/>
                <w:szCs w:val="20"/>
              </w:rPr>
              <w:t>, but p</w:t>
            </w:r>
            <w:r w:rsidRPr="00937AFA">
              <w:rPr>
                <w:sz w:val="20"/>
                <w:szCs w:val="20"/>
              </w:rPr>
              <w:t xml:space="preserve">roject costs </w:t>
            </w:r>
            <w:r>
              <w:rPr>
                <w:sz w:val="20"/>
                <w:szCs w:val="20"/>
              </w:rPr>
              <w:t>for</w:t>
            </w:r>
            <w:r w:rsidRPr="00937AFA">
              <w:rPr>
                <w:sz w:val="20"/>
                <w:szCs w:val="20"/>
              </w:rPr>
              <w:t xml:space="preserve"> green buildings are still a concern in several case study countries (Kenya, India, South Africa)</w:t>
            </w:r>
            <w:r>
              <w:rPr>
                <w:sz w:val="20"/>
                <w:szCs w:val="20"/>
              </w:rPr>
              <w:t xml:space="preserve">. </w:t>
            </w:r>
          </w:p>
        </w:tc>
        <w:tc>
          <w:tcPr>
            <w:tcW w:w="2837" w:type="dxa"/>
          </w:tcPr>
          <w:p w14:paraId="4E7DB132" w14:textId="1AE21261" w:rsidR="005E772E" w:rsidRPr="00C37720" w:rsidRDefault="005E772E" w:rsidP="005E772E">
            <w:pPr>
              <w:spacing w:after="120"/>
              <w:rPr>
                <w:sz w:val="20"/>
                <w:szCs w:val="20"/>
              </w:rPr>
            </w:pPr>
            <w:r w:rsidRPr="00C37720">
              <w:rPr>
                <w:sz w:val="20"/>
                <w:szCs w:val="20"/>
              </w:rPr>
              <w:t xml:space="preserve">Concessional </w:t>
            </w:r>
            <w:r>
              <w:rPr>
                <w:sz w:val="20"/>
                <w:szCs w:val="20"/>
              </w:rPr>
              <w:t>e</w:t>
            </w:r>
            <w:r w:rsidRPr="00C37720">
              <w:rPr>
                <w:sz w:val="20"/>
                <w:szCs w:val="20"/>
              </w:rPr>
              <w:t xml:space="preserve">quity, </w:t>
            </w:r>
            <w:r>
              <w:rPr>
                <w:sz w:val="20"/>
                <w:szCs w:val="20"/>
              </w:rPr>
              <w:t>c</w:t>
            </w:r>
            <w:r w:rsidRPr="00C37720">
              <w:rPr>
                <w:sz w:val="20"/>
                <w:szCs w:val="20"/>
              </w:rPr>
              <w:t xml:space="preserve">oncessional </w:t>
            </w:r>
            <w:r>
              <w:rPr>
                <w:sz w:val="20"/>
                <w:szCs w:val="20"/>
              </w:rPr>
              <w:t>d</w:t>
            </w:r>
            <w:r w:rsidRPr="00C37720">
              <w:rPr>
                <w:sz w:val="20"/>
                <w:szCs w:val="20"/>
              </w:rPr>
              <w:t xml:space="preserve">ebt, and </w:t>
            </w:r>
            <w:r>
              <w:rPr>
                <w:sz w:val="20"/>
                <w:szCs w:val="20"/>
              </w:rPr>
              <w:t>r</w:t>
            </w:r>
            <w:r w:rsidRPr="00C37720">
              <w:rPr>
                <w:sz w:val="20"/>
                <w:szCs w:val="20"/>
              </w:rPr>
              <w:t xml:space="preserve">eturnable </w:t>
            </w:r>
            <w:r>
              <w:rPr>
                <w:sz w:val="20"/>
                <w:szCs w:val="20"/>
              </w:rPr>
              <w:t>g</w:t>
            </w:r>
            <w:r w:rsidRPr="00C37720">
              <w:rPr>
                <w:sz w:val="20"/>
                <w:szCs w:val="20"/>
              </w:rPr>
              <w:t xml:space="preserve">rants can all help address high upfront costs by lowering the overall cost of capital and making projects more financially viable. </w:t>
            </w:r>
            <w:r>
              <w:rPr>
                <w:sz w:val="20"/>
                <w:szCs w:val="20"/>
              </w:rPr>
              <w:t>A</w:t>
            </w:r>
            <w:r w:rsidR="00CD6D96">
              <w:rPr>
                <w:sz w:val="20"/>
                <w:szCs w:val="20"/>
              </w:rPr>
              <w:t>nother structure that could lower the cost is a</w:t>
            </w:r>
            <w:r>
              <w:rPr>
                <w:sz w:val="20"/>
                <w:szCs w:val="20"/>
              </w:rPr>
              <w:t xml:space="preserve"> working capital facility</w:t>
            </w:r>
            <w:r w:rsidR="00CD6D96">
              <w:rPr>
                <w:sz w:val="20"/>
                <w:szCs w:val="20"/>
              </w:rPr>
              <w:t>, implemented</w:t>
            </w:r>
            <w:r>
              <w:rPr>
                <w:sz w:val="20"/>
                <w:szCs w:val="20"/>
              </w:rPr>
              <w:t xml:space="preserve"> as an on-lending facility through </w:t>
            </w:r>
            <w:r w:rsidR="00682AD4">
              <w:rPr>
                <w:sz w:val="20"/>
                <w:szCs w:val="20"/>
              </w:rPr>
              <w:t>FIs at</w:t>
            </w:r>
            <w:r w:rsidRPr="002312E0">
              <w:rPr>
                <w:sz w:val="20"/>
                <w:szCs w:val="20"/>
              </w:rPr>
              <w:t xml:space="preserve"> a lower interest rate</w:t>
            </w:r>
            <w:r>
              <w:rPr>
                <w:sz w:val="20"/>
                <w:szCs w:val="20"/>
              </w:rPr>
              <w:t>.</w:t>
            </w:r>
          </w:p>
        </w:tc>
      </w:tr>
      <w:tr w:rsidR="005E772E" w14:paraId="3615A10F" w14:textId="77777777" w:rsidTr="00F54046">
        <w:tc>
          <w:tcPr>
            <w:tcW w:w="1584" w:type="dxa"/>
            <w:vMerge/>
          </w:tcPr>
          <w:p w14:paraId="68983976" w14:textId="77777777" w:rsidR="005E772E" w:rsidRPr="00392A7A" w:rsidRDefault="005E772E" w:rsidP="005E772E">
            <w:pPr>
              <w:spacing w:after="120"/>
              <w:rPr>
                <w:b/>
                <w:bCs/>
                <w:sz w:val="20"/>
                <w:szCs w:val="18"/>
              </w:rPr>
            </w:pPr>
          </w:p>
        </w:tc>
        <w:tc>
          <w:tcPr>
            <w:tcW w:w="3187" w:type="dxa"/>
          </w:tcPr>
          <w:p w14:paraId="32E14101" w14:textId="541F8363" w:rsidR="005E772E" w:rsidRPr="00F54046" w:rsidRDefault="005E772E" w:rsidP="005E772E">
            <w:pPr>
              <w:spacing w:after="120"/>
              <w:rPr>
                <w:b/>
                <w:bCs/>
                <w:sz w:val="20"/>
                <w:szCs w:val="20"/>
              </w:rPr>
            </w:pPr>
            <w:r w:rsidRPr="003E733A">
              <w:rPr>
                <w:b/>
                <w:bCs/>
                <w:sz w:val="20"/>
                <w:szCs w:val="20"/>
              </w:rPr>
              <w:t>Risks</w:t>
            </w:r>
            <w:r>
              <w:rPr>
                <w:sz w:val="20"/>
                <w:szCs w:val="20"/>
              </w:rPr>
              <w:t xml:space="preserve">: </w:t>
            </w:r>
            <w:r w:rsidRPr="00E51B62">
              <w:rPr>
                <w:sz w:val="20"/>
                <w:szCs w:val="20"/>
              </w:rPr>
              <w:t xml:space="preserve">Lack of </w:t>
            </w:r>
            <w:r w:rsidRPr="4CDDE2D2">
              <w:rPr>
                <w:sz w:val="20"/>
                <w:szCs w:val="20"/>
              </w:rPr>
              <w:t xml:space="preserve">financial </w:t>
            </w:r>
            <w:r w:rsidRPr="00E51B62">
              <w:rPr>
                <w:sz w:val="20"/>
                <w:szCs w:val="20"/>
              </w:rPr>
              <w:t>incentives</w:t>
            </w:r>
            <w:r w:rsidRPr="4CDDE2D2">
              <w:rPr>
                <w:sz w:val="20"/>
                <w:szCs w:val="20"/>
              </w:rPr>
              <w:t xml:space="preserve"> to build green</w:t>
            </w:r>
            <w:r w:rsidRPr="00E51B62">
              <w:rPr>
                <w:sz w:val="20"/>
                <w:szCs w:val="20"/>
              </w:rPr>
              <w:t>; Lack of knowledge</w:t>
            </w:r>
            <w:r w:rsidRPr="4CDDE2D2">
              <w:rPr>
                <w:sz w:val="20"/>
                <w:szCs w:val="20"/>
              </w:rPr>
              <w:t xml:space="preserve"> within the country to design, build or certify green</w:t>
            </w:r>
            <w:r w:rsidRPr="00E51B62">
              <w:rPr>
                <w:sz w:val="20"/>
                <w:szCs w:val="20"/>
              </w:rPr>
              <w:t xml:space="preserve">; </w:t>
            </w:r>
            <w:r w:rsidR="00A63F8E">
              <w:rPr>
                <w:sz w:val="20"/>
                <w:szCs w:val="20"/>
              </w:rPr>
              <w:t>Lack of regulatory incentives</w:t>
            </w:r>
            <w:r w:rsidRPr="4CDDE2D2">
              <w:rPr>
                <w:sz w:val="20"/>
                <w:szCs w:val="20"/>
              </w:rPr>
              <w:t xml:space="preserve"> to building green</w:t>
            </w:r>
            <w:r w:rsidRPr="00E51B62">
              <w:rPr>
                <w:sz w:val="20"/>
                <w:szCs w:val="20"/>
              </w:rPr>
              <w:t>; Material availability/cost</w:t>
            </w:r>
            <w:r w:rsidRPr="4CDDE2D2">
              <w:rPr>
                <w:sz w:val="20"/>
                <w:szCs w:val="20"/>
              </w:rPr>
              <w:t xml:space="preserve"> especially if reliant on imports</w:t>
            </w:r>
            <w:r w:rsidRPr="00E51B62">
              <w:rPr>
                <w:sz w:val="20"/>
                <w:szCs w:val="20"/>
              </w:rPr>
              <w:t>.</w:t>
            </w:r>
          </w:p>
        </w:tc>
        <w:tc>
          <w:tcPr>
            <w:tcW w:w="2474" w:type="dxa"/>
          </w:tcPr>
          <w:p w14:paraId="068794BD" w14:textId="6DE7D180" w:rsidR="005E772E" w:rsidRDefault="005E772E" w:rsidP="005E772E">
            <w:pPr>
              <w:spacing w:after="120"/>
              <w:rPr>
                <w:sz w:val="20"/>
                <w:szCs w:val="20"/>
              </w:rPr>
            </w:pPr>
            <w:r>
              <w:rPr>
                <w:sz w:val="20"/>
                <w:szCs w:val="20"/>
              </w:rPr>
              <w:t xml:space="preserve">MAGC investments have provided developers with financial incentives to build green, but it is difficult to address supply chain barriers through the programme. Capacity building is proving successful in addressing knowledge barriers </w:t>
            </w:r>
            <w:r w:rsidR="0022581C">
              <w:rPr>
                <w:sz w:val="20"/>
                <w:szCs w:val="20"/>
              </w:rPr>
              <w:t>and regulatory barriers</w:t>
            </w:r>
            <w:r>
              <w:rPr>
                <w:sz w:val="20"/>
                <w:szCs w:val="20"/>
              </w:rPr>
              <w:t xml:space="preserve"> (see 5.1.2).</w:t>
            </w:r>
          </w:p>
        </w:tc>
        <w:tc>
          <w:tcPr>
            <w:tcW w:w="2837" w:type="dxa"/>
          </w:tcPr>
          <w:p w14:paraId="1A61D42E" w14:textId="6D1A4D68" w:rsidR="005E772E" w:rsidRPr="00C37720" w:rsidRDefault="005E772E" w:rsidP="005E772E">
            <w:pPr>
              <w:spacing w:after="120"/>
              <w:rPr>
                <w:sz w:val="20"/>
                <w:szCs w:val="20"/>
              </w:rPr>
            </w:pPr>
            <w:r w:rsidRPr="00C37720">
              <w:rPr>
                <w:sz w:val="20"/>
                <w:szCs w:val="20"/>
              </w:rPr>
              <w:t xml:space="preserve">Guarantee </w:t>
            </w:r>
            <w:r>
              <w:rPr>
                <w:sz w:val="20"/>
                <w:szCs w:val="20"/>
              </w:rPr>
              <w:t>f</w:t>
            </w:r>
            <w:r w:rsidRPr="00C37720">
              <w:rPr>
                <w:sz w:val="20"/>
                <w:szCs w:val="20"/>
              </w:rPr>
              <w:t xml:space="preserve">unds </w:t>
            </w:r>
            <w:r w:rsidR="009C4FB5">
              <w:rPr>
                <w:sz w:val="20"/>
                <w:szCs w:val="20"/>
              </w:rPr>
              <w:t>that</w:t>
            </w:r>
            <w:r w:rsidRPr="00C37720">
              <w:rPr>
                <w:sz w:val="20"/>
                <w:szCs w:val="20"/>
              </w:rPr>
              <w:t xml:space="preserve"> specifically target risks associated with foreign exchange fluctuations on imported materials, reducing a key cost concern for developers. </w:t>
            </w:r>
          </w:p>
        </w:tc>
      </w:tr>
      <w:tr w:rsidR="00C854CE" w14:paraId="4CCB44BB" w14:textId="234A6946" w:rsidTr="00F54046">
        <w:tc>
          <w:tcPr>
            <w:tcW w:w="1584" w:type="dxa"/>
            <w:vMerge w:val="restart"/>
          </w:tcPr>
          <w:p w14:paraId="66C957D4" w14:textId="77777777" w:rsidR="00C854CE" w:rsidRPr="00392A7A" w:rsidRDefault="00C854CE">
            <w:pPr>
              <w:spacing w:after="120"/>
              <w:rPr>
                <w:b/>
                <w:bCs/>
                <w:sz w:val="20"/>
                <w:szCs w:val="18"/>
              </w:rPr>
            </w:pPr>
            <w:r w:rsidRPr="00392A7A">
              <w:rPr>
                <w:b/>
                <w:bCs/>
                <w:sz w:val="20"/>
                <w:szCs w:val="18"/>
              </w:rPr>
              <w:t>Financial intermediaries</w:t>
            </w:r>
          </w:p>
        </w:tc>
        <w:tc>
          <w:tcPr>
            <w:tcW w:w="3187" w:type="dxa"/>
          </w:tcPr>
          <w:p w14:paraId="553B3F66" w14:textId="715D1987" w:rsidR="00C854CE" w:rsidRPr="00392A7A" w:rsidRDefault="00C854CE">
            <w:pPr>
              <w:spacing w:after="120"/>
              <w:rPr>
                <w:sz w:val="20"/>
                <w:szCs w:val="18"/>
              </w:rPr>
            </w:pPr>
            <w:r w:rsidRPr="001C6F7A">
              <w:rPr>
                <w:b/>
                <w:bCs/>
                <w:sz w:val="20"/>
                <w:szCs w:val="20"/>
              </w:rPr>
              <w:t>Higher costs</w:t>
            </w:r>
            <w:r>
              <w:rPr>
                <w:sz w:val="20"/>
                <w:szCs w:val="20"/>
              </w:rPr>
              <w:t xml:space="preserve">: </w:t>
            </w:r>
            <w:r w:rsidR="001F0BCD">
              <w:rPr>
                <w:sz w:val="20"/>
                <w:szCs w:val="20"/>
              </w:rPr>
              <w:t>C</w:t>
            </w:r>
            <w:r>
              <w:rPr>
                <w:sz w:val="20"/>
                <w:szCs w:val="20"/>
              </w:rPr>
              <w:t xml:space="preserve">osts of verifying </w:t>
            </w:r>
            <w:r w:rsidR="004B3404">
              <w:rPr>
                <w:sz w:val="20"/>
                <w:szCs w:val="20"/>
              </w:rPr>
              <w:t xml:space="preserve">certification and </w:t>
            </w:r>
            <w:r>
              <w:rPr>
                <w:sz w:val="20"/>
                <w:szCs w:val="20"/>
              </w:rPr>
              <w:t>compliance with conditions of green financ</w:t>
            </w:r>
            <w:r w:rsidRPr="00E51B62">
              <w:rPr>
                <w:sz w:val="20"/>
                <w:szCs w:val="20"/>
              </w:rPr>
              <w:t>e.</w:t>
            </w:r>
          </w:p>
        </w:tc>
        <w:tc>
          <w:tcPr>
            <w:tcW w:w="2474" w:type="dxa"/>
          </w:tcPr>
          <w:p w14:paraId="3965CE58" w14:textId="0E77646D" w:rsidR="00AE04C9" w:rsidRDefault="00AE04C9">
            <w:pPr>
              <w:spacing w:after="120"/>
              <w:rPr>
                <w:sz w:val="20"/>
                <w:szCs w:val="20"/>
              </w:rPr>
            </w:pPr>
            <w:r>
              <w:rPr>
                <w:sz w:val="20"/>
                <w:szCs w:val="20"/>
              </w:rPr>
              <w:t xml:space="preserve">Blended finance investments </w:t>
            </w:r>
            <w:r w:rsidR="00406172">
              <w:rPr>
                <w:sz w:val="20"/>
                <w:szCs w:val="20"/>
              </w:rPr>
              <w:t>structured as</w:t>
            </w:r>
            <w:r w:rsidRPr="00E215A8">
              <w:rPr>
                <w:sz w:val="20"/>
                <w:szCs w:val="20"/>
              </w:rPr>
              <w:t xml:space="preserve"> </w:t>
            </w:r>
            <w:r>
              <w:rPr>
                <w:sz w:val="20"/>
                <w:szCs w:val="20"/>
              </w:rPr>
              <w:t xml:space="preserve">PBIs are working well to subsidise the </w:t>
            </w:r>
            <w:r w:rsidR="003A1C8A">
              <w:rPr>
                <w:sz w:val="20"/>
                <w:szCs w:val="20"/>
              </w:rPr>
              <w:t xml:space="preserve">higher costs </w:t>
            </w:r>
            <w:r w:rsidR="00845131">
              <w:rPr>
                <w:sz w:val="20"/>
                <w:szCs w:val="20"/>
              </w:rPr>
              <w:t>for FIs</w:t>
            </w:r>
            <w:r w:rsidR="00406172">
              <w:rPr>
                <w:sz w:val="20"/>
                <w:szCs w:val="20"/>
              </w:rPr>
              <w:t>,</w:t>
            </w:r>
            <w:r>
              <w:rPr>
                <w:sz w:val="20"/>
                <w:szCs w:val="20"/>
              </w:rPr>
              <w:t xml:space="preserve"> and equity and debt have also been used (to a lesser extent).</w:t>
            </w:r>
            <w:r w:rsidR="00E74A43">
              <w:rPr>
                <w:sz w:val="20"/>
                <w:szCs w:val="20"/>
              </w:rPr>
              <w:t xml:space="preserve"> Advisory services also reduce this cost</w:t>
            </w:r>
            <w:r w:rsidR="00175C53">
              <w:rPr>
                <w:sz w:val="20"/>
                <w:szCs w:val="20"/>
              </w:rPr>
              <w:t xml:space="preserve"> for FIs</w:t>
            </w:r>
            <w:r w:rsidR="00E74A43">
              <w:rPr>
                <w:sz w:val="20"/>
                <w:szCs w:val="20"/>
              </w:rPr>
              <w:t>.</w:t>
            </w:r>
          </w:p>
        </w:tc>
        <w:tc>
          <w:tcPr>
            <w:tcW w:w="2837" w:type="dxa"/>
          </w:tcPr>
          <w:p w14:paraId="5CFC0EA9" w14:textId="4731BA0C" w:rsidR="00C854CE" w:rsidRPr="00E51B62" w:rsidRDefault="00602247">
            <w:pPr>
              <w:spacing w:after="120"/>
              <w:rPr>
                <w:sz w:val="20"/>
                <w:szCs w:val="20"/>
              </w:rPr>
            </w:pPr>
            <w:r>
              <w:rPr>
                <w:sz w:val="20"/>
                <w:szCs w:val="20"/>
              </w:rPr>
              <w:t>This barrier is being effectively addressed.</w:t>
            </w:r>
            <w:r w:rsidR="00AE04C9">
              <w:rPr>
                <w:sz w:val="20"/>
                <w:szCs w:val="20"/>
              </w:rPr>
              <w:t xml:space="preserve"> </w:t>
            </w:r>
          </w:p>
        </w:tc>
      </w:tr>
      <w:tr w:rsidR="00356DF3" w14:paraId="3DAC694B" w14:textId="77777777" w:rsidTr="00F54046">
        <w:tc>
          <w:tcPr>
            <w:tcW w:w="1584" w:type="dxa"/>
            <w:vMerge/>
          </w:tcPr>
          <w:p w14:paraId="5E14634C" w14:textId="77777777" w:rsidR="00356DF3" w:rsidRPr="00392A7A" w:rsidRDefault="00356DF3">
            <w:pPr>
              <w:spacing w:after="120"/>
              <w:rPr>
                <w:b/>
                <w:bCs/>
                <w:sz w:val="20"/>
                <w:szCs w:val="18"/>
              </w:rPr>
            </w:pPr>
          </w:p>
        </w:tc>
        <w:tc>
          <w:tcPr>
            <w:tcW w:w="3187" w:type="dxa"/>
          </w:tcPr>
          <w:p w14:paraId="4F3245FB" w14:textId="5E61D2A1" w:rsidR="00356DF3" w:rsidRPr="00E51B62" w:rsidRDefault="00356DF3">
            <w:pPr>
              <w:spacing w:after="120"/>
              <w:rPr>
                <w:sz w:val="20"/>
                <w:szCs w:val="20"/>
              </w:rPr>
            </w:pPr>
            <w:r w:rsidRPr="001C6F7A">
              <w:rPr>
                <w:b/>
                <w:sz w:val="20"/>
                <w:szCs w:val="20"/>
              </w:rPr>
              <w:t>Demand uncertainty</w:t>
            </w:r>
            <w:r w:rsidRPr="00634B34">
              <w:rPr>
                <w:sz w:val="20"/>
                <w:szCs w:val="20"/>
              </w:rPr>
              <w:t xml:space="preserve">: </w:t>
            </w:r>
            <w:r w:rsidR="00634B34" w:rsidRPr="00634B34">
              <w:rPr>
                <w:sz w:val="20"/>
                <w:szCs w:val="20"/>
              </w:rPr>
              <w:t>Uncertainty on demand for green buildings increases the risk of investing in developing green buildings</w:t>
            </w:r>
            <w:r w:rsidR="006665E2">
              <w:rPr>
                <w:sz w:val="20"/>
                <w:szCs w:val="20"/>
              </w:rPr>
              <w:t>.</w:t>
            </w:r>
          </w:p>
        </w:tc>
        <w:tc>
          <w:tcPr>
            <w:tcW w:w="2474" w:type="dxa"/>
            <w:vMerge w:val="restart"/>
          </w:tcPr>
          <w:p w14:paraId="43AE7580" w14:textId="49F4A26F" w:rsidR="00F54046" w:rsidRDefault="00F54046" w:rsidP="00AE04C9">
            <w:pPr>
              <w:spacing w:after="120"/>
              <w:rPr>
                <w:sz w:val="20"/>
                <w:szCs w:val="20"/>
              </w:rPr>
            </w:pPr>
            <w:r>
              <w:rPr>
                <w:sz w:val="20"/>
                <w:szCs w:val="20"/>
              </w:rPr>
              <w:t xml:space="preserve">Advisory support paired with investment is </w:t>
            </w:r>
            <w:r w:rsidRPr="00E215A8">
              <w:rPr>
                <w:sz w:val="20"/>
                <w:szCs w:val="20"/>
              </w:rPr>
              <w:t xml:space="preserve">helping FIs to assess the risk of </w:t>
            </w:r>
            <w:r>
              <w:rPr>
                <w:sz w:val="20"/>
                <w:szCs w:val="20"/>
              </w:rPr>
              <w:t xml:space="preserve">green building products and </w:t>
            </w:r>
            <w:r w:rsidRPr="00E215A8">
              <w:rPr>
                <w:sz w:val="20"/>
                <w:szCs w:val="20"/>
              </w:rPr>
              <w:t>overcom</w:t>
            </w:r>
            <w:r>
              <w:rPr>
                <w:sz w:val="20"/>
                <w:szCs w:val="20"/>
              </w:rPr>
              <w:t>ing</w:t>
            </w:r>
            <w:r w:rsidRPr="00E215A8">
              <w:rPr>
                <w:sz w:val="20"/>
                <w:szCs w:val="20"/>
              </w:rPr>
              <w:t xml:space="preserve"> barriers related to understanding of green construction</w:t>
            </w:r>
            <w:r>
              <w:rPr>
                <w:sz w:val="20"/>
                <w:szCs w:val="20"/>
              </w:rPr>
              <w:t>.</w:t>
            </w:r>
          </w:p>
        </w:tc>
        <w:tc>
          <w:tcPr>
            <w:tcW w:w="2837" w:type="dxa"/>
          </w:tcPr>
          <w:p w14:paraId="274977E2" w14:textId="0CEA7271" w:rsidR="004848AE" w:rsidRDefault="00356DF3">
            <w:pPr>
              <w:spacing w:after="120"/>
              <w:rPr>
                <w:sz w:val="20"/>
                <w:szCs w:val="20"/>
              </w:rPr>
            </w:pPr>
            <w:r>
              <w:rPr>
                <w:sz w:val="20"/>
                <w:szCs w:val="20"/>
              </w:rPr>
              <w:t xml:space="preserve">PBIs, concessional equity, concessional debt, returnable grants all lower capital costs for developers and support </w:t>
            </w:r>
            <w:r w:rsidR="006E1337">
              <w:rPr>
                <w:sz w:val="20"/>
                <w:szCs w:val="20"/>
              </w:rPr>
              <w:t xml:space="preserve">                      </w:t>
            </w:r>
            <w:r>
              <w:rPr>
                <w:sz w:val="20"/>
                <w:szCs w:val="20"/>
              </w:rPr>
              <w:t xml:space="preserve">managing demand </w:t>
            </w:r>
            <w:r w:rsidR="006E1337">
              <w:rPr>
                <w:sz w:val="20"/>
                <w:szCs w:val="20"/>
              </w:rPr>
              <w:t xml:space="preserve">      </w:t>
            </w:r>
            <w:r>
              <w:rPr>
                <w:sz w:val="20"/>
                <w:szCs w:val="20"/>
              </w:rPr>
              <w:t>uncertainties.</w:t>
            </w:r>
          </w:p>
          <w:p w14:paraId="56B39330" w14:textId="1BA93DF7" w:rsidR="00356DF3" w:rsidRPr="00C37720" w:rsidRDefault="004848AE">
            <w:pPr>
              <w:spacing w:after="120"/>
              <w:rPr>
                <w:sz w:val="20"/>
                <w:szCs w:val="20"/>
              </w:rPr>
            </w:pPr>
            <w:r>
              <w:rPr>
                <w:sz w:val="20"/>
                <w:szCs w:val="20"/>
              </w:rPr>
              <w:t>Additional capacity building to sales teams can help to communicate the benefits of green buildings to end</w:t>
            </w:r>
            <w:r w:rsidR="00E6488F">
              <w:rPr>
                <w:sz w:val="20"/>
                <w:szCs w:val="20"/>
              </w:rPr>
              <w:t xml:space="preserve"> </w:t>
            </w:r>
            <w:r>
              <w:rPr>
                <w:sz w:val="20"/>
                <w:szCs w:val="20"/>
              </w:rPr>
              <w:t>users.</w:t>
            </w:r>
          </w:p>
        </w:tc>
      </w:tr>
      <w:tr w:rsidR="00356DF3" w14:paraId="0D986D4E" w14:textId="77777777" w:rsidTr="00F54046">
        <w:tc>
          <w:tcPr>
            <w:tcW w:w="1584" w:type="dxa"/>
            <w:vMerge/>
          </w:tcPr>
          <w:p w14:paraId="296F6CCE" w14:textId="77777777" w:rsidR="00356DF3" w:rsidRPr="00392A7A" w:rsidRDefault="00356DF3">
            <w:pPr>
              <w:spacing w:after="120"/>
              <w:rPr>
                <w:b/>
                <w:bCs/>
                <w:sz w:val="20"/>
                <w:szCs w:val="18"/>
              </w:rPr>
            </w:pPr>
          </w:p>
        </w:tc>
        <w:tc>
          <w:tcPr>
            <w:tcW w:w="3187" w:type="dxa"/>
          </w:tcPr>
          <w:p w14:paraId="32ADD20F" w14:textId="56CD93AD" w:rsidR="00356DF3" w:rsidRPr="00E51B62" w:rsidRDefault="00356DF3">
            <w:pPr>
              <w:spacing w:after="120"/>
              <w:rPr>
                <w:sz w:val="20"/>
                <w:szCs w:val="20"/>
              </w:rPr>
            </w:pPr>
            <w:r w:rsidRPr="001C6F7A">
              <w:rPr>
                <w:b/>
                <w:bCs/>
                <w:sz w:val="20"/>
                <w:szCs w:val="20"/>
              </w:rPr>
              <w:t>Risks</w:t>
            </w:r>
            <w:r>
              <w:rPr>
                <w:sz w:val="20"/>
                <w:szCs w:val="20"/>
              </w:rPr>
              <w:t>:</w:t>
            </w:r>
            <w:r w:rsidRPr="00E51B62">
              <w:rPr>
                <w:sz w:val="20"/>
                <w:szCs w:val="20"/>
              </w:rPr>
              <w:t xml:space="preserve"> High perceived risks</w:t>
            </w:r>
            <w:r>
              <w:rPr>
                <w:sz w:val="20"/>
                <w:szCs w:val="20"/>
              </w:rPr>
              <w:t xml:space="preserve"> to FIs</w:t>
            </w:r>
            <w:r w:rsidRPr="4CDDE2D2">
              <w:rPr>
                <w:sz w:val="20"/>
                <w:szCs w:val="20"/>
              </w:rPr>
              <w:t xml:space="preserve"> </w:t>
            </w:r>
            <w:r>
              <w:rPr>
                <w:sz w:val="20"/>
                <w:szCs w:val="20"/>
              </w:rPr>
              <w:t>such as</w:t>
            </w:r>
            <w:r w:rsidRPr="4CDDE2D2">
              <w:rPr>
                <w:sz w:val="20"/>
                <w:szCs w:val="20"/>
              </w:rPr>
              <w:t xml:space="preserve"> long</w:t>
            </w:r>
            <w:r>
              <w:rPr>
                <w:sz w:val="20"/>
                <w:szCs w:val="20"/>
              </w:rPr>
              <w:t xml:space="preserve"> </w:t>
            </w:r>
            <w:r w:rsidRPr="4CDDE2D2">
              <w:rPr>
                <w:sz w:val="20"/>
                <w:szCs w:val="20"/>
              </w:rPr>
              <w:t>time taken to realise returns on investments</w:t>
            </w:r>
            <w:r w:rsidRPr="00E51B62">
              <w:rPr>
                <w:sz w:val="20"/>
                <w:szCs w:val="20"/>
              </w:rPr>
              <w:t>;</w:t>
            </w:r>
            <w:r>
              <w:rPr>
                <w:sz w:val="20"/>
                <w:szCs w:val="20"/>
              </w:rPr>
              <w:t xml:space="preserve"> </w:t>
            </w:r>
            <w:r w:rsidRPr="00E51B62">
              <w:rPr>
                <w:sz w:val="20"/>
                <w:szCs w:val="20"/>
              </w:rPr>
              <w:t>Low profitability</w:t>
            </w:r>
            <w:r w:rsidRPr="4CDDE2D2">
              <w:rPr>
                <w:sz w:val="20"/>
                <w:szCs w:val="20"/>
              </w:rPr>
              <w:t xml:space="preserve"> of green buildings in comparison to traditional buildings</w:t>
            </w:r>
            <w:r>
              <w:rPr>
                <w:sz w:val="20"/>
                <w:szCs w:val="20"/>
              </w:rPr>
              <w:t>.</w:t>
            </w:r>
          </w:p>
        </w:tc>
        <w:tc>
          <w:tcPr>
            <w:tcW w:w="2474" w:type="dxa"/>
            <w:vMerge/>
          </w:tcPr>
          <w:p w14:paraId="0C223C63" w14:textId="77777777" w:rsidR="00F54046" w:rsidRDefault="00F54046" w:rsidP="00AE04C9">
            <w:pPr>
              <w:spacing w:after="120"/>
              <w:rPr>
                <w:sz w:val="20"/>
                <w:szCs w:val="20"/>
              </w:rPr>
            </w:pPr>
          </w:p>
        </w:tc>
        <w:tc>
          <w:tcPr>
            <w:tcW w:w="2837" w:type="dxa"/>
          </w:tcPr>
          <w:p w14:paraId="51605E44" w14:textId="46BAF230" w:rsidR="00356DF3" w:rsidRPr="00C37720" w:rsidRDefault="00356DF3">
            <w:pPr>
              <w:spacing w:after="120"/>
              <w:rPr>
                <w:sz w:val="20"/>
                <w:szCs w:val="20"/>
              </w:rPr>
            </w:pPr>
            <w:r>
              <w:rPr>
                <w:sz w:val="20"/>
                <w:szCs w:val="20"/>
              </w:rPr>
              <w:t xml:space="preserve">A returnable </w:t>
            </w:r>
            <w:r w:rsidRPr="00C37720">
              <w:rPr>
                <w:sz w:val="20"/>
                <w:szCs w:val="20"/>
              </w:rPr>
              <w:t xml:space="preserve">grant </w:t>
            </w:r>
            <w:r>
              <w:rPr>
                <w:sz w:val="20"/>
                <w:szCs w:val="20"/>
              </w:rPr>
              <w:t xml:space="preserve">can best </w:t>
            </w:r>
            <w:r w:rsidRPr="00C37720">
              <w:rPr>
                <w:sz w:val="20"/>
                <w:szCs w:val="20"/>
              </w:rPr>
              <w:t xml:space="preserve">support </w:t>
            </w:r>
            <w:r>
              <w:rPr>
                <w:sz w:val="20"/>
                <w:szCs w:val="20"/>
              </w:rPr>
              <w:t>long development times</w:t>
            </w:r>
            <w:r w:rsidRPr="00C37720">
              <w:rPr>
                <w:sz w:val="20"/>
                <w:szCs w:val="20"/>
              </w:rPr>
              <w:t xml:space="preserve"> as </w:t>
            </w:r>
            <w:r>
              <w:rPr>
                <w:sz w:val="20"/>
                <w:szCs w:val="20"/>
              </w:rPr>
              <w:t>it</w:t>
            </w:r>
            <w:r w:rsidRPr="00C37720">
              <w:rPr>
                <w:sz w:val="20"/>
                <w:szCs w:val="20"/>
              </w:rPr>
              <w:t xml:space="preserve"> </w:t>
            </w:r>
            <w:r>
              <w:rPr>
                <w:sz w:val="20"/>
                <w:szCs w:val="20"/>
              </w:rPr>
              <w:t>can be</w:t>
            </w:r>
            <w:r w:rsidRPr="00C37720">
              <w:rPr>
                <w:sz w:val="20"/>
                <w:szCs w:val="20"/>
              </w:rPr>
              <w:t xml:space="preserve"> patient on return.</w:t>
            </w:r>
            <w:r w:rsidR="002312E0">
              <w:rPr>
                <w:sz w:val="20"/>
                <w:szCs w:val="20"/>
              </w:rPr>
              <w:t xml:space="preserve"> PBIs, concessional debt and equity can all address low profitability by covering additional costs.</w:t>
            </w:r>
          </w:p>
        </w:tc>
      </w:tr>
      <w:tr w:rsidR="00937AFA" w14:paraId="45B8A11D" w14:textId="76ECD696" w:rsidTr="00F54046">
        <w:tc>
          <w:tcPr>
            <w:tcW w:w="1584" w:type="dxa"/>
          </w:tcPr>
          <w:p w14:paraId="51AE7DAE" w14:textId="77777777" w:rsidR="00937AFA" w:rsidRPr="00392A7A" w:rsidRDefault="00937AFA">
            <w:pPr>
              <w:spacing w:after="120"/>
              <w:rPr>
                <w:b/>
                <w:bCs/>
                <w:sz w:val="20"/>
                <w:szCs w:val="18"/>
              </w:rPr>
            </w:pPr>
            <w:r w:rsidRPr="00392A7A">
              <w:rPr>
                <w:b/>
                <w:bCs/>
                <w:sz w:val="20"/>
                <w:szCs w:val="18"/>
              </w:rPr>
              <w:t>Policymakers</w:t>
            </w:r>
          </w:p>
        </w:tc>
        <w:tc>
          <w:tcPr>
            <w:tcW w:w="3187" w:type="dxa"/>
          </w:tcPr>
          <w:p w14:paraId="2E185C32" w14:textId="77777777" w:rsidR="00937AFA" w:rsidRPr="00392A7A" w:rsidRDefault="00937AFA">
            <w:pPr>
              <w:spacing w:after="120"/>
              <w:rPr>
                <w:sz w:val="20"/>
                <w:szCs w:val="18"/>
              </w:rPr>
            </w:pPr>
            <w:r w:rsidRPr="00E51B62">
              <w:rPr>
                <w:sz w:val="20"/>
                <w:szCs w:val="20"/>
              </w:rPr>
              <w:t>Lack of awareness/technical understanding</w:t>
            </w:r>
            <w:r w:rsidRPr="4CDDE2D2">
              <w:rPr>
                <w:sz w:val="20"/>
                <w:szCs w:val="20"/>
              </w:rPr>
              <w:t xml:space="preserve"> regarding green building design, green construction standards and their benefits</w:t>
            </w:r>
            <w:r w:rsidRPr="00E51B62">
              <w:rPr>
                <w:sz w:val="20"/>
                <w:szCs w:val="20"/>
              </w:rPr>
              <w:t>; Limited resources</w:t>
            </w:r>
            <w:r w:rsidRPr="4CDDE2D2">
              <w:rPr>
                <w:sz w:val="20"/>
                <w:szCs w:val="20"/>
              </w:rPr>
              <w:t xml:space="preserve"> to support the development of the green construction industry, especially the associated supply chain</w:t>
            </w:r>
            <w:r w:rsidRPr="00E51B62">
              <w:rPr>
                <w:sz w:val="20"/>
                <w:szCs w:val="20"/>
              </w:rPr>
              <w:t>; Coordination challenges</w:t>
            </w:r>
            <w:r w:rsidRPr="4CDDE2D2">
              <w:rPr>
                <w:sz w:val="20"/>
                <w:szCs w:val="20"/>
              </w:rPr>
              <w:t xml:space="preserve"> between local and national government, and between private and public sector. </w:t>
            </w:r>
          </w:p>
        </w:tc>
        <w:tc>
          <w:tcPr>
            <w:tcW w:w="2474" w:type="dxa"/>
          </w:tcPr>
          <w:p w14:paraId="1790ACAB" w14:textId="0CEA03E4" w:rsidR="00AE04C9" w:rsidRDefault="00AE04C9" w:rsidP="00AE04C9">
            <w:pPr>
              <w:spacing w:after="120"/>
              <w:rPr>
                <w:sz w:val="20"/>
                <w:szCs w:val="20"/>
              </w:rPr>
            </w:pPr>
            <w:r>
              <w:rPr>
                <w:sz w:val="20"/>
                <w:szCs w:val="20"/>
              </w:rPr>
              <w:t>There are successful examples (see 5.1.2) of where MAGC has helped the public sector strengthen the enabling environment. T</w:t>
            </w:r>
            <w:r w:rsidRPr="00E215A8">
              <w:rPr>
                <w:sz w:val="20"/>
                <w:szCs w:val="20"/>
              </w:rPr>
              <w:t>he</w:t>
            </w:r>
            <w:r>
              <w:rPr>
                <w:sz w:val="20"/>
                <w:szCs w:val="20"/>
              </w:rPr>
              <w:t>re is a</w:t>
            </w:r>
            <w:r w:rsidRPr="00E215A8">
              <w:rPr>
                <w:sz w:val="20"/>
                <w:szCs w:val="20"/>
              </w:rPr>
              <w:t xml:space="preserve"> need for continued government support in the long</w:t>
            </w:r>
            <w:r w:rsidR="00111DB2">
              <w:rPr>
                <w:sz w:val="20"/>
                <w:szCs w:val="20"/>
              </w:rPr>
              <w:t>-</w:t>
            </w:r>
            <w:r w:rsidRPr="00E215A8">
              <w:rPr>
                <w:sz w:val="20"/>
                <w:szCs w:val="20"/>
              </w:rPr>
              <w:t>term</w:t>
            </w:r>
            <w:r>
              <w:rPr>
                <w:sz w:val="20"/>
                <w:szCs w:val="20"/>
              </w:rPr>
              <w:t>, especially in countries where the public sector plays a strong role in driving green construction.</w:t>
            </w:r>
          </w:p>
        </w:tc>
        <w:tc>
          <w:tcPr>
            <w:tcW w:w="2837" w:type="dxa"/>
          </w:tcPr>
          <w:p w14:paraId="7795B7C9" w14:textId="6CD85F3E" w:rsidR="00937AFA" w:rsidRPr="00E51B62" w:rsidRDefault="00937AFA">
            <w:pPr>
              <w:spacing w:after="120"/>
              <w:rPr>
                <w:sz w:val="20"/>
                <w:szCs w:val="20"/>
              </w:rPr>
            </w:pPr>
            <w:r>
              <w:rPr>
                <w:sz w:val="20"/>
                <w:szCs w:val="20"/>
              </w:rPr>
              <w:t>These barriers (and</w:t>
            </w:r>
            <w:r w:rsidR="00492747">
              <w:rPr>
                <w:sz w:val="20"/>
                <w:szCs w:val="20"/>
              </w:rPr>
              <w:t>,</w:t>
            </w:r>
            <w:r>
              <w:rPr>
                <w:sz w:val="20"/>
                <w:szCs w:val="20"/>
              </w:rPr>
              <w:t xml:space="preserve"> in particular</w:t>
            </w:r>
            <w:r w:rsidR="00492747">
              <w:rPr>
                <w:sz w:val="20"/>
                <w:szCs w:val="20"/>
              </w:rPr>
              <w:t>, the</w:t>
            </w:r>
            <w:r>
              <w:rPr>
                <w:sz w:val="20"/>
                <w:szCs w:val="20"/>
              </w:rPr>
              <w:t xml:space="preserve"> lack of awareness and technical understanding) are best addressed through </w:t>
            </w:r>
            <w:r w:rsidR="00802076">
              <w:rPr>
                <w:sz w:val="20"/>
                <w:szCs w:val="20"/>
              </w:rPr>
              <w:t>c</w:t>
            </w:r>
            <w:r>
              <w:rPr>
                <w:sz w:val="20"/>
                <w:szCs w:val="20"/>
              </w:rPr>
              <w:t xml:space="preserve">omponent 2 capacity building and support for </w:t>
            </w:r>
            <w:r w:rsidRPr="0083721A">
              <w:rPr>
                <w:sz w:val="20"/>
                <w:szCs w:val="20"/>
              </w:rPr>
              <w:t>Building Standards and Codes</w:t>
            </w:r>
            <w:r>
              <w:rPr>
                <w:sz w:val="20"/>
                <w:szCs w:val="20"/>
              </w:rPr>
              <w:t>.</w:t>
            </w:r>
          </w:p>
        </w:tc>
      </w:tr>
      <w:tr w:rsidR="00937AFA" w14:paraId="72D0DC61" w14:textId="1C9AB320" w:rsidTr="00F54046">
        <w:tc>
          <w:tcPr>
            <w:tcW w:w="1584" w:type="dxa"/>
          </w:tcPr>
          <w:p w14:paraId="5709C28E" w14:textId="77777777" w:rsidR="00937AFA" w:rsidRPr="00392A7A" w:rsidRDefault="00937AFA">
            <w:pPr>
              <w:spacing w:after="120"/>
              <w:rPr>
                <w:b/>
                <w:bCs/>
                <w:sz w:val="20"/>
                <w:szCs w:val="18"/>
              </w:rPr>
            </w:pPr>
            <w:r w:rsidRPr="00392A7A">
              <w:rPr>
                <w:b/>
                <w:bCs/>
                <w:sz w:val="20"/>
                <w:szCs w:val="18"/>
              </w:rPr>
              <w:t>Residents</w:t>
            </w:r>
          </w:p>
        </w:tc>
        <w:tc>
          <w:tcPr>
            <w:tcW w:w="3187" w:type="dxa"/>
          </w:tcPr>
          <w:p w14:paraId="2C79A671" w14:textId="77777777" w:rsidR="00937AFA" w:rsidRPr="00392A7A" w:rsidRDefault="00937AFA">
            <w:pPr>
              <w:spacing w:after="120"/>
              <w:rPr>
                <w:sz w:val="20"/>
                <w:szCs w:val="18"/>
              </w:rPr>
            </w:pPr>
            <w:r w:rsidRPr="00E51B62">
              <w:rPr>
                <w:sz w:val="20"/>
                <w:szCs w:val="20"/>
              </w:rPr>
              <w:t>Limited awareness of benefits</w:t>
            </w:r>
            <w:r w:rsidRPr="4CDDE2D2">
              <w:rPr>
                <w:sz w:val="20"/>
                <w:szCs w:val="20"/>
              </w:rPr>
              <w:t xml:space="preserve"> of buying and living in a green certified building</w:t>
            </w:r>
            <w:r w:rsidRPr="00E51B62">
              <w:rPr>
                <w:sz w:val="20"/>
                <w:szCs w:val="20"/>
              </w:rPr>
              <w:t>; Affordability</w:t>
            </w:r>
            <w:r w:rsidRPr="4CDDE2D2">
              <w:rPr>
                <w:sz w:val="20"/>
                <w:szCs w:val="20"/>
              </w:rPr>
              <w:t xml:space="preserve">, which means that the target population for buying these types of building tend to be more affluent, limiting the benefits derived for low-income households who would benefit from green construction. </w:t>
            </w:r>
          </w:p>
        </w:tc>
        <w:tc>
          <w:tcPr>
            <w:tcW w:w="2474" w:type="dxa"/>
          </w:tcPr>
          <w:p w14:paraId="39A5180F" w14:textId="08A3FD40" w:rsidR="00AE04C9" w:rsidRDefault="00101282" w:rsidP="00AE04C9">
            <w:pPr>
              <w:spacing w:after="120"/>
              <w:rPr>
                <w:sz w:val="20"/>
                <w:szCs w:val="20"/>
              </w:rPr>
            </w:pPr>
            <w:r>
              <w:rPr>
                <w:sz w:val="20"/>
                <w:szCs w:val="20"/>
              </w:rPr>
              <w:t xml:space="preserve">Some of the deals closed through MAGC are directly aimed at </w:t>
            </w:r>
            <w:r w:rsidR="00F07586">
              <w:rPr>
                <w:sz w:val="20"/>
                <w:szCs w:val="20"/>
              </w:rPr>
              <w:t xml:space="preserve">offering </w:t>
            </w:r>
            <w:r>
              <w:rPr>
                <w:sz w:val="20"/>
                <w:szCs w:val="20"/>
              </w:rPr>
              <w:t xml:space="preserve">mortgages </w:t>
            </w:r>
            <w:r w:rsidR="00F07586">
              <w:rPr>
                <w:sz w:val="20"/>
                <w:szCs w:val="20"/>
              </w:rPr>
              <w:t xml:space="preserve">specifically </w:t>
            </w:r>
            <w:r>
              <w:rPr>
                <w:sz w:val="20"/>
                <w:szCs w:val="20"/>
              </w:rPr>
              <w:t>for green buildings</w:t>
            </w:r>
            <w:r w:rsidR="00F07586">
              <w:rPr>
                <w:sz w:val="20"/>
                <w:szCs w:val="20"/>
              </w:rPr>
              <w:t>, targeting home-buyers</w:t>
            </w:r>
            <w:r>
              <w:rPr>
                <w:sz w:val="20"/>
                <w:szCs w:val="20"/>
              </w:rPr>
              <w:t>.</w:t>
            </w:r>
            <w:r w:rsidR="007F1E92">
              <w:rPr>
                <w:sz w:val="20"/>
                <w:szCs w:val="20"/>
              </w:rPr>
              <w:t xml:space="preserve"> The research component also aims to show demonstrated savings and benefits of green buildings.</w:t>
            </w:r>
          </w:p>
        </w:tc>
        <w:tc>
          <w:tcPr>
            <w:tcW w:w="2837" w:type="dxa"/>
          </w:tcPr>
          <w:p w14:paraId="51F30342" w14:textId="6CAF2882" w:rsidR="00937AFA" w:rsidRPr="00E51B62" w:rsidRDefault="00937AFA">
            <w:pPr>
              <w:spacing w:after="120"/>
              <w:rPr>
                <w:sz w:val="20"/>
                <w:szCs w:val="20"/>
              </w:rPr>
            </w:pPr>
            <w:r>
              <w:rPr>
                <w:sz w:val="20"/>
                <w:szCs w:val="20"/>
              </w:rPr>
              <w:t>Indirectly, the</w:t>
            </w:r>
            <w:r w:rsidRPr="0083721A">
              <w:rPr>
                <w:sz w:val="20"/>
                <w:szCs w:val="20"/>
              </w:rPr>
              <w:t xml:space="preserve"> lower costs achieved through instruments like </w:t>
            </w:r>
            <w:r>
              <w:rPr>
                <w:sz w:val="20"/>
                <w:szCs w:val="20"/>
              </w:rPr>
              <w:t>c</w:t>
            </w:r>
            <w:r w:rsidRPr="0083721A">
              <w:rPr>
                <w:sz w:val="20"/>
                <w:szCs w:val="20"/>
              </w:rPr>
              <w:t xml:space="preserve">oncessional </w:t>
            </w:r>
            <w:r>
              <w:rPr>
                <w:sz w:val="20"/>
                <w:szCs w:val="20"/>
              </w:rPr>
              <w:t>e</w:t>
            </w:r>
            <w:r w:rsidRPr="0083721A">
              <w:rPr>
                <w:sz w:val="20"/>
                <w:szCs w:val="20"/>
              </w:rPr>
              <w:t xml:space="preserve">quity, </w:t>
            </w:r>
            <w:r>
              <w:rPr>
                <w:sz w:val="20"/>
                <w:szCs w:val="20"/>
              </w:rPr>
              <w:t>c</w:t>
            </w:r>
            <w:r w:rsidRPr="0083721A">
              <w:rPr>
                <w:sz w:val="20"/>
                <w:szCs w:val="20"/>
              </w:rPr>
              <w:t xml:space="preserve">oncessional </w:t>
            </w:r>
            <w:r>
              <w:rPr>
                <w:sz w:val="20"/>
                <w:szCs w:val="20"/>
              </w:rPr>
              <w:t>d</w:t>
            </w:r>
            <w:r w:rsidRPr="0083721A">
              <w:rPr>
                <w:sz w:val="20"/>
                <w:szCs w:val="20"/>
              </w:rPr>
              <w:t xml:space="preserve">ebt, and </w:t>
            </w:r>
            <w:r>
              <w:rPr>
                <w:sz w:val="20"/>
                <w:szCs w:val="20"/>
              </w:rPr>
              <w:t>r</w:t>
            </w:r>
            <w:r w:rsidRPr="0083721A">
              <w:rPr>
                <w:sz w:val="20"/>
                <w:szCs w:val="20"/>
              </w:rPr>
              <w:t xml:space="preserve">eturnable </w:t>
            </w:r>
            <w:r>
              <w:rPr>
                <w:sz w:val="20"/>
                <w:szCs w:val="20"/>
              </w:rPr>
              <w:t>g</w:t>
            </w:r>
            <w:r w:rsidRPr="0083721A">
              <w:rPr>
                <w:sz w:val="20"/>
                <w:szCs w:val="20"/>
              </w:rPr>
              <w:t xml:space="preserve">rants could potentially translate to more affordable green buildings for residents. </w:t>
            </w:r>
          </w:p>
        </w:tc>
      </w:tr>
    </w:tbl>
    <w:p w14:paraId="51A37A89" w14:textId="4417DAF4" w:rsidR="00CE39F2" w:rsidRPr="00392A7A" w:rsidRDefault="00CE39F2" w:rsidP="00CE39F2">
      <w:pPr>
        <w:rPr>
          <w:sz w:val="18"/>
          <w:szCs w:val="16"/>
        </w:rPr>
      </w:pPr>
      <w:r w:rsidRPr="00392A7A">
        <w:rPr>
          <w:sz w:val="18"/>
          <w:szCs w:val="16"/>
        </w:rPr>
        <w:t xml:space="preserve">Source: </w:t>
      </w:r>
      <w:r>
        <w:rPr>
          <w:sz w:val="18"/>
          <w:szCs w:val="16"/>
        </w:rPr>
        <w:t>80</w:t>
      </w:r>
      <w:r w:rsidRPr="00392A7A">
        <w:rPr>
          <w:sz w:val="18"/>
          <w:szCs w:val="16"/>
        </w:rPr>
        <w:t xml:space="preserve"> interviews across 10 MAGC countries</w:t>
      </w:r>
      <w:r w:rsidR="002870EF">
        <w:rPr>
          <w:sz w:val="18"/>
          <w:szCs w:val="16"/>
        </w:rPr>
        <w:t xml:space="preserve">, </w:t>
      </w:r>
      <w:r w:rsidRPr="00392A7A">
        <w:rPr>
          <w:sz w:val="18"/>
          <w:szCs w:val="16"/>
        </w:rPr>
        <w:t>five focus groups in 4 MAGC countries</w:t>
      </w:r>
      <w:r w:rsidR="002870EF">
        <w:rPr>
          <w:sz w:val="18"/>
          <w:szCs w:val="16"/>
        </w:rPr>
        <w:t>, d</w:t>
      </w:r>
      <w:r w:rsidR="00937AFA">
        <w:rPr>
          <w:sz w:val="18"/>
          <w:szCs w:val="16"/>
        </w:rPr>
        <w:t>esk research on financial instruments.</w:t>
      </w:r>
    </w:p>
    <w:p w14:paraId="2D70D3A3" w14:textId="4BADA8F3" w:rsidR="008C1C8D" w:rsidRPr="008C1C8D" w:rsidRDefault="008C1C8D" w:rsidP="008C1C8D">
      <w:pPr>
        <w:pStyle w:val="Heading2"/>
      </w:pPr>
      <w:r w:rsidRPr="008C1C8D">
        <w:t>5.2 Signs of transformational change</w:t>
      </w:r>
      <w:bookmarkEnd w:id="47"/>
    </w:p>
    <w:p w14:paraId="71A3CB10" w14:textId="5600AF08" w:rsidR="00FA2815" w:rsidRDefault="00FA2815" w:rsidP="00FA2815">
      <w:r>
        <w:t>This section presents the evidence to date towards impact and transformational change indicators as per the ICF KPI15 methodology criteria,</w:t>
      </w:r>
      <w:r>
        <w:rPr>
          <w:rStyle w:val="FootnoteReference"/>
        </w:rPr>
        <w:footnoteReference w:id="54"/>
      </w:r>
      <w:r>
        <w:t xml:space="preserve"> bringing evidence from primary and secondary data and views of stakeholders internal and external to MAGC. More details on the KPI15 methodology can be found in the technical annex (Annex 3).</w:t>
      </w:r>
    </w:p>
    <w:p w14:paraId="33B20BB1" w14:textId="13B48BD9" w:rsidR="00FA2815" w:rsidRDefault="00FA2815" w:rsidP="00FA2815">
      <w:r w:rsidRPr="009152D5">
        <w:t xml:space="preserve">The type of transformational change anticipated in the programme is a shift from a state in which countries construct new buildings using non-green practices to where most or many new buildings constructed in target countries </w:t>
      </w:r>
      <w:r w:rsidR="00984872">
        <w:t xml:space="preserve">and retrofits </w:t>
      </w:r>
      <w:r w:rsidRPr="009152D5">
        <w:t xml:space="preserve">are done using green construction practices and resulting in a greener building (thus generating energy and emissions savings). </w:t>
      </w:r>
      <w:r>
        <w:t>As stated in the programme’s business case, “</w:t>
      </w:r>
      <w:r w:rsidRPr="00E51B62">
        <w:rPr>
          <w:i/>
          <w:iCs/>
        </w:rPr>
        <w:t>the intervention aims to achieve the scale and replication that will influence the transformation of multiple markets</w:t>
      </w:r>
      <w:r w:rsidRPr="008C3095">
        <w:t>.</w:t>
      </w:r>
      <w:r>
        <w:t>”</w:t>
      </w:r>
      <w:r>
        <w:rPr>
          <w:rStyle w:val="FootnoteReference"/>
        </w:rPr>
        <w:footnoteReference w:id="55"/>
      </w:r>
      <w:r>
        <w:t xml:space="preserve"> Within the KPI15 methodology criteria, the criteria that MAGC considers are a </w:t>
      </w:r>
      <w:r w:rsidRPr="00E51B62">
        <w:rPr>
          <w:b/>
          <w:bCs/>
        </w:rPr>
        <w:t>critical mass</w:t>
      </w:r>
      <w:r>
        <w:t xml:space="preserve"> </w:t>
      </w:r>
      <w:r w:rsidRPr="0067277C">
        <w:t>to overcome political, market and other sources of inertia</w:t>
      </w:r>
      <w:r>
        <w:t xml:space="preserve">; </w:t>
      </w:r>
      <w:r w:rsidRPr="00E51B62">
        <w:rPr>
          <w:b/>
          <w:bCs/>
        </w:rPr>
        <w:t>innovation</w:t>
      </w:r>
      <w:r>
        <w:t xml:space="preserve"> (w</w:t>
      </w:r>
      <w:r w:rsidRPr="001F21C8">
        <w:t>here wider and sustained change comes from innovation, such as new technologies, with the potential to demonstrate new ways of doing things</w:t>
      </w:r>
      <w:r>
        <w:t xml:space="preserve">); </w:t>
      </w:r>
      <w:r w:rsidRPr="00E51B62">
        <w:rPr>
          <w:b/>
          <w:bCs/>
        </w:rPr>
        <w:t xml:space="preserve">capacity and capability </w:t>
      </w:r>
      <w:r>
        <w:t>(w</w:t>
      </w:r>
      <w:r w:rsidRPr="00D44069">
        <w:t>here a target country and target communities have the capacities and capabilities necessary to bring about the change</w:t>
      </w:r>
      <w:r w:rsidR="001F4887">
        <w:t xml:space="preserve">. The aim is </w:t>
      </w:r>
      <w:r w:rsidR="009F1A46">
        <w:t xml:space="preserve">to increase </w:t>
      </w:r>
      <w:r w:rsidR="001F4887">
        <w:t>capacity and capabilit</w:t>
      </w:r>
      <w:r w:rsidR="009F1A46">
        <w:t>y</w:t>
      </w:r>
      <w:r>
        <w:t xml:space="preserve">); and </w:t>
      </w:r>
      <w:r w:rsidRPr="00E51B62">
        <w:rPr>
          <w:b/>
          <w:bCs/>
        </w:rPr>
        <w:t>leverage/create incentives for others to act</w:t>
      </w:r>
      <w:r>
        <w:t xml:space="preserve"> (w</w:t>
      </w:r>
      <w:r w:rsidRPr="00030B55">
        <w:t>here the costs of action are reduced to the point that acting on climate change risks and challenges is a sensible decision for public agencies, commercial firms, and private individuals</w:t>
      </w:r>
      <w:r>
        <w:t>).</w:t>
      </w:r>
      <w:r>
        <w:rPr>
          <w:rStyle w:val="FootnoteReference"/>
        </w:rPr>
        <w:footnoteReference w:id="56"/>
      </w:r>
    </w:p>
    <w:p w14:paraId="5C73F060" w14:textId="12219EB6" w:rsidR="008C1C8D" w:rsidRDefault="00FA2815" w:rsidP="00FA2815">
      <w:r>
        <w:t>On the 5-point scale of the ICF methodology to calculate KPI15 (e</w:t>
      </w:r>
      <w:r w:rsidRPr="00577C0D">
        <w:t xml:space="preserve">xtent to which ICF intervention is likely to lead to </w:t>
      </w:r>
      <w:r>
        <w:t>t</w:t>
      </w:r>
      <w:r w:rsidRPr="00577C0D">
        <w:t xml:space="preserve">ransformational </w:t>
      </w:r>
      <w:r>
        <w:t>c</w:t>
      </w:r>
      <w:r w:rsidRPr="00577C0D">
        <w:t>hange</w:t>
      </w:r>
      <w:r>
        <w:t xml:space="preserve">) the current score of MAGC is </w:t>
      </w:r>
      <w:r w:rsidRPr="00577C0D">
        <w:t>4: Partial evidence that suggests transformational change is likely</w:t>
      </w:r>
      <w:r>
        <w:t>.</w:t>
      </w:r>
      <w:r>
        <w:rPr>
          <w:rStyle w:val="FootnoteReference"/>
        </w:rPr>
        <w:footnoteReference w:id="57"/>
      </w:r>
    </w:p>
    <w:p w14:paraId="75455948" w14:textId="0F6468B0" w:rsidR="00C06E6C" w:rsidRDefault="000F43BC" w:rsidP="00C06E6C">
      <w:pPr>
        <w:pStyle w:val="Heading3"/>
      </w:pPr>
      <w:bookmarkStart w:id="48" w:name="_Toc181361040"/>
      <w:bookmarkStart w:id="49" w:name="_Toc182236773"/>
      <w:bookmarkStart w:id="50" w:name="_Toc189155222"/>
      <w:bookmarkStart w:id="51" w:name="_Toc178692282"/>
      <w:bookmarkStart w:id="52" w:name="_Toc178758691"/>
      <w:r>
        <w:t xml:space="preserve">5.2.1 </w:t>
      </w:r>
      <w:r w:rsidR="00C06E6C">
        <w:t>Critical mass</w:t>
      </w:r>
      <w:bookmarkEnd w:id="48"/>
      <w:bookmarkEnd w:id="49"/>
      <w:bookmarkEnd w:id="50"/>
    </w:p>
    <w:p w14:paraId="007F1C5E" w14:textId="6E9373AD" w:rsidR="00C06E6C" w:rsidRDefault="000F43BC" w:rsidP="00C06E6C">
      <w:r>
        <w:rPr>
          <w:rStyle w:val="Boldtext"/>
        </w:rPr>
        <w:t xml:space="preserve">A. </w:t>
      </w:r>
      <w:r w:rsidR="00C06E6C">
        <w:rPr>
          <w:rStyle w:val="Boldtext"/>
        </w:rPr>
        <w:t>The green building market has grown in the past five years in many of the countries considered.</w:t>
      </w:r>
      <w:r w:rsidR="00C06E6C">
        <w:t xml:space="preserve"> </w:t>
      </w:r>
      <w:r w:rsidR="00FA2815">
        <w:t xml:space="preserve">There are </w:t>
      </w:r>
      <w:r w:rsidR="00FA2815" w:rsidRPr="00680C2C">
        <w:t xml:space="preserve">growing number of </w:t>
      </w:r>
      <w:r w:rsidR="00FA2815">
        <w:t xml:space="preserve">international and national </w:t>
      </w:r>
      <w:r w:rsidR="00FA2815" w:rsidRPr="00680C2C">
        <w:t>initiatives for green buildings</w:t>
      </w:r>
      <w:r w:rsidR="00FA2815">
        <w:t xml:space="preserve"> outside of MAGC, and some</w:t>
      </w:r>
      <w:r w:rsidR="00FA2815" w:rsidRPr="00680C2C">
        <w:t xml:space="preserve"> financial institutions are expanding their offerings to include green construction financing solutions</w:t>
      </w:r>
      <w:r w:rsidR="00C06E6C">
        <w:t xml:space="preserve">. For example, green mortgage programmes are increasing in Peru, such as through Fondo MiVivienda. In Mexico, </w:t>
      </w:r>
      <w:r w:rsidR="00F3372B">
        <w:t xml:space="preserve">developers </w:t>
      </w:r>
      <w:r w:rsidR="00C06E6C">
        <w:t xml:space="preserve">reported banks offering better mortgages to clients buying homes certified with EDGE Advanced. In Kenya, the </w:t>
      </w:r>
      <w:r w:rsidR="00C06E6C" w:rsidRPr="00BC46BA">
        <w:t>Kenya Mortgage Refinance Company</w:t>
      </w:r>
      <w:r w:rsidR="00C06E6C">
        <w:t xml:space="preserve"> (KMRC) is exploring partnerships with IFC and other DFIs to develop green mortgage refinance products.</w:t>
      </w:r>
      <w:r w:rsidR="003405F1">
        <w:t xml:space="preserve"> </w:t>
      </w:r>
      <w:r w:rsidR="00C06E6C">
        <w:t xml:space="preserve">In Vietnam, </w:t>
      </w:r>
      <w:r w:rsidR="00C06E6C" w:rsidRPr="00BC46BA">
        <w:t>Vietinbank has introduced the Green UP credit package to support green projects</w:t>
      </w:r>
      <w:r w:rsidR="00C06E6C">
        <w:t xml:space="preserve"> (including but not limited to the construction sector). </w:t>
      </w:r>
      <w:r w:rsidR="00707ECE">
        <w:t>While t</w:t>
      </w:r>
      <w:r w:rsidR="00C06E6C">
        <w:t>he activity of IFC in different markets has been mentioned extensively in interviews, there are also a growing number of initiatives beyond MAGC that were mentioned by interviewees</w:t>
      </w:r>
      <w:r w:rsidR="00667930">
        <w:t>.</w:t>
      </w:r>
      <w:r w:rsidR="00C06E6C">
        <w:t xml:space="preserve"> </w:t>
      </w:r>
      <w:r w:rsidR="00667930">
        <w:t xml:space="preserve">These operate </w:t>
      </w:r>
      <w:r w:rsidR="00C06E6C">
        <w:t>in the same space as MAGC and can contribute to this transformation. The main initiatives mentioned were:</w:t>
      </w:r>
    </w:p>
    <w:p w14:paraId="276FE358" w14:textId="48360384" w:rsidR="00C06E6C" w:rsidRPr="00162B1B" w:rsidRDefault="00C06E6C" w:rsidP="00C06E6C">
      <w:pPr>
        <w:pStyle w:val="DESNZbulletedlist"/>
      </w:pPr>
      <w:r w:rsidRPr="00162B1B">
        <w:rPr>
          <w:rStyle w:val="Boldtext"/>
        </w:rPr>
        <w:t>Specific programmes to encourage green building transformation</w:t>
      </w:r>
      <w:r>
        <w:t xml:space="preserve">: </w:t>
      </w:r>
      <w:r w:rsidR="00667930">
        <w:t xml:space="preserve">In </w:t>
      </w:r>
      <w:r>
        <w:t xml:space="preserve">India, </w:t>
      </w:r>
      <w:r w:rsidRPr="00680C2C">
        <w:t>GBPN's India Ready for Change project</w:t>
      </w:r>
      <w:r w:rsidR="00667930">
        <w:t xml:space="preserve">. In </w:t>
      </w:r>
      <w:r>
        <w:t xml:space="preserve">Latin America, </w:t>
      </w:r>
      <w:r w:rsidRPr="00162B1B">
        <w:t>CEELA</w:t>
      </w:r>
      <w:r>
        <w:t>,</w:t>
      </w:r>
      <w:r w:rsidRPr="00162B1B">
        <w:t xml:space="preserve"> a Swiss-funded programme </w:t>
      </w:r>
      <w:r>
        <w:t xml:space="preserve">aiming to strengthen capacity </w:t>
      </w:r>
      <w:r w:rsidRPr="00162B1B">
        <w:t xml:space="preserve">for construction companies </w:t>
      </w:r>
      <w:r>
        <w:t>to develop energy efficient buildings</w:t>
      </w:r>
      <w:r w:rsidR="00781EBD">
        <w:t>,</w:t>
      </w:r>
      <w:r>
        <w:rPr>
          <w:rStyle w:val="FootnoteReference"/>
        </w:rPr>
        <w:footnoteReference w:id="58"/>
      </w:r>
      <w:r w:rsidR="00C576B8">
        <w:t xml:space="preserve"> which has </w:t>
      </w:r>
      <w:r w:rsidR="009565FE">
        <w:t>collaborated with IFC for events in Colombia</w:t>
      </w:r>
      <w:r w:rsidR="00667930">
        <w:t>.</w:t>
      </w:r>
      <w:r w:rsidR="009565FE">
        <w:rPr>
          <w:rStyle w:val="FootnoteReference"/>
        </w:rPr>
        <w:footnoteReference w:id="59"/>
      </w:r>
      <w:r>
        <w:t xml:space="preserve"> </w:t>
      </w:r>
      <w:r w:rsidR="00667930">
        <w:t xml:space="preserve">In </w:t>
      </w:r>
      <w:r>
        <w:t xml:space="preserve">Mexico, the </w:t>
      </w:r>
      <w:r w:rsidRPr="00FE5500">
        <w:t>Net Zero Energy Homes initiative by the Canadian government</w:t>
      </w:r>
      <w:r w:rsidR="00667930">
        <w:t>.</w:t>
      </w:r>
      <w:r>
        <w:rPr>
          <w:rStyle w:val="FootnoteReference"/>
        </w:rPr>
        <w:footnoteReference w:id="60"/>
      </w:r>
      <w:r w:rsidRPr="00FE5500">
        <w:t xml:space="preserve"> </w:t>
      </w:r>
      <w:r w:rsidR="00667930">
        <w:t>Also in Mexico,</w:t>
      </w:r>
      <w:r w:rsidR="00667930" w:rsidRPr="00FE5500">
        <w:t xml:space="preserve"> </w:t>
      </w:r>
      <w:r w:rsidRPr="00FE5500">
        <w:t>ECOCASA</w:t>
      </w:r>
      <w:r>
        <w:t>,</w:t>
      </w:r>
      <w:r w:rsidR="007820C8">
        <w:t xml:space="preserve"> </w:t>
      </w:r>
      <w:r>
        <w:t>an initiative by a</w:t>
      </w:r>
      <w:r w:rsidRPr="00FE5500">
        <w:t xml:space="preserve"> local housing development bank</w:t>
      </w:r>
      <w:r>
        <w:t xml:space="preserve"> </w:t>
      </w:r>
      <w:r w:rsidRPr="00FE5500">
        <w:t xml:space="preserve">working with the Inter-American Development Bank (IDB) and the German Development Bank (KfW) </w:t>
      </w:r>
      <w:r>
        <w:t>and focused on the social housing sector.</w:t>
      </w:r>
      <w:r>
        <w:rPr>
          <w:rStyle w:val="FootnoteReference"/>
        </w:rPr>
        <w:footnoteReference w:id="61"/>
      </w:r>
    </w:p>
    <w:p w14:paraId="0A716C5B" w14:textId="165D8753" w:rsidR="00C06E6C" w:rsidRDefault="00C06E6C" w:rsidP="00C06E6C">
      <w:pPr>
        <w:pStyle w:val="DESNZbulletedlist"/>
      </w:pPr>
      <w:r w:rsidRPr="00FE5500">
        <w:rPr>
          <w:rStyle w:val="Boldtext"/>
        </w:rPr>
        <w:t>Wider programmes with a green building component</w:t>
      </w:r>
      <w:r>
        <w:t xml:space="preserve">: </w:t>
      </w:r>
      <w:r w:rsidR="00ED7457">
        <w:t xml:space="preserve">In </w:t>
      </w:r>
      <w:r>
        <w:t xml:space="preserve">Egypt, EBRD is financing green building projects through the </w:t>
      </w:r>
      <w:r w:rsidRPr="000D00D9">
        <w:t>Green Economy Financing Facility (GEFF)</w:t>
      </w:r>
      <w:r>
        <w:rPr>
          <w:rStyle w:val="FootnoteReference"/>
        </w:rPr>
        <w:footnoteReference w:id="62"/>
      </w:r>
      <w:r w:rsidR="00ED7457">
        <w:t>.</w:t>
      </w:r>
      <w:r>
        <w:t xml:space="preserve"> </w:t>
      </w:r>
      <w:r w:rsidR="00ED7457">
        <w:t xml:space="preserve">In </w:t>
      </w:r>
      <w:r>
        <w:t xml:space="preserve">Vietnam, the </w:t>
      </w:r>
      <w:r w:rsidRPr="00833967">
        <w:t>Global Cleantech</w:t>
      </w:r>
      <w:r>
        <w:t xml:space="preserve"> </w:t>
      </w:r>
      <w:r w:rsidRPr="00833967">
        <w:t>Innovation Programme</w:t>
      </w:r>
      <w:r>
        <w:t xml:space="preserve"> has</w:t>
      </w:r>
      <w:r w:rsidRPr="000D00D9">
        <w:t xml:space="preserve"> a component to develop green buildings as part of the development in green cities</w:t>
      </w:r>
      <w:r w:rsidR="00ED7457">
        <w:t>.</w:t>
      </w:r>
      <w:r>
        <w:rPr>
          <w:rStyle w:val="FootnoteReference"/>
        </w:rPr>
        <w:footnoteReference w:id="63"/>
      </w:r>
      <w:r>
        <w:t xml:space="preserve"> </w:t>
      </w:r>
      <w:r w:rsidRPr="00C54873">
        <w:t>UNDP</w:t>
      </w:r>
      <w:r>
        <w:t xml:space="preserve"> also </w:t>
      </w:r>
      <w:r w:rsidRPr="00C54873">
        <w:t>offer</w:t>
      </w:r>
      <w:r>
        <w:t>s</w:t>
      </w:r>
      <w:r w:rsidRPr="00C54873">
        <w:t xml:space="preserve"> support programmes to help developers meet sustainability standards</w:t>
      </w:r>
      <w:r w:rsidR="00ED7457">
        <w:t xml:space="preserve"> in Vietnam.</w:t>
      </w:r>
      <w:r>
        <w:t xml:space="preserve"> </w:t>
      </w:r>
      <w:r w:rsidR="00ED7457">
        <w:t xml:space="preserve">In </w:t>
      </w:r>
      <w:r w:rsidRPr="00C54873">
        <w:t>Colombia</w:t>
      </w:r>
      <w:r>
        <w:t>, UK led initiatives were mentioned for capacity building and private sector financing (</w:t>
      </w:r>
      <w:r w:rsidR="00FA2815" w:rsidRPr="008220AB">
        <w:t>UK Partnering for Accelerated Climate Transitions (UK PACT)</w:t>
      </w:r>
      <w:r w:rsidR="00FA2815">
        <w:t xml:space="preserve">, </w:t>
      </w:r>
      <w:r w:rsidR="00FA2815" w:rsidRPr="00C54873">
        <w:t>UK Sustainable Infrastructure Programme</w:t>
      </w:r>
      <w:r w:rsidR="00FA2815">
        <w:t xml:space="preserve">, UK </w:t>
      </w:r>
      <w:r w:rsidR="00FA2815" w:rsidRPr="003E3889">
        <w:t>Urban Climate Action Programme</w:t>
      </w:r>
      <w:r>
        <w:t xml:space="preserve">). </w:t>
      </w:r>
    </w:p>
    <w:p w14:paraId="0D592BF8" w14:textId="3DF6EE22" w:rsidR="00325639" w:rsidRDefault="00FA2815" w:rsidP="00325639">
      <w:pPr>
        <w:pStyle w:val="DESNZbulletedlist"/>
        <w:numPr>
          <w:ilvl w:val="0"/>
          <w:numId w:val="0"/>
        </w:numPr>
      </w:pPr>
      <w:r>
        <w:t xml:space="preserve">There is some evidence of MAGC collaborating with some of these initiatives. For example, a workshop with the EBRD GEFF team in </w:t>
      </w:r>
      <w:r w:rsidRPr="00235861">
        <w:t xml:space="preserve">Egypt </w:t>
      </w:r>
      <w:r>
        <w:t xml:space="preserve">and </w:t>
      </w:r>
      <w:r w:rsidRPr="005F673D">
        <w:t>an event with CEELA in Colombia</w:t>
      </w:r>
      <w:r>
        <w:t xml:space="preserve"> were key results of the programme in 2023</w:t>
      </w:r>
      <w:r w:rsidR="00257E06">
        <w:t>.</w:t>
      </w:r>
    </w:p>
    <w:p w14:paraId="06AB1981" w14:textId="6A18FABA" w:rsidR="00AA27E7" w:rsidRDefault="00AA27E7" w:rsidP="00325639">
      <w:pPr>
        <w:pStyle w:val="DESNZbulletedlist"/>
        <w:numPr>
          <w:ilvl w:val="0"/>
          <w:numId w:val="0"/>
        </w:numPr>
      </w:pPr>
      <w:r>
        <w:t xml:space="preserve">Within the UK ICF portfolio, the evaluation identified the following opportunities for collaboration to </w:t>
      </w:r>
      <w:r w:rsidRPr="00AA27E7">
        <w:t>maximise cross-programme learning and impact</w:t>
      </w:r>
      <w:r>
        <w:t>.</w:t>
      </w:r>
    </w:p>
    <w:p w14:paraId="773CB5BE" w14:textId="3CC53E5F" w:rsidR="00AA27E7" w:rsidRPr="001C6F7A" w:rsidRDefault="005D6183" w:rsidP="00325639">
      <w:pPr>
        <w:pStyle w:val="DESNZbulletedlist"/>
        <w:numPr>
          <w:ilvl w:val="0"/>
          <w:numId w:val="0"/>
        </w:numPr>
        <w:rPr>
          <w:b/>
          <w:bCs/>
        </w:rPr>
      </w:pPr>
      <w:r>
        <w:rPr>
          <w:b/>
          <w:bCs/>
        </w:rPr>
        <w:t xml:space="preserve">Table </w:t>
      </w:r>
      <w:r w:rsidR="00122551">
        <w:rPr>
          <w:b/>
          <w:bCs/>
        </w:rPr>
        <w:t>5.2</w:t>
      </w:r>
      <w:r>
        <w:rPr>
          <w:b/>
          <w:bCs/>
        </w:rPr>
        <w:t>. Opportunities for collaboration with other ICF programmes</w:t>
      </w:r>
    </w:p>
    <w:tbl>
      <w:tblPr>
        <w:tblStyle w:val="Table-Darkblue"/>
        <w:tblW w:w="0" w:type="auto"/>
        <w:tblLook w:val="04A0" w:firstRow="1" w:lastRow="0" w:firstColumn="1" w:lastColumn="0" w:noHBand="0" w:noVBand="1"/>
      </w:tblPr>
      <w:tblGrid>
        <w:gridCol w:w="1626"/>
        <w:gridCol w:w="2970"/>
        <w:gridCol w:w="2791"/>
        <w:gridCol w:w="2695"/>
      </w:tblGrid>
      <w:tr w:rsidR="00AA27E7" w14:paraId="31B81536" w14:textId="77777777" w:rsidTr="001C6F7A">
        <w:trPr>
          <w:cnfStyle w:val="100000000000" w:firstRow="1" w:lastRow="0" w:firstColumn="0" w:lastColumn="0" w:oddVBand="0" w:evenVBand="0" w:oddHBand="0" w:evenHBand="0" w:firstRowFirstColumn="0" w:firstRowLastColumn="0" w:lastRowFirstColumn="0" w:lastRowLastColumn="0"/>
        </w:trPr>
        <w:tc>
          <w:tcPr>
            <w:tcW w:w="1626" w:type="dxa"/>
          </w:tcPr>
          <w:p w14:paraId="07DE6C54" w14:textId="55C1F49C" w:rsidR="00AA27E7" w:rsidRDefault="00AA27E7" w:rsidP="00AA27E7">
            <w:pPr>
              <w:pStyle w:val="DESNZbulletedlist"/>
              <w:numPr>
                <w:ilvl w:val="0"/>
                <w:numId w:val="0"/>
              </w:numPr>
            </w:pPr>
            <w:r w:rsidRPr="003E733A">
              <w:rPr>
                <w:bCs/>
                <w:sz w:val="20"/>
                <w:szCs w:val="18"/>
              </w:rPr>
              <w:t>Programme</w:t>
            </w:r>
          </w:p>
        </w:tc>
        <w:tc>
          <w:tcPr>
            <w:tcW w:w="2970" w:type="dxa"/>
          </w:tcPr>
          <w:p w14:paraId="7AEE9041" w14:textId="0CD1F238" w:rsidR="00AA27E7" w:rsidRDefault="00AA27E7" w:rsidP="00AA27E7">
            <w:pPr>
              <w:pStyle w:val="DESNZbulletedlist"/>
              <w:numPr>
                <w:ilvl w:val="0"/>
                <w:numId w:val="0"/>
              </w:numPr>
            </w:pPr>
            <w:r w:rsidRPr="003E733A">
              <w:rPr>
                <w:bCs/>
                <w:sz w:val="20"/>
                <w:szCs w:val="18"/>
              </w:rPr>
              <w:t>Points of similarity/overlap with MAGC</w:t>
            </w:r>
          </w:p>
        </w:tc>
        <w:tc>
          <w:tcPr>
            <w:tcW w:w="2791" w:type="dxa"/>
          </w:tcPr>
          <w:p w14:paraId="2D21013B" w14:textId="6D46173F" w:rsidR="00AA27E7" w:rsidRDefault="00AA27E7" w:rsidP="00AA27E7">
            <w:pPr>
              <w:pStyle w:val="DESNZbulletedlist"/>
              <w:numPr>
                <w:ilvl w:val="0"/>
                <w:numId w:val="0"/>
              </w:numPr>
            </w:pPr>
            <w:r w:rsidRPr="003E733A">
              <w:rPr>
                <w:bCs/>
                <w:sz w:val="20"/>
                <w:szCs w:val="18"/>
              </w:rPr>
              <w:t>Type of potential collaboration</w:t>
            </w:r>
          </w:p>
        </w:tc>
        <w:tc>
          <w:tcPr>
            <w:tcW w:w="2695" w:type="dxa"/>
          </w:tcPr>
          <w:p w14:paraId="6638F266" w14:textId="34F6C1FA" w:rsidR="00AA27E7" w:rsidRDefault="00AA27E7" w:rsidP="00AA27E7">
            <w:pPr>
              <w:pStyle w:val="DESNZbulletedlist"/>
              <w:numPr>
                <w:ilvl w:val="0"/>
                <w:numId w:val="0"/>
              </w:numPr>
            </w:pPr>
            <w:r w:rsidRPr="003E733A">
              <w:rPr>
                <w:bCs/>
                <w:sz w:val="20"/>
                <w:szCs w:val="18"/>
              </w:rPr>
              <w:t>Related components/stakeholders</w:t>
            </w:r>
          </w:p>
        </w:tc>
      </w:tr>
      <w:tr w:rsidR="00AA27E7" w14:paraId="5B35139F" w14:textId="77777777" w:rsidTr="001C6F7A">
        <w:tc>
          <w:tcPr>
            <w:tcW w:w="1626" w:type="dxa"/>
          </w:tcPr>
          <w:p w14:paraId="7E129081" w14:textId="0C4C61A6" w:rsidR="00AA27E7" w:rsidRDefault="00AA27E7" w:rsidP="00AA27E7">
            <w:pPr>
              <w:pStyle w:val="DESNZbulletedlist"/>
              <w:numPr>
                <w:ilvl w:val="0"/>
                <w:numId w:val="0"/>
              </w:numPr>
            </w:pPr>
            <w:r w:rsidRPr="003E733A">
              <w:rPr>
                <w:b/>
                <w:bCs/>
                <w:sz w:val="20"/>
                <w:szCs w:val="18"/>
              </w:rPr>
              <w:t>Global Climate Partnership Fund (GCPF)</w:t>
            </w:r>
          </w:p>
        </w:tc>
        <w:tc>
          <w:tcPr>
            <w:tcW w:w="2970" w:type="dxa"/>
          </w:tcPr>
          <w:p w14:paraId="293EA78A" w14:textId="694AD92C" w:rsidR="00AA27E7" w:rsidRDefault="00AA27E7" w:rsidP="00AA27E7">
            <w:pPr>
              <w:pStyle w:val="DESNZbulletedlist"/>
              <w:numPr>
                <w:ilvl w:val="0"/>
                <w:numId w:val="0"/>
              </w:numPr>
            </w:pPr>
            <w:r w:rsidRPr="003E733A">
              <w:rPr>
                <w:sz w:val="20"/>
                <w:szCs w:val="18"/>
              </w:rPr>
              <w:t>Similar approach of delivering finance through financial institutions, which the banks use to establish a green lending portfolio.</w:t>
            </w:r>
          </w:p>
        </w:tc>
        <w:tc>
          <w:tcPr>
            <w:tcW w:w="2791" w:type="dxa"/>
          </w:tcPr>
          <w:p w14:paraId="63AE2A94" w14:textId="777A4BD7" w:rsidR="00AA27E7" w:rsidRDefault="00AA27E7" w:rsidP="00AA27E7">
            <w:pPr>
              <w:pStyle w:val="DESNZbulletedlist"/>
              <w:numPr>
                <w:ilvl w:val="0"/>
                <w:numId w:val="0"/>
              </w:numPr>
            </w:pPr>
            <w:r w:rsidRPr="003E733A">
              <w:rPr>
                <w:sz w:val="20"/>
                <w:szCs w:val="18"/>
              </w:rPr>
              <w:t>Learn from each other on financial instruments; Put each other in contact with FIs with interest in a green portfolio.</w:t>
            </w:r>
          </w:p>
        </w:tc>
        <w:tc>
          <w:tcPr>
            <w:tcW w:w="2695" w:type="dxa"/>
          </w:tcPr>
          <w:p w14:paraId="2BA45A9D" w14:textId="29BC75A9" w:rsidR="00AA27E7" w:rsidRDefault="00AA27E7" w:rsidP="00AA27E7">
            <w:pPr>
              <w:pStyle w:val="DESNZbulletedlist"/>
              <w:numPr>
                <w:ilvl w:val="0"/>
                <w:numId w:val="0"/>
              </w:numPr>
            </w:pPr>
            <w:r w:rsidRPr="003E733A">
              <w:rPr>
                <w:sz w:val="20"/>
                <w:szCs w:val="18"/>
              </w:rPr>
              <w:t>Component 1 - investment and advisory (financial intermediaries)</w:t>
            </w:r>
          </w:p>
        </w:tc>
      </w:tr>
      <w:tr w:rsidR="00AA27E7" w14:paraId="3BC1318F" w14:textId="77777777" w:rsidTr="001C6F7A">
        <w:tc>
          <w:tcPr>
            <w:tcW w:w="1626" w:type="dxa"/>
          </w:tcPr>
          <w:p w14:paraId="4EEE4A29" w14:textId="3296F44F" w:rsidR="00AA27E7" w:rsidRDefault="00AA27E7" w:rsidP="00AA27E7">
            <w:pPr>
              <w:pStyle w:val="DESNZbulletedlist"/>
              <w:numPr>
                <w:ilvl w:val="0"/>
                <w:numId w:val="0"/>
              </w:numPr>
            </w:pPr>
            <w:r w:rsidRPr="003E733A">
              <w:rPr>
                <w:b/>
                <w:bCs/>
                <w:sz w:val="20"/>
                <w:szCs w:val="18"/>
                <w:lang w:val="fr-FR"/>
              </w:rPr>
              <w:t>Urban Climate Action Programme (UCAP)</w:t>
            </w:r>
          </w:p>
        </w:tc>
        <w:tc>
          <w:tcPr>
            <w:tcW w:w="2970" w:type="dxa"/>
          </w:tcPr>
          <w:p w14:paraId="269FF351" w14:textId="64273870" w:rsidR="00AA27E7" w:rsidRDefault="00AA27E7" w:rsidP="00AA27E7">
            <w:pPr>
              <w:pStyle w:val="DESNZbulletedlist"/>
              <w:numPr>
                <w:ilvl w:val="0"/>
                <w:numId w:val="0"/>
              </w:numPr>
            </w:pPr>
            <w:r w:rsidRPr="003E733A">
              <w:rPr>
                <w:sz w:val="20"/>
                <w:szCs w:val="18"/>
              </w:rPr>
              <w:t>Capacity building at city level, to support city-led efforts and projects to develop energy efficient buildings and climate smart building codes.</w:t>
            </w:r>
          </w:p>
        </w:tc>
        <w:tc>
          <w:tcPr>
            <w:tcW w:w="2791" w:type="dxa"/>
          </w:tcPr>
          <w:p w14:paraId="61463DE5" w14:textId="4FAD144D" w:rsidR="00AA27E7" w:rsidRDefault="00AA27E7" w:rsidP="00AA27E7">
            <w:pPr>
              <w:pStyle w:val="DESNZbulletedlist"/>
              <w:numPr>
                <w:ilvl w:val="0"/>
                <w:numId w:val="0"/>
              </w:numPr>
            </w:pPr>
            <w:r w:rsidRPr="003E733A">
              <w:rPr>
                <w:sz w:val="20"/>
                <w:szCs w:val="18"/>
              </w:rPr>
              <w:t>Workplans sharing for city-level engagement and avoid duplication/build complementarities.</w:t>
            </w:r>
          </w:p>
        </w:tc>
        <w:tc>
          <w:tcPr>
            <w:tcW w:w="2695" w:type="dxa"/>
          </w:tcPr>
          <w:p w14:paraId="5EC1615E" w14:textId="3DF0B23A" w:rsidR="00AA27E7" w:rsidRDefault="00AA27E7" w:rsidP="00AA27E7">
            <w:pPr>
              <w:pStyle w:val="DESNZbulletedlist"/>
              <w:numPr>
                <w:ilvl w:val="0"/>
                <w:numId w:val="0"/>
              </w:numPr>
            </w:pPr>
            <w:r w:rsidRPr="003E733A">
              <w:rPr>
                <w:sz w:val="20"/>
                <w:szCs w:val="18"/>
              </w:rPr>
              <w:t>Component 2 - capacity building (public sector at city level)</w:t>
            </w:r>
          </w:p>
        </w:tc>
      </w:tr>
    </w:tbl>
    <w:p w14:paraId="6C9DA9AF" w14:textId="77777777" w:rsidR="00AA27E7" w:rsidRDefault="00AA27E7" w:rsidP="00325639">
      <w:pPr>
        <w:pStyle w:val="DESNZbulletedlist"/>
        <w:numPr>
          <w:ilvl w:val="0"/>
          <w:numId w:val="0"/>
        </w:numPr>
      </w:pPr>
    </w:p>
    <w:p w14:paraId="405F3EF2" w14:textId="19956377" w:rsidR="00FB3213" w:rsidRPr="00FB3213" w:rsidRDefault="000F43BC" w:rsidP="00FB3213">
      <w:r w:rsidRPr="7BA05F0F">
        <w:rPr>
          <w:rStyle w:val="Boldtext"/>
        </w:rPr>
        <w:t xml:space="preserve">B. </w:t>
      </w:r>
      <w:r w:rsidR="00FB3213" w:rsidRPr="7BA05F0F">
        <w:rPr>
          <w:rStyle w:val="Boldtext"/>
        </w:rPr>
        <w:t>There are also signs of raised interest in green buildings in the markets considered</w:t>
      </w:r>
      <w:r w:rsidR="00C22CEB" w:rsidRPr="7BA05F0F">
        <w:rPr>
          <w:rStyle w:val="Boldtext"/>
        </w:rPr>
        <w:t xml:space="preserve">, and </w:t>
      </w:r>
      <w:r w:rsidR="00592CEC" w:rsidRPr="7BA05F0F">
        <w:rPr>
          <w:rStyle w:val="Boldtext"/>
        </w:rPr>
        <w:t xml:space="preserve">there is early evidence that </w:t>
      </w:r>
      <w:r w:rsidR="00C22CEB" w:rsidRPr="7BA05F0F">
        <w:rPr>
          <w:rStyle w:val="Boldtext"/>
        </w:rPr>
        <w:t>some of this</w:t>
      </w:r>
      <w:r w:rsidR="001270CC" w:rsidRPr="7BA05F0F">
        <w:rPr>
          <w:rStyle w:val="Boldtext"/>
        </w:rPr>
        <w:t xml:space="preserve"> interest has been </w:t>
      </w:r>
      <w:r w:rsidR="00D36AAC" w:rsidRPr="7BA05F0F">
        <w:rPr>
          <w:rStyle w:val="Boldtext"/>
        </w:rPr>
        <w:t>encouraged</w:t>
      </w:r>
      <w:r w:rsidR="00D72FAD" w:rsidRPr="7BA05F0F">
        <w:rPr>
          <w:rStyle w:val="Boldtext"/>
        </w:rPr>
        <w:t xml:space="preserve"> by MAGC</w:t>
      </w:r>
      <w:r w:rsidR="00FB3213">
        <w:t>.</w:t>
      </w:r>
      <w:r w:rsidR="007820C8">
        <w:t xml:space="preserve"> </w:t>
      </w:r>
      <w:r w:rsidR="003405F1">
        <w:t xml:space="preserve">Several interviewees mentioned the idea that the private sector needs to prepare for green buildings becoming the norm. </w:t>
      </w:r>
      <w:r w:rsidR="00A259FB">
        <w:t xml:space="preserve">In terms of actions, a </w:t>
      </w:r>
      <w:r w:rsidR="00265FB4">
        <w:t xml:space="preserve">housing fund </w:t>
      </w:r>
      <w:r w:rsidR="00A259FB">
        <w:t>in Kenya</w:t>
      </w:r>
      <w:r w:rsidR="00D0202F">
        <w:t>, which</w:t>
      </w:r>
      <w:r w:rsidR="00F6729B">
        <w:t xml:space="preserve"> </w:t>
      </w:r>
      <w:r w:rsidR="00A259FB">
        <w:t>received MAGC support plans to further grow its green building finance portfolio</w:t>
      </w:r>
      <w:r w:rsidR="00ED7457">
        <w:t>.</w:t>
      </w:r>
      <w:r w:rsidR="00A259FB">
        <w:t xml:space="preserve"> A certification company in Vietnam reported plans for expanding to the industrial sector to achieve larger certified floorspace. In the public sector, there are some early signs that there is greater buy in for green buildings among policymakers in some countries (Philippines, Indonesia, Colombia)</w:t>
      </w:r>
      <w:r w:rsidR="00ED7457">
        <w:t>.</w:t>
      </w:r>
      <w:r w:rsidR="00A259FB">
        <w:t xml:space="preserve"> </w:t>
      </w:r>
      <w:r w:rsidR="00ED7457">
        <w:t>T</w:t>
      </w:r>
      <w:r w:rsidR="00A259FB">
        <w:t xml:space="preserve">here was </w:t>
      </w:r>
      <w:r w:rsidR="00ED7457">
        <w:t xml:space="preserve">still a </w:t>
      </w:r>
      <w:r w:rsidR="00A259FB">
        <w:t>widespread agreement among stakeholders</w:t>
      </w:r>
      <w:r w:rsidR="00F3372B">
        <w:t xml:space="preserve"> (developers, banks, certifiers)</w:t>
      </w:r>
      <w:r w:rsidR="00A259FB">
        <w:t xml:space="preserve"> that more action is needed across all levels of government. </w:t>
      </w:r>
      <w:r w:rsidR="00FB3213">
        <w:t xml:space="preserve">In some countries (such as Mexico, Peru, Brazil, South Africa), </w:t>
      </w:r>
      <w:r w:rsidR="00FA2815">
        <w:t>FIs and building developers are starting to raise direct requests for support to IFC or to other developers to enter the green building market</w:t>
      </w:r>
      <w:r w:rsidR="00FB3213">
        <w:t>. For example, a developer in Mexico who was among the first implementers of EDGE has started to receive more questions about EDGE certification from other developers in recent years. Certification and consulting companies in Vietnam also reported getting more inquiries.</w:t>
      </w:r>
    </w:p>
    <w:p w14:paraId="20FEB3A4" w14:textId="1BC7C9BA" w:rsidR="00FB3213" w:rsidRDefault="00FB3213" w:rsidP="00FB3213">
      <w:pPr>
        <w:pStyle w:val="Quote"/>
      </w:pPr>
      <w:r w:rsidRPr="00FB3213">
        <w:t>“For instance, in the office building sector, we used to actively seek out investors, telling them that eventually, they would need green buildings to stay competitive. Now, th</w:t>
      </w:r>
      <w:r w:rsidR="006C3BF8">
        <w:t>e</w:t>
      </w:r>
      <w:r w:rsidRPr="00FB3213">
        <w:t>se same investors are coming to us, reali</w:t>
      </w:r>
      <w:r w:rsidR="006C3BF8">
        <w:t>s</w:t>
      </w:r>
      <w:r w:rsidRPr="00FB3213">
        <w:t>ing that without green buildings, they might be left behind. It’s a natural progression, and I believe other sectors will experience the same shift over time.” (Vietnam, green building consultant)</w:t>
      </w:r>
    </w:p>
    <w:p w14:paraId="63B91FF6" w14:textId="388ADA8B" w:rsidR="00A40CEF" w:rsidRPr="00A40CEF" w:rsidRDefault="00A40CEF" w:rsidP="001C6F7A">
      <w:r>
        <w:t>FIs and other financial and green building sector stakeholders reported that the involvement of FIs in MAGC stimulated interest in green construction within markets like Colombia, Egypt and South Africa. As one green construction organisation in Egypt summarised, t</w:t>
      </w:r>
      <w:r w:rsidRPr="001F653F">
        <w:t xml:space="preserve">he perception is that involvement in MAGC is </w:t>
      </w:r>
      <w:r>
        <w:t>“</w:t>
      </w:r>
      <w:r w:rsidRPr="00745734">
        <w:rPr>
          <w:rStyle w:val="Italic"/>
        </w:rPr>
        <w:t>making noise</w:t>
      </w:r>
      <w:r>
        <w:t>”</w:t>
      </w:r>
      <w:r w:rsidRPr="001F653F">
        <w:t xml:space="preserve"> within the sector</w:t>
      </w:r>
      <w:r>
        <w:t>.</w:t>
      </w:r>
      <w:r w:rsidRPr="001F653F">
        <w:t xml:space="preserve"> </w:t>
      </w:r>
      <w:r>
        <w:t>This</w:t>
      </w:r>
      <w:r w:rsidRPr="001F653F">
        <w:t xml:space="preserve"> could translate into the growth of portfolios and services linked to green construction </w:t>
      </w:r>
      <w:r>
        <w:t>in the</w:t>
      </w:r>
      <w:r w:rsidRPr="001F653F">
        <w:t xml:space="preserve"> longer term. For example, an organisation representing the construction industry in Peru </w:t>
      </w:r>
      <w:r>
        <w:t>discussed how</w:t>
      </w:r>
      <w:r w:rsidRPr="001F653F">
        <w:t xml:space="preserve"> the involvement of large banks in </w:t>
      </w:r>
      <w:r>
        <w:t>MAGC</w:t>
      </w:r>
      <w:r w:rsidRPr="001F653F">
        <w:t xml:space="preserve"> would increase the size of the market overall</w:t>
      </w:r>
      <w:r>
        <w:t>.</w:t>
      </w:r>
      <w:r w:rsidRPr="001F653F">
        <w:t xml:space="preserve"> </w:t>
      </w:r>
      <w:r>
        <w:t>However, it is worth noting that t</w:t>
      </w:r>
      <w:r w:rsidRPr="001F653F">
        <w:t>his was an assumption rather than something that is</w:t>
      </w:r>
      <w:r>
        <w:t xml:space="preserve"> already</w:t>
      </w:r>
      <w:r w:rsidRPr="001F653F">
        <w:t xml:space="preserve"> happening. </w:t>
      </w:r>
    </w:p>
    <w:p w14:paraId="66D97CBF" w14:textId="3872E397" w:rsidR="008C1C8D" w:rsidRDefault="000F43BC" w:rsidP="008C1C8D">
      <w:pPr>
        <w:pStyle w:val="Heading3"/>
      </w:pPr>
      <w:bookmarkStart w:id="53" w:name="_Toc181361041"/>
      <w:bookmarkStart w:id="54" w:name="_Toc182236774"/>
      <w:bookmarkStart w:id="55" w:name="_Toc189155223"/>
      <w:r>
        <w:t xml:space="preserve">5.2.2 </w:t>
      </w:r>
      <w:r w:rsidR="008C1C8D">
        <w:t>Innovation</w:t>
      </w:r>
      <w:bookmarkEnd w:id="51"/>
      <w:bookmarkEnd w:id="52"/>
      <w:bookmarkEnd w:id="53"/>
      <w:bookmarkEnd w:id="54"/>
      <w:bookmarkEnd w:id="55"/>
    </w:p>
    <w:p w14:paraId="21485CC1" w14:textId="77777777" w:rsidR="000F43BC" w:rsidRDefault="001225A7" w:rsidP="002125DE">
      <w:r w:rsidRPr="002125DE">
        <w:t xml:space="preserve">This section examines the innovative aspects of </w:t>
      </w:r>
      <w:r w:rsidR="006A0353" w:rsidRPr="002125DE">
        <w:t>EDGE</w:t>
      </w:r>
      <w:r w:rsidRPr="002125DE">
        <w:t xml:space="preserve"> </w:t>
      </w:r>
      <w:r w:rsidR="00F162E8" w:rsidRPr="002125DE">
        <w:t xml:space="preserve">as a </w:t>
      </w:r>
      <w:r w:rsidR="00FC2387">
        <w:t>driver</w:t>
      </w:r>
      <w:r w:rsidR="00F162E8" w:rsidRPr="002125DE">
        <w:t xml:space="preserve"> of transformational change. </w:t>
      </w:r>
    </w:p>
    <w:p w14:paraId="216FCB26" w14:textId="74E2F99C" w:rsidR="0075057A" w:rsidRDefault="000F43BC" w:rsidP="002125DE">
      <w:r w:rsidRPr="00A37CD2">
        <w:rPr>
          <w:rStyle w:val="Boldtext"/>
        </w:rPr>
        <w:t>A</w:t>
      </w:r>
      <w:r>
        <w:t xml:space="preserve">. </w:t>
      </w:r>
      <w:r w:rsidR="00990F4B" w:rsidRPr="00A37CD2">
        <w:rPr>
          <w:rStyle w:val="Boldtext"/>
          <w:bCs/>
        </w:rPr>
        <w:t xml:space="preserve">The </w:t>
      </w:r>
      <w:r w:rsidR="00125E9F" w:rsidRPr="00A37CD2">
        <w:rPr>
          <w:rStyle w:val="Boldtext"/>
          <w:bCs/>
        </w:rPr>
        <w:t xml:space="preserve">key </w:t>
      </w:r>
      <w:r w:rsidR="00990F4B" w:rsidRPr="00A37CD2">
        <w:rPr>
          <w:rStyle w:val="Boldtext"/>
          <w:bCs/>
        </w:rPr>
        <w:t xml:space="preserve">innovative aspects of </w:t>
      </w:r>
      <w:r w:rsidR="006A0353" w:rsidRPr="00A37CD2">
        <w:rPr>
          <w:rStyle w:val="Boldtext"/>
          <w:bCs/>
        </w:rPr>
        <w:t>EDGE</w:t>
      </w:r>
      <w:r w:rsidR="00C95DEC" w:rsidRPr="00A37CD2">
        <w:rPr>
          <w:rStyle w:val="Boldtext"/>
          <w:bCs/>
        </w:rPr>
        <w:t xml:space="preserve"> </w:t>
      </w:r>
      <w:r w:rsidR="00990F4B" w:rsidRPr="00A37CD2">
        <w:rPr>
          <w:rStyle w:val="Boldtext"/>
          <w:bCs/>
        </w:rPr>
        <w:t xml:space="preserve">lie in its </w:t>
      </w:r>
      <w:r w:rsidR="007F57BF" w:rsidRPr="00A37CD2">
        <w:rPr>
          <w:rStyle w:val="Boldtext"/>
          <w:bCs/>
        </w:rPr>
        <w:t>accessibility and cost-effectiveness</w:t>
      </w:r>
      <w:r w:rsidR="003561B5" w:rsidRPr="000F43BC">
        <w:rPr>
          <w:rStyle w:val="Boldtext"/>
          <w:bCs/>
        </w:rPr>
        <w:t xml:space="preserve"> </w:t>
      </w:r>
      <w:r w:rsidR="003561B5" w:rsidRPr="00A37CD2">
        <w:rPr>
          <w:rStyle w:val="Boldtext"/>
          <w:bCs/>
        </w:rPr>
        <w:t>compared to other certifications</w:t>
      </w:r>
      <w:r w:rsidR="007F57BF" w:rsidRPr="00A37CD2">
        <w:rPr>
          <w:rStyle w:val="Boldtext"/>
          <w:bCs/>
        </w:rPr>
        <w:t>, especially for residential buildings in developing countries.</w:t>
      </w:r>
      <w:r w:rsidR="00890BF4" w:rsidRPr="002125DE">
        <w:rPr>
          <w:rStyle w:val="Boldtext"/>
          <w:b w:val="0"/>
        </w:rPr>
        <w:t xml:space="preserve"> </w:t>
      </w:r>
      <w:r w:rsidR="00007847" w:rsidRPr="006A0317">
        <w:rPr>
          <w:rStyle w:val="Boldtext"/>
        </w:rPr>
        <w:t xml:space="preserve">This seems to represent innovation in that it improves </w:t>
      </w:r>
      <w:r w:rsidR="00E84F70" w:rsidRPr="001E23B8">
        <w:rPr>
          <w:rStyle w:val="Boldtext"/>
        </w:rPr>
        <w:t>the g</w:t>
      </w:r>
      <w:r w:rsidR="00007847" w:rsidRPr="006A0317">
        <w:rPr>
          <w:rStyle w:val="Boldtext"/>
        </w:rPr>
        <w:t xml:space="preserve">reen building certification </w:t>
      </w:r>
      <w:r w:rsidR="002125DE" w:rsidRPr="006A0317">
        <w:rPr>
          <w:rStyle w:val="Boldtext"/>
        </w:rPr>
        <w:t xml:space="preserve">process </w:t>
      </w:r>
      <w:r w:rsidR="00007847" w:rsidRPr="006A0317">
        <w:rPr>
          <w:rStyle w:val="Boldtext"/>
        </w:rPr>
        <w:t xml:space="preserve">by making </w:t>
      </w:r>
      <w:r w:rsidR="00D6285E" w:rsidRPr="006A0317">
        <w:rPr>
          <w:rStyle w:val="Boldtext"/>
        </w:rPr>
        <w:t>green certification</w:t>
      </w:r>
      <w:r w:rsidR="00007847" w:rsidRPr="006A0317">
        <w:rPr>
          <w:rStyle w:val="Boldtext"/>
        </w:rPr>
        <w:t xml:space="preserve"> </w:t>
      </w:r>
      <w:r w:rsidR="008879CA" w:rsidRPr="006A0317">
        <w:rPr>
          <w:rStyle w:val="Boldtext"/>
        </w:rPr>
        <w:t xml:space="preserve">data-driven, </w:t>
      </w:r>
      <w:r w:rsidR="00007847" w:rsidRPr="006A0317">
        <w:rPr>
          <w:rStyle w:val="Boldtext"/>
        </w:rPr>
        <w:t>simpler, faster, and more affordable</w:t>
      </w:r>
      <w:r w:rsidR="00240F1D">
        <w:rPr>
          <w:rStyle w:val="Boldtext"/>
        </w:rPr>
        <w:t xml:space="preserve"> than </w:t>
      </w:r>
      <w:r w:rsidR="001D27C3">
        <w:rPr>
          <w:rStyle w:val="Boldtext"/>
        </w:rPr>
        <w:t>other existing options in the market</w:t>
      </w:r>
      <w:r w:rsidR="00D6285E" w:rsidRPr="002125DE">
        <w:rPr>
          <w:rStyle w:val="Boldtext"/>
          <w:b w:val="0"/>
        </w:rPr>
        <w:t>.</w:t>
      </w:r>
      <w:r w:rsidR="007820C8">
        <w:t xml:space="preserve"> </w:t>
      </w:r>
      <w:r w:rsidR="00564E5F">
        <w:t>Specifically, EDGE is innovative by:</w:t>
      </w:r>
    </w:p>
    <w:p w14:paraId="5BC89DAC" w14:textId="03543848" w:rsidR="0075057A" w:rsidRPr="0075057A" w:rsidRDefault="0075057A" w:rsidP="0075057A">
      <w:pPr>
        <w:pStyle w:val="DESNZbulletedlist"/>
      </w:pPr>
      <w:r w:rsidRPr="006A0317">
        <w:rPr>
          <w:rStyle w:val="Boldtext"/>
        </w:rPr>
        <w:t>Lowering the barrier to entry</w:t>
      </w:r>
      <w:r w:rsidRPr="0075057A">
        <w:t xml:space="preserve">: By simplifying the certification process and reducing costs, EDGE enables more developers, especially in emerging markets, to adopt green building standards. Specifically, the free online self-assessment tool is seen as </w:t>
      </w:r>
      <w:r w:rsidR="00A56B7A">
        <w:t xml:space="preserve">an </w:t>
      </w:r>
      <w:r w:rsidRPr="0075057A">
        <w:t>innovative feature, as it encourages developers to enter the green building market by allowing to test designs (see section 5.1.3).</w:t>
      </w:r>
    </w:p>
    <w:p w14:paraId="3A55B503" w14:textId="77777777" w:rsidR="0075057A" w:rsidRPr="0075057A" w:rsidRDefault="0075057A" w:rsidP="0075057A">
      <w:pPr>
        <w:pStyle w:val="DESNZbulletedlist"/>
      </w:pPr>
      <w:r w:rsidRPr="006A0317">
        <w:rPr>
          <w:rStyle w:val="Boldtext"/>
        </w:rPr>
        <w:t>Creating a common language</w:t>
      </w:r>
      <w:r w:rsidRPr="0075057A">
        <w:t xml:space="preserve">: EDGE's international recognition establishes a shared understanding and standard for green buildings. For example, in Kenya, EDGE is helping create a common standard for green buildings, which was lacking before. </w:t>
      </w:r>
    </w:p>
    <w:p w14:paraId="3DD768F3" w14:textId="510DE65F" w:rsidR="0075057A" w:rsidRDefault="0075057A" w:rsidP="00C904C0">
      <w:pPr>
        <w:pStyle w:val="DESNZbulletedlist"/>
      </w:pPr>
      <w:r w:rsidRPr="006A0317">
        <w:rPr>
          <w:rStyle w:val="Boldtext"/>
        </w:rPr>
        <w:t>Driving further innovation</w:t>
      </w:r>
      <w:r w:rsidRPr="0075057A">
        <w:t xml:space="preserve"> in design, materials and construction techniques</w:t>
      </w:r>
      <w:r w:rsidR="00A56B7A">
        <w:t>:</w:t>
      </w:r>
      <w:r w:rsidRPr="0075057A">
        <w:t xml:space="preserve"> </w:t>
      </w:r>
      <w:r w:rsidR="00A56B7A">
        <w:t>B</w:t>
      </w:r>
      <w:r w:rsidR="00A56B7A" w:rsidRPr="0075057A">
        <w:t xml:space="preserve">y </w:t>
      </w:r>
      <w:r w:rsidRPr="0075057A">
        <w:t>encouraging professionals to implement measures on how to achieve the energy, water, and embodied carbon savings.</w:t>
      </w:r>
    </w:p>
    <w:p w14:paraId="2080B441" w14:textId="7D457BD3" w:rsidR="00990F4B" w:rsidRDefault="00804414" w:rsidP="002125DE">
      <w:r>
        <w:t>T</w:t>
      </w:r>
      <w:r w:rsidRPr="00804414">
        <w:t>he connection between innovation and transformational change lies in the assumption that a</w:t>
      </w:r>
      <w:r>
        <w:t>n</w:t>
      </w:r>
      <w:r w:rsidRPr="00804414">
        <w:t xml:space="preserve"> </w:t>
      </w:r>
      <w:r>
        <w:t xml:space="preserve">innovative </w:t>
      </w:r>
      <w:r w:rsidRPr="00804414">
        <w:t>way of certifying green buildings—</w:t>
      </w:r>
      <w:r>
        <w:t>through EDGE</w:t>
      </w:r>
      <w:r w:rsidRPr="00804414">
        <w:t>—</w:t>
      </w:r>
      <w:r>
        <w:t>is</w:t>
      </w:r>
      <w:r w:rsidRPr="00804414">
        <w:t xml:space="preserve"> needed to catalyse a shift towards greater prevalence of green construction.</w:t>
      </w:r>
      <w:r w:rsidR="009E17CD">
        <w:t xml:space="preserve"> </w:t>
      </w:r>
      <w:r w:rsidR="004527F1">
        <w:t>While it is early to assess the impact of EDGE on a greater prevalence of green construction overall, th</w:t>
      </w:r>
      <w:r w:rsidR="00637B3C">
        <w:t>ere are early signs of validation of this mechanism</w:t>
      </w:r>
      <w:r w:rsidR="00A56B7A">
        <w:t>. S</w:t>
      </w:r>
      <w:r w:rsidR="00AF5359" w:rsidRPr="002125DE">
        <w:t>everal us</w:t>
      </w:r>
      <w:r w:rsidR="0057575C" w:rsidRPr="002125DE">
        <w:t>ers interviewed as part of this evaluation</w:t>
      </w:r>
      <w:r w:rsidR="00636CA5" w:rsidRPr="002125DE">
        <w:t xml:space="preserve"> mention</w:t>
      </w:r>
      <w:r w:rsidR="007D3B59">
        <w:t>ed</w:t>
      </w:r>
      <w:r w:rsidR="00636CA5" w:rsidRPr="002125DE">
        <w:t xml:space="preserve"> how </w:t>
      </w:r>
      <w:r w:rsidR="00464D78" w:rsidRPr="002125DE">
        <w:t>EDGE</w:t>
      </w:r>
      <w:r w:rsidR="00636CA5" w:rsidRPr="002125DE">
        <w:t xml:space="preserve"> is </w:t>
      </w:r>
      <w:r w:rsidR="00990F4B" w:rsidRPr="002125DE">
        <w:t xml:space="preserve">making </w:t>
      </w:r>
      <w:r w:rsidR="00CE09A7" w:rsidRPr="002125DE">
        <w:t>the process of green certification easier</w:t>
      </w:r>
      <w:r w:rsidR="000B6504" w:rsidRPr="002125DE">
        <w:t xml:space="preserve"> and </w:t>
      </w:r>
      <w:r w:rsidR="002125DE" w:rsidRPr="002125DE">
        <w:t xml:space="preserve">is </w:t>
      </w:r>
      <w:r w:rsidR="000B6504" w:rsidRPr="002125DE">
        <w:t>encouraging green construction.</w:t>
      </w:r>
      <w:r w:rsidR="00D24885" w:rsidRPr="002125DE">
        <w:t xml:space="preserve"> </w:t>
      </w:r>
    </w:p>
    <w:p w14:paraId="489BF06E" w14:textId="19CA997D" w:rsidR="00B56231" w:rsidRDefault="009D43FF" w:rsidP="00B56231">
      <w:pPr>
        <w:pStyle w:val="Quote"/>
      </w:pPr>
      <w:r w:rsidRPr="009D43FF">
        <w:t>“So far, EDGE is very innovative and transformational, in the sense that, in real time, it's able to tell you-, it's able to show you, and quantify, the status of the building, with regards to its compliance to the EDGE principles. So, I believe that EDGE is one of the best I've come across. What I like most about it is the fact that they keep reviewing it. They keep reviewing it, to ensure that the best comes up. Things keep evolving.” (Ghana, architect)</w:t>
      </w:r>
    </w:p>
    <w:p w14:paraId="3B68E233" w14:textId="1D06D627" w:rsidR="005D6183" w:rsidRPr="005D6183" w:rsidRDefault="007C2997" w:rsidP="001C6F7A">
      <w:r w:rsidRPr="007C2997">
        <w:t>A key consideration for the transformational potential of the EDGE platform is its long-term sustainability beyond MAGC funding</w:t>
      </w:r>
      <w:r>
        <w:t xml:space="preserve">. The programme should consider </w:t>
      </w:r>
      <w:r w:rsidRPr="007C2997">
        <w:t>whether the platform should continue relying on public funds or transition to a self-sustaining model</w:t>
      </w:r>
      <w:r>
        <w:t xml:space="preserve">, </w:t>
      </w:r>
      <w:r w:rsidRPr="007C2997">
        <w:t xml:space="preserve">ensuring </w:t>
      </w:r>
      <w:r>
        <w:t xml:space="preserve">that </w:t>
      </w:r>
      <w:r w:rsidRPr="007C2997">
        <w:t>EDGE remains accessible and continues to drive green building market transformation after MAGC support concludes.</w:t>
      </w:r>
    </w:p>
    <w:p w14:paraId="40939E7A" w14:textId="445843EE" w:rsidR="008C1C8D" w:rsidRDefault="000F43BC" w:rsidP="008C1C8D">
      <w:pPr>
        <w:pStyle w:val="Heading3"/>
      </w:pPr>
      <w:bookmarkStart w:id="56" w:name="_Toc178692283"/>
      <w:bookmarkStart w:id="57" w:name="_Toc178758692"/>
      <w:bookmarkStart w:id="58" w:name="_Toc181361042"/>
      <w:bookmarkStart w:id="59" w:name="_Toc182236775"/>
      <w:bookmarkStart w:id="60" w:name="_Toc189155224"/>
      <w:r>
        <w:t xml:space="preserve">5.2.3 </w:t>
      </w:r>
      <w:r w:rsidR="008C1C8D">
        <w:t xml:space="preserve">Capacity and capabilities </w:t>
      </w:r>
      <w:bookmarkEnd w:id="56"/>
      <w:bookmarkEnd w:id="57"/>
      <w:bookmarkEnd w:id="58"/>
      <w:bookmarkEnd w:id="59"/>
      <w:bookmarkEnd w:id="60"/>
    </w:p>
    <w:p w14:paraId="5C236DB6" w14:textId="06111DDC" w:rsidR="003A2538" w:rsidRDefault="000F43BC" w:rsidP="006E6839">
      <w:r>
        <w:rPr>
          <w:rStyle w:val="Boldtext"/>
        </w:rPr>
        <w:t xml:space="preserve">A. </w:t>
      </w:r>
      <w:r w:rsidR="006E6839" w:rsidRPr="006E6839">
        <w:rPr>
          <w:rStyle w:val="Boldtext"/>
        </w:rPr>
        <w:t>There are e</w:t>
      </w:r>
      <w:r w:rsidR="009B25C7" w:rsidRPr="006E6839">
        <w:rPr>
          <w:rStyle w:val="Boldtext"/>
        </w:rPr>
        <w:t xml:space="preserve">arly signs </w:t>
      </w:r>
      <w:r w:rsidR="006E6839" w:rsidRPr="006E6839">
        <w:rPr>
          <w:rStyle w:val="Boldtext"/>
        </w:rPr>
        <w:t xml:space="preserve">that MAGC activities can help </w:t>
      </w:r>
      <w:r w:rsidR="009B25C7" w:rsidRPr="006E6839">
        <w:rPr>
          <w:rStyle w:val="Boldtext"/>
        </w:rPr>
        <w:t xml:space="preserve">increase capacity and </w:t>
      </w:r>
      <w:r w:rsidR="00C572DA" w:rsidRPr="006E6839">
        <w:rPr>
          <w:rStyle w:val="Boldtext"/>
        </w:rPr>
        <w:t>capabilities</w:t>
      </w:r>
      <w:r w:rsidR="006E6839" w:rsidRPr="006E6839">
        <w:rPr>
          <w:rStyle w:val="Boldtext"/>
        </w:rPr>
        <w:t>, and that this has a transformational potential</w:t>
      </w:r>
      <w:r w:rsidR="00C572DA">
        <w:t xml:space="preserve">. </w:t>
      </w:r>
      <w:r w:rsidR="00DC4125" w:rsidRPr="00DC4125">
        <w:t>The evidence gathered through this evaluation validates the hypothesis underpinning MAGC’s theory of transformational change, that capacity building is a critical driver of transformational change. Stakeholders interviewed, from different groups</w:t>
      </w:r>
      <w:r w:rsidR="00F3372B">
        <w:t xml:space="preserve"> in the public and private sector (policy stakeholders, developers, certifiers)</w:t>
      </w:r>
      <w:r w:rsidR="00DC4125" w:rsidRPr="00DC4125">
        <w:t>, highlighted green building awareness as a dependency for change</w:t>
      </w:r>
      <w:r w:rsidR="00FE3957">
        <w:t>.</w:t>
      </w:r>
      <w:r w:rsidR="00FE3957" w:rsidRPr="00DC4125">
        <w:t xml:space="preserve"> </w:t>
      </w:r>
      <w:r w:rsidR="00FE3957">
        <w:t>T</w:t>
      </w:r>
      <w:r w:rsidR="00DC4125" w:rsidRPr="00DC4125">
        <w:t xml:space="preserve">here is good evidence that the MAGC capacity building activities were contributing to an increase in professional capacity. </w:t>
      </w:r>
      <w:r w:rsidR="006E6839" w:rsidRPr="006E6839">
        <w:t>As</w:t>
      </w:r>
      <w:r w:rsidR="006E6839">
        <w:t xml:space="preserve"> mentioned in section 5.1.2, MAGC capacity building activities have been effective in increasing awareness, understanding and technical skills on certified green buildings.</w:t>
      </w:r>
      <w:r w:rsidR="006E6839" w:rsidRPr="006E6839">
        <w:t xml:space="preserve"> </w:t>
      </w:r>
      <w:r w:rsidR="00C572DA" w:rsidRPr="006E6839">
        <w:t>The</w:t>
      </w:r>
      <w:r w:rsidR="009B25C7" w:rsidRPr="006E6839">
        <w:t xml:space="preserve"> </w:t>
      </w:r>
      <w:r w:rsidR="009B25C7" w:rsidRPr="006E6839">
        <w:rPr>
          <w:rStyle w:val="Boldtext"/>
          <w:b w:val="0"/>
        </w:rPr>
        <w:t xml:space="preserve">transformational potential of </w:t>
      </w:r>
      <w:r w:rsidR="00C572DA" w:rsidRPr="006E6839">
        <w:rPr>
          <w:rStyle w:val="Boldtext"/>
          <w:b w:val="0"/>
        </w:rPr>
        <w:t xml:space="preserve">advisory and </w:t>
      </w:r>
      <w:r w:rsidR="009B25C7" w:rsidRPr="006E6839">
        <w:rPr>
          <w:rStyle w:val="Boldtext"/>
          <w:b w:val="0"/>
        </w:rPr>
        <w:t>capacity building</w:t>
      </w:r>
      <w:r w:rsidR="009B25C7" w:rsidRPr="006E6839">
        <w:t xml:space="preserve"> </w:t>
      </w:r>
      <w:r w:rsidR="00C572DA" w:rsidRPr="006E6839">
        <w:t>has been highlighted because:</w:t>
      </w:r>
    </w:p>
    <w:p w14:paraId="4415FBF7" w14:textId="3E5B21C3" w:rsidR="00163A6B" w:rsidRDefault="00163A6B" w:rsidP="00C572DA">
      <w:pPr>
        <w:pStyle w:val="DESNZbulletedlist"/>
      </w:pPr>
      <w:r>
        <w:t>There is a need for increased knowledge and capability among</w:t>
      </w:r>
      <w:r w:rsidR="006E6839">
        <w:t xml:space="preserve"> </w:t>
      </w:r>
      <w:r w:rsidR="00C572DA" w:rsidRPr="00C572DA">
        <w:t xml:space="preserve">staff </w:t>
      </w:r>
      <w:r w:rsidR="006E6839">
        <w:t>members within</w:t>
      </w:r>
      <w:r w:rsidR="00C572DA" w:rsidRPr="00C572DA">
        <w:t xml:space="preserve"> </w:t>
      </w:r>
      <w:r w:rsidR="00AE601E">
        <w:t>FIs</w:t>
      </w:r>
      <w:r>
        <w:t xml:space="preserve">, </w:t>
      </w:r>
      <w:r w:rsidR="00C572DA" w:rsidRPr="00C572DA">
        <w:t>to identify opportunities</w:t>
      </w:r>
      <w:r w:rsidR="006E6839">
        <w:t xml:space="preserve"> in the green building sector</w:t>
      </w:r>
      <w:r w:rsidR="0062255D">
        <w:t>.</w:t>
      </w:r>
      <w:r w:rsidR="00C572DA" w:rsidRPr="00C572DA">
        <w:t xml:space="preserve"> </w:t>
      </w:r>
    </w:p>
    <w:p w14:paraId="30892966" w14:textId="001A98A6" w:rsidR="00163A6B" w:rsidRDefault="00163A6B" w:rsidP="00163A6B">
      <w:pPr>
        <w:pStyle w:val="DESNZbulletedlist"/>
        <w:numPr>
          <w:ilvl w:val="0"/>
          <w:numId w:val="0"/>
        </w:numPr>
        <w:ind w:left="714"/>
      </w:pPr>
      <w:r>
        <w:t>“</w:t>
      </w:r>
      <w:r w:rsidRPr="00163A6B">
        <w:rPr>
          <w:rStyle w:val="Italic"/>
        </w:rPr>
        <w:t>We think the challenge is finding opportunities to extend the portfolio, because not all our staff are aware of this topic, and there is a need for more capacity building so our staff can more easily identify the opportunities.”</w:t>
      </w:r>
      <w:r>
        <w:t xml:space="preserve"> </w:t>
      </w:r>
      <w:r w:rsidRPr="00163A6B">
        <w:rPr>
          <w:rStyle w:val="Italic"/>
        </w:rPr>
        <w:t>(Mexico, FI)</w:t>
      </w:r>
      <w:r w:rsidRPr="00163A6B">
        <w:t xml:space="preserve"> </w:t>
      </w:r>
    </w:p>
    <w:p w14:paraId="7F1B923E" w14:textId="7C913C5A" w:rsidR="00E80301" w:rsidRDefault="00E80301" w:rsidP="00163A6B">
      <w:pPr>
        <w:pStyle w:val="DESNZbulletedlist"/>
      </w:pPr>
      <w:r>
        <w:t>Training and capacity building helps developers and</w:t>
      </w:r>
      <w:r w:rsidR="00C572DA" w:rsidRPr="00C572DA">
        <w:t xml:space="preserve"> consultants </w:t>
      </w:r>
      <w:r>
        <w:t xml:space="preserve">better </w:t>
      </w:r>
      <w:r w:rsidR="00C572DA" w:rsidRPr="00C572DA">
        <w:t>understand the processes and requirements of the green building market</w:t>
      </w:r>
      <w:r>
        <w:t xml:space="preserve">. </w:t>
      </w:r>
      <w:r w:rsidR="0074799B" w:rsidRPr="0074799B">
        <w:t xml:space="preserve">For example, in Ghana, green building consultants found value in hearing directly from auditors. </w:t>
      </w:r>
      <w:r w:rsidR="0074799B">
        <w:t xml:space="preserve">Hearing </w:t>
      </w:r>
      <w:r w:rsidR="0074799B" w:rsidRPr="0074799B">
        <w:t>auditor expectations improved compliance with green certification processes.</w:t>
      </w:r>
    </w:p>
    <w:p w14:paraId="7D9FE522" w14:textId="16175F0A" w:rsidR="00C572DA" w:rsidRPr="00C572DA" w:rsidRDefault="00C572DA" w:rsidP="00E80301">
      <w:pPr>
        <w:pStyle w:val="Quote"/>
      </w:pPr>
      <w:r w:rsidRPr="00C572DA">
        <w:t>“Such workshops really help us do our job better and easier</w:t>
      </w:r>
      <w:r w:rsidR="00F47282">
        <w:t>.</w:t>
      </w:r>
      <w:r w:rsidRPr="00C572DA">
        <w:t>” (</w:t>
      </w:r>
      <w:r w:rsidR="00E80301">
        <w:t>Ghana certification company</w:t>
      </w:r>
      <w:r w:rsidRPr="00C572DA">
        <w:t>)</w:t>
      </w:r>
    </w:p>
    <w:p w14:paraId="7D64BB7C" w14:textId="77777777" w:rsidR="00163A6B" w:rsidRDefault="00E80301" w:rsidP="00C572DA">
      <w:pPr>
        <w:pStyle w:val="DESNZbulletedlist"/>
      </w:pPr>
      <w:r>
        <w:t>Capacity building</w:t>
      </w:r>
      <w:r w:rsidR="00C572DA" w:rsidRPr="00C572DA">
        <w:t xml:space="preserve"> is important for decision makers and government officials. </w:t>
      </w:r>
      <w:r w:rsidRPr="00C572DA">
        <w:t>From the perspective of building sector,</w:t>
      </w:r>
      <w:r>
        <w:t xml:space="preserve"> it is c</w:t>
      </w:r>
      <w:r w:rsidR="00C572DA" w:rsidRPr="00C572DA">
        <w:t xml:space="preserve">rucial to educate </w:t>
      </w:r>
      <w:r>
        <w:t>the public sector</w:t>
      </w:r>
      <w:r w:rsidR="00C572DA" w:rsidRPr="00C572DA">
        <w:t xml:space="preserve"> about benefits of green buildings for driving wider adoption.</w:t>
      </w:r>
      <w:r>
        <w:t xml:space="preserve"> </w:t>
      </w:r>
    </w:p>
    <w:p w14:paraId="7944D5BF" w14:textId="62F8C9DB" w:rsidR="00C572DA" w:rsidRPr="00163A6B" w:rsidRDefault="00163A6B" w:rsidP="00163A6B">
      <w:pPr>
        <w:pStyle w:val="DESNZbulletedlist"/>
        <w:numPr>
          <w:ilvl w:val="0"/>
          <w:numId w:val="0"/>
        </w:numPr>
        <w:ind w:left="714"/>
        <w:rPr>
          <w:rStyle w:val="Italic"/>
        </w:rPr>
      </w:pPr>
      <w:r w:rsidRPr="00163A6B">
        <w:rPr>
          <w:rStyle w:val="Italic"/>
        </w:rPr>
        <w:t>“Policymakers in Vietnam are generally aware of green building initiatives, but there is still a gap in turning this awareness into action.” (Vietnam, policy stakeholder)</w:t>
      </w:r>
    </w:p>
    <w:p w14:paraId="029D99B2" w14:textId="17530C46" w:rsidR="00BE6EA0" w:rsidRPr="00E80301" w:rsidRDefault="000F43BC" w:rsidP="00E80301">
      <w:pPr>
        <w:pStyle w:val="DESNZbulletedlist"/>
        <w:numPr>
          <w:ilvl w:val="0"/>
          <w:numId w:val="0"/>
        </w:numPr>
        <w:rPr>
          <w:b/>
        </w:rPr>
      </w:pPr>
      <w:r>
        <w:rPr>
          <w:rStyle w:val="Boldtext"/>
        </w:rPr>
        <w:t xml:space="preserve">B. </w:t>
      </w:r>
      <w:r w:rsidR="00E80301">
        <w:rPr>
          <w:rStyle w:val="Boldtext"/>
        </w:rPr>
        <w:t>There is initial evidence that MAGC’s efforts are contributing to the</w:t>
      </w:r>
      <w:r w:rsidR="00C572DA" w:rsidRPr="00BE6EA0">
        <w:rPr>
          <w:rStyle w:val="Boldtext"/>
        </w:rPr>
        <w:t xml:space="preserve"> development of a </w:t>
      </w:r>
      <w:r w:rsidR="00E80301">
        <w:rPr>
          <w:rStyle w:val="Boldtext"/>
        </w:rPr>
        <w:t xml:space="preserve">growing </w:t>
      </w:r>
      <w:r w:rsidR="00C572DA" w:rsidRPr="00BE6EA0">
        <w:rPr>
          <w:rStyle w:val="Boldtext"/>
        </w:rPr>
        <w:t xml:space="preserve">pool of skilled </w:t>
      </w:r>
      <w:r w:rsidR="00E80301">
        <w:rPr>
          <w:rStyle w:val="Boldtext"/>
        </w:rPr>
        <w:t xml:space="preserve">professionals in the green building sector. </w:t>
      </w:r>
      <w:r w:rsidR="00610390">
        <w:t xml:space="preserve">Stakeholders in the building sector have reported an increased availability of </w:t>
      </w:r>
      <w:r w:rsidR="00265FB4">
        <w:t xml:space="preserve">accredited </w:t>
      </w:r>
      <w:r w:rsidR="00610390">
        <w:t xml:space="preserve">EDGE experts available to hire in the market </w:t>
      </w:r>
      <w:r w:rsidR="00610390" w:rsidRPr="00E80301">
        <w:t>who can design, construct, and certify green buildings.</w:t>
      </w:r>
    </w:p>
    <w:p w14:paraId="3616A585" w14:textId="48C5310F" w:rsidR="00BE6EA0" w:rsidRDefault="00C572DA" w:rsidP="00BE6EA0">
      <w:pPr>
        <w:pStyle w:val="Quote"/>
      </w:pPr>
      <w:r w:rsidRPr="00C572DA">
        <w:t>"We have seen more and more technical competent people in the green building field that are accessible to us to hire if we need, so it's easier now to have in-house capabilities to perform our services, this was not possible a few years ago." (</w:t>
      </w:r>
      <w:r w:rsidR="00BE6EA0">
        <w:t xml:space="preserve">Egypt, </w:t>
      </w:r>
      <w:r w:rsidRPr="00C572DA">
        <w:t>Certification company)</w:t>
      </w:r>
    </w:p>
    <w:p w14:paraId="7E86ED6C" w14:textId="7623A6EC" w:rsidR="00C572DA" w:rsidRDefault="00610390" w:rsidP="00BE6EA0">
      <w:pPr>
        <w:pStyle w:val="Quote"/>
      </w:pPr>
      <w:r>
        <w:t>“</w:t>
      </w:r>
      <w:r w:rsidR="00C572DA" w:rsidRPr="00C572DA">
        <w:t>Training program</w:t>
      </w:r>
      <w:r w:rsidR="00B47B36">
        <w:t>me</w:t>
      </w:r>
      <w:r w:rsidR="00C572DA" w:rsidRPr="00C572DA">
        <w:t>s by IFC and partners have created a growing community of EDGE Expert professionals in Kenya</w:t>
      </w:r>
      <w:r w:rsidR="00C572DA">
        <w:t>.</w:t>
      </w:r>
      <w:r>
        <w:t>” (Kenya, building sector stakeholder)</w:t>
      </w:r>
    </w:p>
    <w:p w14:paraId="7A338828" w14:textId="0A3730E4" w:rsidR="008C1C8D" w:rsidRDefault="000F43BC" w:rsidP="008C1C8D">
      <w:pPr>
        <w:pStyle w:val="Heading3"/>
      </w:pPr>
      <w:bookmarkStart w:id="61" w:name="_Toc178692284"/>
      <w:bookmarkStart w:id="62" w:name="_Toc178758693"/>
      <w:bookmarkStart w:id="63" w:name="_Toc181361043"/>
      <w:bookmarkStart w:id="64" w:name="_Toc182236776"/>
      <w:bookmarkStart w:id="65" w:name="_Toc189155225"/>
      <w:r>
        <w:t xml:space="preserve">5.2.4 </w:t>
      </w:r>
      <w:r w:rsidR="008C1C8D">
        <w:t>Leverage/incentives for others to act</w:t>
      </w:r>
      <w:bookmarkEnd w:id="61"/>
      <w:bookmarkEnd w:id="62"/>
      <w:bookmarkEnd w:id="63"/>
      <w:bookmarkEnd w:id="64"/>
      <w:bookmarkEnd w:id="65"/>
    </w:p>
    <w:p w14:paraId="3CADFBCF" w14:textId="100B4CFF" w:rsidR="00856EC2" w:rsidRPr="003529DA" w:rsidRDefault="000F43BC" w:rsidP="3D69FE11">
      <w:pPr>
        <w:rPr>
          <w:rStyle w:val="Boldtext"/>
        </w:rPr>
      </w:pPr>
      <w:r>
        <w:rPr>
          <w:rStyle w:val="Boldtext"/>
        </w:rPr>
        <w:t xml:space="preserve">A. </w:t>
      </w:r>
      <w:r w:rsidR="00610390" w:rsidRPr="3D69FE11">
        <w:rPr>
          <w:rStyle w:val="Boldtext"/>
        </w:rPr>
        <w:t>In countries where MAGC operates, there are some early signs</w:t>
      </w:r>
      <w:r w:rsidR="003A2538" w:rsidRPr="3D69FE11">
        <w:rPr>
          <w:rStyle w:val="Boldtext"/>
        </w:rPr>
        <w:t xml:space="preserve"> </w:t>
      </w:r>
      <w:r w:rsidR="00DC34CD" w:rsidRPr="3D69FE11">
        <w:rPr>
          <w:rStyle w:val="Boldtext"/>
        </w:rPr>
        <w:t xml:space="preserve">that the programme is incentivising </w:t>
      </w:r>
      <w:r w:rsidR="00F24C09" w:rsidRPr="3D69FE11">
        <w:rPr>
          <w:rStyle w:val="Boldtext"/>
        </w:rPr>
        <w:t>stakeholders to take action</w:t>
      </w:r>
      <w:r w:rsidR="00702C1C" w:rsidRPr="3D69FE11">
        <w:rPr>
          <w:rStyle w:val="Boldtext"/>
        </w:rPr>
        <w:t xml:space="preserve"> on greener construction</w:t>
      </w:r>
      <w:r w:rsidR="007E605D" w:rsidRPr="3D69FE11">
        <w:rPr>
          <w:rStyle w:val="Boldtext"/>
        </w:rPr>
        <w:t xml:space="preserve">. </w:t>
      </w:r>
    </w:p>
    <w:p w14:paraId="15B49E5D" w14:textId="6998E94A" w:rsidR="00F377E2" w:rsidRDefault="001E7076" w:rsidP="003A2538">
      <w:r>
        <w:t>The high leverage ratio of MAGC’s funding (</w:t>
      </w:r>
      <w:r w:rsidR="00E32592">
        <w:t>32</w:t>
      </w:r>
      <w:r>
        <w:t>:1 which was higher than expectations outlined in the business case)</w:t>
      </w:r>
      <w:r>
        <w:rPr>
          <w:rStyle w:val="FootnoteReference"/>
        </w:rPr>
        <w:footnoteReference w:id="64"/>
      </w:r>
      <w:r>
        <w:t xml:space="preserve"> demonstrates the early success of the programme on this transformational change criterion. </w:t>
      </w:r>
      <w:r w:rsidR="00142A95">
        <w:t xml:space="preserve">The evidence from this evaluation </w:t>
      </w:r>
      <w:r w:rsidR="00FA4DF0">
        <w:t>suggests</w:t>
      </w:r>
      <w:r w:rsidR="00DA6DA8">
        <w:t xml:space="preserve"> </w:t>
      </w:r>
      <w:r w:rsidR="00236AE7">
        <w:t xml:space="preserve">that through MAGC activities, </w:t>
      </w:r>
      <w:r w:rsidR="00F3372B">
        <w:t>banks, developers and other players in the green building sector</w:t>
      </w:r>
      <w:r w:rsidR="00236AE7">
        <w:t xml:space="preserve"> are starting to recognise the benefits of green constructio</w:t>
      </w:r>
      <w:r w:rsidR="00085117">
        <w:t>n</w:t>
      </w:r>
      <w:r w:rsidR="00013936">
        <w:t>.</w:t>
      </w:r>
      <w:r w:rsidR="008516E2">
        <w:t xml:space="preserve"> </w:t>
      </w:r>
      <w:r w:rsidR="00013936">
        <w:t>In other words</w:t>
      </w:r>
      <w:r w:rsidR="0086157E">
        <w:t>,</w:t>
      </w:r>
      <w:r w:rsidR="008516E2">
        <w:t xml:space="preserve"> MAGC is incentivising green </w:t>
      </w:r>
      <w:r w:rsidR="003F5BFC">
        <w:t>construction</w:t>
      </w:r>
      <w:r w:rsidR="008516E2">
        <w:t xml:space="preserve"> through its support offer / activities</w:t>
      </w:r>
      <w:r w:rsidR="00085117">
        <w:t>. Th</w:t>
      </w:r>
      <w:r w:rsidR="00F377E2">
        <w:t xml:space="preserve">e following </w:t>
      </w:r>
      <w:r w:rsidR="008516E2">
        <w:t>findings have</w:t>
      </w:r>
      <w:r w:rsidR="00F377E2">
        <w:t xml:space="preserve"> emerged:</w:t>
      </w:r>
    </w:p>
    <w:p w14:paraId="7354DF06" w14:textId="38C07686" w:rsidR="00F377E2" w:rsidRPr="00F377E2" w:rsidRDefault="00976105" w:rsidP="00F377E2">
      <w:pPr>
        <w:pStyle w:val="DESNZbulletedlist"/>
      </w:pPr>
      <w:r>
        <w:t xml:space="preserve">Amongst </w:t>
      </w:r>
      <w:r w:rsidRPr="00F377E2">
        <w:t>banks eager to promote sustainability</w:t>
      </w:r>
      <w:r>
        <w:t xml:space="preserve"> and </w:t>
      </w:r>
      <w:r w:rsidRPr="00F377E2">
        <w:t>local and national governments w</w:t>
      </w:r>
      <w:r>
        <w:t xml:space="preserve">ho are </w:t>
      </w:r>
      <w:r w:rsidRPr="00F377E2">
        <w:t>seek</w:t>
      </w:r>
      <w:r>
        <w:t>ing</w:t>
      </w:r>
      <w:r w:rsidRPr="00F377E2">
        <w:t xml:space="preserve"> to enhance the financial appeal of building green</w:t>
      </w:r>
      <w:r>
        <w:t>, MAGC has enabled them to unlock</w:t>
      </w:r>
      <w:r w:rsidR="00F377E2" w:rsidRPr="00F377E2">
        <w:t xml:space="preserve"> favourable financing options </w:t>
      </w:r>
      <w:r>
        <w:t xml:space="preserve">for </w:t>
      </w:r>
      <w:r w:rsidR="001639A0">
        <w:t>developers and end users</w:t>
      </w:r>
      <w:r w:rsidR="00F377E2" w:rsidRPr="00F377E2">
        <w:t xml:space="preserve"> (e.g., lower interest rates, potential cashback incentives, lower licencing fees) </w:t>
      </w:r>
      <w:r>
        <w:t>which incentivises green construction</w:t>
      </w:r>
      <w:r w:rsidR="00D00164">
        <w:t>.</w:t>
      </w:r>
      <w:r w:rsidR="00F377E2" w:rsidRPr="00F377E2">
        <w:t xml:space="preserve"> </w:t>
      </w:r>
    </w:p>
    <w:p w14:paraId="20F06857" w14:textId="6797C545" w:rsidR="002113D9" w:rsidRPr="002113D9" w:rsidRDefault="00C5339C" w:rsidP="002113D9">
      <w:pPr>
        <w:pStyle w:val="DESNZbulletedlist"/>
      </w:pPr>
      <w:r>
        <w:t>G</w:t>
      </w:r>
      <w:r w:rsidR="00C82714">
        <w:t>reen building</w:t>
      </w:r>
      <w:r w:rsidR="003F6E5B">
        <w:t xml:space="preserve"> certification </w:t>
      </w:r>
      <w:r w:rsidR="0018617F">
        <w:t>often indicates to property investors and buyers</w:t>
      </w:r>
      <w:r>
        <w:t xml:space="preserve"> </w:t>
      </w:r>
      <w:r w:rsidR="0018617F">
        <w:t>the</w:t>
      </w:r>
      <w:r w:rsidR="00745851">
        <w:t xml:space="preserve"> commitment </w:t>
      </w:r>
      <w:r w:rsidR="0018617F">
        <w:t>of developers to</w:t>
      </w:r>
      <w:r w:rsidR="009A5954">
        <w:t xml:space="preserve"> </w:t>
      </w:r>
      <w:r w:rsidR="0018617F" w:rsidRPr="002113D9">
        <w:t>E</w:t>
      </w:r>
      <w:r>
        <w:t>nvironmental, Social, and Governance (ESG)</w:t>
      </w:r>
      <w:r w:rsidR="0018617F" w:rsidRPr="002113D9">
        <w:t xml:space="preserve"> principles</w:t>
      </w:r>
      <w:r>
        <w:t>. I</w:t>
      </w:r>
      <w:r w:rsidR="0018617F">
        <w:t xml:space="preserve">t can </w:t>
      </w:r>
      <w:r>
        <w:t xml:space="preserve">therefore </w:t>
      </w:r>
      <w:r w:rsidR="0018617F">
        <w:t>provide</w:t>
      </w:r>
      <w:r w:rsidR="002113D9" w:rsidRPr="002113D9">
        <w:t xml:space="preserve"> a strong marketing tool</w:t>
      </w:r>
      <w:r w:rsidR="0018617F">
        <w:t xml:space="preserve"> and </w:t>
      </w:r>
      <w:r w:rsidR="002113D9" w:rsidRPr="002113D9">
        <w:t>boost</w:t>
      </w:r>
      <w:r w:rsidR="0018617F">
        <w:t xml:space="preserve"> the</w:t>
      </w:r>
      <w:r w:rsidR="002113D9" w:rsidRPr="002113D9">
        <w:t xml:space="preserve"> reputation</w:t>
      </w:r>
      <w:r w:rsidR="0018617F">
        <w:t xml:space="preserve"> of accredited developers</w:t>
      </w:r>
      <w:r>
        <w:t>. I</w:t>
      </w:r>
      <w:r w:rsidR="0018617F">
        <w:t>n this way</w:t>
      </w:r>
      <w:r>
        <w:t>,</w:t>
      </w:r>
      <w:r w:rsidR="0018617F">
        <w:t xml:space="preserve"> the certification lever incentivises </w:t>
      </w:r>
      <w:r w:rsidR="00645C1D">
        <w:t>EDGE take-up</w:t>
      </w:r>
      <w:r w:rsidR="00026DA0">
        <w:t xml:space="preserve"> and the sustainable construction behaviours associated with EDGE compliance</w:t>
      </w:r>
      <w:r w:rsidR="00D00164">
        <w:t>.</w:t>
      </w:r>
    </w:p>
    <w:p w14:paraId="36153724" w14:textId="66B9922D" w:rsidR="008265EE" w:rsidRDefault="008265EE" w:rsidP="00F377E2">
      <w:pPr>
        <w:pStyle w:val="DESNZbulletedlist"/>
      </w:pPr>
      <w:r w:rsidRPr="008265EE">
        <w:t xml:space="preserve">There is some evidence of </w:t>
      </w:r>
      <w:r w:rsidR="001E7076">
        <w:t xml:space="preserve">FIs supported by MAGC having </w:t>
      </w:r>
      <w:r w:rsidR="001E7076" w:rsidRPr="008265EE">
        <w:t xml:space="preserve">future plans to expand their </w:t>
      </w:r>
      <w:r w:rsidRPr="008265EE">
        <w:t>green construction offering outside of MAGC (e.g.</w:t>
      </w:r>
      <w:r w:rsidR="004F6CF2">
        <w:t>,</w:t>
      </w:r>
      <w:r w:rsidRPr="008265EE">
        <w:t xml:space="preserve"> in Colombia and Kenya)</w:t>
      </w:r>
      <w:r w:rsidR="00013936">
        <w:t>.</w:t>
      </w:r>
      <w:r w:rsidRPr="008265EE">
        <w:t xml:space="preserve"> </w:t>
      </w:r>
      <w:r w:rsidR="00013936">
        <w:t>T</w:t>
      </w:r>
      <w:r>
        <w:t>he evaluation has not yet</w:t>
      </w:r>
      <w:r w:rsidRPr="008265EE">
        <w:t xml:space="preserve"> found clear demonstration of products already being offered outside of MAGC support</w:t>
      </w:r>
      <w:r w:rsidR="00013936">
        <w:t>.</w:t>
      </w:r>
    </w:p>
    <w:p w14:paraId="7B5B6CCD" w14:textId="4D30749D" w:rsidR="004F72AD" w:rsidRDefault="00635269" w:rsidP="006A0317">
      <w:r w:rsidRPr="00635269">
        <w:t xml:space="preserve">A clear common theme emerged about </w:t>
      </w:r>
      <w:r w:rsidRPr="006A0317">
        <w:rPr>
          <w:rStyle w:val="Boldtext"/>
        </w:rPr>
        <w:t>government initiatives playing a crucial role in promoting green building practices</w:t>
      </w:r>
      <w:r w:rsidR="00FB707F">
        <w:t xml:space="preserve">. </w:t>
      </w:r>
      <w:r w:rsidR="00FB707F" w:rsidRPr="00E44244">
        <w:t>While some countries have shown positive policy progress (e.g.</w:t>
      </w:r>
      <w:r w:rsidR="004F6CF2">
        <w:t>,</w:t>
      </w:r>
      <w:r w:rsidR="00FB707F">
        <w:t xml:space="preserve"> see case studies in </w:t>
      </w:r>
      <w:r w:rsidR="00FB707F" w:rsidRPr="00E44244">
        <w:t xml:space="preserve">Colombia, Kenya), others </w:t>
      </w:r>
      <w:r w:rsidR="00FB707F">
        <w:t xml:space="preserve">still </w:t>
      </w:r>
      <w:r w:rsidR="00FB707F" w:rsidRPr="00E44244">
        <w:t>face implementation challenges (</w:t>
      </w:r>
      <w:r w:rsidR="00FB707F">
        <w:t>see case studies in</w:t>
      </w:r>
      <w:r w:rsidR="00FB707F" w:rsidRPr="00E44244">
        <w:t xml:space="preserve"> South Africa, India).</w:t>
      </w:r>
      <w:r w:rsidRPr="00635269">
        <w:t xml:space="preserve"> MAGC could have a role in assisting the development of these initiatives. The development of green building codes</w:t>
      </w:r>
      <w:r w:rsidR="004F72AD" w:rsidRPr="004F72AD">
        <w:t xml:space="preserve"> </w:t>
      </w:r>
      <w:r w:rsidR="004F72AD">
        <w:t xml:space="preserve">and </w:t>
      </w:r>
      <w:r w:rsidR="004F72AD" w:rsidRPr="005E18F6">
        <w:t>decree</w:t>
      </w:r>
      <w:r w:rsidR="004F72AD">
        <w:t>s</w:t>
      </w:r>
      <w:r w:rsidR="004F72AD" w:rsidRPr="005E18F6">
        <w:t xml:space="preserve"> on incentives for green construction</w:t>
      </w:r>
      <w:r w:rsidRPr="00635269">
        <w:t xml:space="preserve">, </w:t>
      </w:r>
      <w:r w:rsidR="004F72AD">
        <w:t>as</w:t>
      </w:r>
      <w:r w:rsidRPr="00635269">
        <w:t xml:space="preserve"> in Ghana, </w:t>
      </w:r>
      <w:r w:rsidR="00786133">
        <w:t>and Colombia</w:t>
      </w:r>
      <w:r w:rsidR="00EE5B72">
        <w:t xml:space="preserve"> </w:t>
      </w:r>
      <w:r w:rsidR="00013936">
        <w:t>(both</w:t>
      </w:r>
      <w:r w:rsidR="00EE5B72">
        <w:t xml:space="preserve"> with IFC assistance) </w:t>
      </w:r>
      <w:r w:rsidRPr="00635269">
        <w:t>provide a clear framework for sustainable construction. Capacity building initiatives, like those supported by MAGC with municipalities in Mexico, equip stakeholders with the necessary skills and knowledge to implement green building principles. Technical incentives, such as building height index incentives for certified buildings, were also mentioned in Colombia and Peru</w:t>
      </w:r>
      <w:r w:rsidR="004F72AD">
        <w:t>.</w:t>
      </w:r>
      <w:r w:rsidRPr="00635269">
        <w:t xml:space="preserve"> </w:t>
      </w:r>
      <w:r w:rsidR="004F72AD">
        <w:t xml:space="preserve">These are </w:t>
      </w:r>
      <w:r w:rsidRPr="00635269">
        <w:t xml:space="preserve">instruments that can be used by subnational governments to encourage green building </w:t>
      </w:r>
      <w:r w:rsidR="00B47B36">
        <w:t>take-up</w:t>
      </w:r>
      <w:r w:rsidRPr="00635269">
        <w:t xml:space="preserve">. Initiatives were also mentioned at the end user level, </w:t>
      </w:r>
      <w:r w:rsidR="008352CF">
        <w:t>for example,</w:t>
      </w:r>
      <w:r w:rsidRPr="00635269">
        <w:t xml:space="preserve"> property taxes: </w:t>
      </w:r>
    </w:p>
    <w:p w14:paraId="2675DC3C" w14:textId="00F969C5" w:rsidR="00635269" w:rsidRPr="00786133" w:rsidRDefault="00635269" w:rsidP="00786133">
      <w:pPr>
        <w:pStyle w:val="Quote"/>
      </w:pPr>
      <w:r w:rsidRPr="00786133">
        <w:t>“For example, the property tax, which is a tax that everyone pays for a home, is already being analysed in Medellín and other municipalities to provide incentives if the home is green</w:t>
      </w:r>
      <w:r w:rsidR="00D97AD1" w:rsidRPr="00786133">
        <w:t>, [and provide]</w:t>
      </w:r>
      <w:r w:rsidRPr="00786133">
        <w:t xml:space="preserve"> gradual reductions in that tax for those buildings.” (Colombia, building sector)</w:t>
      </w:r>
    </w:p>
    <w:p w14:paraId="6B0C4DA4" w14:textId="4D705782" w:rsidR="003A2538" w:rsidRDefault="00610390" w:rsidP="003A2538">
      <w:r>
        <w:t xml:space="preserve">Among stakeholders </w:t>
      </w:r>
      <w:r w:rsidR="00F3372B">
        <w:t xml:space="preserve">(FIs, developers, policy stakeholders) </w:t>
      </w:r>
      <w:r>
        <w:t>who were</w:t>
      </w:r>
      <w:r w:rsidR="00C572DA">
        <w:t xml:space="preserve"> not involved with MAGC or not been involved with IFC, </w:t>
      </w:r>
      <w:r>
        <w:t xml:space="preserve">several </w:t>
      </w:r>
      <w:r w:rsidR="00C572DA">
        <w:t xml:space="preserve">expressed </w:t>
      </w:r>
      <w:r w:rsidR="00C572DA" w:rsidRPr="0D4F6870">
        <w:rPr>
          <w:rStyle w:val="Boldtext"/>
        </w:rPr>
        <w:t>interest to learn more about how MAGC could support their green building efforts</w:t>
      </w:r>
      <w:r w:rsidR="00C572DA">
        <w:t>, especially in subsidi</w:t>
      </w:r>
      <w:r>
        <w:t>s</w:t>
      </w:r>
      <w:r w:rsidR="00C572DA">
        <w:t xml:space="preserve">ing certification costs. </w:t>
      </w:r>
      <w:r>
        <w:t>For example, a</w:t>
      </w:r>
      <w:r w:rsidR="004F72AD">
        <w:t>n</w:t>
      </w:r>
      <w:r>
        <w:t xml:space="preserve"> </w:t>
      </w:r>
      <w:r w:rsidR="00C572DA">
        <w:t xml:space="preserve">FI in Kenya </w:t>
      </w:r>
      <w:r>
        <w:t xml:space="preserve">shared they are </w:t>
      </w:r>
      <w:r w:rsidR="00C572DA">
        <w:t xml:space="preserve">keen to deepen engagement </w:t>
      </w:r>
      <w:r>
        <w:t xml:space="preserve">with IFC </w:t>
      </w:r>
      <w:r w:rsidR="00C572DA">
        <w:t>and learn from IFC's experience in other markets</w:t>
      </w:r>
      <w:r>
        <w:t xml:space="preserve">, in particular </w:t>
      </w:r>
      <w:r w:rsidR="00C572DA">
        <w:t>South Africa.</w:t>
      </w:r>
      <w:r w:rsidR="003A2538">
        <w:t xml:space="preserve"> </w:t>
      </w:r>
    </w:p>
    <w:p w14:paraId="173EE921" w14:textId="1C023AC6" w:rsidR="00663EBF" w:rsidRDefault="00663EBF" w:rsidP="00C7272B">
      <w:pPr>
        <w:pStyle w:val="Heading2"/>
      </w:pPr>
      <w:bookmarkStart w:id="66" w:name="_Toc189155226"/>
      <w:r>
        <w:t>5.3 Summary of case studies</w:t>
      </w:r>
      <w:bookmarkEnd w:id="66"/>
    </w:p>
    <w:p w14:paraId="16A3BCC7" w14:textId="6ACF2F75" w:rsidR="004F13E0" w:rsidRPr="004F13E0" w:rsidRDefault="004F13E0" w:rsidP="00626751">
      <w:r>
        <w:t>This section summarises findings from the five case studies carried out in this evaluation (in Colombia, India, Kenya, Vietnam, and South Africa). More information on case study selection and MAGC activity in each country can be found in the Case study annex.</w:t>
      </w:r>
    </w:p>
    <w:p w14:paraId="2F3E5B79" w14:textId="77777777" w:rsidR="004F13E0" w:rsidRDefault="00DC4B30" w:rsidP="00786133">
      <w:pPr>
        <w:pStyle w:val="Tintbox"/>
        <w:spacing w:after="120"/>
        <w:rPr>
          <w:b/>
          <w:bCs/>
        </w:rPr>
      </w:pPr>
      <w:r>
        <w:rPr>
          <w:b/>
          <w:bCs/>
        </w:rPr>
        <w:t>Key findings across case studies</w:t>
      </w:r>
    </w:p>
    <w:p w14:paraId="5FA4EEDB" w14:textId="0CB4FE24" w:rsidR="004F13E0" w:rsidRPr="00626751" w:rsidRDefault="00DC4B30" w:rsidP="00626751">
      <w:pPr>
        <w:pStyle w:val="Tintbox"/>
        <w:rPr>
          <w:b/>
          <w:bCs/>
        </w:rPr>
      </w:pPr>
      <w:r>
        <w:rPr>
          <w:rStyle w:val="Italic"/>
          <w:i w:val="0"/>
          <w:iCs/>
        </w:rPr>
        <w:t>MAGC</w:t>
      </w:r>
      <w:r w:rsidRPr="003D7D91">
        <w:rPr>
          <w:rStyle w:val="Italic"/>
          <w:i w:val="0"/>
          <w:iCs/>
        </w:rPr>
        <w:t xml:space="preserve"> is achieving early success in promoting green building practices across different contexts, though market maturity and specific challenges vary by country.</w:t>
      </w:r>
      <w:r w:rsidRPr="00956D94">
        <w:rPr>
          <w:rStyle w:val="Italic"/>
        </w:rPr>
        <w:t xml:space="preserve"> </w:t>
      </w:r>
      <w:r w:rsidRPr="00815A9A">
        <w:t xml:space="preserve">MAGC's concessional blended finance for </w:t>
      </w:r>
      <w:r w:rsidR="008926EC">
        <w:t>FI</w:t>
      </w:r>
      <w:r w:rsidRPr="00815A9A">
        <w:t>s has shown promising results in some countries</w:t>
      </w:r>
      <w:r w:rsidR="004215BA">
        <w:t>.</w:t>
      </w:r>
      <w:r>
        <w:t xml:space="preserve"> </w:t>
      </w:r>
      <w:r w:rsidR="004215BA">
        <w:t>The</w:t>
      </w:r>
      <w:r>
        <w:t xml:space="preserve"> advisory and </w:t>
      </w:r>
      <w:r w:rsidRPr="00D338A6">
        <w:t>capacity building</w:t>
      </w:r>
      <w:r>
        <w:t xml:space="preserve"> </w:t>
      </w:r>
      <w:r w:rsidR="75F34E21">
        <w:t>has</w:t>
      </w:r>
      <w:r>
        <w:t xml:space="preserve"> contributed to an</w:t>
      </w:r>
      <w:r w:rsidRPr="00D338A6">
        <w:t xml:space="preserve"> improved understanding </w:t>
      </w:r>
      <w:r>
        <w:t xml:space="preserve">of green buildings </w:t>
      </w:r>
      <w:r w:rsidRPr="00D338A6">
        <w:t xml:space="preserve">among developers and financial institutions. </w:t>
      </w:r>
    </w:p>
    <w:p w14:paraId="5B43F302" w14:textId="77F3F277" w:rsidR="004F13E0" w:rsidRDefault="00D301C5" w:rsidP="004F13E0">
      <w:pPr>
        <w:pStyle w:val="Tintbox"/>
      </w:pPr>
      <w:r w:rsidRPr="004F13E0">
        <w:t>MAGC's success is influenced by a combination</w:t>
      </w:r>
      <w:r>
        <w:t xml:space="preserve"> of factors, some of which are external and pre-existing MAGC, namely</w:t>
      </w:r>
      <w:r w:rsidRPr="004F13E0">
        <w:t xml:space="preserve"> government support, private sector engagement, financial market maturity, and consumer awareness.</w:t>
      </w:r>
      <w:r>
        <w:t xml:space="preserve"> </w:t>
      </w:r>
      <w:r w:rsidR="004F13E0" w:rsidRPr="004F13E0">
        <w:t xml:space="preserve">In Colombia and South Africa, supportive policy frameworks and active developer participation, coupled with available green financing options, have driven significant market penetration of EDGE-certified buildings. </w:t>
      </w:r>
      <w:r w:rsidR="004F13E0">
        <w:t>F</w:t>
      </w:r>
      <w:r w:rsidR="004F13E0" w:rsidRPr="004F13E0">
        <w:rPr>
          <w:rStyle w:val="Italic"/>
          <w:i w:val="0"/>
          <w:iCs/>
        </w:rPr>
        <w:t xml:space="preserve">or example, </w:t>
      </w:r>
      <w:r w:rsidR="004F13E0" w:rsidRPr="00131292">
        <w:t>Colombia demonstrates policy progress at the municipal level</w:t>
      </w:r>
      <w:r w:rsidR="004F13E0" w:rsidDel="00956D94">
        <w:rPr>
          <w:rStyle w:val="Italic"/>
        </w:rPr>
        <w:t xml:space="preserve"> </w:t>
      </w:r>
      <w:r w:rsidR="001E7076">
        <w:rPr>
          <w:rStyle w:val="Italic"/>
          <w:i w:val="0"/>
          <w:iCs/>
        </w:rPr>
        <w:t>due</w:t>
      </w:r>
      <w:r w:rsidR="004F13E0" w:rsidRPr="004F13E0">
        <w:rPr>
          <w:rStyle w:val="Italic"/>
          <w:i w:val="0"/>
          <w:iCs/>
        </w:rPr>
        <w:t xml:space="preserve"> to its decentralised structure, and </w:t>
      </w:r>
      <w:r w:rsidR="004F13E0" w:rsidRPr="00131292">
        <w:t>South Africa benefits from supportive frameworks like the National Development Plan</w:t>
      </w:r>
      <w:r w:rsidR="004215BA">
        <w:t>.</w:t>
      </w:r>
      <w:r w:rsidR="004215BA" w:rsidRPr="00131292">
        <w:t xml:space="preserve"> </w:t>
      </w:r>
      <w:r w:rsidR="00F44928">
        <w:t>However, i</w:t>
      </w:r>
      <w:r w:rsidR="004F13E0" w:rsidRPr="00131292">
        <w:t>mplementation gaps persist</w:t>
      </w:r>
      <w:r w:rsidR="004F13E0">
        <w:t xml:space="preserve">. </w:t>
      </w:r>
      <w:r w:rsidR="004F13E0" w:rsidRPr="004F13E0">
        <w:t>Vietnam's success in capacity building, through training and university partnerships, demonstrates the program</w:t>
      </w:r>
      <w:r w:rsidR="004F13E0">
        <w:t>me</w:t>
      </w:r>
      <w:r w:rsidR="004F13E0" w:rsidRPr="004F13E0">
        <w:t>'s potential, but limited government support and consumer demand hinder wider adoption.</w:t>
      </w:r>
      <w:r w:rsidR="004F13E0">
        <w:t xml:space="preserve"> </w:t>
      </w:r>
      <w:r w:rsidR="004F13E0" w:rsidRPr="004F13E0">
        <w:t>Kenya's nascent green building market faces challenges with high costs, limited local capacity, and low consumer awareness, despite MAGC's contributions to awareness-raising and green finance product development.</w:t>
      </w:r>
      <w:r w:rsidR="007820C8">
        <w:t xml:space="preserve"> </w:t>
      </w:r>
      <w:r w:rsidR="004F13E0" w:rsidRPr="004F13E0">
        <w:t>In India, MAGC's influence is primarily seen within financial institutions, with limited awareness among other stakeholders.</w:t>
      </w:r>
      <w:r w:rsidR="007820C8">
        <w:t xml:space="preserve"> </w:t>
      </w:r>
      <w:r w:rsidR="004F13E0" w:rsidRPr="004F13E0">
        <w:t xml:space="preserve">Both </w:t>
      </w:r>
      <w:r w:rsidR="00B91637">
        <w:t>Kenya and India</w:t>
      </w:r>
      <w:r w:rsidR="00B91637" w:rsidRPr="004F13E0">
        <w:t xml:space="preserve"> </w:t>
      </w:r>
      <w:r w:rsidR="004F13E0" w:rsidRPr="004F13E0">
        <w:t>face challenges with policy implementation and a lack of standardi</w:t>
      </w:r>
      <w:r w:rsidR="004F13E0">
        <w:t>s</w:t>
      </w:r>
      <w:r w:rsidR="004F13E0" w:rsidRPr="004F13E0">
        <w:t>ed green building definitions.</w:t>
      </w:r>
      <w:r w:rsidR="007820C8">
        <w:t xml:space="preserve"> </w:t>
      </w:r>
      <w:r w:rsidR="004F13E0" w:rsidRPr="004F13E0">
        <w:t>Across all contexts, access to affordable green finance and materials remains a critical barrier to wider adoption.</w:t>
      </w:r>
    </w:p>
    <w:p w14:paraId="1C1DDD53" w14:textId="77777777" w:rsidR="00D301C5" w:rsidRDefault="00D301C5" w:rsidP="00D301C5">
      <w:pPr>
        <w:pStyle w:val="Tintbox"/>
      </w:pPr>
      <w:r>
        <w:rPr>
          <w:rStyle w:val="Boldtext"/>
          <w:b w:val="0"/>
          <w:bCs/>
        </w:rPr>
        <w:t>Case studies r</w:t>
      </w:r>
      <w:r w:rsidRPr="00626751">
        <w:rPr>
          <w:rStyle w:val="Boldtext"/>
          <w:b w:val="0"/>
          <w:bCs/>
        </w:rPr>
        <w:t>esident</w:t>
      </w:r>
      <w:r w:rsidRPr="00131292">
        <w:t xml:space="preserve"> focus groups reveal a mixed picture regarding the lived experience of green buildings.</w:t>
      </w:r>
      <w:r>
        <w:t xml:space="preserve"> </w:t>
      </w:r>
      <w:r w:rsidRPr="00131292">
        <w:t>While residents in Colombia and Vietnam appreciate the benefits of improved air quality, reduced utility bills, and pleasant surroundings, those in South Africa expressed a disconnect between marketed sustainability and their reality, citing issues with accessibility, build quality, and limited cost savings.</w:t>
      </w:r>
      <w:r>
        <w:t xml:space="preserve"> This highlights the need for developers to </w:t>
      </w:r>
      <w:r w:rsidRPr="00131292">
        <w:t>ensure that the promised benefits translate into tangible improvements in residents' lives.</w:t>
      </w:r>
      <w:r>
        <w:t xml:space="preserve"> </w:t>
      </w:r>
      <w:r w:rsidRPr="00131292">
        <w:t>In Kenya, resident awareness of green building benefits remains low, hindering developer efforts to differentiate green projects.</w:t>
      </w:r>
      <w:r>
        <w:t xml:space="preserve"> </w:t>
      </w:r>
      <w:r w:rsidRPr="00131292">
        <w:t>This highlights the need for developers and policymakers to effectively communicate the value proposition of green buildings to consumers</w:t>
      </w:r>
      <w:r>
        <w:t>.</w:t>
      </w:r>
      <w:r w:rsidRPr="00131292">
        <w:t xml:space="preserve"> </w:t>
      </w:r>
    </w:p>
    <w:p w14:paraId="6CA845CB" w14:textId="77777777" w:rsidR="004F13E0" w:rsidRPr="00626751" w:rsidRDefault="004F13E0" w:rsidP="00626751">
      <w:pPr>
        <w:rPr>
          <w:rStyle w:val="FootnoteReference"/>
        </w:rPr>
      </w:pPr>
    </w:p>
    <w:p w14:paraId="638246DE" w14:textId="77777777" w:rsidR="00663EBF" w:rsidRDefault="00663EBF" w:rsidP="00663EBF">
      <w:pPr>
        <w:pStyle w:val="Tintbox"/>
        <w:rPr>
          <w:rStyle w:val="Boldtext"/>
        </w:rPr>
      </w:pPr>
      <w:r>
        <w:rPr>
          <w:rStyle w:val="Boldtext"/>
        </w:rPr>
        <w:t xml:space="preserve">Colombia </w:t>
      </w:r>
    </w:p>
    <w:p w14:paraId="292376FB" w14:textId="3DC7B3D0" w:rsidR="00B14A1B" w:rsidRDefault="00663EBF" w:rsidP="00663EBF">
      <w:pPr>
        <w:pStyle w:val="Tintbox"/>
      </w:pPr>
      <w:r>
        <w:t>Colombia is a leader in green buildings and EDGE certified buildings within Latin America</w:t>
      </w:r>
      <w:r w:rsidR="00265FB4">
        <w:t xml:space="preserve"> and globally</w:t>
      </w:r>
      <w:r w:rsidR="004215BA">
        <w:t>. C</w:t>
      </w:r>
      <w:r>
        <w:t xml:space="preserve">onstruction industry stakeholders </w:t>
      </w:r>
      <w:r w:rsidR="004215BA">
        <w:t xml:space="preserve">have noted </w:t>
      </w:r>
      <w:r>
        <w:t xml:space="preserve">demand for buildings </w:t>
      </w:r>
      <w:r w:rsidR="004215BA">
        <w:t xml:space="preserve">is </w:t>
      </w:r>
      <w:r>
        <w:t>increasing (</w:t>
      </w:r>
      <w:r w:rsidR="001D3B6D">
        <w:t xml:space="preserve">nearly 18 </w:t>
      </w:r>
      <w:r>
        <w:t xml:space="preserve">million </w:t>
      </w:r>
      <w:r w:rsidR="001D3B6D">
        <w:t xml:space="preserve">square </w:t>
      </w:r>
      <w:r>
        <w:t xml:space="preserve">meters </w:t>
      </w:r>
      <w:r w:rsidR="00EE5B72">
        <w:t xml:space="preserve">are </w:t>
      </w:r>
      <w:r>
        <w:t xml:space="preserve">certified </w:t>
      </w:r>
      <w:r w:rsidR="00152CD1">
        <w:t xml:space="preserve">with </w:t>
      </w:r>
      <w:r>
        <w:t>EDGE).</w:t>
      </w:r>
      <w:r w:rsidR="00F13D1A">
        <w:rPr>
          <w:rStyle w:val="FootnoteReference"/>
        </w:rPr>
        <w:footnoteReference w:id="65"/>
      </w:r>
      <w:r>
        <w:t xml:space="preserve"> Advisory support provided through MAGC component </w:t>
      </w:r>
      <w:r w:rsidR="00265FB4">
        <w:t>2 market level work</w:t>
      </w:r>
      <w:r>
        <w:t xml:space="preserve"> has been effective at enhancing in</w:t>
      </w:r>
      <w:r w:rsidR="00FB6123">
        <w:t>-</w:t>
      </w:r>
      <w:r>
        <w:t>country knowledge and use of EDGE (and EDGE Advance</w:t>
      </w:r>
      <w:r w:rsidR="00152CD1">
        <w:t>d</w:t>
      </w:r>
      <w:r>
        <w:t xml:space="preserve">). EDGE has been well received generally, with companies adopting it as part of their construction strategies. Residents of EDGE buildings also noted benefits of construction to this standard, such as significant energy and water savings. </w:t>
      </w:r>
      <w:r w:rsidR="00B14A1B">
        <w:t xml:space="preserve">The success of deploying MAGC in Colombia has been facilitated by </w:t>
      </w:r>
      <w:r w:rsidR="0AF29C1C">
        <w:t xml:space="preserve">IFC </w:t>
      </w:r>
      <w:r w:rsidR="00B14A1B">
        <w:t xml:space="preserve">partnering with </w:t>
      </w:r>
      <w:r w:rsidR="00526795">
        <w:t>Camacol. Camacol</w:t>
      </w:r>
      <w:r w:rsidR="00B14A1B">
        <w:t xml:space="preserve"> used their channels of communication to active promote the MAGC project, spreading awareness within the building sector and wider market.</w:t>
      </w:r>
    </w:p>
    <w:p w14:paraId="66A40750" w14:textId="5F3BF13B" w:rsidR="00B14A1B" w:rsidRDefault="00663EBF" w:rsidP="00663EBF">
      <w:pPr>
        <w:pStyle w:val="Tintbox"/>
      </w:pPr>
      <w:r>
        <w:t xml:space="preserve">The main barriers to expanding green construction are limited knowledge </w:t>
      </w:r>
      <w:r w:rsidR="00A5310B">
        <w:t>amongst</w:t>
      </w:r>
      <w:r w:rsidR="00C2289D">
        <w:t xml:space="preserve"> </w:t>
      </w:r>
      <w:r w:rsidR="00F20426">
        <w:t>construction</w:t>
      </w:r>
      <w:r w:rsidR="0002641B">
        <w:t xml:space="preserve"> companies </w:t>
      </w:r>
      <w:r>
        <w:t xml:space="preserve">about sustainable </w:t>
      </w:r>
      <w:r w:rsidR="00F20426">
        <w:t>buildings</w:t>
      </w:r>
      <w:r>
        <w:t xml:space="preserve">, especially in small and medium sized companies. MAGC has played </w:t>
      </w:r>
      <w:r w:rsidR="009A2B88">
        <w:t>some role</w:t>
      </w:r>
      <w:r>
        <w:t xml:space="preserve"> in overcoming perceptions</w:t>
      </w:r>
      <w:r w:rsidR="00C65A38">
        <w:t xml:space="preserve"> among</w:t>
      </w:r>
      <w:r w:rsidR="00F20426">
        <w:t xml:space="preserve"> </w:t>
      </w:r>
      <w:r w:rsidR="00EA71D2">
        <w:t>FIs</w:t>
      </w:r>
      <w:r w:rsidR="00F20426">
        <w:t xml:space="preserve"> and construction companies</w:t>
      </w:r>
      <w:r>
        <w:t xml:space="preserve"> that green </w:t>
      </w:r>
      <w:r w:rsidR="57B9AA18">
        <w:t xml:space="preserve">buildings </w:t>
      </w:r>
      <w:r w:rsidR="00041B8A">
        <w:t xml:space="preserve">are </w:t>
      </w:r>
      <w:r>
        <w:t xml:space="preserve">expensive compared with </w:t>
      </w:r>
      <w:r w:rsidR="008120ED">
        <w:t>their</w:t>
      </w:r>
      <w:r>
        <w:t xml:space="preserve"> benefits</w:t>
      </w:r>
      <w:r w:rsidR="009C0162">
        <w:t>. C</w:t>
      </w:r>
      <w:r>
        <w:t xml:space="preserve">apacity building activities have started to change policymaker knowledge </w:t>
      </w:r>
      <w:r w:rsidR="00EB0203">
        <w:t xml:space="preserve">about green construction generally. </w:t>
      </w:r>
    </w:p>
    <w:p w14:paraId="17E58F1D" w14:textId="7DA56E6A" w:rsidR="00663EBF" w:rsidRDefault="00E35FA7" w:rsidP="00663EBF">
      <w:pPr>
        <w:pStyle w:val="Tintbox"/>
        <w:rPr>
          <w:rStyle w:val="Boldtext"/>
        </w:rPr>
      </w:pPr>
      <w:r w:rsidRPr="00E35FA7">
        <w:t>Stakeholders expressed a need for increased activity focused on raising awareness of the benefits of green construction</w:t>
      </w:r>
      <w:r w:rsidR="00663EBF">
        <w:t xml:space="preserve">. Another barrier to green construction is the low capacity for strengthening public policy, such as implementing </w:t>
      </w:r>
      <w:r w:rsidR="00BD2C44" w:rsidRPr="00BD2C44">
        <w:t>tax and urban incentives for sustainable buildings</w:t>
      </w:r>
      <w:r w:rsidR="00663EBF">
        <w:t xml:space="preserve">. Stakeholders felt incentives </w:t>
      </w:r>
      <w:r w:rsidR="00D5605D">
        <w:t>at national and local level</w:t>
      </w:r>
      <w:r w:rsidR="009C0162" w:rsidRPr="009C0162">
        <w:t xml:space="preserve"> </w:t>
      </w:r>
      <w:r w:rsidR="009C0162">
        <w:t xml:space="preserve">and changes to the regulatory environment would provide </w:t>
      </w:r>
      <w:r w:rsidR="00111DB2">
        <w:t>long-</w:t>
      </w:r>
      <w:r w:rsidR="009C0162">
        <w:t>term conditions for a transition to green construction.</w:t>
      </w:r>
      <w:r w:rsidR="008D53F5">
        <w:t xml:space="preserve"> </w:t>
      </w:r>
      <w:r w:rsidR="009C0162">
        <w:t xml:space="preserve">Schemes </w:t>
      </w:r>
      <w:r w:rsidR="008D53F5">
        <w:t xml:space="preserve">such as </w:t>
      </w:r>
      <w:r w:rsidR="00D5605D">
        <w:t>tax incentives or technical incentives for developers (e.g.</w:t>
      </w:r>
      <w:r w:rsidR="0086157E">
        <w:t>,</w:t>
      </w:r>
      <w:r w:rsidR="00D5605D">
        <w:t xml:space="preserve"> </w:t>
      </w:r>
      <w:r w:rsidR="00D5605D" w:rsidRPr="00D5605D">
        <w:t>height index or similar technical benefits</w:t>
      </w:r>
      <w:r w:rsidR="00593A79">
        <w:t xml:space="preserve"> when building green)</w:t>
      </w:r>
      <w:r w:rsidR="009C0162">
        <w:t xml:space="preserve"> were highlighted as being beneficial</w:t>
      </w:r>
      <w:r w:rsidR="00663EBF">
        <w:t xml:space="preserve">. </w:t>
      </w:r>
      <w:r w:rsidR="008D3320" w:rsidRPr="00A37CD2">
        <w:rPr>
          <w:b/>
        </w:rPr>
        <w:t>A key recommendation is to enhance the dissemination of information regarding the benefits of sustainable buildings</w:t>
      </w:r>
      <w:r w:rsidR="001E7076">
        <w:rPr>
          <w:b/>
        </w:rPr>
        <w:t xml:space="preserve"> to </w:t>
      </w:r>
      <w:r w:rsidR="001E7076" w:rsidRPr="00E51B62">
        <w:rPr>
          <w:rStyle w:val="Boldtext"/>
        </w:rPr>
        <w:t>both the construction sector and consumers</w:t>
      </w:r>
      <w:r w:rsidR="008D3320" w:rsidRPr="00A37CD2">
        <w:rPr>
          <w:b/>
        </w:rPr>
        <w:t>.</w:t>
      </w:r>
      <w:r w:rsidR="008D3320" w:rsidRPr="008D3320">
        <w:t xml:space="preserve"> This strategy positively influences market dynamics from both the supply and demand sides</w:t>
      </w:r>
      <w:r w:rsidR="008D3320">
        <w:t>.</w:t>
      </w:r>
    </w:p>
    <w:p w14:paraId="5CB0048E" w14:textId="77777777" w:rsidR="00663EBF" w:rsidRDefault="00663EBF" w:rsidP="00663EBF"/>
    <w:p w14:paraId="67AB9E31" w14:textId="6E1E485B" w:rsidR="00663EBF" w:rsidRDefault="00663EBF" w:rsidP="00663EBF">
      <w:pPr>
        <w:pStyle w:val="Tintbox"/>
        <w:rPr>
          <w:rStyle w:val="Boldtext"/>
        </w:rPr>
      </w:pPr>
      <w:r>
        <w:rPr>
          <w:rStyle w:val="Boldtext"/>
        </w:rPr>
        <w:t>India</w:t>
      </w:r>
    </w:p>
    <w:p w14:paraId="3DE09924" w14:textId="4E89A7F7" w:rsidR="00663EBF" w:rsidRDefault="00B849D2" w:rsidP="00663EBF">
      <w:pPr>
        <w:pStyle w:val="Tintbox"/>
        <w:rPr>
          <w:rStyle w:val="Boldtext"/>
          <w:b w:val="0"/>
          <w:bCs/>
        </w:rPr>
      </w:pPr>
      <w:r w:rsidRPr="00626751">
        <w:rPr>
          <w:rStyle w:val="Boldtext"/>
          <w:b w:val="0"/>
          <w:bCs/>
        </w:rPr>
        <w:t>India's green building market is experiencing growth, particularly in the commercial and government sectors, driven by market demand and policy mandates respectively.</w:t>
      </w:r>
      <w:r w:rsidR="007820C8">
        <w:rPr>
          <w:rStyle w:val="Boldtext"/>
          <w:b w:val="0"/>
          <w:bCs/>
        </w:rPr>
        <w:t xml:space="preserve"> </w:t>
      </w:r>
      <w:r w:rsidR="002514CB">
        <w:rPr>
          <w:rStyle w:val="Boldtext"/>
          <w:b w:val="0"/>
          <w:bCs/>
        </w:rPr>
        <w:t xml:space="preserve">The latest data available on the </w:t>
      </w:r>
      <w:r w:rsidR="002514CB" w:rsidRPr="00063EC9">
        <w:t>overall certified green building space</w:t>
      </w:r>
      <w:r w:rsidR="002514CB">
        <w:rPr>
          <w:rStyle w:val="Boldtext"/>
          <w:b w:val="0"/>
          <w:bCs/>
        </w:rPr>
        <w:t xml:space="preserve"> shows that it represents</w:t>
      </w:r>
      <w:r w:rsidRPr="00626751">
        <w:rPr>
          <w:rStyle w:val="Boldtext"/>
          <w:b w:val="0"/>
          <w:bCs/>
        </w:rPr>
        <w:t xml:space="preserve"> only a small fraction of new construction</w:t>
      </w:r>
      <w:r w:rsidR="002514CB">
        <w:rPr>
          <w:rStyle w:val="Boldtext"/>
          <w:b w:val="0"/>
          <w:bCs/>
        </w:rPr>
        <w:t xml:space="preserve"> (2%)</w:t>
      </w:r>
      <w:r w:rsidRPr="00626751">
        <w:rPr>
          <w:rStyle w:val="Boldtext"/>
          <w:b w:val="0"/>
          <w:bCs/>
        </w:rPr>
        <w:t>.</w:t>
      </w:r>
      <w:r w:rsidR="002514CB">
        <w:rPr>
          <w:rStyle w:val="FootnoteReference"/>
          <w:bCs/>
        </w:rPr>
        <w:footnoteReference w:id="66"/>
      </w:r>
      <w:r>
        <w:rPr>
          <w:rStyle w:val="Boldtext"/>
          <w:b w:val="0"/>
          <w:bCs/>
        </w:rPr>
        <w:t xml:space="preserve"> </w:t>
      </w:r>
      <w:r w:rsidRPr="00B849D2">
        <w:rPr>
          <w:rStyle w:val="Boldtext"/>
          <w:b w:val="0"/>
          <w:bCs/>
        </w:rPr>
        <w:t>Several barriers hinder wider adoption, including a lack of standardised definitions for "green building," low consumer awareness about long-term benefits, and implementation challenges stemming from cultural preferences and contractor misinformation.</w:t>
      </w:r>
      <w:r>
        <w:rPr>
          <w:rStyle w:val="Boldtext"/>
          <w:b w:val="0"/>
          <w:bCs/>
        </w:rPr>
        <w:t xml:space="preserve"> </w:t>
      </w:r>
      <w:r w:rsidRPr="00B849D2">
        <w:rPr>
          <w:rStyle w:val="Boldtext"/>
          <w:b w:val="0"/>
          <w:bCs/>
        </w:rPr>
        <w:t>The residential sector lags behind commercial and government buildings in green building adoption due to cost concerns, limited buyer awareness, and difficulties aligning occupant behaviour with sustainable practices.</w:t>
      </w:r>
    </w:p>
    <w:p w14:paraId="39E20BC5" w14:textId="62DCD17D" w:rsidR="00B849D2" w:rsidRPr="00A37CD2" w:rsidRDefault="00B849D2" w:rsidP="00663EBF">
      <w:pPr>
        <w:pStyle w:val="Tintbox"/>
        <w:rPr>
          <w:rStyle w:val="Boldtext"/>
        </w:rPr>
      </w:pPr>
      <w:r w:rsidRPr="00B849D2">
        <w:rPr>
          <w:rStyle w:val="Boldtext"/>
          <w:b w:val="0"/>
          <w:bCs/>
        </w:rPr>
        <w:t xml:space="preserve">MAGC's primary </w:t>
      </w:r>
      <w:r w:rsidR="00851F33">
        <w:rPr>
          <w:rStyle w:val="Boldtext"/>
          <w:b w:val="0"/>
          <w:bCs/>
        </w:rPr>
        <w:t>contribution</w:t>
      </w:r>
      <w:r w:rsidRPr="00B849D2">
        <w:rPr>
          <w:rStyle w:val="Boldtext"/>
          <w:b w:val="0"/>
          <w:bCs/>
        </w:rPr>
        <w:t xml:space="preserve"> in India has been </w:t>
      </w:r>
      <w:r w:rsidR="00851F33">
        <w:rPr>
          <w:rStyle w:val="Boldtext"/>
          <w:b w:val="0"/>
          <w:bCs/>
        </w:rPr>
        <w:t>related to</w:t>
      </w:r>
      <w:r w:rsidRPr="00B849D2">
        <w:rPr>
          <w:rStyle w:val="Boldtext"/>
          <w:b w:val="0"/>
          <w:bCs/>
        </w:rPr>
        <w:t xml:space="preserve"> financial institutions. </w:t>
      </w:r>
      <w:r>
        <w:rPr>
          <w:rStyle w:val="Boldtext"/>
          <w:b w:val="0"/>
          <w:bCs/>
        </w:rPr>
        <w:t>A</w:t>
      </w:r>
      <w:r w:rsidRPr="00B849D2">
        <w:rPr>
          <w:rStyle w:val="Boldtext"/>
          <w:b w:val="0"/>
          <w:bCs/>
        </w:rPr>
        <w:t xml:space="preserve">dvisory services have </w:t>
      </w:r>
      <w:r>
        <w:rPr>
          <w:rStyle w:val="Boldtext"/>
          <w:b w:val="0"/>
          <w:bCs/>
        </w:rPr>
        <w:t>contributed to</w:t>
      </w:r>
      <w:r w:rsidRPr="00B849D2">
        <w:rPr>
          <w:rStyle w:val="Boldtext"/>
          <w:b w:val="0"/>
          <w:bCs/>
        </w:rPr>
        <w:t xml:space="preserve"> enhancing </w:t>
      </w:r>
      <w:r>
        <w:rPr>
          <w:rStyle w:val="Boldtext"/>
          <w:b w:val="0"/>
          <w:bCs/>
        </w:rPr>
        <w:t xml:space="preserve">the </w:t>
      </w:r>
      <w:r w:rsidRPr="00B849D2">
        <w:rPr>
          <w:rStyle w:val="Boldtext"/>
          <w:b w:val="0"/>
          <w:bCs/>
        </w:rPr>
        <w:t>understanding of green building investments and developing internal guidelines for green housing projects. Capacity building efforts have also improved financial institutions' ability to support green construction.</w:t>
      </w:r>
      <w:r w:rsidR="007820C8">
        <w:rPr>
          <w:rStyle w:val="Boldtext"/>
          <w:b w:val="0"/>
          <w:bCs/>
        </w:rPr>
        <w:t xml:space="preserve"> </w:t>
      </w:r>
      <w:r w:rsidRPr="00B849D2">
        <w:rPr>
          <w:rStyle w:val="Boldtext"/>
          <w:b w:val="0"/>
          <w:bCs/>
        </w:rPr>
        <w:t>However, awareness of the programme itself remains limited amongst other key stakeholders, including developers and policymakers. While MAGC has facilitated the development of some green finance products, the uptake remains moderate due to the need for more attractive financing terms and incentives.</w:t>
      </w:r>
      <w:r>
        <w:rPr>
          <w:rStyle w:val="Boldtext"/>
          <w:b w:val="0"/>
          <w:bCs/>
        </w:rPr>
        <w:t xml:space="preserve"> </w:t>
      </w:r>
      <w:r w:rsidRPr="00A37CD2">
        <w:rPr>
          <w:rStyle w:val="Boldtext"/>
        </w:rPr>
        <w:t>To sustain green building initiatives, continued technical support and guidance should be provided to stakeholders, including strategies for post-MAGC activity. Creating more attractive financial products and incentives, such as subsidies and concessional loans tied to green certifications, can further incentivise adoption.</w:t>
      </w:r>
    </w:p>
    <w:p w14:paraId="6C5FBDA9" w14:textId="77777777" w:rsidR="00663EBF" w:rsidRDefault="00663EBF" w:rsidP="00663EBF"/>
    <w:p w14:paraId="2FFBF674" w14:textId="77777777" w:rsidR="00663EBF" w:rsidRDefault="00663EBF" w:rsidP="00663EBF">
      <w:pPr>
        <w:pStyle w:val="Tintbox"/>
        <w:rPr>
          <w:rStyle w:val="Boldtext"/>
        </w:rPr>
      </w:pPr>
      <w:r>
        <w:rPr>
          <w:rStyle w:val="Boldtext"/>
        </w:rPr>
        <w:t xml:space="preserve">Kenya </w:t>
      </w:r>
    </w:p>
    <w:p w14:paraId="5EA134CD" w14:textId="110F39AF" w:rsidR="00734DF2" w:rsidRDefault="00734DF2" w:rsidP="00734DF2">
      <w:pPr>
        <w:pStyle w:val="Tintbox"/>
      </w:pPr>
      <w:r>
        <w:t>While still at the nascent stage, green construction is a growth sector in Kenya</w:t>
      </w:r>
      <w:r w:rsidR="004B768C">
        <w:t xml:space="preserve">. </w:t>
      </w:r>
      <w:r w:rsidR="00543567">
        <w:t>G</w:t>
      </w:r>
      <w:r w:rsidR="00614BAB">
        <w:t>reen construction and certification</w:t>
      </w:r>
      <w:r w:rsidR="00B85729">
        <w:t xml:space="preserve"> is</w:t>
      </w:r>
      <w:r>
        <w:t xml:space="preserve"> limited to </w:t>
      </w:r>
      <w:r w:rsidR="00EB0203">
        <w:t>commercial and high-end properties rather than in affordable housing</w:t>
      </w:r>
      <w:r w:rsidR="00543567">
        <w:t xml:space="preserve">. Despite this, </w:t>
      </w:r>
      <w:r w:rsidR="004B768C">
        <w:t xml:space="preserve">it is </w:t>
      </w:r>
      <w:r>
        <w:t>a sector which constitutes a significant portion of housing demand. There are some signs policymaking is changing to encourage green construction</w:t>
      </w:r>
      <w:r w:rsidR="00543567">
        <w:t xml:space="preserve">. </w:t>
      </w:r>
      <w:r w:rsidR="00F44928">
        <w:t xml:space="preserve">An </w:t>
      </w:r>
      <w:r>
        <w:t>example</w:t>
      </w:r>
      <w:r w:rsidR="00F44928">
        <w:t xml:space="preserve"> is</w:t>
      </w:r>
      <w:r>
        <w:t xml:space="preserve"> the inclusion of sustainability provisions in the new national housebuilding code</w:t>
      </w:r>
      <w:r w:rsidR="00F44928">
        <w:t>.</w:t>
      </w:r>
      <w:r>
        <w:t xml:space="preserve"> </w:t>
      </w:r>
      <w:r w:rsidR="00F44928">
        <w:t xml:space="preserve">However, </w:t>
      </w:r>
      <w:r w:rsidR="00116109">
        <w:t xml:space="preserve">there are </w:t>
      </w:r>
      <w:r>
        <w:t xml:space="preserve">limited incentives for </w:t>
      </w:r>
      <w:r w:rsidR="000E44CF">
        <w:t xml:space="preserve">green construction </w:t>
      </w:r>
      <w:r>
        <w:t xml:space="preserve">nationally or locally. There is also limited bottom-up demand for </w:t>
      </w:r>
      <w:r w:rsidR="00F02F5C">
        <w:t>green construction</w:t>
      </w:r>
      <w:r>
        <w:t xml:space="preserve">. Kenya relies on traditional construction materials, and lacks capacity to manufacture green construction materials locally, which </w:t>
      </w:r>
      <w:r w:rsidR="005568C4">
        <w:t>makes purchase of materials expensive</w:t>
      </w:r>
      <w:r>
        <w:t xml:space="preserve">, especially for small scale </w:t>
      </w:r>
      <w:r w:rsidR="00EB0203">
        <w:t>developers</w:t>
      </w:r>
      <w:r>
        <w:t xml:space="preserve">. </w:t>
      </w:r>
      <w:r w:rsidR="008553FA">
        <w:t>In order to tackle these two issues, MAGC should develop a comprehensive stakeholder engagement and communications strategy to build awareness and to leverage local multipliers</w:t>
      </w:r>
      <w:r w:rsidR="00543567">
        <w:t>. This will help</w:t>
      </w:r>
      <w:r w:rsidR="008553FA">
        <w:t xml:space="preserve"> to f</w:t>
      </w:r>
      <w:r w:rsidR="008553FA" w:rsidRPr="00965686">
        <w:t>oster a community of practice among developers, contractors, and consultants</w:t>
      </w:r>
      <w:r w:rsidR="008553FA">
        <w:t>.</w:t>
      </w:r>
    </w:p>
    <w:p w14:paraId="12F07862" w14:textId="5976B1A4" w:rsidR="008553FA" w:rsidRDefault="00734DF2" w:rsidP="00B849D2">
      <w:pPr>
        <w:pStyle w:val="Tintbox"/>
      </w:pPr>
      <w:r>
        <w:t xml:space="preserve">The influence of MAGC is mostly clearly seen through the expansion of EDGE, which is the leading </w:t>
      </w:r>
      <w:r w:rsidR="00A04F71">
        <w:t xml:space="preserve">green certification </w:t>
      </w:r>
      <w:r>
        <w:t>standard in Kenya</w:t>
      </w:r>
      <w:r w:rsidR="001E7076">
        <w:t>.</w:t>
      </w:r>
      <w:r w:rsidR="00D50B3A">
        <w:rPr>
          <w:rStyle w:val="FootnoteReference"/>
        </w:rPr>
        <w:footnoteReference w:id="67"/>
      </w:r>
      <w:r w:rsidR="00D50B3A">
        <w:t xml:space="preserve"> </w:t>
      </w:r>
      <w:r>
        <w:t xml:space="preserve">EDGE is widely used as a simple and affordable standard, although narrow in scope. LEED and Green Star standards are seen as more tailored regionally and wider ranging in terms of sustainability factors </w:t>
      </w:r>
      <w:r w:rsidR="00EB0203">
        <w:t>considered</w:t>
      </w:r>
      <w:r>
        <w:t xml:space="preserve">. </w:t>
      </w:r>
    </w:p>
    <w:p w14:paraId="7BF089D6" w14:textId="75DF469E" w:rsidR="00B849D2" w:rsidRDefault="00734DF2" w:rsidP="00B849D2">
      <w:pPr>
        <w:pStyle w:val="Tintbox"/>
      </w:pPr>
      <w:r>
        <w:t xml:space="preserve">MAGC has started to have some impact on the willingness of </w:t>
      </w:r>
      <w:r w:rsidR="006F4566">
        <w:t xml:space="preserve">financial sector institutions </w:t>
      </w:r>
      <w:r>
        <w:t xml:space="preserve">to expand their </w:t>
      </w:r>
      <w:r w:rsidR="00A04F71">
        <w:t xml:space="preserve">green construction </w:t>
      </w:r>
      <w:r>
        <w:t xml:space="preserve">portfolio. For example, IFC worked with </w:t>
      </w:r>
      <w:r w:rsidR="006F4566">
        <w:t>an organisation in the financial sector</w:t>
      </w:r>
      <w:r w:rsidR="00265FB4">
        <w:t xml:space="preserve"> </w:t>
      </w:r>
      <w:r>
        <w:t xml:space="preserve">to develop internal capacity and </w:t>
      </w:r>
      <w:r w:rsidR="00A04F71">
        <w:t xml:space="preserve">green construction </w:t>
      </w:r>
      <w:r>
        <w:t xml:space="preserve">products, to scale up their </w:t>
      </w:r>
      <w:r w:rsidR="00A04F71">
        <w:t xml:space="preserve">green building </w:t>
      </w:r>
      <w:r>
        <w:t xml:space="preserve">business. Interest in </w:t>
      </w:r>
      <w:r w:rsidR="00A04F71">
        <w:t xml:space="preserve">green construction </w:t>
      </w:r>
      <w:r>
        <w:t>mainly lies with larger banks, with small</w:t>
      </w:r>
      <w:r w:rsidR="007F4D46">
        <w:t>er</w:t>
      </w:r>
      <w:r>
        <w:t xml:space="preserve"> banks not yet seeing the economic rationale for investing in </w:t>
      </w:r>
      <w:r w:rsidR="00A04F71">
        <w:t>this sector</w:t>
      </w:r>
      <w:r>
        <w:t xml:space="preserve">. </w:t>
      </w:r>
      <w:r w:rsidR="001E7076">
        <w:t xml:space="preserve">Awareness of green construction and capacity building through MAGC in partnership with the Kenya Green Building </w:t>
      </w:r>
      <w:r w:rsidR="001E7076" w:rsidRPr="00DE1EA9">
        <w:t>Society</w:t>
      </w:r>
      <w:r w:rsidR="001E7076">
        <w:t xml:space="preserve"> has been very successful, although developers overall still lack technical knowledge of green buildings</w:t>
      </w:r>
      <w:r>
        <w:t xml:space="preserve">. </w:t>
      </w:r>
      <w:r w:rsidRPr="00A37CD2">
        <w:rPr>
          <w:b/>
        </w:rPr>
        <w:t xml:space="preserve">Recommendations for MAGC mainly centre around continuing capacity building </w:t>
      </w:r>
      <w:r w:rsidR="00786133" w:rsidRPr="00A37CD2">
        <w:rPr>
          <w:b/>
        </w:rPr>
        <w:t>work</w:t>
      </w:r>
      <w:r w:rsidR="00786133">
        <w:rPr>
          <w:b/>
        </w:rPr>
        <w:t>,</w:t>
      </w:r>
      <w:r w:rsidR="00786133" w:rsidRPr="00A37CD2">
        <w:rPr>
          <w:b/>
        </w:rPr>
        <w:t xml:space="preserve"> especially</w:t>
      </w:r>
      <w:r w:rsidR="00851F33" w:rsidRPr="00A37CD2">
        <w:rPr>
          <w:b/>
        </w:rPr>
        <w:t xml:space="preserve"> for smaller developers</w:t>
      </w:r>
      <w:r w:rsidR="00543567">
        <w:rPr>
          <w:b/>
        </w:rPr>
        <w:t>.</w:t>
      </w:r>
      <w:r w:rsidR="00543567" w:rsidRPr="00A37CD2">
        <w:rPr>
          <w:b/>
        </w:rPr>
        <w:t xml:space="preserve"> </w:t>
      </w:r>
      <w:r w:rsidR="001A0E51">
        <w:rPr>
          <w:b/>
        </w:rPr>
        <w:t xml:space="preserve">MAGC can </w:t>
      </w:r>
      <w:r w:rsidR="00851F33" w:rsidRPr="00A37CD2">
        <w:rPr>
          <w:b/>
        </w:rPr>
        <w:t xml:space="preserve">assist banks with </w:t>
      </w:r>
      <w:r w:rsidR="001A0E51">
        <w:rPr>
          <w:b/>
        </w:rPr>
        <w:t xml:space="preserve">the </w:t>
      </w:r>
      <w:r w:rsidR="00851F33" w:rsidRPr="00A37CD2">
        <w:rPr>
          <w:b/>
        </w:rPr>
        <w:t>structuring of compelling green construction lending products and provide credit enhancement to enable more attractive pricing</w:t>
      </w:r>
      <w:r w:rsidRPr="00A37CD2">
        <w:rPr>
          <w:b/>
        </w:rPr>
        <w:t>.</w:t>
      </w:r>
      <w:r>
        <w:t xml:space="preserve"> </w:t>
      </w:r>
    </w:p>
    <w:p w14:paraId="0797130B" w14:textId="77777777" w:rsidR="00B849D2" w:rsidRPr="00B849D2" w:rsidRDefault="00B849D2" w:rsidP="00626751">
      <w:pPr>
        <w:rPr>
          <w:rStyle w:val="Boldtext"/>
          <w:b w:val="0"/>
        </w:rPr>
      </w:pPr>
    </w:p>
    <w:p w14:paraId="61606BDA" w14:textId="77777777" w:rsidR="00663EBF" w:rsidRDefault="00663EBF" w:rsidP="00663EBF">
      <w:pPr>
        <w:pStyle w:val="Tintbox"/>
        <w:rPr>
          <w:rStyle w:val="Boldtext"/>
        </w:rPr>
      </w:pPr>
      <w:r>
        <w:rPr>
          <w:rStyle w:val="Boldtext"/>
        </w:rPr>
        <w:t xml:space="preserve">Vietnam </w:t>
      </w:r>
    </w:p>
    <w:p w14:paraId="4B166A8E" w14:textId="10DB5358" w:rsidR="00663EBF" w:rsidRDefault="00663EBF" w:rsidP="00663EBF">
      <w:pPr>
        <w:pStyle w:val="Tintbox"/>
      </w:pPr>
      <w:r>
        <w:t xml:space="preserve">The green construction sector has tripled in the last </w:t>
      </w:r>
      <w:r w:rsidR="007266B3">
        <w:t>five</w:t>
      </w:r>
      <w:r>
        <w:t xml:space="preserve"> years, with 10 million </w:t>
      </w:r>
      <w:r w:rsidR="001E7076">
        <w:t>m</w:t>
      </w:r>
      <w:r w:rsidR="001E7076" w:rsidRPr="00E51B62">
        <w:rPr>
          <w:vertAlign w:val="superscript"/>
        </w:rPr>
        <w:t>2</w:t>
      </w:r>
      <w:r w:rsidR="001E7076">
        <w:rPr>
          <w:vertAlign w:val="superscript"/>
        </w:rPr>
        <w:t xml:space="preserve"> </w:t>
      </w:r>
      <w:r>
        <w:t>of buildings certified to a green construction standard by 2024</w:t>
      </w:r>
      <w:r w:rsidR="001A0E51">
        <w:t>.</w:t>
      </w:r>
      <w:r w:rsidR="006F4566">
        <w:rPr>
          <w:rStyle w:val="FootnoteReference"/>
        </w:rPr>
        <w:footnoteReference w:id="68"/>
      </w:r>
      <w:r>
        <w:t xml:space="preserve"> </w:t>
      </w:r>
      <w:r w:rsidR="001A0E51">
        <w:t>T</w:t>
      </w:r>
      <w:r>
        <w:t xml:space="preserve">his growth is expected to slow over the next five years. Green construction is led by voluntary adoption of sustainable practices by the private sector. Government policy and incentives </w:t>
      </w:r>
      <w:r w:rsidR="00A744C9">
        <w:t>(such as tax breaks)</w:t>
      </w:r>
      <w:r>
        <w:t xml:space="preserve"> are underdeveloped. Developers continue to overestimate costs, believing </w:t>
      </w:r>
      <w:r w:rsidR="00386B6D">
        <w:t xml:space="preserve">green construction </w:t>
      </w:r>
      <w:r>
        <w:t xml:space="preserve">is 30% more expensive that traditional construction. There is little bottom-up demand for green construction, with homebuyers unaware and not prioritising </w:t>
      </w:r>
      <w:r w:rsidR="00386B6D">
        <w:t xml:space="preserve">green construction </w:t>
      </w:r>
      <w:r>
        <w:t xml:space="preserve">standards in their purchasing decisions. </w:t>
      </w:r>
    </w:p>
    <w:p w14:paraId="360293B1" w14:textId="6A457867" w:rsidR="00663EBF" w:rsidRPr="00406697" w:rsidRDefault="001E7076" w:rsidP="00663EBF">
      <w:pPr>
        <w:pStyle w:val="Tintbox"/>
        <w:rPr>
          <w:rStyle w:val="Boldtext"/>
        </w:rPr>
      </w:pPr>
      <w:r>
        <w:t>FIs</w:t>
      </w:r>
      <w:r w:rsidR="00663EBF">
        <w:t xml:space="preserve"> lack detailed green loan offerings or policies for green financing, meaning it makes up minimal share of credit market. </w:t>
      </w:r>
      <w:r>
        <w:t>FIs</w:t>
      </w:r>
      <w:r w:rsidR="00663EBF">
        <w:t xml:space="preserve"> consider the incentives provided by organisations like IFC insufficient to offer preferential rates to developers. Targeted finance for projects with leading </w:t>
      </w:r>
      <w:r>
        <w:t>FIs</w:t>
      </w:r>
      <w:r w:rsidR="00663EBF">
        <w:t xml:space="preserve"> would provide strong exemplar projects, encouraging conservative </w:t>
      </w:r>
      <w:r>
        <w:t>FIs</w:t>
      </w:r>
      <w:r w:rsidR="00663EBF">
        <w:t xml:space="preserve"> to adopt </w:t>
      </w:r>
      <w:r w:rsidR="00B849D2">
        <w:t>green buildings</w:t>
      </w:r>
      <w:r w:rsidR="00663EBF">
        <w:t>. MAGC has been felt to improve knowledge and awareness of green construction, especially the EDGE certification standard, with over 300 EDGE experts trained</w:t>
      </w:r>
      <w:r w:rsidR="008E3F4D">
        <w:rPr>
          <w:rStyle w:val="FootnoteReference"/>
        </w:rPr>
        <w:footnoteReference w:id="69"/>
      </w:r>
      <w:r w:rsidR="001A0E51">
        <w:t>. T</w:t>
      </w:r>
      <w:r w:rsidR="00663EBF">
        <w:t xml:space="preserve">his has not translated into any regulatory change which would unlock a wider transition to </w:t>
      </w:r>
      <w:r w:rsidR="008D3320">
        <w:t xml:space="preserve">green construction </w:t>
      </w:r>
      <w:r w:rsidR="00663EBF">
        <w:t xml:space="preserve">standards. </w:t>
      </w:r>
      <w:r w:rsidR="008D3320" w:rsidRPr="00A37CD2">
        <w:rPr>
          <w:b/>
        </w:rPr>
        <w:t xml:space="preserve">Key recommendations for the programme include focusing on developing targeted support for diverse stakeholders, particularly </w:t>
      </w:r>
      <w:r>
        <w:rPr>
          <w:b/>
        </w:rPr>
        <w:t>FIs</w:t>
      </w:r>
      <w:r w:rsidR="008D3320" w:rsidRPr="00A37CD2">
        <w:rPr>
          <w:b/>
        </w:rPr>
        <w:t>, and explore emerging markets beyond Ho Chi Minh City</w:t>
      </w:r>
      <w:r w:rsidR="008D3320" w:rsidRPr="008D3320">
        <w:t>.</w:t>
      </w:r>
    </w:p>
    <w:p w14:paraId="1BE8B96E" w14:textId="77777777" w:rsidR="00663EBF" w:rsidRDefault="00663EBF" w:rsidP="00663EBF"/>
    <w:p w14:paraId="5C9DF830" w14:textId="7AAD7DEE" w:rsidR="00663EBF" w:rsidRPr="003F526D" w:rsidRDefault="00663EBF" w:rsidP="003F526D">
      <w:pPr>
        <w:pStyle w:val="Tintbox"/>
        <w:rPr>
          <w:b/>
        </w:rPr>
      </w:pPr>
      <w:r>
        <w:rPr>
          <w:rStyle w:val="Boldtext"/>
        </w:rPr>
        <w:t xml:space="preserve">South Africa </w:t>
      </w:r>
      <w:r w:rsidR="003F526D" w:rsidRPr="00A37CD2">
        <w:br/>
      </w:r>
      <w:r w:rsidR="00620E2E">
        <w:t>MAGC</w:t>
      </w:r>
      <w:r w:rsidR="001472B5" w:rsidRPr="001472B5">
        <w:t xml:space="preserve"> in South Africa has demonstrated early success, evidenced by increased stakeholder engagement and the construction of EDGE-certified buildings across various sectors</w:t>
      </w:r>
      <w:r w:rsidR="00DE4572">
        <w:t>.</w:t>
      </w:r>
      <w:r w:rsidR="00B706FA">
        <w:t xml:space="preserve"> </w:t>
      </w:r>
      <w:r w:rsidR="00B706FA" w:rsidRPr="00B706FA">
        <w:t xml:space="preserve">Developers are incorporating green building practices, driven by MAGC's capacity-building and the availability of green finance products from </w:t>
      </w:r>
      <w:r w:rsidR="000654EC">
        <w:t xml:space="preserve">leading </w:t>
      </w:r>
      <w:r w:rsidR="001E7076">
        <w:t>FIs</w:t>
      </w:r>
      <w:r w:rsidR="00B706FA" w:rsidRPr="00B706FA">
        <w:t>.</w:t>
      </w:r>
      <w:r w:rsidR="007820C8">
        <w:t xml:space="preserve"> </w:t>
      </w:r>
      <w:r w:rsidR="00B706FA" w:rsidRPr="00B706FA">
        <w:t xml:space="preserve">EDGE certification market share </w:t>
      </w:r>
      <w:r w:rsidR="008E3F4D" w:rsidRPr="00B706FA">
        <w:t xml:space="preserve">has risen </w:t>
      </w:r>
      <w:r w:rsidR="008E3F4D">
        <w:t>to 17% since the introduction of EDGE in 2015 in the country,</w:t>
      </w:r>
      <w:r w:rsidR="001E7076">
        <w:rPr>
          <w:rStyle w:val="FootnoteReference"/>
        </w:rPr>
        <w:footnoteReference w:id="70"/>
      </w:r>
      <w:r w:rsidR="008E3F4D">
        <w:t xml:space="preserve"> and has a cumulative number of EDGE projects of 502 as of FY24 (increased by 133 since the previous year).</w:t>
      </w:r>
      <w:r w:rsidR="008E3F4D">
        <w:rPr>
          <w:rStyle w:val="FootnoteReference"/>
        </w:rPr>
        <w:footnoteReference w:id="71"/>
      </w:r>
      <w:r w:rsidR="008E3F4D">
        <w:t xml:space="preserve"> </w:t>
      </w:r>
      <w:r w:rsidR="00D05E1E" w:rsidRPr="00D05E1E">
        <w:t>The South African context presents both enabling and hindering factors.</w:t>
      </w:r>
      <w:r w:rsidR="007820C8">
        <w:t xml:space="preserve"> </w:t>
      </w:r>
      <w:r w:rsidR="00D05E1E" w:rsidRPr="00D05E1E">
        <w:t>Growing public awareness, supportive frameworks like th</w:t>
      </w:r>
      <w:r w:rsidR="008A6694">
        <w:t xml:space="preserve">e </w:t>
      </w:r>
      <w:r w:rsidR="00D05E1E" w:rsidRPr="00D05E1E">
        <w:t xml:space="preserve">National Development Plan, and engagement from </w:t>
      </w:r>
      <w:r w:rsidR="008926EC">
        <w:t>FI</w:t>
      </w:r>
      <w:r w:rsidR="00D05E1E" w:rsidRPr="00D05E1E">
        <w:t>s offering sustainability-linked loans and green bonds are positive influences.</w:t>
      </w:r>
      <w:r w:rsidR="007820C8">
        <w:t xml:space="preserve"> </w:t>
      </w:r>
      <w:r w:rsidR="001A6C62" w:rsidRPr="001A6C62">
        <w:t>However, challenges persist, including policy implementation gaps and perceived high upfront costs</w:t>
      </w:r>
      <w:r w:rsidR="00697998">
        <w:t>,</w:t>
      </w:r>
      <w:r w:rsidR="00D05E1E" w:rsidRPr="00D05E1E">
        <w:t xml:space="preserve"> inconsistent policy implementation, regulatory complexity (e.g., fluctuating frameworks</w:t>
      </w:r>
      <w:r w:rsidR="0042717E">
        <w:t>)</w:t>
      </w:r>
      <w:r w:rsidR="00D05E1E" w:rsidRPr="00D05E1E">
        <w:t>, limited access to affordable green materials (often requiring imports</w:t>
      </w:r>
      <w:r w:rsidR="00BE7089" w:rsidRPr="00D05E1E">
        <w:t>)</w:t>
      </w:r>
      <w:r w:rsidR="00BE7089">
        <w:t>.</w:t>
      </w:r>
      <w:r w:rsidR="00BE7089" w:rsidRPr="00D05E1E">
        <w:t xml:space="preserve"> </w:t>
      </w:r>
      <w:r w:rsidR="00BE7089">
        <w:t>There are also</w:t>
      </w:r>
      <w:r w:rsidR="00BE7089" w:rsidRPr="00D05E1E">
        <w:t xml:space="preserve"> </w:t>
      </w:r>
      <w:r w:rsidR="00D05E1E" w:rsidRPr="00D05E1E">
        <w:t>misconceptions about cost and feasibility, particularly in lower-income communities.</w:t>
      </w:r>
      <w:r w:rsidR="008D3320">
        <w:t xml:space="preserve"> </w:t>
      </w:r>
      <w:r w:rsidR="008D3320" w:rsidRPr="00A37CD2">
        <w:rPr>
          <w:b/>
        </w:rPr>
        <w:t xml:space="preserve">Key recommendations mainly concern the financial ecosystem (facilitating knowledge sharing and best practice exchange among </w:t>
      </w:r>
      <w:r w:rsidR="008926EC" w:rsidRPr="00A37CD2">
        <w:rPr>
          <w:b/>
        </w:rPr>
        <w:t>FI</w:t>
      </w:r>
      <w:r w:rsidR="00947D97" w:rsidRPr="00A37CD2">
        <w:rPr>
          <w:b/>
        </w:rPr>
        <w:t>s and</w:t>
      </w:r>
      <w:r w:rsidR="008D3320" w:rsidRPr="00A37CD2">
        <w:rPr>
          <w:b/>
        </w:rPr>
        <w:t xml:space="preserve"> encourage ambitious targets) and the enabling environment (engaging policymakers in </w:t>
      </w:r>
      <w:r w:rsidR="00947D97" w:rsidRPr="00A37CD2">
        <w:rPr>
          <w:b/>
        </w:rPr>
        <w:t>evidence-based</w:t>
      </w:r>
      <w:r w:rsidR="008D3320" w:rsidRPr="00A37CD2">
        <w:rPr>
          <w:b/>
        </w:rPr>
        <w:t xml:space="preserve"> advocacy)</w:t>
      </w:r>
      <w:r w:rsidR="00947D97" w:rsidRPr="00A37CD2">
        <w:rPr>
          <w:b/>
        </w:rPr>
        <w:t>.</w:t>
      </w:r>
      <w:r>
        <w:br w:type="page"/>
      </w:r>
    </w:p>
    <w:p w14:paraId="3767BA37" w14:textId="41D32778" w:rsidR="008C1C8D" w:rsidRPr="008C1C8D" w:rsidRDefault="008C1C8D" w:rsidP="008C1C8D">
      <w:pPr>
        <w:pStyle w:val="Heading1"/>
      </w:pPr>
      <w:bookmarkStart w:id="67" w:name="_Toc189155227"/>
      <w:r w:rsidRPr="008C1C8D">
        <w:t>6 GEDSI Learning</w:t>
      </w:r>
      <w:bookmarkEnd w:id="67"/>
    </w:p>
    <w:p w14:paraId="6BAEDE0A" w14:textId="17107C6E" w:rsidR="00BD6949" w:rsidRDefault="009378A7" w:rsidP="00BD6949">
      <w:r>
        <w:t>As laid out in the scoping report, GEDSI was not a consideration in MAGC’s business case</w:t>
      </w:r>
      <w:r>
        <w:rPr>
          <w:rStyle w:val="FootnoteReference"/>
        </w:rPr>
        <w:footnoteReference w:id="72"/>
      </w:r>
      <w:r>
        <w:t xml:space="preserve"> and design phase</w:t>
      </w:r>
      <w:r w:rsidR="00801E76">
        <w:t>.</w:t>
      </w:r>
      <w:r>
        <w:t xml:space="preserve"> </w:t>
      </w:r>
      <w:r w:rsidR="00801E76">
        <w:t>It</w:t>
      </w:r>
      <w:r>
        <w:t xml:space="preserve"> is</w:t>
      </w:r>
      <w:r w:rsidR="00801E76">
        <w:t>,</w:t>
      </w:r>
      <w:r>
        <w:t xml:space="preserve"> therefore</w:t>
      </w:r>
      <w:r w:rsidR="00801E76">
        <w:t>,</w:t>
      </w:r>
      <w:r>
        <w:t xml:space="preserve"> not an objective for IFC nor embedded into monitoring processes. </w:t>
      </w:r>
      <w:r w:rsidR="001E7076">
        <w:t>However, it is an objective of the evaluation to identify</w:t>
      </w:r>
      <w:r w:rsidR="001E7076" w:rsidRPr="00A6078B">
        <w:t xml:space="preserve"> </w:t>
      </w:r>
      <w:r w:rsidR="001E7076">
        <w:t>GEDSI</w:t>
      </w:r>
      <w:r w:rsidR="001E7076" w:rsidRPr="00A6078B">
        <w:t xml:space="preserve"> learnings</w:t>
      </w:r>
      <w:r w:rsidR="001E7076">
        <w:t xml:space="preserve"> and whether there are missed opportunities</w:t>
      </w:r>
      <w:r w:rsidR="001E7076" w:rsidDel="001C30A0">
        <w:t xml:space="preserve"> </w:t>
      </w:r>
      <w:r w:rsidR="001E7076">
        <w:t>in implementing GEDSI.</w:t>
      </w:r>
      <w:r>
        <w:t xml:space="preserve"> </w:t>
      </w:r>
      <w:r w:rsidR="00BD6949">
        <w:t>This section summarises the findings, conclusions and recommendations from the analysis on GEDSI Learning</w:t>
      </w:r>
      <w:r w:rsidR="000D4C45">
        <w:rPr>
          <w:rStyle w:val="FootnoteReference"/>
        </w:rPr>
        <w:footnoteReference w:id="73"/>
      </w:r>
      <w:r w:rsidR="00BD6949">
        <w:t xml:space="preserve">, answering the learning question: </w:t>
      </w:r>
    </w:p>
    <w:p w14:paraId="278C5D1D" w14:textId="4B1B2C81" w:rsidR="00BD6949" w:rsidRDefault="00BD6949" w:rsidP="00BD6949">
      <w:pPr>
        <w:pStyle w:val="Textbox"/>
      </w:pPr>
      <w:r>
        <w:t>“</w:t>
      </w:r>
      <w:r w:rsidRPr="00AC1326">
        <w:t>What opportunities did arise/were missed during MAGC delivery on Gender Equality</w:t>
      </w:r>
      <w:r w:rsidR="00086D33">
        <w:t>, Disability</w:t>
      </w:r>
      <w:r w:rsidRPr="00AC1326">
        <w:t xml:space="preserve"> and Social Inclusion (GE</w:t>
      </w:r>
      <w:r w:rsidR="00086D33">
        <w:t>D</w:t>
      </w:r>
      <w:r w:rsidRPr="00AC1326">
        <w:t>SI)? How could we address GE</w:t>
      </w:r>
      <w:r w:rsidR="00086D33">
        <w:t>D</w:t>
      </w:r>
      <w:r w:rsidR="00B62BB7">
        <w:t>S</w:t>
      </w:r>
      <w:r w:rsidRPr="00AC1326">
        <w:t>I in future programme design?</w:t>
      </w:r>
      <w:r>
        <w:t>”</w:t>
      </w:r>
    </w:p>
    <w:p w14:paraId="31819174" w14:textId="032F96ED" w:rsidR="00785B01" w:rsidRPr="00A37CD2" w:rsidRDefault="00785B01" w:rsidP="00BD6949">
      <w:pPr>
        <w:rPr>
          <w:rStyle w:val="Boldtext"/>
          <w:b w:val="0"/>
          <w:bCs/>
        </w:rPr>
      </w:pPr>
      <w:r w:rsidRPr="00A37CD2">
        <w:rPr>
          <w:rStyle w:val="Boldtext"/>
          <w:b w:val="0"/>
          <w:bCs/>
        </w:rPr>
        <w:t xml:space="preserve">The section highlights several unintended possible GEDSI benefits that </w:t>
      </w:r>
      <w:r w:rsidR="00DF510D">
        <w:rPr>
          <w:rStyle w:val="Boldtext"/>
          <w:b w:val="0"/>
          <w:bCs/>
        </w:rPr>
        <w:t>MAGC</w:t>
      </w:r>
      <w:r w:rsidRPr="00A37CD2">
        <w:rPr>
          <w:rStyle w:val="Boldtext"/>
          <w:b w:val="0"/>
          <w:bCs/>
        </w:rPr>
        <w:t xml:space="preserve"> may be able to achieve.</w:t>
      </w:r>
    </w:p>
    <w:p w14:paraId="4EDCDFBA" w14:textId="2DC7F6A6" w:rsidR="00BD6949" w:rsidRPr="00084EC3" w:rsidRDefault="000F43BC" w:rsidP="00BD6949">
      <w:r w:rsidRPr="55BA8A4F">
        <w:rPr>
          <w:rStyle w:val="Boldtext"/>
        </w:rPr>
        <w:t xml:space="preserve">A. </w:t>
      </w:r>
      <w:r w:rsidR="00BD6949" w:rsidRPr="55BA8A4F">
        <w:rPr>
          <w:rStyle w:val="Boldtext"/>
        </w:rPr>
        <w:t>A key finding from this early outcome phase is that the potential for green buildings to reduce the cost of living for marginalised groups is highly context-specific.</w:t>
      </w:r>
      <w:r w:rsidR="00BD6949">
        <w:t xml:space="preserve"> </w:t>
      </w:r>
      <w:r w:rsidR="00801E76">
        <w:t>S</w:t>
      </w:r>
      <w:r w:rsidR="00F33A84">
        <w:t>takeholders at the T0</w:t>
      </w:r>
      <w:r w:rsidR="00F3372B">
        <w:t xml:space="preserve"> (programme)</w:t>
      </w:r>
      <w:r w:rsidR="00F33A84">
        <w:t xml:space="preserve"> level hypothesised that </w:t>
      </w:r>
      <w:r w:rsidR="00BD6949">
        <w:t xml:space="preserve">increased energy and water efficiency can lower utility bills </w:t>
      </w:r>
      <w:r w:rsidR="00F33A84">
        <w:t>and residents of green buildings in Vietnam and Colombia noted that their energy bills had been reduced</w:t>
      </w:r>
      <w:r w:rsidR="00801E76">
        <w:t>.</w:t>
      </w:r>
      <w:r w:rsidR="00F33A84">
        <w:t xml:space="preserve"> </w:t>
      </w:r>
      <w:r w:rsidR="00801E76">
        <w:t>However, e</w:t>
      </w:r>
      <w:r w:rsidR="00F33A84">
        <w:t>vidence from across the stakeholder groups demonstrated that</w:t>
      </w:r>
      <w:r w:rsidR="00BD6949">
        <w:t xml:space="preserve"> the wider policy context is a key factor in determining who receives savings. </w:t>
      </w:r>
      <w:r w:rsidR="00F33A84">
        <w:t xml:space="preserve">Interviews with T2 </w:t>
      </w:r>
      <w:r w:rsidR="00F3372B">
        <w:t xml:space="preserve">(countries with substantial MAGC activity) </w:t>
      </w:r>
      <w:r w:rsidR="00F33A84">
        <w:t xml:space="preserve">and T3 </w:t>
      </w:r>
      <w:r w:rsidR="00F3372B">
        <w:t xml:space="preserve">(case study countries) </w:t>
      </w:r>
      <w:r w:rsidR="00F33A84">
        <w:t xml:space="preserve">level stakeholders demonstrate that GEDSI is </w:t>
      </w:r>
      <w:r w:rsidR="00F33A84" w:rsidRPr="55BA8A4F">
        <w:rPr>
          <w:rStyle w:val="Boldtext"/>
          <w:b w:val="0"/>
        </w:rPr>
        <w:t>often not integrated into the design of green building programmes</w:t>
      </w:r>
      <w:r w:rsidR="00801E76" w:rsidRPr="55BA8A4F">
        <w:rPr>
          <w:rStyle w:val="Boldtext"/>
          <w:b w:val="0"/>
        </w:rPr>
        <w:t>.</w:t>
      </w:r>
      <w:r w:rsidR="00F33A84" w:rsidRPr="55BA8A4F">
        <w:rPr>
          <w:rStyle w:val="Boldtext"/>
          <w:b w:val="0"/>
        </w:rPr>
        <w:t xml:space="preserve"> </w:t>
      </w:r>
      <w:r w:rsidR="00801E76" w:rsidRPr="55BA8A4F">
        <w:rPr>
          <w:rStyle w:val="Boldtext"/>
          <w:b w:val="0"/>
        </w:rPr>
        <w:t xml:space="preserve">This means </w:t>
      </w:r>
      <w:r w:rsidR="00F33A84" w:rsidRPr="55BA8A4F">
        <w:rPr>
          <w:rStyle w:val="Boldtext"/>
          <w:b w:val="0"/>
        </w:rPr>
        <w:t>organisations do not have to ensure that green buildings are accessible for marginalised groups</w:t>
      </w:r>
      <w:r w:rsidR="00F33A84">
        <w:t xml:space="preserve">. </w:t>
      </w:r>
      <w:r w:rsidR="00801E76" w:rsidRPr="55BA8A4F">
        <w:rPr>
          <w:rStyle w:val="Boldtext"/>
          <w:b w:val="0"/>
        </w:rPr>
        <w:t xml:space="preserve">All new DENZ ICF programmes are now required to incorporate GEDSI into programme design. </w:t>
      </w:r>
      <w:r w:rsidR="001E7076">
        <w:t>Interviews with T2 and T3 stakeholders in Ghana and Egypt demonstrated low awareness amongst stakeholders of the relevance of GEDSI considerations in green building</w:t>
      </w:r>
      <w:r w:rsidR="790C0D63">
        <w:t>s</w:t>
      </w:r>
      <w:r w:rsidR="00F33A84">
        <w:t xml:space="preserve">. In Colombia, stakeholders reported that new social housing buildings are often purchased by individuals who can afford to buy </w:t>
      </w:r>
      <w:r w:rsidR="00DA61A7">
        <w:t>other forms of housing</w:t>
      </w:r>
      <w:r w:rsidR="00801E76">
        <w:t>.</w:t>
      </w:r>
      <w:r w:rsidR="00F33A84">
        <w:t xml:space="preserve"> </w:t>
      </w:r>
      <w:r w:rsidR="00801E76">
        <w:t xml:space="preserve">This </w:t>
      </w:r>
      <w:r w:rsidR="00F33A84">
        <w:t>result</w:t>
      </w:r>
      <w:r w:rsidR="00801E76">
        <w:t>s</w:t>
      </w:r>
      <w:r w:rsidR="00F33A84">
        <w:t xml:space="preserve"> in fewer green buildings being available to those from lower-income households. In the Philippines, stakeholders reported that green buildings are predominantly high-end residential properties, thus not accessible to lower-income groups. This reflects findings from T0 stakeholders that mitigation outcomes for affordable housing are minimal compared to high end and commercial buildings</w:t>
      </w:r>
      <w:r w:rsidR="00DA61A7">
        <w:t xml:space="preserve"> which typically have much higher energy usage, meaning the savings associated with green buildings are higher</w:t>
      </w:r>
      <w:r w:rsidR="00A05473">
        <w:t>.</w:t>
      </w:r>
      <w:r w:rsidR="00F33A84">
        <w:t xml:space="preserve"> </w:t>
      </w:r>
      <w:r w:rsidR="00BD6949">
        <w:t xml:space="preserve">Financial support mechanisms, such as the EDGE self-build certificate programme, have shown promise in making green housing more accessible. </w:t>
      </w:r>
    </w:p>
    <w:p w14:paraId="0A7FB346" w14:textId="36448043" w:rsidR="00BD6949" w:rsidRPr="00084EC3" w:rsidRDefault="000F43BC" w:rsidP="00BD6949">
      <w:r>
        <w:rPr>
          <w:rStyle w:val="Boldtext"/>
        </w:rPr>
        <w:t xml:space="preserve">B. </w:t>
      </w:r>
      <w:r w:rsidR="00BE7F20">
        <w:rPr>
          <w:rStyle w:val="Boldtext"/>
        </w:rPr>
        <w:t>S</w:t>
      </w:r>
      <w:r w:rsidR="00EE1759">
        <w:rPr>
          <w:rStyle w:val="Boldtext"/>
        </w:rPr>
        <w:t>ome T0 stakeholders and T3 stakeholders in Kenya and Vietnam hypothesised that green buildings could be more accessible for people with disabilities</w:t>
      </w:r>
      <w:r w:rsidR="00801E76">
        <w:rPr>
          <w:rStyle w:val="Boldtext"/>
        </w:rPr>
        <w:t>.</w:t>
      </w:r>
      <w:r w:rsidR="00EE1759">
        <w:rPr>
          <w:rStyle w:val="Boldtext"/>
        </w:rPr>
        <w:t xml:space="preserve"> </w:t>
      </w:r>
      <w:r w:rsidR="00BE7F20">
        <w:rPr>
          <w:rStyle w:val="Boldtext"/>
        </w:rPr>
        <w:t>T</w:t>
      </w:r>
      <w:r w:rsidR="00BD6949" w:rsidRPr="00CF0BB1">
        <w:rPr>
          <w:rStyle w:val="Boldtext"/>
        </w:rPr>
        <w:t xml:space="preserve">here is currently insufficient evidence on whether </w:t>
      </w:r>
      <w:r w:rsidR="00EE1759">
        <w:rPr>
          <w:rStyle w:val="Boldtext"/>
        </w:rPr>
        <w:t>this</w:t>
      </w:r>
      <w:r w:rsidR="00BD6949" w:rsidRPr="00CF0BB1">
        <w:rPr>
          <w:rStyle w:val="Boldtext"/>
        </w:rPr>
        <w:t xml:space="preserve"> could be an outcome of green buildings. </w:t>
      </w:r>
      <w:r w:rsidR="00D04B8C">
        <w:t>To gather evidence to further understand this hypothesis, we conducted desk research to identify best practices and examples of how green buildings can be made more accessible</w:t>
      </w:r>
      <w:r w:rsidR="00BE7F20">
        <w:t>.</w:t>
      </w:r>
      <w:r w:rsidR="00D04B8C">
        <w:t xml:space="preserve"> </w:t>
      </w:r>
      <w:r w:rsidR="00BE7F20">
        <w:t xml:space="preserve">The aim was </w:t>
      </w:r>
      <w:r w:rsidR="00D04B8C">
        <w:t>to provide learnings for future programme design. The desk research demonstrated that ensuring green buildings are accessible is important</w:t>
      </w:r>
      <w:r w:rsidR="00BE7F20">
        <w:t>.</w:t>
      </w:r>
      <w:r w:rsidR="00D04B8C">
        <w:t xml:space="preserve"> </w:t>
      </w:r>
      <w:r w:rsidR="00BE7F20">
        <w:t>It</w:t>
      </w:r>
      <w:r w:rsidR="00D04B8C">
        <w:t xml:space="preserve"> ensure</w:t>
      </w:r>
      <w:r w:rsidR="00BE7F20">
        <w:t>s</w:t>
      </w:r>
      <w:r w:rsidR="00D04B8C">
        <w:t xml:space="preserve"> people with disabilities can adapt to climate change and gain from lower energy costs and other benefits. To combat </w:t>
      </w:r>
      <w:r w:rsidR="001E7076">
        <w:t>eco-ableism</w:t>
      </w:r>
      <w:r w:rsidR="001815C7">
        <w:t>,</w:t>
      </w:r>
      <w:r w:rsidR="001E7076">
        <w:rPr>
          <w:rStyle w:val="FootnoteReference"/>
        </w:rPr>
        <w:footnoteReference w:id="74"/>
      </w:r>
      <w:r w:rsidR="00D04B8C">
        <w:t xml:space="preserve"> there is a </w:t>
      </w:r>
      <w:r w:rsidR="00D04B8C" w:rsidRPr="6B2FEF0F">
        <w:rPr>
          <w:rStyle w:val="Boldtext"/>
          <w:b w:val="0"/>
        </w:rPr>
        <w:t>need for collaboration</w:t>
      </w:r>
      <w:r w:rsidR="00D04B8C" w:rsidRPr="0064549A">
        <w:t xml:space="preserve"> between architects, designers, and accessibility experts </w:t>
      </w:r>
      <w:r w:rsidR="00D04B8C">
        <w:t>to ensure</w:t>
      </w:r>
      <w:r w:rsidR="00D04B8C" w:rsidRPr="0064549A">
        <w:t xml:space="preserve"> that inclusive design principles are incorporated into building projects</w:t>
      </w:r>
      <w:r w:rsidR="00D04B8C">
        <w:t xml:space="preserve">. </w:t>
      </w:r>
      <w:r w:rsidR="00BD6949" w:rsidRPr="00CF0BB1">
        <w:rPr>
          <w:rStyle w:val="Boldtext"/>
        </w:rPr>
        <w:t xml:space="preserve">Further research is needed to understand how green construction can benefit </w:t>
      </w:r>
      <w:r w:rsidR="001E7076">
        <w:rPr>
          <w:rStyle w:val="Boldtext"/>
        </w:rPr>
        <w:t>people with disabilities</w:t>
      </w:r>
      <w:r w:rsidR="001E7076" w:rsidRPr="00CF0BB1">
        <w:rPr>
          <w:rStyle w:val="Boldtext"/>
        </w:rPr>
        <w:t>.</w:t>
      </w:r>
      <w:r w:rsidR="00BD6949" w:rsidRPr="00CF0BB1">
        <w:rPr>
          <w:rStyle w:val="Boldtext"/>
        </w:rPr>
        <w:t xml:space="preserve"> </w:t>
      </w:r>
      <w:r w:rsidR="00BD6949">
        <w:t>The final phase of this evaluation will seek to gather more evidence against this.</w:t>
      </w:r>
    </w:p>
    <w:p w14:paraId="6021F27D" w14:textId="4E89CFB8" w:rsidR="00DB6C76" w:rsidRPr="00084EC3" w:rsidRDefault="000F43BC" w:rsidP="00BD6949">
      <w:r w:rsidRPr="356A0C81">
        <w:rPr>
          <w:rStyle w:val="Boldtext"/>
        </w:rPr>
        <w:t xml:space="preserve">C. </w:t>
      </w:r>
      <w:r w:rsidR="00BD6949" w:rsidRPr="356A0C81">
        <w:rPr>
          <w:rStyle w:val="Boldtext"/>
        </w:rPr>
        <w:t xml:space="preserve">Green buildings </w:t>
      </w:r>
      <w:r w:rsidR="001E7076" w:rsidRPr="356A0C81">
        <w:rPr>
          <w:rStyle w:val="Boldtext"/>
        </w:rPr>
        <w:t>have the potential</w:t>
      </w:r>
      <w:r w:rsidR="00BD6949" w:rsidRPr="356A0C81">
        <w:rPr>
          <w:rStyle w:val="Boldtext"/>
        </w:rPr>
        <w:t xml:space="preserve"> to improve the standard of living for marginalised groups</w:t>
      </w:r>
      <w:r w:rsidR="00DA61A7">
        <w:rPr>
          <w:rStyle w:val="FootnoteReference"/>
          <w:b/>
        </w:rPr>
        <w:footnoteReference w:id="75"/>
      </w:r>
      <w:r w:rsidR="00BD6949" w:rsidRPr="356A0C81">
        <w:rPr>
          <w:rStyle w:val="Boldtext"/>
        </w:rPr>
        <w:t xml:space="preserve"> through thoughtful design, improved health and well-being, and community engagement.</w:t>
      </w:r>
      <w:r w:rsidR="00BD6949">
        <w:t xml:space="preserve"> </w:t>
      </w:r>
      <w:r w:rsidR="00DB6C76">
        <w:t>For example, T0 level stakeholders described a green building project in Johannesburg, South Africa which provided safe, clean and affordable housing for single mothers. This demonstrates how designing green buildings with end</w:t>
      </w:r>
      <w:r w:rsidR="00E6488F">
        <w:t xml:space="preserve"> </w:t>
      </w:r>
      <w:r w:rsidR="00DB6C76">
        <w:t>users’ needs in mind can improve the quality of living for people in marginalised groups</w:t>
      </w:r>
      <w:r w:rsidR="00BE7F20">
        <w:t>.</w:t>
      </w:r>
      <w:r w:rsidR="00DB6C76">
        <w:t xml:space="preserve"> </w:t>
      </w:r>
      <w:r w:rsidR="00BE7F20">
        <w:t>It</w:t>
      </w:r>
      <w:r w:rsidR="00DB6C76">
        <w:t xml:space="preserve"> highlights that this should be a key consideration for green building programmes aiming to have a social impact. </w:t>
      </w:r>
      <w:r w:rsidR="00BD6949">
        <w:t>Person-centric and community-focused initiatives can enhance quality of life, though accessibility remains a concern.</w:t>
      </w:r>
      <w:r w:rsidR="00DB6C76">
        <w:t xml:space="preserve"> </w:t>
      </w:r>
    </w:p>
    <w:p w14:paraId="3113252E" w14:textId="17F29F63" w:rsidR="001176D7" w:rsidRPr="00DF510D" w:rsidRDefault="000F43BC" w:rsidP="00D04B8C">
      <w:pPr>
        <w:rPr>
          <w:rStyle w:val="Boldtext"/>
          <w:b w:val="0"/>
        </w:rPr>
      </w:pPr>
      <w:r>
        <w:rPr>
          <w:rStyle w:val="Boldtext"/>
        </w:rPr>
        <w:t xml:space="preserve">D. </w:t>
      </w:r>
      <w:r w:rsidR="00BD6949" w:rsidRPr="00CF0BB1">
        <w:rPr>
          <w:rStyle w:val="Boldtext"/>
        </w:rPr>
        <w:t xml:space="preserve">MAGC has made strides in encouraging women to become EDGE </w:t>
      </w:r>
      <w:r w:rsidR="003E0845">
        <w:rPr>
          <w:rStyle w:val="Boldtext"/>
        </w:rPr>
        <w:t>Experts</w:t>
      </w:r>
      <w:r w:rsidR="00BD6949" w:rsidRPr="00CF0BB1">
        <w:rPr>
          <w:rStyle w:val="Boldtext"/>
        </w:rPr>
        <w:t xml:space="preserve"> accredited and participate in the green building sector</w:t>
      </w:r>
      <w:r w:rsidR="00BE7F20">
        <w:rPr>
          <w:rStyle w:val="Boldtext"/>
          <w:b w:val="0"/>
          <w:bCs/>
        </w:rPr>
        <w:t>.</w:t>
      </w:r>
      <w:r w:rsidR="00DB6C76">
        <w:rPr>
          <w:rStyle w:val="Boldtext"/>
          <w:b w:val="0"/>
          <w:bCs/>
        </w:rPr>
        <w:t xml:space="preserve"> </w:t>
      </w:r>
      <w:r w:rsidR="00BE7F20">
        <w:rPr>
          <w:rStyle w:val="Boldtext"/>
          <w:b w:val="0"/>
          <w:bCs/>
        </w:rPr>
        <w:t xml:space="preserve">This </w:t>
      </w:r>
      <w:r w:rsidR="00DB6C76">
        <w:rPr>
          <w:rStyle w:val="Boldtext"/>
          <w:b w:val="0"/>
          <w:bCs/>
        </w:rPr>
        <w:t>help</w:t>
      </w:r>
      <w:r w:rsidR="00BE7F20">
        <w:rPr>
          <w:rStyle w:val="Boldtext"/>
          <w:b w:val="0"/>
          <w:bCs/>
        </w:rPr>
        <w:t>s</w:t>
      </w:r>
      <w:r w:rsidR="00DB6C76">
        <w:rPr>
          <w:rStyle w:val="Boldtext"/>
          <w:b w:val="0"/>
          <w:bCs/>
        </w:rPr>
        <w:t xml:space="preserve"> women overcome barriers to entering and advancing in the construction sector. Targeted initiatives have encouraged more women to become EDGE </w:t>
      </w:r>
      <w:r w:rsidR="001176D7">
        <w:rPr>
          <w:rStyle w:val="Boldtext"/>
          <w:b w:val="0"/>
          <w:bCs/>
        </w:rPr>
        <w:t>Experts accredited, with a total of 642 female EDGE auditors and Experts in MAGC countries since inception (48%).</w:t>
      </w:r>
      <w:r w:rsidR="00BD6949" w:rsidRPr="00CF0BB1">
        <w:rPr>
          <w:rStyle w:val="Boldtext"/>
        </w:rPr>
        <w:t xml:space="preserve"> </w:t>
      </w:r>
      <w:r w:rsidR="0055061B">
        <w:t>E</w:t>
      </w:r>
      <w:r w:rsidR="0055061B" w:rsidRPr="007A584E">
        <w:t xml:space="preserve">xamples of valuable </w:t>
      </w:r>
      <w:r w:rsidR="0055061B" w:rsidRPr="007A584E">
        <w:rPr>
          <w:b/>
          <w:bCs/>
        </w:rPr>
        <w:t>training</w:t>
      </w:r>
      <w:r w:rsidR="0055061B" w:rsidRPr="007A584E">
        <w:t xml:space="preserve"> </w:t>
      </w:r>
      <w:r w:rsidR="0055061B" w:rsidRPr="007A584E">
        <w:rPr>
          <w:b/>
          <w:bCs/>
        </w:rPr>
        <w:t xml:space="preserve">and mentorship </w:t>
      </w:r>
      <w:r w:rsidR="0055061B" w:rsidRPr="007A584E">
        <w:t xml:space="preserve">delivered as part of MAGC for women in the construction sector </w:t>
      </w:r>
      <w:r w:rsidR="0055061B">
        <w:t>have been found</w:t>
      </w:r>
      <w:r w:rsidR="0055061B" w:rsidRPr="007A584E">
        <w:t xml:space="preserve"> </w:t>
      </w:r>
      <w:r w:rsidR="009847E6">
        <w:t xml:space="preserve">in </w:t>
      </w:r>
      <w:r w:rsidR="0055061B" w:rsidRPr="007A584E">
        <w:t xml:space="preserve">case study countries (South Africa, India), and other countries (Ghana), and </w:t>
      </w:r>
      <w:r w:rsidR="0055061B" w:rsidRPr="007A584E">
        <w:rPr>
          <w:b/>
          <w:bCs/>
        </w:rPr>
        <w:t xml:space="preserve">awareness events </w:t>
      </w:r>
      <w:r w:rsidR="0055061B">
        <w:t>have been held in</w:t>
      </w:r>
      <w:r w:rsidR="0055061B" w:rsidRPr="007A584E">
        <w:t xml:space="preserve"> Kenya and the Philippines. </w:t>
      </w:r>
      <w:r w:rsidR="001E7076" w:rsidRPr="00E51B62">
        <w:rPr>
          <w:rStyle w:val="Boldtext"/>
          <w:b w:val="0"/>
        </w:rPr>
        <w:t>C</w:t>
      </w:r>
      <w:r w:rsidR="001E7076" w:rsidRPr="00702D5A">
        <w:t xml:space="preserve">ontinued support for women </w:t>
      </w:r>
      <w:r w:rsidR="001E7076">
        <w:t>to enter and succeed in the building sector is crucial</w:t>
      </w:r>
      <w:r w:rsidR="001E7076" w:rsidRPr="00702D5A">
        <w:t xml:space="preserve">, </w:t>
      </w:r>
      <w:r w:rsidR="001E7076">
        <w:t>however</w:t>
      </w:r>
      <w:r w:rsidR="0055061B" w:rsidRPr="007A584E">
        <w:t xml:space="preserve"> there isn’t a specific target for </w:t>
      </w:r>
      <w:r w:rsidR="0055061B">
        <w:t>this training in the programme, making</w:t>
      </w:r>
      <w:r w:rsidR="0055061B" w:rsidRPr="007A584E">
        <w:t xml:space="preserve"> it difficult to understand the planning of these activities going forward.</w:t>
      </w:r>
      <w:r w:rsidR="0055061B">
        <w:t xml:space="preserve"> Externally, </w:t>
      </w:r>
      <w:r w:rsidR="001E7076">
        <w:t xml:space="preserve">in order for these initiatives to be most impactful, </w:t>
      </w:r>
      <w:r w:rsidR="001E7076" w:rsidRPr="00702D5A">
        <w:t xml:space="preserve">broader cultural changes </w:t>
      </w:r>
      <w:r w:rsidR="001E7076">
        <w:t xml:space="preserve">are needed </w:t>
      </w:r>
      <w:r w:rsidR="001E7076" w:rsidRPr="00702D5A">
        <w:t xml:space="preserve">within the industry </w:t>
      </w:r>
      <w:r w:rsidR="001E7076">
        <w:t>to address issues such as perceived gender roles, low inclusivity in the workplace and access to training</w:t>
      </w:r>
      <w:r w:rsidR="001E7076" w:rsidRPr="00702D5A">
        <w:t>.</w:t>
      </w:r>
    </w:p>
    <w:p w14:paraId="7A0AB8E9" w14:textId="6D04D54D" w:rsidR="00BD6949" w:rsidRPr="00084EC3" w:rsidRDefault="000F43BC" w:rsidP="00BD6949">
      <w:r>
        <w:rPr>
          <w:rStyle w:val="Boldtext"/>
        </w:rPr>
        <w:t xml:space="preserve">E. </w:t>
      </w:r>
      <w:r w:rsidR="00D04B8C">
        <w:rPr>
          <w:rStyle w:val="Boldtext"/>
        </w:rPr>
        <w:t xml:space="preserve">A range of stakeholders highlighted </w:t>
      </w:r>
      <w:r w:rsidR="00BD6949" w:rsidRPr="00CF0BB1">
        <w:rPr>
          <w:rStyle w:val="Boldtext"/>
        </w:rPr>
        <w:t>MAGC</w:t>
      </w:r>
      <w:r w:rsidR="00D04B8C">
        <w:rPr>
          <w:rStyle w:val="Boldtext"/>
        </w:rPr>
        <w:t>’s</w:t>
      </w:r>
      <w:r w:rsidR="00BD6949" w:rsidRPr="00CF0BB1">
        <w:rPr>
          <w:rStyle w:val="Boldtext"/>
        </w:rPr>
        <w:t xml:space="preserve"> potential to </w:t>
      </w:r>
      <w:r w:rsidR="00901EB5">
        <w:rPr>
          <w:rStyle w:val="Boldtext"/>
        </w:rPr>
        <w:t xml:space="preserve">achieve unintended </w:t>
      </w:r>
      <w:r w:rsidR="00BD6949" w:rsidRPr="00CF0BB1">
        <w:rPr>
          <w:rStyle w:val="Boldtext"/>
        </w:rPr>
        <w:t>broader social benefits</w:t>
      </w:r>
      <w:r w:rsidR="00BD6949" w:rsidRPr="00084EC3">
        <w:t xml:space="preserve">, such as revitalising neighbourhoods and creating job opportunities through urban regeneration projects. </w:t>
      </w:r>
      <w:r w:rsidR="001176D7" w:rsidRPr="001176D7">
        <w:t>For example, projects can provide opportunities for upskilling and supporting construction workers, such as a programme in Colombia providing literacy training on construction sites.</w:t>
      </w:r>
      <w:r w:rsidR="001176D7">
        <w:t xml:space="preserve"> </w:t>
      </w:r>
      <w:r w:rsidR="001E7076" w:rsidRPr="00084EC3">
        <w:t>However,</w:t>
      </w:r>
      <w:r w:rsidR="001E7076">
        <w:t xml:space="preserve"> a potential unintended</w:t>
      </w:r>
      <w:r w:rsidR="001E7076" w:rsidRPr="00084EC3">
        <w:t xml:space="preserve"> risk </w:t>
      </w:r>
      <w:r w:rsidR="001E7076">
        <w:t>associated with the programme is</w:t>
      </w:r>
      <w:r w:rsidR="001E7076" w:rsidRPr="00084EC3">
        <w:t xml:space="preserve"> community displacement</w:t>
      </w:r>
      <w:r w:rsidR="001E7076">
        <w:t>, which can occur when green building projects drive up property and living costs. This</w:t>
      </w:r>
      <w:r w:rsidR="001E7076" w:rsidRPr="00084EC3">
        <w:t xml:space="preserve"> </w:t>
      </w:r>
      <w:r w:rsidR="006D378F">
        <w:t xml:space="preserve">is a key </w:t>
      </w:r>
      <w:r w:rsidR="005624EB">
        <w:t>aspect</w:t>
      </w:r>
      <w:r w:rsidR="006D378F">
        <w:t xml:space="preserve"> when integrating GEDSI considerations into MAGC</w:t>
      </w:r>
      <w:r w:rsidR="001E7076" w:rsidRPr="00084EC3">
        <w:t>.</w:t>
      </w:r>
      <w:r w:rsidR="006D378F">
        <w:t xml:space="preserve"> </w:t>
      </w:r>
      <w:r w:rsidR="006D378F" w:rsidRPr="003B48A0">
        <w:t xml:space="preserve">While developers </w:t>
      </w:r>
      <w:r w:rsidR="006D378F">
        <w:t>have</w:t>
      </w:r>
      <w:r w:rsidR="006D378F" w:rsidRPr="003B48A0">
        <w:t xml:space="preserve"> primary responsibility for mitigating this risk, MAGC can play a role by rigorously monitoring project adherence to affordable housing targets, ensuring they reflect local affordability needs</w:t>
      </w:r>
      <w:r w:rsidR="006D378F">
        <w:t>.</w:t>
      </w:r>
    </w:p>
    <w:p w14:paraId="0864BC8E" w14:textId="77777777" w:rsidR="00BD6949" w:rsidRPr="00084EC3" w:rsidRDefault="00BD6949" w:rsidP="00BD6949">
      <w:r>
        <w:t>The following recommendations have been identified:</w:t>
      </w:r>
    </w:p>
    <w:p w14:paraId="1BA25B72" w14:textId="2812F8CF" w:rsidR="00BD6949" w:rsidRDefault="00BD6949" w:rsidP="00BD6949">
      <w:pPr>
        <w:pStyle w:val="DESNZbulletedlist"/>
      </w:pPr>
      <w:r w:rsidRPr="00EE4EF0">
        <w:rPr>
          <w:rStyle w:val="Boldtext"/>
        </w:rPr>
        <w:t>Integration of GEDSI into programme design:</w:t>
      </w:r>
      <w:r>
        <w:t xml:space="preserve"> </w:t>
      </w:r>
      <w:r w:rsidRPr="00084EC3">
        <w:t xml:space="preserve">A clear policy decision is needed </w:t>
      </w:r>
      <w:r>
        <w:t>on whether to</w:t>
      </w:r>
      <w:r w:rsidRPr="00084EC3">
        <w:t xml:space="preserve"> prioritise GEDSI outcomes in future iterations of MAGC</w:t>
      </w:r>
      <w:r w:rsidR="00B9660F">
        <w:t xml:space="preserve">. </w:t>
      </w:r>
      <w:r w:rsidR="00901EB5">
        <w:t>GEDSI is not currently part of the MAGC business case or theory of change, nor are GEDSI outcomes required by DESNZ</w:t>
      </w:r>
      <w:r w:rsidRPr="00084EC3">
        <w:t xml:space="preserve">. </w:t>
      </w:r>
      <w:r>
        <w:t>If this is agreed upon,</w:t>
      </w:r>
      <w:r w:rsidRPr="00084EC3">
        <w:t xml:space="preserve"> GEDSI principles </w:t>
      </w:r>
      <w:r>
        <w:t xml:space="preserve">need to be integrated </w:t>
      </w:r>
      <w:r w:rsidR="00641119">
        <w:t xml:space="preserve">into new iterations of the programme </w:t>
      </w:r>
      <w:r w:rsidRPr="00084EC3">
        <w:t>from the outset, rather than retrofitting them later</w:t>
      </w:r>
      <w:r>
        <w:t xml:space="preserve"> on</w:t>
      </w:r>
      <w:r w:rsidRPr="00084EC3">
        <w:t>.</w:t>
      </w:r>
      <w:r>
        <w:t xml:space="preserve"> S</w:t>
      </w:r>
      <w:r w:rsidRPr="00084EC3">
        <w:t xml:space="preserve">eparate funding for GEDSI initiatives </w:t>
      </w:r>
      <w:r>
        <w:t>would help</w:t>
      </w:r>
      <w:r w:rsidRPr="00084EC3">
        <w:t xml:space="preserve"> ensure adequate resources</w:t>
      </w:r>
      <w:r w:rsidR="00B9660F">
        <w:t>.</w:t>
      </w:r>
      <w:r w:rsidRPr="00084EC3">
        <w:t xml:space="preserve"> </w:t>
      </w:r>
      <w:r w:rsidR="00B9660F">
        <w:t>S</w:t>
      </w:r>
      <w:r w:rsidRPr="00084EC3">
        <w:t>ocial impact outcomes</w:t>
      </w:r>
      <w:r w:rsidR="00B9660F">
        <w:t xml:space="preserve"> could be achieved</w:t>
      </w:r>
      <w:r w:rsidR="007E51AF" w:rsidRPr="007E51AF">
        <w:t>, without losing the reportedly higher mitigation outcomes associated with green construction of mid-end and luxury buildings. This would reduce the risk of climate disbenefits and ensure the programme aligns with government priorities on the integration of social inclusion benefits into climate finance programming</w:t>
      </w:r>
      <w:r w:rsidRPr="00084EC3">
        <w:t xml:space="preserve">. </w:t>
      </w:r>
      <w:r>
        <w:t>IFC and DESNZ should work closely with</w:t>
      </w:r>
      <w:r w:rsidRPr="00084EC3">
        <w:t xml:space="preserve"> GEDSI experts to identify key entry points and develop contextually relevant indicators and strategies.</w:t>
      </w:r>
    </w:p>
    <w:p w14:paraId="3E9ADF4F" w14:textId="1FBE379A" w:rsidR="00BD6949" w:rsidRDefault="00BD6949" w:rsidP="00BD6949">
      <w:pPr>
        <w:pStyle w:val="DESNZbulletedlist"/>
      </w:pPr>
      <w:r w:rsidRPr="41FCE454">
        <w:rPr>
          <w:rStyle w:val="Boldtext"/>
        </w:rPr>
        <w:t xml:space="preserve">Promoting women's participation: </w:t>
      </w:r>
      <w:r>
        <w:t xml:space="preserve">Expanding targeted training and support for women to become </w:t>
      </w:r>
      <w:r w:rsidR="1B866746">
        <w:t xml:space="preserve">accredited </w:t>
      </w:r>
      <w:r>
        <w:t>EDGE</w:t>
      </w:r>
      <w:r w:rsidR="00A5360D">
        <w:t xml:space="preserve"> Experts</w:t>
      </w:r>
      <w:r>
        <w:t xml:space="preserve"> would support greater take-up and tackle sectoral barriers. Offering </w:t>
      </w:r>
      <w:r w:rsidR="008E6FDC">
        <w:t xml:space="preserve">additional </w:t>
      </w:r>
      <w:r>
        <w:t>mentorship programmes and other support programmes could support the reduction of barriers to entry.</w:t>
      </w:r>
    </w:p>
    <w:p w14:paraId="5675AAB2" w14:textId="5F67E124" w:rsidR="00BD6949" w:rsidRDefault="00BD6949" w:rsidP="00BD6949">
      <w:pPr>
        <w:pStyle w:val="DESNZbulletedlist"/>
      </w:pPr>
      <w:r w:rsidRPr="4F33D505">
        <w:rPr>
          <w:rStyle w:val="Boldtext"/>
        </w:rPr>
        <w:t>Inclusive policies:</w:t>
      </w:r>
      <w:r>
        <w:t xml:space="preserve"> </w:t>
      </w:r>
      <w:bookmarkStart w:id="68" w:name="_Hlk187227833"/>
      <w:bookmarkStart w:id="69" w:name="_Hlk187227850"/>
      <w:r w:rsidR="00641119">
        <w:t xml:space="preserve">IFC can encourage EDGE certification providers to incorporate inclusive policies into their certification processes, for example including </w:t>
      </w:r>
      <w:r w:rsidR="6ECEF7C7">
        <w:t xml:space="preserve">GEDSI </w:t>
      </w:r>
      <w:r w:rsidR="00641119">
        <w:t>in initial information sharing, including guidance and recommendations in the administration agreements signed with IFC, and integrating discussion into catch ups and information sharing/updates. IFC may also be able to encourage</w:t>
      </w:r>
      <w:bookmarkEnd w:id="68"/>
      <w:r w:rsidR="00641119">
        <w:t xml:space="preserve"> FIs to incorporate GEDSI features into their green building projects and products, such as setting quotas for women in the workforce </w:t>
      </w:r>
      <w:bookmarkStart w:id="70" w:name="_Hlk181092579"/>
      <w:r w:rsidR="00641119">
        <w:t xml:space="preserve">for green building projects </w:t>
      </w:r>
      <w:bookmarkEnd w:id="70"/>
      <w:r w:rsidR="00641119">
        <w:t xml:space="preserve">and </w:t>
      </w:r>
      <w:bookmarkStart w:id="71" w:name="_Hlk181092590"/>
      <w:r w:rsidR="00641119">
        <w:t xml:space="preserve">working with and </w:t>
      </w:r>
      <w:bookmarkEnd w:id="71"/>
      <w:r w:rsidR="00641119">
        <w:t xml:space="preserve">supporting women-led SMEs </w:t>
      </w:r>
      <w:bookmarkStart w:id="72" w:name="_Hlk181092608"/>
      <w:r w:rsidR="00641119">
        <w:t>as part of projects</w:t>
      </w:r>
      <w:bookmarkEnd w:id="72"/>
      <w:r w:rsidR="00641119">
        <w:t>. This can also be a recommendation for developers and financial institutions directly</w:t>
      </w:r>
      <w:r w:rsidR="00C754D8">
        <w:t>.</w:t>
      </w:r>
      <w:bookmarkEnd w:id="69"/>
    </w:p>
    <w:p w14:paraId="7B225610" w14:textId="31B33382" w:rsidR="00BD6949" w:rsidRDefault="00BD6949" w:rsidP="00BD6949">
      <w:pPr>
        <w:pStyle w:val="DESNZbulletedlist"/>
      </w:pPr>
      <w:r w:rsidRPr="00EE4EF0">
        <w:rPr>
          <w:rStyle w:val="Boldtext"/>
        </w:rPr>
        <w:t>Increas</w:t>
      </w:r>
      <w:r w:rsidR="00C27720">
        <w:rPr>
          <w:rStyle w:val="Boldtext"/>
        </w:rPr>
        <w:t>ing</w:t>
      </w:r>
      <w:r w:rsidRPr="00EE4EF0">
        <w:rPr>
          <w:rStyle w:val="Boldtext"/>
        </w:rPr>
        <w:t xml:space="preserve"> monitoring and evaluation of GEDSI outcomes:</w:t>
      </w:r>
      <w:r>
        <w:t xml:space="preserve"> </w:t>
      </w:r>
      <w:r w:rsidR="00641119">
        <w:t>If future iterations of MAGC include GEDSI outcomes, it will be important to have</w:t>
      </w:r>
      <w:r w:rsidR="00641119" w:rsidRPr="00084EC3">
        <w:t xml:space="preserve"> GEDSI indicators in the </w:t>
      </w:r>
      <w:r w:rsidR="00641119">
        <w:t>Logframe</w:t>
      </w:r>
      <w:r w:rsidR="00B9660F">
        <w:t>.</w:t>
      </w:r>
      <w:r w:rsidR="00A26D81">
        <w:t xml:space="preserve"> </w:t>
      </w:r>
      <w:r w:rsidR="00B9660F">
        <w:t>T</w:t>
      </w:r>
      <w:r w:rsidR="00A26D81">
        <w:t xml:space="preserve">he GEDSI annex </w:t>
      </w:r>
      <w:r w:rsidR="00B9660F">
        <w:t xml:space="preserve">contains </w:t>
      </w:r>
      <w:r w:rsidR="00A26D81">
        <w:t>a list of suggested GEDSI</w:t>
      </w:r>
      <w:r w:rsidR="00A26D81" w:rsidRPr="0004203E">
        <w:t xml:space="preserve"> indicators </w:t>
      </w:r>
      <w:r w:rsidR="00A26D81">
        <w:t xml:space="preserve">that would support monitoring processes and </w:t>
      </w:r>
      <w:r w:rsidR="00A26D81" w:rsidRPr="0004203E">
        <w:t>ensure that green construction initiatives are inclusive and equitable</w:t>
      </w:r>
      <w:r>
        <w:t>. There will also be a need to s</w:t>
      </w:r>
      <w:r w:rsidRPr="00084EC3">
        <w:t>ystematically capture and share GEDSI lessons to support wider sector learning and improve future programming.</w:t>
      </w:r>
    </w:p>
    <w:p w14:paraId="6F4C9720" w14:textId="09A38199" w:rsidR="00BD6949" w:rsidRPr="00084EC3" w:rsidRDefault="00BD6949" w:rsidP="00BD6949">
      <w:pPr>
        <w:pStyle w:val="DESNZbulletedlist"/>
      </w:pPr>
      <w:r w:rsidRPr="00EE4EF0">
        <w:rPr>
          <w:rStyle w:val="Boldtext"/>
        </w:rPr>
        <w:t>Prioritis</w:t>
      </w:r>
      <w:r w:rsidR="00C27720">
        <w:rPr>
          <w:rStyle w:val="Boldtext"/>
        </w:rPr>
        <w:t>ing</w:t>
      </w:r>
      <w:r w:rsidRPr="00EE4EF0">
        <w:rPr>
          <w:rStyle w:val="Boldtext"/>
        </w:rPr>
        <w:t xml:space="preserve"> a collaborative, multi-sectoral approach to facilitate the inclusion of GEDSI: </w:t>
      </w:r>
      <w:r w:rsidR="00641119" w:rsidRPr="00EE4EF0">
        <w:t xml:space="preserve">Strong partnerships between </w:t>
      </w:r>
      <w:r w:rsidR="00641119">
        <w:t xml:space="preserve">IFC, DESNZ, GEDSI experts, </w:t>
      </w:r>
      <w:r w:rsidR="00641119" w:rsidRPr="00EE4EF0">
        <w:t>developers, investors, communities, and government agencies are crucial for aligning green building initiatives with broader social goals and maximi</w:t>
      </w:r>
      <w:r w:rsidR="00641119">
        <w:t>s</w:t>
      </w:r>
      <w:r w:rsidR="00641119" w:rsidRPr="00EE4EF0">
        <w:t>ing</w:t>
      </w:r>
      <w:r w:rsidR="00641119">
        <w:t xml:space="preserve"> unintended</w:t>
      </w:r>
      <w:r w:rsidR="00641119" w:rsidRPr="00EE4EF0">
        <w:t xml:space="preserve"> positive </w:t>
      </w:r>
      <w:r w:rsidR="00641119">
        <w:t xml:space="preserve">social </w:t>
      </w:r>
      <w:r w:rsidR="00641119" w:rsidRPr="00EE4EF0">
        <w:t>impact</w:t>
      </w:r>
      <w:r w:rsidR="00641119">
        <w:t xml:space="preserve"> even if MAGC does not prioritise GEDSI outcomes</w:t>
      </w:r>
      <w:r w:rsidR="00641119" w:rsidRPr="00EE4EF0">
        <w:t>.</w:t>
      </w:r>
    </w:p>
    <w:p w14:paraId="25667672" w14:textId="6E45C89F" w:rsidR="00C27720" w:rsidRDefault="00BD6949" w:rsidP="006A0317">
      <w:pPr>
        <w:rPr>
          <w:rFonts w:eastAsiaTheme="majorEastAsia" w:cstheme="majorBidi"/>
          <w:color w:val="041E42"/>
          <w:sz w:val="52"/>
          <w:szCs w:val="32"/>
        </w:rPr>
      </w:pPr>
      <w:r w:rsidRPr="00084EC3">
        <w:t xml:space="preserve">By addressing these recommendations, future green construction programmes can </w:t>
      </w:r>
      <w:r>
        <w:t>help distribute</w:t>
      </w:r>
      <w:r w:rsidRPr="00084EC3">
        <w:t xml:space="preserve"> the benefits of sustainable building practices </w:t>
      </w:r>
      <w:r>
        <w:t xml:space="preserve">more </w:t>
      </w:r>
      <w:r w:rsidRPr="00084EC3">
        <w:t>equitably</w:t>
      </w:r>
      <w:r w:rsidR="00B9660F">
        <w:t>.</w:t>
      </w:r>
      <w:r w:rsidR="00B9660F" w:rsidRPr="00084EC3">
        <w:t xml:space="preserve"> </w:t>
      </w:r>
      <w:r w:rsidR="00B9660F">
        <w:t xml:space="preserve">This can </w:t>
      </w:r>
      <w:r w:rsidR="00B9660F" w:rsidRPr="00084EC3">
        <w:t>promot</w:t>
      </w:r>
      <w:r w:rsidR="00B9660F">
        <w:t>e</w:t>
      </w:r>
      <w:r w:rsidR="00B9660F" w:rsidRPr="00084EC3">
        <w:t xml:space="preserve"> </w:t>
      </w:r>
      <w:r w:rsidRPr="00084EC3">
        <w:t>inclusivity and improving the standard of living for marginalised groups.</w:t>
      </w:r>
    </w:p>
    <w:p w14:paraId="42F4620B" w14:textId="77777777" w:rsidR="00C05266" w:rsidRDefault="00C05266">
      <w:pPr>
        <w:spacing w:after="160" w:line="259" w:lineRule="auto"/>
        <w:rPr>
          <w:rFonts w:eastAsiaTheme="majorEastAsia" w:cstheme="majorBidi"/>
          <w:color w:val="041E42"/>
          <w:sz w:val="52"/>
          <w:szCs w:val="32"/>
        </w:rPr>
      </w:pPr>
      <w:r>
        <w:br w:type="page"/>
      </w:r>
    </w:p>
    <w:p w14:paraId="1818BDAB" w14:textId="010F4C72" w:rsidR="00F27A9C" w:rsidRDefault="00F27A9C" w:rsidP="00F27A9C">
      <w:pPr>
        <w:pStyle w:val="Heading1"/>
      </w:pPr>
      <w:bookmarkStart w:id="73" w:name="_Toc189155228"/>
      <w:r>
        <w:t>7 Value for Money</w:t>
      </w:r>
      <w:bookmarkEnd w:id="73"/>
    </w:p>
    <w:p w14:paraId="0A45B3E2" w14:textId="77777777" w:rsidR="00AC75EA" w:rsidRDefault="00AC75EA" w:rsidP="00AC75EA">
      <w:r>
        <w:t xml:space="preserve">The assessment of </w:t>
      </w:r>
      <w:r w:rsidRPr="002A572C">
        <w:t>Value for Money (VfM) directly responds to the evaluation question</w:t>
      </w:r>
      <w:r>
        <w:t>:</w:t>
      </w:r>
    </w:p>
    <w:p w14:paraId="2F12A61A" w14:textId="77777777" w:rsidR="00AC75EA" w:rsidRDefault="00AC75EA" w:rsidP="00AC75EA">
      <w:pPr>
        <w:pStyle w:val="Textbox"/>
      </w:pPr>
      <w:r w:rsidRPr="002A572C">
        <w:t>“</w:t>
      </w:r>
      <w:r w:rsidRPr="002A572C">
        <w:rPr>
          <w:rStyle w:val="Italic"/>
        </w:rPr>
        <w:t>To what extent is MAGC investment providing Value for Money for HMG</w:t>
      </w:r>
      <w:r w:rsidRPr="002A572C">
        <w:t>?”</w:t>
      </w:r>
      <w:r>
        <w:t xml:space="preserve"> </w:t>
      </w:r>
    </w:p>
    <w:p w14:paraId="797B1017" w14:textId="220E0FAC" w:rsidR="00AC75EA" w:rsidRDefault="00AC75EA" w:rsidP="00AC75EA">
      <w:r>
        <w:t>The VfM evaluation follows the 5</w:t>
      </w:r>
      <w:r w:rsidRPr="002A572C">
        <w:t>e approach,</w:t>
      </w:r>
      <w:r>
        <w:t xml:space="preserve"> which looks at</w:t>
      </w:r>
      <w:r w:rsidRPr="002A572C">
        <w:t xml:space="preserve"> the </w:t>
      </w:r>
      <w:r w:rsidR="003163D1">
        <w:t>five</w:t>
      </w:r>
      <w:r w:rsidRPr="002A572C">
        <w:t xml:space="preserve"> criteria of economy, efficiency, effectiveness</w:t>
      </w:r>
      <w:r>
        <w:t>,</w:t>
      </w:r>
      <w:r w:rsidRPr="002A572C">
        <w:t xml:space="preserve"> cost-effectiveness, and equity</w:t>
      </w:r>
      <w:r>
        <w:t xml:space="preserve">. The evaluation explores these criteria </w:t>
      </w:r>
      <w:r w:rsidRPr="002A572C">
        <w:t>separately and triangulate</w:t>
      </w:r>
      <w:r>
        <w:t>s findings from each</w:t>
      </w:r>
      <w:r w:rsidRPr="002A572C">
        <w:t xml:space="preserve"> to form a coherent assessment of overall value for money.</w:t>
      </w:r>
    </w:p>
    <w:p w14:paraId="01254659" w14:textId="55F4E0A7" w:rsidR="00AC75EA" w:rsidRDefault="00AC75EA" w:rsidP="00AC75EA">
      <w:r>
        <w:t xml:space="preserve">The detailed VfM assessment is reported separately in the Value for Money evaluation </w:t>
      </w:r>
      <w:r w:rsidR="003665DC">
        <w:t>annex</w:t>
      </w:r>
      <w:r>
        <w:t xml:space="preserve">, accompanying this report. It draws on a review of programme documentation and research conducted for this evaluation, and thus is only able to deliver an interim assessment at this current stage. </w:t>
      </w:r>
      <w:r w:rsidR="00641119">
        <w:t xml:space="preserve">The key criteria of effectiveness (whether the value created by the programme exceeds its costs) and cost-effectiveness cannot yet be assessed </w:t>
      </w:r>
      <w:r w:rsidR="00641119" w:rsidRPr="002A572C">
        <w:t>due to the fact that the benefits and impacts of the programme are yet to materialise</w:t>
      </w:r>
      <w:r>
        <w:t xml:space="preserve">. </w:t>
      </w:r>
    </w:p>
    <w:p w14:paraId="72CFB590" w14:textId="51D94EC3" w:rsidR="00AC75EA" w:rsidRDefault="00641119" w:rsidP="00AC75EA">
      <w:r>
        <w:t xml:space="preserve">The evaluation rated the criteria of Economy and Equity as ‘good’, and Efficiency as ‘adequate’. </w:t>
      </w:r>
      <w:r w:rsidRPr="002A572C">
        <w:t xml:space="preserve">The main barrier </w:t>
      </w:r>
      <w:r>
        <w:t>to</w:t>
      </w:r>
      <w:r w:rsidRPr="002A572C">
        <w:t xml:space="preserve"> value for money at this stage are the delays the programme experienced in the early years of delivery, which subsequently delayed achievement of outputs to time</w:t>
      </w:r>
      <w:r w:rsidR="00AC75EA" w:rsidRPr="002A572C">
        <w:t xml:space="preserve">. </w:t>
      </w:r>
      <w:r w:rsidR="00AC75EA" w:rsidRPr="00C356B9">
        <w:t xml:space="preserve">Initial setup challenges, </w:t>
      </w:r>
      <w:r w:rsidR="00AC75EA">
        <w:t>mainly due to</w:t>
      </w:r>
      <w:r w:rsidR="00AC75EA" w:rsidRPr="00C356B9">
        <w:t xml:space="preserve"> the COVID-19 pandemic and uncertain demand, slowed </w:t>
      </w:r>
      <w:r w:rsidR="006013C3">
        <w:t>c</w:t>
      </w:r>
      <w:r w:rsidR="00AC75EA" w:rsidRPr="00C356B9">
        <w:t>omponent 1's progress, delaying finance mobili</w:t>
      </w:r>
      <w:r w:rsidR="00AC75EA">
        <w:t>s</w:t>
      </w:r>
      <w:r w:rsidR="00AC75EA" w:rsidRPr="00C356B9">
        <w:t>ation and shifting timeline expectations while maintaining financing amount targets.</w:t>
      </w:r>
      <w:r w:rsidR="00AC75EA" w:rsidRPr="002A572C">
        <w:t xml:space="preserve"> More recently, however, the programme has made significant progress and is now achieving and even exceeding </w:t>
      </w:r>
      <w:r w:rsidR="00AC75EA">
        <w:t xml:space="preserve">some </w:t>
      </w:r>
      <w:r w:rsidR="00AC75EA" w:rsidRPr="002A572C">
        <w:t>milestones and output targets</w:t>
      </w:r>
      <w:r w:rsidR="00AC75EA">
        <w:t>, albeit not all</w:t>
      </w:r>
      <w:r w:rsidR="00AC75EA" w:rsidRPr="002A572C">
        <w:t xml:space="preserve">. A continuation of this progress could well ensure that the final rating will be improved. </w:t>
      </w:r>
    </w:p>
    <w:p w14:paraId="295B968E" w14:textId="77777777" w:rsidR="00DF74E4" w:rsidRDefault="00DF74E4">
      <w:pPr>
        <w:spacing w:after="160" w:line="259" w:lineRule="auto"/>
        <w:rPr>
          <w:rStyle w:val="Boldtext"/>
        </w:rPr>
      </w:pPr>
      <w:r>
        <w:rPr>
          <w:rStyle w:val="Boldtext"/>
        </w:rPr>
        <w:br w:type="page"/>
      </w:r>
    </w:p>
    <w:p w14:paraId="25755315" w14:textId="1D1AD49F" w:rsidR="00AC75EA" w:rsidRPr="002A572C" w:rsidRDefault="00AC75EA" w:rsidP="00AC75EA">
      <w:pPr>
        <w:rPr>
          <w:rStyle w:val="Boldtext"/>
        </w:rPr>
      </w:pPr>
      <w:r>
        <w:rPr>
          <w:rStyle w:val="Boldtext"/>
        </w:rPr>
        <w:t>Table 7.1: Summary of VfM assessment</w:t>
      </w:r>
    </w:p>
    <w:tbl>
      <w:tblPr>
        <w:tblStyle w:val="Table-Darkblue"/>
        <w:tblW w:w="0" w:type="auto"/>
        <w:tblLook w:val="04A0" w:firstRow="1" w:lastRow="0" w:firstColumn="1" w:lastColumn="0" w:noHBand="0" w:noVBand="1"/>
      </w:tblPr>
      <w:tblGrid>
        <w:gridCol w:w="1724"/>
        <w:gridCol w:w="1953"/>
        <w:gridCol w:w="2042"/>
        <w:gridCol w:w="1737"/>
        <w:gridCol w:w="2626"/>
      </w:tblGrid>
      <w:tr w:rsidR="00C77CDC" w14:paraId="13CEA17B" w14:textId="77777777">
        <w:trPr>
          <w:cnfStyle w:val="100000000000" w:firstRow="1" w:lastRow="0" w:firstColumn="0" w:lastColumn="0" w:oddVBand="0" w:evenVBand="0" w:oddHBand="0" w:evenHBand="0" w:firstRowFirstColumn="0" w:firstRowLastColumn="0" w:lastRowFirstColumn="0" w:lastRowLastColumn="0"/>
        </w:trPr>
        <w:tc>
          <w:tcPr>
            <w:tcW w:w="0" w:type="dxa"/>
          </w:tcPr>
          <w:p w14:paraId="21010EF1" w14:textId="77777777" w:rsidR="00AC75EA" w:rsidRPr="002A572C" w:rsidRDefault="00AC75EA">
            <w:r w:rsidRPr="002A572C">
              <w:t>Economy</w:t>
            </w:r>
          </w:p>
        </w:tc>
        <w:tc>
          <w:tcPr>
            <w:tcW w:w="1970" w:type="dxa"/>
          </w:tcPr>
          <w:p w14:paraId="40A703E0" w14:textId="77777777" w:rsidR="00AC75EA" w:rsidRPr="002A572C" w:rsidRDefault="00AC75EA">
            <w:r w:rsidRPr="002A572C">
              <w:t>Efficiency</w:t>
            </w:r>
          </w:p>
        </w:tc>
        <w:tc>
          <w:tcPr>
            <w:tcW w:w="2056" w:type="dxa"/>
          </w:tcPr>
          <w:p w14:paraId="624C776C" w14:textId="77777777" w:rsidR="00AC75EA" w:rsidRPr="002A572C" w:rsidRDefault="00AC75EA">
            <w:r w:rsidRPr="002A572C">
              <w:t>Effectiveness</w:t>
            </w:r>
          </w:p>
        </w:tc>
        <w:tc>
          <w:tcPr>
            <w:tcW w:w="1658" w:type="dxa"/>
          </w:tcPr>
          <w:p w14:paraId="2A8E5C47" w14:textId="77777777" w:rsidR="00AC75EA" w:rsidRPr="002A572C" w:rsidRDefault="00AC75EA">
            <w:r>
              <w:t>Cost-effectiveness</w:t>
            </w:r>
          </w:p>
        </w:tc>
        <w:tc>
          <w:tcPr>
            <w:tcW w:w="2674" w:type="dxa"/>
          </w:tcPr>
          <w:p w14:paraId="3276D4CE" w14:textId="77777777" w:rsidR="00AC75EA" w:rsidRPr="002A572C" w:rsidRDefault="00AC75EA">
            <w:r w:rsidRPr="002A572C">
              <w:t>Equity</w:t>
            </w:r>
          </w:p>
        </w:tc>
      </w:tr>
      <w:tr w:rsidR="00AC75EA" w14:paraId="765D2D7A" w14:textId="77777777">
        <w:tc>
          <w:tcPr>
            <w:tcW w:w="0" w:type="dxa"/>
          </w:tcPr>
          <w:p w14:paraId="79159976" w14:textId="5AE44F0D" w:rsidR="00AC75EA" w:rsidRPr="002A572C" w:rsidRDefault="00AC75EA">
            <w:r>
              <w:t>Good</w:t>
            </w:r>
          </w:p>
        </w:tc>
        <w:tc>
          <w:tcPr>
            <w:tcW w:w="1970" w:type="dxa"/>
          </w:tcPr>
          <w:p w14:paraId="4CAD4365" w14:textId="2D21FABF" w:rsidR="00AC75EA" w:rsidRPr="002A572C" w:rsidRDefault="00AC75EA">
            <w:r w:rsidRPr="002A572C">
              <w:t>Adequate</w:t>
            </w:r>
          </w:p>
        </w:tc>
        <w:tc>
          <w:tcPr>
            <w:tcW w:w="2056" w:type="dxa"/>
          </w:tcPr>
          <w:p w14:paraId="2DFF5987" w14:textId="742AC290" w:rsidR="00AC75EA" w:rsidRPr="002A572C" w:rsidRDefault="00AC75EA">
            <w:r w:rsidRPr="002A572C">
              <w:t>N/A</w:t>
            </w:r>
          </w:p>
        </w:tc>
        <w:tc>
          <w:tcPr>
            <w:tcW w:w="1658" w:type="dxa"/>
          </w:tcPr>
          <w:p w14:paraId="381A4FBC" w14:textId="7236B314" w:rsidR="00AC75EA" w:rsidRPr="002A572C" w:rsidRDefault="00AC75EA">
            <w:r>
              <w:t>N/A</w:t>
            </w:r>
          </w:p>
        </w:tc>
        <w:tc>
          <w:tcPr>
            <w:tcW w:w="2674" w:type="dxa"/>
          </w:tcPr>
          <w:p w14:paraId="6471A1E8" w14:textId="51F50947" w:rsidR="00AC75EA" w:rsidRPr="002A572C" w:rsidRDefault="00481B07">
            <w:r>
              <w:t>Good</w:t>
            </w:r>
          </w:p>
        </w:tc>
      </w:tr>
      <w:tr w:rsidR="00AC75EA" w14:paraId="00D7EBB1" w14:textId="77777777">
        <w:tc>
          <w:tcPr>
            <w:tcW w:w="0" w:type="dxa"/>
          </w:tcPr>
          <w:p w14:paraId="6FA6863F" w14:textId="63BAC478" w:rsidR="00AC75EA" w:rsidRPr="002A572C" w:rsidRDefault="00AC75EA">
            <w:r w:rsidRPr="002A572C">
              <w:t>Administrative and management costs are exceeding the budget only slightly and these deviations are justified and small</w:t>
            </w:r>
            <w:r w:rsidR="00481B07">
              <w:rPr>
                <w:rStyle w:val="FootnoteReference"/>
              </w:rPr>
              <w:footnoteReference w:id="76"/>
            </w:r>
            <w:r w:rsidRPr="002A572C">
              <w:t>.</w:t>
            </w:r>
            <w:r w:rsidR="007820C8">
              <w:t xml:space="preserve"> </w:t>
            </w:r>
          </w:p>
        </w:tc>
        <w:tc>
          <w:tcPr>
            <w:tcW w:w="1970" w:type="dxa"/>
          </w:tcPr>
          <w:p w14:paraId="62791280" w14:textId="77777777" w:rsidR="00AC75EA" w:rsidRPr="002A572C" w:rsidRDefault="00AC75EA">
            <w:r w:rsidRPr="002A572C">
              <w:t xml:space="preserve">Most outputs were achieved in a timely manner, and delays have been (partially) caused external factors. Outputs and outcomes are generally delivered in line with budget expectations. </w:t>
            </w:r>
          </w:p>
        </w:tc>
        <w:tc>
          <w:tcPr>
            <w:tcW w:w="2056" w:type="dxa"/>
          </w:tcPr>
          <w:p w14:paraId="59C79CD4" w14:textId="77777777" w:rsidR="00AC75EA" w:rsidRPr="002A572C" w:rsidRDefault="00AC75EA">
            <w:r w:rsidRPr="002A572C">
              <w:t>Due to the interim nature of this assessment, an assessment of value for money generated under the effectiveness criteria is premature.</w:t>
            </w:r>
          </w:p>
        </w:tc>
        <w:tc>
          <w:tcPr>
            <w:tcW w:w="1658" w:type="dxa"/>
          </w:tcPr>
          <w:p w14:paraId="59D8532C" w14:textId="30F2A53E" w:rsidR="00AC75EA" w:rsidRPr="002A572C" w:rsidRDefault="00AC75EA">
            <w:r w:rsidRPr="002A572C">
              <w:t xml:space="preserve">Due to the interim nature of this assessment, an assessment of value for money generated under the </w:t>
            </w:r>
            <w:r>
              <w:t>cost-</w:t>
            </w:r>
            <w:r w:rsidRPr="002A572C">
              <w:t>effectiveness criteria is premature</w:t>
            </w:r>
            <w:r w:rsidR="00E26090">
              <w:t>.</w:t>
            </w:r>
          </w:p>
        </w:tc>
        <w:tc>
          <w:tcPr>
            <w:tcW w:w="2674" w:type="dxa"/>
          </w:tcPr>
          <w:p w14:paraId="5AFB96E0" w14:textId="77777777" w:rsidR="00AC75EA" w:rsidRPr="002A572C" w:rsidRDefault="00AC75EA">
            <w:r w:rsidRPr="002A572C">
              <w:t xml:space="preserve">Evidence exists of organisational efforts to improve gender equality within IFC. Additionally, there </w:t>
            </w:r>
            <w:r>
              <w:t>i</w:t>
            </w:r>
            <w:r w:rsidRPr="002A572C">
              <w:t xml:space="preserve">s evidence of programme activities resulting in benefits to women and marginalised groups, and of GEDSI learnings generated throughout the programme to be taken into consideration. </w:t>
            </w:r>
          </w:p>
        </w:tc>
      </w:tr>
    </w:tbl>
    <w:p w14:paraId="76799062" w14:textId="77777777" w:rsidR="00AC75EA" w:rsidRDefault="00AC75EA" w:rsidP="00AC75EA">
      <w:pPr>
        <w:spacing w:after="160" w:line="259" w:lineRule="auto"/>
      </w:pPr>
      <w:r>
        <w:br w:type="page"/>
      </w:r>
    </w:p>
    <w:p w14:paraId="5285BF5E" w14:textId="45EF8C01" w:rsidR="008C1C8D" w:rsidRPr="007347C1" w:rsidRDefault="00F27A9C" w:rsidP="008C1C8D">
      <w:pPr>
        <w:pStyle w:val="Heading1"/>
      </w:pPr>
      <w:bookmarkStart w:id="74" w:name="_Toc189155229"/>
      <w:r w:rsidRPr="007347C1">
        <w:t>8</w:t>
      </w:r>
      <w:r w:rsidR="008C1C8D" w:rsidRPr="007347C1">
        <w:t xml:space="preserve"> Conclusions, recommendations</w:t>
      </w:r>
      <w:r w:rsidR="003406FC" w:rsidRPr="007347C1">
        <w:t xml:space="preserve"> and lessons</w:t>
      </w:r>
      <w:bookmarkEnd w:id="74"/>
    </w:p>
    <w:p w14:paraId="6A19C960" w14:textId="4BF3E7B4" w:rsidR="003406FC" w:rsidRDefault="00641119" w:rsidP="008C1C8D">
      <w:r>
        <w:t xml:space="preserve">The evaluation has identified conclusions about the programme’s outcomes, recommendations for the programme, and lessons learned that could be applied more broadly in the context of financial support to green buildings in emerging economies. To facilitate reading and ensure rigour, cross-references are made to the findings presented in sections 5, 6 and 7 where relevant. All conclusions, recommendations, and lessons have been reviewed by the programme teams at DESNZ and IFC. </w:t>
      </w:r>
      <w:r w:rsidR="006E2C78">
        <w:t>The evaluation team also held a workshop with DESNZ and IFC teams to discuss and test the recommendations’ feasibility</w:t>
      </w:r>
      <w:r w:rsidR="006D410A">
        <w:t>.</w:t>
      </w:r>
      <w:r w:rsidR="006D410A">
        <w:rPr>
          <w:rStyle w:val="FootnoteReference"/>
        </w:rPr>
        <w:footnoteReference w:id="77"/>
      </w:r>
      <w:r w:rsidR="006D410A">
        <w:t xml:space="preserve"> The recommendations presented in this chapter reflect the feedback incorporated from these review processes</w:t>
      </w:r>
      <w:r w:rsidR="003406FC">
        <w:t>.</w:t>
      </w:r>
      <w:r w:rsidR="00EE628F">
        <w:t xml:space="preserve"> </w:t>
      </w:r>
    </w:p>
    <w:p w14:paraId="7C375B5F" w14:textId="77777777" w:rsidR="003406FC" w:rsidRDefault="003406FC" w:rsidP="00786133">
      <w:pPr>
        <w:pStyle w:val="Heading2"/>
        <w:spacing w:before="240" w:after="240"/>
      </w:pPr>
      <w:bookmarkStart w:id="75" w:name="_Toc178758699"/>
      <w:bookmarkStart w:id="76" w:name="_Toc189155230"/>
      <w:r>
        <w:t>8.1 Conclusions</w:t>
      </w:r>
      <w:bookmarkEnd w:id="75"/>
      <w:bookmarkEnd w:id="76"/>
    </w:p>
    <w:p w14:paraId="26C76976" w14:textId="18AF78B7" w:rsidR="003406FC" w:rsidRDefault="003406FC" w:rsidP="003406FC">
      <w:r w:rsidRPr="003406FC">
        <w:t xml:space="preserve">Overall, </w:t>
      </w:r>
      <w:r w:rsidR="0091005A">
        <w:t>the evaluation found</w:t>
      </w:r>
      <w:r w:rsidRPr="003406FC">
        <w:t xml:space="preserve"> that the early outcomes of MAGC observed so far are in line with the programme </w:t>
      </w:r>
      <w:r w:rsidR="0091005A">
        <w:t>Theory of Change</w:t>
      </w:r>
      <w:r w:rsidR="00E26090">
        <w:t>.</w:t>
      </w:r>
      <w:r w:rsidR="00E26090" w:rsidRPr="003406FC">
        <w:t xml:space="preserve"> </w:t>
      </w:r>
      <w:r w:rsidR="00E26090">
        <w:t xml:space="preserve">Also, </w:t>
      </w:r>
      <w:r w:rsidRPr="003406FC">
        <w:t xml:space="preserve">the different pathways to change seem to be valid in practice. </w:t>
      </w:r>
      <w:r w:rsidR="0024654D">
        <w:t>The following conclusions can be drawn from this evaluation</w:t>
      </w:r>
      <w:r w:rsidR="0091005A">
        <w:t>:</w:t>
      </w:r>
    </w:p>
    <w:p w14:paraId="4286F3C0" w14:textId="363E881B" w:rsidR="00D213F7" w:rsidRDefault="00735C1F" w:rsidP="000B0420">
      <w:r>
        <w:t xml:space="preserve">1. </w:t>
      </w:r>
      <w:r w:rsidR="00641119">
        <w:t>The MAGC programme has exceeded expectation</w:t>
      </w:r>
      <w:r w:rsidR="00485E48">
        <w:t>s</w:t>
      </w:r>
      <w:r w:rsidR="00641119">
        <w:t xml:space="preserve"> on </w:t>
      </w:r>
      <w:r w:rsidR="00485E48">
        <w:t>deals closed at this stage of the programme</w:t>
      </w:r>
      <w:r w:rsidR="00877FF8">
        <w:t xml:space="preserve">, </w:t>
      </w:r>
      <w:r w:rsidR="00E738C4">
        <w:t>has achieved a high ratio of</w:t>
      </w:r>
      <w:r w:rsidR="00485E48">
        <w:t xml:space="preserve"> </w:t>
      </w:r>
      <w:r w:rsidR="00641119">
        <w:t>public finance mobilised</w:t>
      </w:r>
      <w:r w:rsidR="00877FF8">
        <w:t>,</w:t>
      </w:r>
      <w:r w:rsidR="00641119">
        <w:t xml:space="preserve"> and has performed strongly on mobilisation of private finance. </w:t>
      </w:r>
      <w:r w:rsidR="00D213F7">
        <w:t xml:space="preserve">The advisory component has played a crucial role in generating interest </w:t>
      </w:r>
      <w:r w:rsidR="009077E9">
        <w:t xml:space="preserve">among FIs </w:t>
      </w:r>
      <w:r w:rsidR="00D213F7">
        <w:t>in green construction</w:t>
      </w:r>
      <w:r w:rsidR="00864334">
        <w:t xml:space="preserve">, closing deals and </w:t>
      </w:r>
      <w:r w:rsidR="009077E9">
        <w:t xml:space="preserve">helping FIs to </w:t>
      </w:r>
      <w:r w:rsidR="00E8354C">
        <w:t>add</w:t>
      </w:r>
      <w:r w:rsidR="00AA2C15">
        <w:t xml:space="preserve"> green construction products to their lending portfolio</w:t>
      </w:r>
      <w:r w:rsidR="00D213F7">
        <w:t xml:space="preserve">. </w:t>
      </w:r>
      <w:r w:rsidR="00E738C4">
        <w:t>Disbursement</w:t>
      </w:r>
      <w:r w:rsidR="008A041D">
        <w:t xml:space="preserve"> of MAGC funds</w:t>
      </w:r>
      <w:r w:rsidR="009F385E">
        <w:t>, however,</w:t>
      </w:r>
      <w:r w:rsidR="00E738C4">
        <w:t xml:space="preserve"> has been slower than expected</w:t>
      </w:r>
      <w:r w:rsidR="00E66225">
        <w:t>. T</w:t>
      </w:r>
      <w:r w:rsidR="00641119">
        <w:t>h</w:t>
      </w:r>
      <w:r w:rsidR="009F385E">
        <w:t>is is partly due to macroeconomic conditions (e.g., the COVID pandemic)</w:t>
      </w:r>
      <w:r w:rsidR="008A041D">
        <w:t xml:space="preserve">, and </w:t>
      </w:r>
      <w:r w:rsidR="00641119">
        <w:t xml:space="preserve">to the considerable use of </w:t>
      </w:r>
      <w:r w:rsidR="005C0267">
        <w:t>PBIs</w:t>
      </w:r>
      <w:r w:rsidR="000E43E6">
        <w:t xml:space="preserve">. </w:t>
      </w:r>
      <w:r w:rsidR="00485E48">
        <w:t xml:space="preserve">While these instruments are working well for </w:t>
      </w:r>
      <w:r w:rsidR="00764813">
        <w:t xml:space="preserve">mobilising </w:t>
      </w:r>
      <w:r w:rsidR="001544F2">
        <w:t xml:space="preserve">IFC </w:t>
      </w:r>
      <w:r w:rsidR="00764813">
        <w:t>finance</w:t>
      </w:r>
      <w:r w:rsidR="00485E48">
        <w:t xml:space="preserve">, they </w:t>
      </w:r>
      <w:r w:rsidR="00764813">
        <w:t>drive</w:t>
      </w:r>
      <w:r w:rsidR="00485E48">
        <w:t xml:space="preserve"> a </w:t>
      </w:r>
      <w:r w:rsidR="00485E48" w:rsidRPr="00485E48">
        <w:t xml:space="preserve">slower disbursement </w:t>
      </w:r>
      <w:r w:rsidR="008E6B6B">
        <w:t xml:space="preserve">of MAGC funds </w:t>
      </w:r>
      <w:r w:rsidR="00485E48" w:rsidRPr="00485E48">
        <w:t>than other instruments</w:t>
      </w:r>
      <w:r w:rsidR="00485E48">
        <w:t xml:space="preserve"> (e.g.</w:t>
      </w:r>
      <w:r w:rsidR="004F6CF2">
        <w:t>,</w:t>
      </w:r>
      <w:r w:rsidR="00485E48">
        <w:t xml:space="preserve"> debt and equity).</w:t>
      </w:r>
      <w:r w:rsidR="000B0420">
        <w:t xml:space="preserve"> </w:t>
      </w:r>
      <w:r w:rsidR="006800E3">
        <w:t xml:space="preserve">In addition to this, and although the </w:t>
      </w:r>
      <w:r w:rsidR="00A847EE">
        <w:t>mobilisation of private finance has been high, other instruments such as equity may be able to mobilise even more finance</w:t>
      </w:r>
      <w:r w:rsidR="005C0267">
        <w:t xml:space="preserve">. </w:t>
      </w:r>
      <w:r w:rsidR="00543AB5">
        <w:t>Finally</w:t>
      </w:r>
      <w:r w:rsidR="000B0420">
        <w:t>, i</w:t>
      </w:r>
      <w:r w:rsidR="000B0420" w:rsidRPr="000B0420">
        <w:t xml:space="preserve">f </w:t>
      </w:r>
      <w:r w:rsidR="00641943">
        <w:t xml:space="preserve">an aim of </w:t>
      </w:r>
      <w:r w:rsidR="000B0420" w:rsidRPr="000B0420">
        <w:t xml:space="preserve">MAGC is </w:t>
      </w:r>
      <w:r w:rsidR="00641943">
        <w:t>to pilot</w:t>
      </w:r>
      <w:r w:rsidR="000B0420" w:rsidRPr="000B0420">
        <w:t xml:space="preserve"> a new way of incentivising green buildings, using a more varied range of instruments would provide more lessons on what works, why, and in what contexts.</w:t>
      </w:r>
    </w:p>
    <w:p w14:paraId="0F98E623" w14:textId="6576445D" w:rsidR="000B0420" w:rsidRPr="000B0420" w:rsidRDefault="000B0420" w:rsidP="000B0420">
      <w:r>
        <w:t xml:space="preserve">2. </w:t>
      </w:r>
      <w:r w:rsidR="00D213F7">
        <w:t xml:space="preserve">MAGC is being effective at </w:t>
      </w:r>
      <w:r w:rsidR="0024654D">
        <w:t>helping FIs assess risks of green building finance, but p</w:t>
      </w:r>
      <w:r w:rsidRPr="000B0420">
        <w:t>roject costs of green buildings are still a concern in several case study countries (Kenya, India, South Africa)</w:t>
      </w:r>
      <w:r w:rsidR="0024654D">
        <w:t>. T</w:t>
      </w:r>
      <w:r w:rsidRPr="000B0420">
        <w:t xml:space="preserve">he </w:t>
      </w:r>
      <w:r w:rsidR="00641943">
        <w:t>largest</w:t>
      </w:r>
      <w:r w:rsidR="0024654D">
        <w:t xml:space="preserve"> </w:t>
      </w:r>
      <w:r w:rsidR="00641943">
        <w:t xml:space="preserve">barriers pertain to </w:t>
      </w:r>
      <w:r w:rsidR="00465547">
        <w:t xml:space="preserve">cost and availability of </w:t>
      </w:r>
      <w:r w:rsidRPr="000B0420">
        <w:t>materials, upfront capital expenditure</w:t>
      </w:r>
      <w:r w:rsidR="00484BD6">
        <w:t>,</w:t>
      </w:r>
      <w:r w:rsidRPr="000B0420">
        <w:t xml:space="preserve"> and long-term operational costs.</w:t>
      </w:r>
      <w:r>
        <w:t xml:space="preserve"> </w:t>
      </w:r>
      <w:r w:rsidRPr="000B0420">
        <w:t>PBIs have been used in MAGC mainly to offset the cost of certification</w:t>
      </w:r>
      <w:r w:rsidR="0024654D">
        <w:t>, while o</w:t>
      </w:r>
      <w:r w:rsidRPr="000B0420">
        <w:t>ther instruments like concessional senior/subordinated debt and equity may be better suited to address market barriers related to incremental costs and upfront capital expenditure.</w:t>
      </w:r>
    </w:p>
    <w:p w14:paraId="1977FF7B" w14:textId="732B037A" w:rsidR="003406FC" w:rsidRDefault="0024654D" w:rsidP="003406FC">
      <w:r>
        <w:t>3</w:t>
      </w:r>
      <w:r w:rsidR="00735C1F">
        <w:t xml:space="preserve">. </w:t>
      </w:r>
      <w:r w:rsidR="0091005A">
        <w:t>The c</w:t>
      </w:r>
      <w:r w:rsidR="003406FC">
        <w:t xml:space="preserve">apacity building </w:t>
      </w:r>
      <w:r w:rsidR="0091005A">
        <w:t xml:space="preserve">delivered as part of MAGC, </w:t>
      </w:r>
      <w:r w:rsidR="003406FC">
        <w:t xml:space="preserve">and </w:t>
      </w:r>
      <w:r w:rsidR="0091005A">
        <w:t xml:space="preserve">the </w:t>
      </w:r>
      <w:r w:rsidR="003406FC">
        <w:t xml:space="preserve">strong presence </w:t>
      </w:r>
      <w:r w:rsidR="0091005A">
        <w:t>of IFC</w:t>
      </w:r>
      <w:r w:rsidR="00BF79EA">
        <w:t>,</w:t>
      </w:r>
      <w:r w:rsidR="0091005A">
        <w:t xml:space="preserve"> </w:t>
      </w:r>
      <w:r w:rsidR="00BF79EA">
        <w:t>were</w:t>
      </w:r>
      <w:r w:rsidR="0091005A">
        <w:t xml:space="preserve"> </w:t>
      </w:r>
      <w:r w:rsidR="003406FC">
        <w:t xml:space="preserve">key to inform outcomes on understanding and valuing green </w:t>
      </w:r>
      <w:r w:rsidR="00281990">
        <w:t>buildings</w:t>
      </w:r>
      <w:r w:rsidR="0091005A">
        <w:t xml:space="preserve">. </w:t>
      </w:r>
      <w:r w:rsidR="00641119">
        <w:t>As presented in section 5.1.2 (findings A, B, C), ev</w:t>
      </w:r>
      <w:r w:rsidR="00641119" w:rsidRPr="00281990">
        <w:t>ents and workshops have been successful in building understanding and creating connections</w:t>
      </w:r>
      <w:r w:rsidR="00B352D2">
        <w:t xml:space="preserve"> </w:t>
      </w:r>
      <w:r w:rsidR="008B44BA">
        <w:t>among</w:t>
      </w:r>
      <w:r w:rsidR="00BD2057">
        <w:t xml:space="preserve"> developers and certification companies</w:t>
      </w:r>
      <w:r w:rsidR="00641119">
        <w:t xml:space="preserve">. </w:t>
      </w:r>
      <w:r w:rsidR="00641119" w:rsidRPr="00281990">
        <w:t xml:space="preserve">Further capacity building efforts should focus </w:t>
      </w:r>
      <w:r w:rsidR="00641119">
        <w:t xml:space="preserve">more </w:t>
      </w:r>
      <w:r w:rsidR="00641119" w:rsidRPr="00281990">
        <w:t xml:space="preserve">on </w:t>
      </w:r>
      <w:r w:rsidR="000B0420">
        <w:t>the demand side (</w:t>
      </w:r>
      <w:r w:rsidR="00641119">
        <w:t xml:space="preserve">to increase </w:t>
      </w:r>
      <w:r w:rsidR="000B0420">
        <w:t xml:space="preserve">end users </w:t>
      </w:r>
      <w:r w:rsidR="00641119">
        <w:t>demand through a bottom-up approach)</w:t>
      </w:r>
      <w:r w:rsidR="00641119" w:rsidRPr="00281990">
        <w:t xml:space="preserve">, </w:t>
      </w:r>
      <w:r w:rsidR="000B0420">
        <w:t xml:space="preserve">and policy and regulatory side (with </w:t>
      </w:r>
      <w:r w:rsidR="00641119" w:rsidRPr="00281990">
        <w:t>policymakers</w:t>
      </w:r>
      <w:r w:rsidR="000B0420">
        <w:t xml:space="preserve">, </w:t>
      </w:r>
      <w:r w:rsidR="00641119">
        <w:t>as shown in finding D in section 5.1.2)</w:t>
      </w:r>
      <w:r w:rsidR="00281990" w:rsidRPr="00281990">
        <w:t>.</w:t>
      </w:r>
    </w:p>
    <w:p w14:paraId="60F71079" w14:textId="54315615" w:rsidR="00B57A27" w:rsidRDefault="0024654D" w:rsidP="00B57A27">
      <w:r>
        <w:t>4</w:t>
      </w:r>
      <w:r w:rsidR="00735C1F">
        <w:t xml:space="preserve">. </w:t>
      </w:r>
      <w:r w:rsidR="00641119" w:rsidRPr="006C2468">
        <w:t xml:space="preserve">EDGE is demonstrating its strength as a tool for green certification, gaining traction in many countries and showing </w:t>
      </w:r>
      <w:r w:rsidR="00641119">
        <w:t xml:space="preserve">a </w:t>
      </w:r>
      <w:r w:rsidR="00641119" w:rsidRPr="006C2468">
        <w:t xml:space="preserve">potential to drive green construction </w:t>
      </w:r>
      <w:r w:rsidR="00641119">
        <w:t xml:space="preserve">take-up (findings A, B, C in section 5.1.3). Findings in section 5.1.3 (see finding D) show that where other certifications are prevalent, such as LEED or national certifications, this is often due to a stronger reputation in the country and links with existing financial incentives. </w:t>
      </w:r>
      <w:r w:rsidR="00A11C1C">
        <w:t>MAGC approach to</w:t>
      </w:r>
      <w:r w:rsidR="004A7AF9">
        <w:t xml:space="preserve"> supporting projects that use equivalent certifications </w:t>
      </w:r>
      <w:r w:rsidR="00E64156">
        <w:t xml:space="preserve">is working well at supporting green construction without being too prescriptive on the tool. </w:t>
      </w:r>
      <w:r w:rsidR="00641119" w:rsidRPr="00577C0D">
        <w:t>There could still be value in promoting EDGE</w:t>
      </w:r>
      <w:r w:rsidR="00DD6C9B">
        <w:t xml:space="preserve"> and training EDGE experts</w:t>
      </w:r>
      <w:r w:rsidR="00641119" w:rsidRPr="00577C0D">
        <w:t xml:space="preserve"> in countries where other certifications are prevalent</w:t>
      </w:r>
      <w:r w:rsidR="005759C6">
        <w:t xml:space="preserve">, </w:t>
      </w:r>
      <w:r w:rsidR="00EF04B9">
        <w:t>especially if EDGE is more ambitious or shows clear advantages</w:t>
      </w:r>
      <w:r w:rsidR="00663CF3">
        <w:t xml:space="preserve"> in specific market segments (e.g., residen</w:t>
      </w:r>
      <w:r w:rsidR="00840C43">
        <w:t>t</w:t>
      </w:r>
      <w:r w:rsidR="00663CF3">
        <w:t>ia</w:t>
      </w:r>
      <w:r w:rsidR="00840C43">
        <w:t>l</w:t>
      </w:r>
      <w:r w:rsidR="00663CF3">
        <w:t xml:space="preserve">). However, the </w:t>
      </w:r>
      <w:r w:rsidR="00840C43">
        <w:t xml:space="preserve">overall </w:t>
      </w:r>
      <w:r w:rsidR="00663CF3">
        <w:t xml:space="preserve">added value </w:t>
      </w:r>
      <w:r w:rsidR="006B5AB9">
        <w:t>of these activities</w:t>
      </w:r>
      <w:r w:rsidR="00DD6C9B">
        <w:t xml:space="preserve"> may be lower in these c</w:t>
      </w:r>
      <w:r w:rsidR="006B5AB9">
        <w:t>ountries</w:t>
      </w:r>
      <w:r w:rsidR="00B179C1">
        <w:t>, as other tools may also be suitable and be the ones already used by government stakeholders</w:t>
      </w:r>
      <w:r w:rsidR="00DD6C9B">
        <w:t>.</w:t>
      </w:r>
      <w:r w:rsidR="00EF04B9">
        <w:t xml:space="preserve"> </w:t>
      </w:r>
    </w:p>
    <w:p w14:paraId="2DAC3793" w14:textId="03C039BA" w:rsidR="00735C1F" w:rsidRDefault="0024654D" w:rsidP="00B57A27">
      <w:r>
        <w:t>5</w:t>
      </w:r>
      <w:r w:rsidR="00B57A27">
        <w:t>. The EDGE</w:t>
      </w:r>
      <w:r w:rsidR="00B57A27" w:rsidRPr="00B57A27">
        <w:t xml:space="preserve"> platform </w:t>
      </w:r>
      <w:r w:rsidR="009D6A5D">
        <w:t>is</w:t>
      </w:r>
      <w:r w:rsidR="00B57A27" w:rsidRPr="00B57A27">
        <w:t xml:space="preserve"> </w:t>
      </w:r>
      <w:r w:rsidR="009D6A5D">
        <w:t>well-</w:t>
      </w:r>
      <w:r w:rsidR="00B57A27" w:rsidRPr="00B57A27">
        <w:t>establish</w:t>
      </w:r>
      <w:r w:rsidR="009D6A5D">
        <w:t>ed</w:t>
      </w:r>
      <w:r w:rsidR="00B57A27" w:rsidRPr="00B57A27">
        <w:t xml:space="preserve"> and has an exponentially growing user base. This </w:t>
      </w:r>
      <w:r w:rsidR="009D6A5D">
        <w:t xml:space="preserve">has </w:t>
      </w:r>
      <w:r w:rsidR="00B57A27" w:rsidRPr="00B57A27">
        <w:t xml:space="preserve">raised questions regarding i) </w:t>
      </w:r>
      <w:r w:rsidR="00635C4C">
        <w:t xml:space="preserve">its long-term </w:t>
      </w:r>
      <w:r w:rsidR="00B57A27" w:rsidRPr="00B57A27">
        <w:t>sustainability</w:t>
      </w:r>
      <w:r w:rsidR="00635C4C">
        <w:t xml:space="preserve"> beyond external public funding</w:t>
      </w:r>
      <w:r w:rsidR="00B57A27" w:rsidRPr="00B57A27">
        <w:t xml:space="preserve"> and ii) </w:t>
      </w:r>
      <w:r w:rsidR="009D6A5D">
        <w:t>a</w:t>
      </w:r>
      <w:r w:rsidR="00B57A27" w:rsidRPr="00B57A27">
        <w:t xml:space="preserve"> potential distortion effect </w:t>
      </w:r>
      <w:r w:rsidR="009D6A5D">
        <w:t xml:space="preserve">which </w:t>
      </w:r>
      <w:r w:rsidR="00B57A27" w:rsidRPr="00B57A27">
        <w:t xml:space="preserve">a publicly funded tool may have in hindering development or uptake of other certifications (e.g., LEED is privately funded). </w:t>
      </w:r>
      <w:r w:rsidR="003E11CB">
        <w:t>While the</w:t>
      </w:r>
      <w:r w:rsidR="00B57A27" w:rsidRPr="00B57A27">
        <w:t xml:space="preserve"> low cost of certifying EDGE</w:t>
      </w:r>
      <w:r w:rsidR="003E11CB">
        <w:t xml:space="preserve"> </w:t>
      </w:r>
      <w:r w:rsidR="00B57A27" w:rsidRPr="00B57A27">
        <w:t xml:space="preserve">has been a key factor driving uptake, </w:t>
      </w:r>
      <w:r w:rsidR="003E11CB">
        <w:t xml:space="preserve">it </w:t>
      </w:r>
      <w:r w:rsidR="00B57A27" w:rsidRPr="00B57A27">
        <w:t>is significantly lower than other certifications.</w:t>
      </w:r>
      <w:r w:rsidR="00B57A27">
        <w:t xml:space="preserve"> </w:t>
      </w:r>
      <w:r w:rsidR="00B57A27" w:rsidRPr="00B57A27">
        <w:t>MAGC funding is used for both improvement actions (e.g., EDGE Retrofit), but also ongoing maintenance and operational improvements. To ensure MAGC funding continues to be used to directly address market failures, funding ought to be targeted at where gaps still exist (locally and globally in terms of raised ambition).</w:t>
      </w:r>
    </w:p>
    <w:p w14:paraId="7EE46FA4" w14:textId="00733CBC" w:rsidR="00735C1F" w:rsidRDefault="0024654D" w:rsidP="003406FC">
      <w:r>
        <w:t>6</w:t>
      </w:r>
      <w:r w:rsidR="00735C1F">
        <w:t>. R</w:t>
      </w:r>
      <w:r w:rsidR="003406FC" w:rsidRPr="003406FC">
        <w:t>elated to the approach of MAGC, evidence so far validated the need for a holistic approach targeting the whole system</w:t>
      </w:r>
      <w:r w:rsidR="00EB7D1B">
        <w:t>.</w:t>
      </w:r>
      <w:r w:rsidR="00EB7D1B" w:rsidRPr="003406FC">
        <w:t xml:space="preserve"> </w:t>
      </w:r>
      <w:r w:rsidR="00EB7D1B">
        <w:t>I</w:t>
      </w:r>
      <w:r w:rsidR="00EB7D1B" w:rsidRPr="003406FC">
        <w:t xml:space="preserve">n </w:t>
      </w:r>
      <w:r w:rsidR="003406FC" w:rsidRPr="003406FC">
        <w:t>particular</w:t>
      </w:r>
      <w:r w:rsidR="00EB7D1B">
        <w:t>,</w:t>
      </w:r>
      <w:r w:rsidR="003406FC" w:rsidRPr="003406FC">
        <w:t xml:space="preserve"> the combination of financial and policy initiatives and capacity </w:t>
      </w:r>
      <w:r w:rsidR="00641119" w:rsidRPr="003406FC">
        <w:t>building</w:t>
      </w:r>
      <w:r w:rsidR="00641119">
        <w:t xml:space="preserve"> (see finding A in 5.2.4)</w:t>
      </w:r>
      <w:r w:rsidR="00641119" w:rsidRPr="003406FC">
        <w:t>.</w:t>
      </w:r>
      <w:r w:rsidR="00641119">
        <w:t xml:space="preserve"> </w:t>
      </w:r>
      <w:r w:rsidR="00735C1F">
        <w:t>A</w:t>
      </w:r>
      <w:r w:rsidR="00735C1F" w:rsidRPr="00735C1F">
        <w:t xml:space="preserve"> very strong theme across all interviewee types was around the role of government incentives </w:t>
      </w:r>
      <w:r w:rsidR="0093036F">
        <w:t xml:space="preserve">(for example, in the form of financial or technical incentives) </w:t>
      </w:r>
      <w:r w:rsidR="00735C1F" w:rsidRPr="00735C1F">
        <w:t>and regulation</w:t>
      </w:r>
      <w:r w:rsidR="00EB7D1B">
        <w:t>.</w:t>
      </w:r>
      <w:r w:rsidR="00EB7D1B" w:rsidRPr="00735C1F">
        <w:t xml:space="preserve"> </w:t>
      </w:r>
      <w:r w:rsidR="00EB7D1B">
        <w:t>These</w:t>
      </w:r>
      <w:r w:rsidR="00EB7D1B" w:rsidRPr="00735C1F">
        <w:t xml:space="preserve"> </w:t>
      </w:r>
      <w:r w:rsidR="00735C1F" w:rsidRPr="00735C1F">
        <w:t>seem to be key factor</w:t>
      </w:r>
      <w:r w:rsidR="00EB7D1B">
        <w:t>s</w:t>
      </w:r>
      <w:r w:rsidR="00735C1F" w:rsidRPr="00735C1F">
        <w:t xml:space="preserve"> driving adoption of green construction across the countries considered</w:t>
      </w:r>
      <w:r w:rsidR="00735C1F">
        <w:t>.</w:t>
      </w:r>
      <w:r w:rsidR="00DE53AF">
        <w:t xml:space="preserve"> </w:t>
      </w:r>
      <w:r w:rsidR="002939F9">
        <w:t>Incentivising governments to change the regulation and policy landscape could be an important avenue for increasing the effectiveness and penetration of concessional finance programmes such as MAGC.</w:t>
      </w:r>
    </w:p>
    <w:p w14:paraId="5A5197DD" w14:textId="5FEDB98F" w:rsidR="00735C1F" w:rsidRDefault="0024654D" w:rsidP="003406FC">
      <w:r>
        <w:t>7</w:t>
      </w:r>
      <w:r w:rsidR="00735C1F">
        <w:t xml:space="preserve">. </w:t>
      </w:r>
      <w:r w:rsidR="00641119">
        <w:t>There are some early signs that transformational change could be likely (see findings in 5.2). On the 5 point scale of the ICF methodology to calculate KPI15 (e</w:t>
      </w:r>
      <w:r w:rsidR="00641119" w:rsidRPr="00577C0D">
        <w:t xml:space="preserve">xtent to which ICF intervention is likely to lead to </w:t>
      </w:r>
      <w:r w:rsidR="00641119">
        <w:t>t</w:t>
      </w:r>
      <w:r w:rsidR="00641119" w:rsidRPr="00577C0D">
        <w:t xml:space="preserve">ransformational </w:t>
      </w:r>
      <w:r w:rsidR="00641119">
        <w:t>c</w:t>
      </w:r>
      <w:r w:rsidR="00641119" w:rsidRPr="00577C0D">
        <w:t>hange</w:t>
      </w:r>
      <w:r w:rsidR="00641119">
        <w:t xml:space="preserve">) the current score of MAGC is </w:t>
      </w:r>
      <w:r w:rsidR="00641119" w:rsidRPr="00577C0D">
        <w:t>4: Partial evidence that suggests transformational change is likely</w:t>
      </w:r>
      <w:r w:rsidR="00641119">
        <w:t>.</w:t>
      </w:r>
      <w:r w:rsidR="00641119">
        <w:rPr>
          <w:rStyle w:val="FootnoteReference"/>
        </w:rPr>
        <w:footnoteReference w:id="78"/>
      </w:r>
      <w:r w:rsidR="00641119">
        <w:t xml:space="preserve"> However, to drive transformational change, MAGC should focus on addressing the strongest barriers to green construction take-up, including</w:t>
      </w:r>
      <w:r w:rsidR="00641119" w:rsidRPr="00281990">
        <w:t xml:space="preserve"> high upfront costs</w:t>
      </w:r>
      <w:r w:rsidR="00641119">
        <w:t xml:space="preserve"> (through subsidies)</w:t>
      </w:r>
      <w:r w:rsidR="00641119" w:rsidRPr="00281990">
        <w:t>, limited awareness of savings benefits</w:t>
      </w:r>
      <w:r w:rsidR="00641119">
        <w:t xml:space="preserve"> among end users (continued support for within-country promotion and communication)</w:t>
      </w:r>
      <w:r w:rsidR="00641119" w:rsidRPr="00281990">
        <w:t xml:space="preserve">, and the need for stronger evidence </w:t>
      </w:r>
      <w:r w:rsidR="00641119">
        <w:t>of green building benefits (such as through research component activities</w:t>
      </w:r>
      <w:r w:rsidR="002939F9">
        <w:t>)</w:t>
      </w:r>
      <w:r w:rsidR="00EB0203" w:rsidRPr="00281990">
        <w:t>.</w:t>
      </w:r>
    </w:p>
    <w:p w14:paraId="64736DE2" w14:textId="3DF484CF" w:rsidR="00735C1F" w:rsidRDefault="0024654D" w:rsidP="005A232A">
      <w:r>
        <w:t>8</w:t>
      </w:r>
      <w:r w:rsidR="00735C1F">
        <w:t xml:space="preserve">. </w:t>
      </w:r>
      <w:r w:rsidR="0091005A">
        <w:t xml:space="preserve">In terms of value for money, </w:t>
      </w:r>
      <w:r w:rsidR="005A232A">
        <w:t xml:space="preserve">while it is too early to assess this at interim stage, </w:t>
      </w:r>
      <w:r w:rsidR="005A232A" w:rsidRPr="002A572C">
        <w:t xml:space="preserve">stakeholders are </w:t>
      </w:r>
      <w:r w:rsidR="005A232A">
        <w:t>overall</w:t>
      </w:r>
      <w:r w:rsidR="005A232A" w:rsidRPr="002A572C">
        <w:t xml:space="preserve"> confident that the programme is delivering good value for money</w:t>
      </w:r>
      <w:r w:rsidR="005A232A">
        <w:t xml:space="preserve">. </w:t>
      </w:r>
      <w:r w:rsidR="002C63FA">
        <w:t>As shown in the VfM findings in section 7, t</w:t>
      </w:r>
      <w:r w:rsidR="005A232A" w:rsidRPr="002A572C">
        <w:t>he delays the programme experienced in the early years of delivery</w:t>
      </w:r>
      <w:r w:rsidR="005A232A">
        <w:t xml:space="preserve"> </w:t>
      </w:r>
      <w:r w:rsidR="005A232A" w:rsidRPr="002A572C">
        <w:t xml:space="preserve">subsequently delayed achievement of outputs to time. More recently, however, the programme has made significant progress and is now even exceeding </w:t>
      </w:r>
      <w:r w:rsidR="009B11A1">
        <w:t xml:space="preserve">some </w:t>
      </w:r>
      <w:r w:rsidR="005A232A" w:rsidRPr="002A572C">
        <w:t>milestones and output targets. A continuation of this progress could well ensure that the final rating will be improved.</w:t>
      </w:r>
    </w:p>
    <w:p w14:paraId="4963DF9C" w14:textId="6897C0AE" w:rsidR="003406FC" w:rsidRDefault="0024654D" w:rsidP="008D4661">
      <w:r>
        <w:t>9</w:t>
      </w:r>
      <w:r w:rsidR="4AE2C702">
        <w:t xml:space="preserve">. </w:t>
      </w:r>
      <w:r w:rsidR="40D71450">
        <w:t>In regard to GEDSI learning</w:t>
      </w:r>
      <w:r w:rsidR="002C63FA">
        <w:t xml:space="preserve"> (</w:t>
      </w:r>
      <w:r w:rsidR="00641119">
        <w:t>see findings A-E in section 6 of this report</w:t>
      </w:r>
      <w:r w:rsidR="002C63FA">
        <w:t>)</w:t>
      </w:r>
      <w:r w:rsidR="40D71450">
        <w:t xml:space="preserve">, </w:t>
      </w:r>
      <w:r w:rsidR="4EEEBC02">
        <w:t xml:space="preserve">research in this phase indicates that while green buildings offer potential </w:t>
      </w:r>
      <w:r w:rsidR="00F73F71">
        <w:t xml:space="preserve">GEDSI benefits. They can improve </w:t>
      </w:r>
      <w:r w:rsidR="4EEEBC02">
        <w:t>the standard of living for marginalised groups, and the programme demonstrates progress in encouraging women's participation in the sector</w:t>
      </w:r>
      <w:r w:rsidR="00F73F71">
        <w:t xml:space="preserve">. However, </w:t>
      </w:r>
      <w:r w:rsidR="4EEEBC02">
        <w:t>realising these benefits requires a context-specific approach.</w:t>
      </w:r>
      <w:r w:rsidR="40D71450">
        <w:t xml:space="preserve"> For </w:t>
      </w:r>
      <w:r w:rsidR="4EEEBC02">
        <w:t xml:space="preserve">a </w:t>
      </w:r>
      <w:r w:rsidR="40D71450">
        <w:t>green construction programme</w:t>
      </w:r>
      <w:r w:rsidR="4EEEBC02">
        <w:t xml:space="preserve"> like MAGC</w:t>
      </w:r>
      <w:r w:rsidR="40D71450">
        <w:t xml:space="preserve"> to effectively deliver GEDSI outcomes, GEDSI needs to be integrated at design stage through key entry points. </w:t>
      </w:r>
    </w:p>
    <w:p w14:paraId="7A5F3B79" w14:textId="77777777" w:rsidR="003406FC" w:rsidRDefault="003406FC" w:rsidP="00786133">
      <w:pPr>
        <w:pStyle w:val="Heading2"/>
        <w:spacing w:before="240" w:after="240"/>
      </w:pPr>
      <w:bookmarkStart w:id="77" w:name="_Toc178758700"/>
      <w:bookmarkStart w:id="78" w:name="_Toc189155231"/>
      <w:r>
        <w:t>8.2 Recommendations</w:t>
      </w:r>
      <w:bookmarkEnd w:id="77"/>
      <w:bookmarkEnd w:id="78"/>
    </w:p>
    <w:p w14:paraId="7C3B89A4" w14:textId="3768EAC6" w:rsidR="003406FC" w:rsidRDefault="00786133" w:rsidP="008D4661">
      <w:bookmarkStart w:id="79" w:name="_Toc189155232"/>
      <w:r w:rsidRPr="00786133">
        <w:rPr>
          <w:rStyle w:val="Boldtext"/>
        </w:rPr>
        <w:t>1.</w:t>
      </w:r>
      <w:r w:rsidR="00735C1F" w:rsidRPr="00786133">
        <w:rPr>
          <w:rStyle w:val="Boldtext"/>
        </w:rPr>
        <w:t xml:space="preserve"> Investment and advisory</w:t>
      </w:r>
      <w:bookmarkEnd w:id="79"/>
      <w:r w:rsidR="00B75CAC">
        <w:t xml:space="preserve">: the first component of MAGC </w:t>
      </w:r>
      <w:r w:rsidR="00CF7A90">
        <w:t>could consider</w:t>
      </w:r>
      <w:r w:rsidR="00B75CAC">
        <w:t xml:space="preserve"> the following </w:t>
      </w:r>
      <w:r w:rsidR="00CF7A90">
        <w:t>recommendations</w:t>
      </w:r>
      <w:r w:rsidR="00B75CAC">
        <w:t>:</w:t>
      </w:r>
    </w:p>
    <w:p w14:paraId="46200250" w14:textId="35174AE2" w:rsidR="0083721A" w:rsidRPr="0083721A" w:rsidRDefault="00B75CAC" w:rsidP="0083721A">
      <w:pPr>
        <w:pStyle w:val="DESNZbulletedlist"/>
      </w:pPr>
      <w:r w:rsidRPr="00DF510D">
        <w:rPr>
          <w:b/>
          <w:bCs/>
        </w:rPr>
        <w:t>For the current iteration of the programme</w:t>
      </w:r>
      <w:r w:rsidR="00F73F71">
        <w:t>:</w:t>
      </w:r>
      <w:r>
        <w:t xml:space="preserve"> </w:t>
      </w:r>
      <w:r w:rsidR="00AE205D">
        <w:br/>
      </w:r>
      <w:r w:rsidR="0083721A" w:rsidRPr="0083721A">
        <w:t>IFC should consider how well the instruments used with MAGC funds are addressing the market barriers identified and consider piloting other financial structures, such as:</w:t>
      </w:r>
    </w:p>
    <w:p w14:paraId="55057E2B" w14:textId="3AB8158E" w:rsidR="0083721A" w:rsidRPr="0083721A" w:rsidRDefault="0083721A" w:rsidP="001C6F7A">
      <w:pPr>
        <w:pStyle w:val="DESNZbulletedlist"/>
        <w:numPr>
          <w:ilvl w:val="3"/>
          <w:numId w:val="4"/>
        </w:numPr>
      </w:pPr>
      <w:r w:rsidRPr="0083721A">
        <w:t>Instruments to help developers absorb the risks of building green compared to traditional construction (e.g., higher cost of materials, potential low demand for green buildings, etc.). These could take the form of concessional equity, returnable grant type structures, or finance working capital through Working Capital facilities.</w:t>
      </w:r>
    </w:p>
    <w:p w14:paraId="067685FD" w14:textId="50FC85E3" w:rsidR="00B75CAC" w:rsidRDefault="0083721A" w:rsidP="0083721A">
      <w:pPr>
        <w:pStyle w:val="DESNZbulletedlist"/>
        <w:numPr>
          <w:ilvl w:val="3"/>
          <w:numId w:val="4"/>
        </w:numPr>
      </w:pPr>
      <w:r w:rsidRPr="0083721A">
        <w:t>Guarantees to increase willingness of FIs to allocate capital to higher risk projects like green buildings, for instance in the form of a Guarantee fund or a First loss facility for lenders. These would need to be accompanied by advisory services, which has proved effective at increasing FIs’ willingness to take these risks.</w:t>
      </w:r>
    </w:p>
    <w:p w14:paraId="1250EFF3" w14:textId="62C7F878" w:rsidR="00AE205D" w:rsidRPr="00AE205D" w:rsidRDefault="00AE205D" w:rsidP="001C6F7A">
      <w:pPr>
        <w:pStyle w:val="DESNZbulletedlist"/>
        <w:numPr>
          <w:ilvl w:val="0"/>
          <w:numId w:val="0"/>
        </w:numPr>
        <w:ind w:left="714"/>
      </w:pPr>
      <w:r w:rsidRPr="00AE205D">
        <w:t>DESNZ should consider the trade-offs in the predomina</w:t>
      </w:r>
      <w:r w:rsidR="007C2938">
        <w:t>nt</w:t>
      </w:r>
      <w:r w:rsidRPr="00AE205D">
        <w:t xml:space="preserve"> use of PBIs and provide guidance accordingly to IFC on how to proceed with new deals. The trade-offs </w:t>
      </w:r>
      <w:r w:rsidR="00360952">
        <w:t xml:space="preserve">with PBIs </w:t>
      </w:r>
      <w:r w:rsidRPr="00AE205D">
        <w:t>are:</w:t>
      </w:r>
    </w:p>
    <w:p w14:paraId="4611FBC4" w14:textId="7AB87B1B" w:rsidR="00AE205D" w:rsidRPr="00AE205D" w:rsidRDefault="00AE205D" w:rsidP="001C6F7A">
      <w:pPr>
        <w:pStyle w:val="DESNZbulletedlist"/>
        <w:numPr>
          <w:ilvl w:val="3"/>
          <w:numId w:val="4"/>
        </w:numPr>
      </w:pPr>
      <w:r w:rsidRPr="00AE205D">
        <w:t xml:space="preserve">Higher mobilisation of IFC funds with a small amount of MAGC funding, allowing MAGC to close more deals with more FIs. However, this instrument </w:t>
      </w:r>
      <w:r w:rsidR="003E11CB">
        <w:t>may be</w:t>
      </w:r>
      <w:r w:rsidRPr="00AE205D">
        <w:t xml:space="preserve"> less effective at leveraging private funding</w:t>
      </w:r>
      <w:r w:rsidR="003E11CB">
        <w:t xml:space="preserve"> than other instruments such as equity</w:t>
      </w:r>
      <w:r w:rsidRPr="00AE205D">
        <w:t>.</w:t>
      </w:r>
    </w:p>
    <w:p w14:paraId="38E32549" w14:textId="1478AA76" w:rsidR="00AE205D" w:rsidRDefault="009D6A5D" w:rsidP="00AE205D">
      <w:pPr>
        <w:pStyle w:val="DESNZbulletedlist"/>
        <w:numPr>
          <w:ilvl w:val="3"/>
          <w:numId w:val="4"/>
        </w:numPr>
      </w:pPr>
      <w:r>
        <w:t>PBIs have</w:t>
      </w:r>
      <w:r w:rsidR="00AE205D" w:rsidRPr="00AE205D">
        <w:t xml:space="preserve"> been used to address </w:t>
      </w:r>
      <w:r>
        <w:t xml:space="preserve">the </w:t>
      </w:r>
      <w:r w:rsidR="00AE205D" w:rsidRPr="00AE205D">
        <w:t xml:space="preserve">barriers of cost of certification and to subsidise the purchase/rent for home buyers; however, barriers faced by developers (cost of materials and operational costs) have not </w:t>
      </w:r>
      <w:r w:rsidR="00AE205D">
        <w:t xml:space="preserve">yet </w:t>
      </w:r>
      <w:r w:rsidR="00AE205D" w:rsidRPr="00AE205D">
        <w:t>been effectively addressed.</w:t>
      </w:r>
    </w:p>
    <w:p w14:paraId="35AB4DC0" w14:textId="02A93228" w:rsidR="00AE205D" w:rsidRDefault="0024654D" w:rsidP="001C6F7A">
      <w:pPr>
        <w:pStyle w:val="DESNZbulletedlist"/>
        <w:numPr>
          <w:ilvl w:val="3"/>
          <w:numId w:val="4"/>
        </w:numPr>
      </w:pPr>
      <w:r>
        <w:t xml:space="preserve">By </w:t>
      </w:r>
      <w:r w:rsidR="00772353">
        <w:t>focusing too much on</w:t>
      </w:r>
      <w:r>
        <w:t xml:space="preserve"> PBIs, </w:t>
      </w:r>
      <w:r w:rsidR="00AE205D" w:rsidRPr="00AE205D">
        <w:t xml:space="preserve">MAGC is producing </w:t>
      </w:r>
      <w:r w:rsidR="00553AAF">
        <w:t xml:space="preserve">limited </w:t>
      </w:r>
      <w:r w:rsidR="00AE205D" w:rsidRPr="00AE205D">
        <w:t xml:space="preserve">lessons </w:t>
      </w:r>
      <w:r w:rsidR="00AE205D">
        <w:t>on</w:t>
      </w:r>
      <w:r w:rsidR="00AE205D" w:rsidRPr="00AE205D">
        <w:t xml:space="preserve"> other financial instruments.</w:t>
      </w:r>
    </w:p>
    <w:p w14:paraId="7A076F60" w14:textId="2EE5AD13" w:rsidR="00B738E3" w:rsidRPr="00B738E3" w:rsidRDefault="00B738E3" w:rsidP="00626751">
      <w:pPr>
        <w:pStyle w:val="DESNZbulletedlist"/>
        <w:numPr>
          <w:ilvl w:val="0"/>
          <w:numId w:val="0"/>
        </w:numPr>
        <w:ind w:left="714"/>
      </w:pPr>
      <w:r w:rsidRPr="00626751">
        <w:rPr>
          <w:i/>
          <w:iCs/>
        </w:rPr>
        <w:t>Priority</w:t>
      </w:r>
      <w:r w:rsidRPr="00626751">
        <w:t>:</w:t>
      </w:r>
      <w:r>
        <w:t xml:space="preserve"> </w:t>
      </w:r>
      <w:r w:rsidR="00AE205D">
        <w:t xml:space="preserve">High </w:t>
      </w:r>
      <w:r w:rsidR="00CD643F">
        <w:t xml:space="preserve">– </w:t>
      </w:r>
      <w:r w:rsidR="0083721A">
        <w:t>it could improve private finance mobilisation and promote learning in the programme</w:t>
      </w:r>
      <w:r w:rsidR="00AE205D">
        <w:t>.</w:t>
      </w:r>
      <w:r>
        <w:br/>
      </w:r>
      <w:r w:rsidRPr="00626751">
        <w:rPr>
          <w:i/>
          <w:iCs/>
        </w:rPr>
        <w:t>Feasibility</w:t>
      </w:r>
      <w:r>
        <w:t>:</w:t>
      </w:r>
      <w:r w:rsidR="00CD643F">
        <w:t xml:space="preserve"> </w:t>
      </w:r>
      <w:r w:rsidR="00AE205D">
        <w:t xml:space="preserve">Medium </w:t>
      </w:r>
      <w:r w:rsidR="00CD643F">
        <w:t xml:space="preserve">– </w:t>
      </w:r>
      <w:r w:rsidR="0024654D">
        <w:t xml:space="preserve">the deal structuring </w:t>
      </w:r>
      <w:r w:rsidR="00CD32C5">
        <w:t>takes into consideration multiple aspects</w:t>
      </w:r>
      <w:r w:rsidR="007C7A86">
        <w:t>, including FIs appetite and</w:t>
      </w:r>
      <w:r w:rsidR="00072E13">
        <w:t xml:space="preserve"> the principles for the use of concessional finance in private sector operations,</w:t>
      </w:r>
      <w:r w:rsidR="00BD5A5A" w:rsidRPr="001C6F7A">
        <w:rPr>
          <w:rStyle w:val="FootnoteReference"/>
        </w:rPr>
        <w:footnoteReference w:id="79"/>
      </w:r>
      <w:r w:rsidR="00002259">
        <w:t xml:space="preserve"> and there may be valid reasons for the high use of PBIs. </w:t>
      </w:r>
    </w:p>
    <w:p w14:paraId="341D66EC" w14:textId="60EF9879" w:rsidR="00B738E3" w:rsidRPr="00B738E3" w:rsidRDefault="00CF7A90" w:rsidP="00626751">
      <w:pPr>
        <w:pStyle w:val="DESNZbulletedlist"/>
      </w:pPr>
      <w:r w:rsidRPr="00DF510D">
        <w:rPr>
          <w:b/>
          <w:bCs/>
        </w:rPr>
        <w:t>For future iterations of the programme</w:t>
      </w:r>
      <w:r w:rsidR="00F73F71">
        <w:rPr>
          <w:b/>
          <w:bCs/>
        </w:rPr>
        <w:t>:</w:t>
      </w:r>
      <w:r w:rsidR="00F73F71" w:rsidRPr="00DF510D">
        <w:rPr>
          <w:b/>
          <w:bCs/>
        </w:rPr>
        <w:t xml:space="preserve"> </w:t>
      </w:r>
      <w:r w:rsidR="00F73F71">
        <w:t xml:space="preserve">It </w:t>
      </w:r>
      <w:r>
        <w:t>is recommended to m</w:t>
      </w:r>
      <w:r w:rsidRPr="00CF7A90">
        <w:t xml:space="preserve">aintain the integrated approach of providing advisory support alongside financial instruments within </w:t>
      </w:r>
      <w:r w:rsidR="00DE33B2">
        <w:t>c</w:t>
      </w:r>
      <w:r w:rsidRPr="00CF7A90">
        <w:t xml:space="preserve">omponent 1. </w:t>
      </w:r>
      <w:r w:rsidR="00641119" w:rsidRPr="00CF7A90">
        <w:t xml:space="preserve">This model has proven successful </w:t>
      </w:r>
      <w:r w:rsidR="00641119">
        <w:t xml:space="preserve">(see findings A, C, D in 5.1.1) </w:t>
      </w:r>
      <w:r w:rsidR="00641119" w:rsidRPr="00CF7A90">
        <w:t>and should be continued to maximise impact.</w:t>
      </w:r>
      <w:r w:rsidR="00641119">
        <w:t xml:space="preserve"> </w:t>
      </w:r>
      <w:r w:rsidR="00B57A27">
        <w:rPr>
          <w:i/>
          <w:iCs/>
        </w:rPr>
        <w:br/>
      </w:r>
      <w:r w:rsidR="00B738E3" w:rsidRPr="00626751">
        <w:rPr>
          <w:i/>
          <w:iCs/>
        </w:rPr>
        <w:t>Priority</w:t>
      </w:r>
      <w:r w:rsidR="00B738E3" w:rsidRPr="00B81868">
        <w:t>:</w:t>
      </w:r>
      <w:r w:rsidR="00B738E3">
        <w:t xml:space="preserve"> </w:t>
      </w:r>
      <w:r w:rsidR="00CD643F">
        <w:t>High – it is crucial to maximise impact.</w:t>
      </w:r>
      <w:r w:rsidR="00B738E3">
        <w:br/>
      </w:r>
      <w:r w:rsidR="00B738E3" w:rsidRPr="00626751">
        <w:rPr>
          <w:i/>
          <w:iCs/>
        </w:rPr>
        <w:t>Feasibility</w:t>
      </w:r>
      <w:r w:rsidR="00B738E3">
        <w:t>:</w:t>
      </w:r>
      <w:r w:rsidR="00CD643F">
        <w:t xml:space="preserve"> High – it relies on current successful model.</w:t>
      </w:r>
    </w:p>
    <w:p w14:paraId="32F7FF2B" w14:textId="22319C55" w:rsidR="0024654D" w:rsidRPr="0024654D" w:rsidRDefault="001E2F09" w:rsidP="0024654D">
      <w:r w:rsidRPr="001C6F7A">
        <w:rPr>
          <w:rStyle w:val="Boldtext"/>
        </w:rPr>
        <w:t>2.</w:t>
      </w:r>
      <w:r w:rsidRPr="001E2F09">
        <w:rPr>
          <w:rStyle w:val="Boldtext"/>
        </w:rPr>
        <w:t xml:space="preserve"> Capacity</w:t>
      </w:r>
      <w:r>
        <w:rPr>
          <w:rStyle w:val="Boldtext"/>
        </w:rPr>
        <w:t xml:space="preserve"> building</w:t>
      </w:r>
      <w:r w:rsidR="00B57A27">
        <w:rPr>
          <w:rStyle w:val="Boldtext"/>
        </w:rPr>
        <w:t xml:space="preserve"> </w:t>
      </w:r>
      <w:r w:rsidR="009D6A5D">
        <w:rPr>
          <w:rStyle w:val="Boldtext"/>
        </w:rPr>
        <w:t>for</w:t>
      </w:r>
      <w:r w:rsidR="00B57A27">
        <w:rPr>
          <w:rStyle w:val="Boldtext"/>
        </w:rPr>
        <w:t xml:space="preserve"> the public sector</w:t>
      </w:r>
      <w:r>
        <w:t xml:space="preserve">: </w:t>
      </w:r>
      <w:r w:rsidR="008479EC">
        <w:t xml:space="preserve">Capacity building for the public sector </w:t>
      </w:r>
      <w:r w:rsidR="001561F6">
        <w:t>has proved effective; however, IFC</w:t>
      </w:r>
      <w:r>
        <w:t xml:space="preserve"> </w:t>
      </w:r>
      <w:r w:rsidR="00642EF8">
        <w:t xml:space="preserve">has </w:t>
      </w:r>
      <w:r w:rsidR="00C14809">
        <w:t>more experience engaging private than</w:t>
      </w:r>
      <w:r w:rsidR="00FA39FC">
        <w:t xml:space="preserve"> public actors and delivering more activities to more actors</w:t>
      </w:r>
      <w:r w:rsidR="00A1769B">
        <w:t>, while necessary,</w:t>
      </w:r>
      <w:r w:rsidR="00FA39FC">
        <w:t xml:space="preserve"> may be resource intensive.</w:t>
      </w:r>
      <w:r>
        <w:t xml:space="preserve"> </w:t>
      </w:r>
      <w:r w:rsidR="00A1769B">
        <w:t xml:space="preserve">To ensure </w:t>
      </w:r>
      <w:r w:rsidR="006B28A4">
        <w:t xml:space="preserve">efficient and effective use of </w:t>
      </w:r>
      <w:r w:rsidR="00C14809">
        <w:t>resources, DESNZ</w:t>
      </w:r>
      <w:r w:rsidR="00B57A27" w:rsidRPr="00B57A27">
        <w:t xml:space="preserve"> </w:t>
      </w:r>
      <w:r w:rsidR="0024654D">
        <w:t xml:space="preserve">and IFC </w:t>
      </w:r>
      <w:r w:rsidR="00B57A27" w:rsidRPr="00B57A27">
        <w:t>should leverage more the Embassies and focus capacity building for the public sector in countries where</w:t>
      </w:r>
      <w:r w:rsidR="0024654D" w:rsidRPr="0024654D">
        <w:t>:</w:t>
      </w:r>
    </w:p>
    <w:p w14:paraId="117F1377" w14:textId="77777777" w:rsidR="006F070C" w:rsidRDefault="0024654D" w:rsidP="001C6F7A">
      <w:pPr>
        <w:pStyle w:val="DESNZbulletedlist"/>
        <w:ind w:left="851"/>
      </w:pPr>
      <w:r w:rsidRPr="0024654D">
        <w:t xml:space="preserve">there is a lot of appetite for involvement from the Embassy (India, Peru, South Africa, Colombia) </w:t>
      </w:r>
    </w:p>
    <w:p w14:paraId="679190AC" w14:textId="56FF0C13" w:rsidR="0024654D" w:rsidRPr="0024654D" w:rsidRDefault="006F070C" w:rsidP="001C6F7A">
      <w:pPr>
        <w:pStyle w:val="DESNZbulletedlist"/>
        <w:ind w:left="851"/>
      </w:pPr>
      <w:r w:rsidRPr="006F070C">
        <w:t>the public sector is the main actor driving green construction (Philippines, Indonesia, Colombia, Kenya).</w:t>
      </w:r>
    </w:p>
    <w:p w14:paraId="7E491AE1" w14:textId="178AE501" w:rsidR="001E2F09" w:rsidRDefault="0024654D" w:rsidP="0024654D">
      <w:r w:rsidRPr="0024654D">
        <w:t>Embassies would help IFC to identify and engage the right stakeholders for capacity building, and they could also help to link MAGC to other ICF programmes.</w:t>
      </w:r>
      <w:r w:rsidR="006F070C">
        <w:t xml:space="preserve"> </w:t>
      </w:r>
      <w:r w:rsidR="001E2F09">
        <w:t>This will allow IFC to focus its resources on delivering training</w:t>
      </w:r>
      <w:r w:rsidR="00D028C2">
        <w:t>.</w:t>
      </w:r>
    </w:p>
    <w:p w14:paraId="6F74F9AC" w14:textId="257E5D4B" w:rsidR="001E2F09" w:rsidRDefault="001E2F09" w:rsidP="001E2F09">
      <w:pPr>
        <w:rPr>
          <w:rStyle w:val="Boldtext"/>
          <w:b w:val="0"/>
          <w:bCs/>
        </w:rPr>
      </w:pPr>
      <w:r w:rsidRPr="00056700">
        <w:rPr>
          <w:rStyle w:val="Italic"/>
        </w:rPr>
        <w:t>Priority</w:t>
      </w:r>
      <w:r>
        <w:t>: High – strengthening embassy engagement can significantly enhance the effectiveness and reach of public sector capacity building efforts.</w:t>
      </w:r>
      <w:r w:rsidR="00B57A27">
        <w:rPr>
          <w:rStyle w:val="Italic"/>
        </w:rPr>
        <w:br/>
      </w:r>
      <w:r w:rsidRPr="00056700">
        <w:rPr>
          <w:rStyle w:val="Italic"/>
        </w:rPr>
        <w:t>Feasibility</w:t>
      </w:r>
      <w:r>
        <w:t xml:space="preserve">: </w:t>
      </w:r>
      <w:r w:rsidRPr="001C6F7A">
        <w:t>Medium</w:t>
      </w:r>
      <w:r w:rsidRPr="006F070C">
        <w:t xml:space="preserve"> –</w:t>
      </w:r>
      <w:r>
        <w:t xml:space="preserve"> </w:t>
      </w:r>
      <w:r w:rsidR="006F070C">
        <w:t xml:space="preserve">the MAGC team should assess the capacity, available resources, and scope for involvement of embassies on a country-by-country basis. </w:t>
      </w:r>
    </w:p>
    <w:p w14:paraId="2EBD6D3F" w14:textId="64DF3EC2" w:rsidR="000B0420" w:rsidRPr="000B0420" w:rsidRDefault="65643CF1" w:rsidP="000B0420">
      <w:bookmarkStart w:id="80" w:name="_Toc189155234"/>
      <w:r w:rsidRPr="00786133">
        <w:rPr>
          <w:rStyle w:val="Boldtext"/>
        </w:rPr>
        <w:t>3. EDGE</w:t>
      </w:r>
      <w:r w:rsidR="45C5BD51" w:rsidRPr="00786133">
        <w:rPr>
          <w:rStyle w:val="Boldtext"/>
        </w:rPr>
        <w:t xml:space="preserve"> improvement</w:t>
      </w:r>
      <w:r w:rsidRPr="00DF510D">
        <w:rPr>
          <w:rStyle w:val="Heading3Char"/>
        </w:rPr>
        <w:t>:</w:t>
      </w:r>
      <w:bookmarkEnd w:id="80"/>
      <w:r w:rsidRPr="1B151A84">
        <w:rPr>
          <w:rStyle w:val="Boldtext"/>
        </w:rPr>
        <w:t xml:space="preserve"> </w:t>
      </w:r>
      <w:r w:rsidR="000B0420">
        <w:rPr>
          <w:rStyle w:val="Boldtext"/>
        </w:rPr>
        <w:t xml:space="preserve">consider </w:t>
      </w:r>
      <w:r w:rsidR="00353D1C">
        <w:rPr>
          <w:rStyle w:val="Boldtext"/>
        </w:rPr>
        <w:t xml:space="preserve">the sustainability </w:t>
      </w:r>
      <w:r w:rsidR="00500417">
        <w:rPr>
          <w:rStyle w:val="Boldtext"/>
        </w:rPr>
        <w:t>of</w:t>
      </w:r>
      <w:r w:rsidR="00635C4C">
        <w:rPr>
          <w:rStyle w:val="Boldtext"/>
        </w:rPr>
        <w:t xml:space="preserve"> the EDGE platform in the long</w:t>
      </w:r>
      <w:r w:rsidR="00111DB2">
        <w:rPr>
          <w:rStyle w:val="Boldtext"/>
        </w:rPr>
        <w:t>-</w:t>
      </w:r>
      <w:r w:rsidR="00635C4C">
        <w:rPr>
          <w:rStyle w:val="Boldtext"/>
        </w:rPr>
        <w:t>term</w:t>
      </w:r>
      <w:r w:rsidR="45C5BD51" w:rsidRPr="1B151A84">
        <w:rPr>
          <w:rStyle w:val="Boldtext"/>
        </w:rPr>
        <w:t>.</w:t>
      </w:r>
      <w:r w:rsidR="45C5BD51">
        <w:t xml:space="preserve"> </w:t>
      </w:r>
      <w:r w:rsidR="002F20AC">
        <w:t>To maximise MAGC value for money</w:t>
      </w:r>
      <w:r w:rsidR="00221E7F">
        <w:t xml:space="preserve"> and ensure transformational change</w:t>
      </w:r>
      <w:r w:rsidR="002F20AC">
        <w:t>, i</w:t>
      </w:r>
      <w:r w:rsidR="000B0420" w:rsidRPr="000B0420">
        <w:t>n the long</w:t>
      </w:r>
      <w:r w:rsidR="00111DB2">
        <w:t>-</w:t>
      </w:r>
      <w:r w:rsidR="000B0420" w:rsidRPr="000B0420">
        <w:t xml:space="preserve">term, IFC </w:t>
      </w:r>
      <w:r w:rsidR="003444D5">
        <w:t>and DESNZ should</w:t>
      </w:r>
      <w:r w:rsidR="000B0420" w:rsidRPr="000B0420">
        <w:t xml:space="preserve"> consider the </w:t>
      </w:r>
      <w:r w:rsidR="00635C4C">
        <w:t xml:space="preserve">possibility </w:t>
      </w:r>
      <w:r w:rsidR="00E477A2" w:rsidRPr="000B0420">
        <w:t>of the EDGE platform</w:t>
      </w:r>
      <w:r w:rsidR="00E477A2">
        <w:t xml:space="preserve"> </w:t>
      </w:r>
      <w:r w:rsidR="00635C4C">
        <w:t>becoming self-sustainable, gradually reducing public funding in the future</w:t>
      </w:r>
      <w:r w:rsidR="000B0420" w:rsidRPr="000B0420">
        <w:t xml:space="preserve">. Potentially, the certification fees could be increased slightly (up to a point that does not discourage certification) to gradually increase the private funding ratio. Ideally, public funding from MAGC should be gradually phased out for ongoing maintenance and operations of the platform. </w:t>
      </w:r>
      <w:r w:rsidR="00635C4C">
        <w:t>For example</w:t>
      </w:r>
      <w:r w:rsidR="000B0420" w:rsidRPr="000B0420">
        <w:t xml:space="preserve">, in comparison, LEED is largely self-funded through membership and certification fees. If feasible within the cost model, DESNZ may consider targeting its funding under </w:t>
      </w:r>
      <w:r w:rsidR="006013C3">
        <w:t>c</w:t>
      </w:r>
      <w:r w:rsidR="000B0420" w:rsidRPr="000B0420">
        <w:t>omponent 3 only on specific improvement actions addressing clear gaps in the market (e.g., inclusion of new dimensions or features where other / local certifications do not already provide a solution or continue the upgrades to raise the ambition of EDGE substantially and higher than other certifications).</w:t>
      </w:r>
    </w:p>
    <w:p w14:paraId="5891F40E" w14:textId="368460FD" w:rsidR="006E30B6" w:rsidRDefault="42F92D90" w:rsidP="001C6F7A">
      <w:r w:rsidRPr="1B151A84">
        <w:rPr>
          <w:i/>
          <w:iCs/>
        </w:rPr>
        <w:t>Priority</w:t>
      </w:r>
      <w:r>
        <w:t xml:space="preserve">: </w:t>
      </w:r>
      <w:r w:rsidR="11C7143F">
        <w:t xml:space="preserve">Medium – </w:t>
      </w:r>
      <w:r w:rsidR="00D45A12">
        <w:t xml:space="preserve">it is necessary to think of the long-term strategy for the EDGE tool and </w:t>
      </w:r>
      <w:r w:rsidR="00C544B9">
        <w:t>its sustainability once MAGC finishes, but it is not an immediate priority unless</w:t>
      </w:r>
      <w:r w:rsidR="00766B8B">
        <w:t xml:space="preserve"> DESNZ is interested in reducing funding or redistributing it among components.</w:t>
      </w:r>
      <w:r w:rsidR="00735C1F">
        <w:br/>
      </w:r>
      <w:r w:rsidRPr="1B151A84">
        <w:rPr>
          <w:i/>
          <w:iCs/>
        </w:rPr>
        <w:t>Feasibility</w:t>
      </w:r>
      <w:r>
        <w:t>:</w:t>
      </w:r>
      <w:r w:rsidR="11C7143F">
        <w:t xml:space="preserve"> </w:t>
      </w:r>
      <w:r w:rsidR="000B0420">
        <w:t>Medium</w:t>
      </w:r>
      <w:r w:rsidR="001751C0">
        <w:t xml:space="preserve"> </w:t>
      </w:r>
      <w:r w:rsidR="11C7143F">
        <w:t xml:space="preserve">– </w:t>
      </w:r>
      <w:r w:rsidR="006F070C">
        <w:t xml:space="preserve">implications for </w:t>
      </w:r>
      <w:r w:rsidR="000B0420">
        <w:t xml:space="preserve">the cost model </w:t>
      </w:r>
      <w:r w:rsidR="006F070C">
        <w:t xml:space="preserve">should be assessed </w:t>
      </w:r>
      <w:r w:rsidR="000B0420">
        <w:t>as the UK is the primary funder of EDGE</w:t>
      </w:r>
      <w:r w:rsidR="11C7143F">
        <w:t>.</w:t>
      </w:r>
    </w:p>
    <w:p w14:paraId="303B0A69" w14:textId="0F89A1F4" w:rsidR="000D2F65" w:rsidRDefault="00952638" w:rsidP="008D4661">
      <w:bookmarkStart w:id="81" w:name="_Toc189155237"/>
      <w:r>
        <w:rPr>
          <w:rStyle w:val="Boldtext"/>
        </w:rPr>
        <w:t>4</w:t>
      </w:r>
      <w:r w:rsidR="000D2F65" w:rsidRPr="00786133">
        <w:rPr>
          <w:rStyle w:val="Boldtext"/>
        </w:rPr>
        <w:t xml:space="preserve">. </w:t>
      </w:r>
      <w:r w:rsidR="006E30B6" w:rsidRPr="00786133">
        <w:rPr>
          <w:rStyle w:val="Boldtext"/>
        </w:rPr>
        <w:t>GEDSI</w:t>
      </w:r>
      <w:r w:rsidR="006E30B6" w:rsidRPr="00DF510D">
        <w:rPr>
          <w:rStyle w:val="Heading3Char"/>
        </w:rPr>
        <w:t>:</w:t>
      </w:r>
      <w:bookmarkEnd w:id="81"/>
      <w:r w:rsidR="006E30B6">
        <w:t xml:space="preserve"> </w:t>
      </w:r>
      <w:r w:rsidR="002C63FA">
        <w:t>As shown in section 6, t</w:t>
      </w:r>
      <w:r w:rsidR="0011267C">
        <w:t>he following opportunities for the current and future iterations of the programmes were identified:</w:t>
      </w:r>
    </w:p>
    <w:p w14:paraId="2E1AF6B2" w14:textId="14992C27" w:rsidR="0055061B" w:rsidRDefault="0011267C" w:rsidP="0055061B">
      <w:pPr>
        <w:pStyle w:val="DESNZbulletedlist"/>
      </w:pPr>
      <w:r w:rsidRPr="00DF510D">
        <w:rPr>
          <w:b/>
          <w:bCs/>
        </w:rPr>
        <w:t>Within the current MAGC programme</w:t>
      </w:r>
      <w:r w:rsidR="00BA2839" w:rsidRPr="00DF510D">
        <w:rPr>
          <w:b/>
          <w:bCs/>
        </w:rPr>
        <w:t>:</w:t>
      </w:r>
      <w:r w:rsidRPr="0011267C">
        <w:t xml:space="preserve"> </w:t>
      </w:r>
      <w:r w:rsidR="00B708C9">
        <w:t>T</w:t>
      </w:r>
      <w:r w:rsidR="00B708C9" w:rsidRPr="0011267C">
        <w:t xml:space="preserve">here </w:t>
      </w:r>
      <w:r w:rsidRPr="0011267C">
        <w:t xml:space="preserve">is an immediate opportunity to champion GEDSI by </w:t>
      </w:r>
      <w:r>
        <w:t>expanding</w:t>
      </w:r>
      <w:r w:rsidRPr="0011267C">
        <w:t xml:space="preserve"> </w:t>
      </w:r>
      <w:r w:rsidR="00641119">
        <w:t xml:space="preserve">existing </w:t>
      </w:r>
      <w:r w:rsidRPr="0011267C">
        <w:t xml:space="preserve">targeted training and mentorship initiatives to support women in becoming EDGE </w:t>
      </w:r>
      <w:r w:rsidR="00F47DF9">
        <w:t xml:space="preserve">Experts </w:t>
      </w:r>
      <w:r w:rsidRPr="0011267C">
        <w:t xml:space="preserve">accredited and overcoming sectoral barriers. </w:t>
      </w:r>
      <w:r w:rsidR="009D6A5D">
        <w:t>The e</w:t>
      </w:r>
      <w:r w:rsidR="0055061B">
        <w:t>xpansion of existing targeted training and mentorship initiatives should prioritise:</w:t>
      </w:r>
    </w:p>
    <w:p w14:paraId="5B76DFEE" w14:textId="162A08A1" w:rsidR="0055061B" w:rsidRDefault="0055061B" w:rsidP="001C6F7A">
      <w:pPr>
        <w:pStyle w:val="DESNZbulletedlist"/>
        <w:numPr>
          <w:ilvl w:val="3"/>
          <w:numId w:val="4"/>
        </w:numPr>
      </w:pPr>
      <w:r>
        <w:t>Countries with greater gender disparity in EDGE expert accreditation (tracked in the Logframe).</w:t>
      </w:r>
    </w:p>
    <w:p w14:paraId="7A79A26C" w14:textId="5319BF7E" w:rsidR="0055061B" w:rsidRDefault="0055061B" w:rsidP="001C6F7A">
      <w:pPr>
        <w:pStyle w:val="DESNZbulletedlist"/>
        <w:numPr>
          <w:ilvl w:val="3"/>
          <w:numId w:val="4"/>
        </w:numPr>
      </w:pPr>
      <w:r>
        <w:t>Partnering with local councils and associations, which appears to be a useful strategy to reach women in the sector/ who want to work in the sector as well as delivering the training (e.g.</w:t>
      </w:r>
      <w:r w:rsidR="004F6CF2">
        <w:t>,</w:t>
      </w:r>
      <w:r>
        <w:t xml:space="preserve"> following the example of the IFC-run training sessions in Ghana and South Africa in partnership with the Association of Female Architects).</w:t>
      </w:r>
    </w:p>
    <w:p w14:paraId="2C80B1FE" w14:textId="02F7A6D7" w:rsidR="0055061B" w:rsidRPr="001C6F7A" w:rsidRDefault="0055061B" w:rsidP="0055061B">
      <w:pPr>
        <w:pStyle w:val="DESNZbulletedlist"/>
        <w:numPr>
          <w:ilvl w:val="3"/>
          <w:numId w:val="4"/>
        </w:numPr>
        <w:rPr>
          <w:rStyle w:val="Italic"/>
          <w:i w:val="0"/>
        </w:rPr>
      </w:pPr>
      <w:r>
        <w:t>Countries where there are not already existing initiatives, to ensure additionality (e.g.</w:t>
      </w:r>
      <w:r w:rsidR="004F6CF2">
        <w:t>,</w:t>
      </w:r>
      <w:r>
        <w:t xml:space="preserve"> in Kenya there is an organisation that provides skills training and apprenticeship opportunities in green construction for youth and women and partnering with local vocational training institutions to develop a talent pipeline).</w:t>
      </w:r>
    </w:p>
    <w:p w14:paraId="57281EB6" w14:textId="2E16D187" w:rsidR="0011267C" w:rsidRDefault="00A06856" w:rsidP="001C6F7A">
      <w:pPr>
        <w:pStyle w:val="DESNZbulletedlist"/>
        <w:numPr>
          <w:ilvl w:val="0"/>
          <w:numId w:val="0"/>
        </w:numPr>
        <w:ind w:left="714"/>
      </w:pPr>
      <w:r w:rsidRPr="00626751">
        <w:rPr>
          <w:rStyle w:val="Italic"/>
        </w:rPr>
        <w:t>Priority</w:t>
      </w:r>
      <w:r w:rsidRPr="00B81868">
        <w:t>:</w:t>
      </w:r>
      <w:r>
        <w:t xml:space="preserve"> </w:t>
      </w:r>
      <w:r w:rsidR="00D222EC">
        <w:t>High – there is an opportunity for GEDSI outcomes in the current programme.</w:t>
      </w:r>
      <w:r>
        <w:br/>
      </w:r>
      <w:r w:rsidRPr="00626751">
        <w:rPr>
          <w:rStyle w:val="Italic"/>
        </w:rPr>
        <w:t>Feasibility</w:t>
      </w:r>
      <w:r>
        <w:t>:</w:t>
      </w:r>
      <w:r w:rsidR="00D222EC">
        <w:t xml:space="preserve"> Medium – </w:t>
      </w:r>
      <w:r w:rsidR="0055061B" w:rsidRPr="007A584E">
        <w:t>Training for women in the construction sector is an existing activity within the programme that can effectively support GEDSI outcomes, and therefore a planned expansion of this training can be considered feasible within the current programme.</w:t>
      </w:r>
      <w:r w:rsidR="0055061B">
        <w:t xml:space="preserve"> However, </w:t>
      </w:r>
      <w:r w:rsidR="00D222EC">
        <w:t>expanding training and initiatives would require additional effort from IFC or prioritisation of training activities.</w:t>
      </w:r>
    </w:p>
    <w:p w14:paraId="20AEFE40" w14:textId="0E1E024B" w:rsidR="008C772D" w:rsidRDefault="0011267C" w:rsidP="001C6F7A">
      <w:pPr>
        <w:pStyle w:val="DESNZbulletedlist"/>
      </w:pPr>
      <w:r w:rsidRPr="00DF510D">
        <w:rPr>
          <w:b/>
          <w:bCs/>
        </w:rPr>
        <w:t>Looking ahead to future iterations of MAGC</w:t>
      </w:r>
      <w:r w:rsidR="00B708C9" w:rsidRPr="00DF510D">
        <w:rPr>
          <w:b/>
          <w:bCs/>
        </w:rPr>
        <w:t>:</w:t>
      </w:r>
      <w:r w:rsidR="00B708C9" w:rsidRPr="0011267C">
        <w:t xml:space="preserve"> </w:t>
      </w:r>
      <w:r w:rsidR="00B708C9">
        <w:t xml:space="preserve">It </w:t>
      </w:r>
      <w:r>
        <w:t>is recommended to integrate</w:t>
      </w:r>
      <w:r w:rsidRPr="0011267C">
        <w:t xml:space="preserve"> GEDSI considerations from the outset, starting with a clear policy decision </w:t>
      </w:r>
      <w:r>
        <w:t>on the environmental and social impact of the programme</w:t>
      </w:r>
      <w:r w:rsidRPr="0011267C">
        <w:t xml:space="preserve"> and allocate dedicated funding.</w:t>
      </w:r>
      <w:r w:rsidR="007820C8">
        <w:t xml:space="preserve"> </w:t>
      </w:r>
      <w:r w:rsidRPr="0011267C">
        <w:t xml:space="preserve">Developing contextually relevant indicators and strategies in collaboration with GEDSI experts </w:t>
      </w:r>
      <w:r w:rsidR="00BD5A5A">
        <w:t>would</w:t>
      </w:r>
      <w:r w:rsidR="00BD5A5A" w:rsidRPr="0011267C">
        <w:t xml:space="preserve"> </w:t>
      </w:r>
      <w:r w:rsidRPr="0011267C">
        <w:t>be crucial</w:t>
      </w:r>
      <w:r w:rsidR="00B708C9">
        <w:t>. The</w:t>
      </w:r>
      <w:r w:rsidR="00B859F8">
        <w:t xml:space="preserve"> list of suggested GEDSI</w:t>
      </w:r>
      <w:r w:rsidR="00B859F8" w:rsidRPr="0004203E">
        <w:t xml:space="preserve"> indicators </w:t>
      </w:r>
      <w:r w:rsidR="00B859F8">
        <w:t xml:space="preserve">in the GEDSI annex </w:t>
      </w:r>
      <w:r w:rsidR="00BD5A5A">
        <w:t xml:space="preserve">provide </w:t>
      </w:r>
      <w:r w:rsidR="00B859F8">
        <w:t>a starting point for these discussions</w:t>
      </w:r>
      <w:r w:rsidRPr="0011267C">
        <w:t xml:space="preserve">. Furthermore, systematically monitoring and evaluating GEDSI outcomes, including through the Logframe, </w:t>
      </w:r>
      <w:r w:rsidR="00D908E6">
        <w:t>would</w:t>
      </w:r>
      <w:r w:rsidR="00D908E6" w:rsidRPr="0011267C">
        <w:t xml:space="preserve"> </w:t>
      </w:r>
      <w:r w:rsidRPr="0011267C">
        <w:t>ensure accountability and facilitate sector-wide learning.</w:t>
      </w:r>
      <w:r w:rsidR="007820C8">
        <w:t xml:space="preserve"> </w:t>
      </w:r>
      <w:r w:rsidR="0055061B">
        <w:t>For example, t</w:t>
      </w:r>
      <w:r w:rsidR="0055061B" w:rsidRPr="0055061B">
        <w:t>racking gender representation of participants in MAGC training sessions would support monitoring processes and ongoing need for women-specific training</w:t>
      </w:r>
      <w:r w:rsidR="0055061B">
        <w:t>, as well as</w:t>
      </w:r>
      <w:r w:rsidR="0055061B" w:rsidRPr="0055061B">
        <w:t xml:space="preserve"> build knowledge on inclusion in uptake of training opportunities. However, it is recognised this can only be actioned in a future iteration of the programme.</w:t>
      </w:r>
      <w:r w:rsidR="0055061B">
        <w:t xml:space="preserve"> </w:t>
      </w:r>
      <w:r w:rsidRPr="0011267C">
        <w:t>Finally, prioritising a collaborative, multi-sectoral approach</w:t>
      </w:r>
      <w:r w:rsidR="00D908E6">
        <w:t>, i</w:t>
      </w:r>
      <w:r w:rsidR="00B708C9" w:rsidRPr="0011267C">
        <w:t xml:space="preserve">nvolving </w:t>
      </w:r>
      <w:r w:rsidRPr="0011267C">
        <w:t xml:space="preserve">IFC, DESNZ, GEDSI experts, developers, investors, communities, and government agencies, </w:t>
      </w:r>
      <w:r w:rsidR="00D908E6">
        <w:t>would</w:t>
      </w:r>
      <w:r w:rsidR="00D908E6" w:rsidRPr="0011267C">
        <w:t xml:space="preserve"> </w:t>
      </w:r>
      <w:r w:rsidRPr="0011267C">
        <w:t>be essential for aligning green building initiatives with broader social goals and maximising positive impact.</w:t>
      </w:r>
      <w:r w:rsidR="00A06856">
        <w:br/>
      </w:r>
      <w:r w:rsidR="00A06856" w:rsidRPr="00626751">
        <w:rPr>
          <w:rStyle w:val="Italic"/>
        </w:rPr>
        <w:t>Priority</w:t>
      </w:r>
      <w:r w:rsidR="00A06856" w:rsidRPr="00B81868">
        <w:t>:</w:t>
      </w:r>
      <w:r w:rsidR="00A06856">
        <w:t xml:space="preserve"> </w:t>
      </w:r>
      <w:r w:rsidR="00D222EC">
        <w:t xml:space="preserve">High – to be integrated into </w:t>
      </w:r>
      <w:r w:rsidR="001F0372">
        <w:t>consideration for a potential new iteration of the programme.</w:t>
      </w:r>
      <w:r w:rsidR="00A06856">
        <w:br/>
      </w:r>
      <w:r w:rsidR="00A06856" w:rsidRPr="00626751">
        <w:rPr>
          <w:rStyle w:val="Italic"/>
        </w:rPr>
        <w:t>Feasibility</w:t>
      </w:r>
      <w:r w:rsidR="00A06856">
        <w:t>:</w:t>
      </w:r>
      <w:r w:rsidR="001F0372">
        <w:t xml:space="preserve"> </w:t>
      </w:r>
      <w:r w:rsidR="00F94BE7">
        <w:t xml:space="preserve">Medium </w:t>
      </w:r>
      <w:r w:rsidR="00A17AE8">
        <w:t>–</w:t>
      </w:r>
      <w:r w:rsidR="00F94BE7">
        <w:t xml:space="preserve"> </w:t>
      </w:r>
      <w:r w:rsidR="00F94BE7" w:rsidRPr="00F94BE7">
        <w:t>there is an opportunity to structure the new programme with GEDSI considerations, requiring buy in from all parties</w:t>
      </w:r>
      <w:r w:rsidR="00F94BE7">
        <w:t>.</w:t>
      </w:r>
    </w:p>
    <w:p w14:paraId="53E13606" w14:textId="3ACF3507" w:rsidR="00313846" w:rsidRDefault="00952638" w:rsidP="00313846">
      <w:pPr>
        <w:rPr>
          <w:rStyle w:val="Boldtext"/>
          <w:b w:val="0"/>
          <w:bCs/>
        </w:rPr>
      </w:pPr>
      <w:r>
        <w:rPr>
          <w:rStyle w:val="Boldtext"/>
        </w:rPr>
        <w:t>5</w:t>
      </w:r>
      <w:r w:rsidR="00313846" w:rsidRPr="001C6F7A">
        <w:rPr>
          <w:rStyle w:val="Boldtext"/>
        </w:rPr>
        <w:t>.</w:t>
      </w:r>
      <w:r w:rsidR="00313846" w:rsidRPr="00313846">
        <w:rPr>
          <w:rStyle w:val="Boldtext"/>
        </w:rPr>
        <w:t xml:space="preserve"> Coordination</w:t>
      </w:r>
      <w:r w:rsidR="00313846">
        <w:rPr>
          <w:rStyle w:val="Boldtext"/>
        </w:rPr>
        <w:t xml:space="preserve"> with other ICF programmes</w:t>
      </w:r>
      <w:r w:rsidR="00313846">
        <w:t xml:space="preserve">: </w:t>
      </w:r>
      <w:r w:rsidR="00B57A27" w:rsidRPr="00B57A27">
        <w:t xml:space="preserve">The unique nature of MAGC highlights the need for strategic planning and coordination within ICF to maximise cross-programme learning and impact. </w:t>
      </w:r>
      <w:r w:rsidR="00B57A27">
        <w:rPr>
          <w:rStyle w:val="Boldtext"/>
          <w:b w:val="0"/>
          <w:bCs/>
        </w:rPr>
        <w:t>T</w:t>
      </w:r>
      <w:r w:rsidR="00313846">
        <w:rPr>
          <w:rStyle w:val="Boldtext"/>
          <w:b w:val="0"/>
          <w:bCs/>
        </w:rPr>
        <w:t xml:space="preserve">here is an opportunity for </w:t>
      </w:r>
      <w:r w:rsidR="00313846" w:rsidRPr="00F567FD">
        <w:rPr>
          <w:rStyle w:val="Boldtext"/>
          <w:b w:val="0"/>
          <w:bCs/>
        </w:rPr>
        <w:t xml:space="preserve">MAGC </w:t>
      </w:r>
      <w:r w:rsidR="00313846">
        <w:rPr>
          <w:rStyle w:val="Boldtext"/>
          <w:b w:val="0"/>
          <w:bCs/>
        </w:rPr>
        <w:t>to</w:t>
      </w:r>
      <w:r w:rsidR="00313846" w:rsidRPr="00F567FD">
        <w:rPr>
          <w:rStyle w:val="Boldtext"/>
          <w:b w:val="0"/>
          <w:bCs/>
        </w:rPr>
        <w:t xml:space="preserve"> actively seek opportunities to coordinate with other ICF programmes to share lessons learned and realise synergies. UK </w:t>
      </w:r>
      <w:r w:rsidR="006F070C">
        <w:rPr>
          <w:rStyle w:val="Boldtext"/>
          <w:b w:val="0"/>
          <w:bCs/>
        </w:rPr>
        <w:t>E</w:t>
      </w:r>
      <w:r w:rsidR="00313846" w:rsidRPr="00F567FD">
        <w:rPr>
          <w:rStyle w:val="Boldtext"/>
          <w:b w:val="0"/>
          <w:bCs/>
        </w:rPr>
        <w:t>mbassies can play a key role in facilitating these linkages. Specific opportunities include:</w:t>
      </w:r>
    </w:p>
    <w:p w14:paraId="01E26990" w14:textId="77777777" w:rsidR="00313846" w:rsidRDefault="00313846" w:rsidP="00313846">
      <w:pPr>
        <w:pStyle w:val="DESNZbulletedlist"/>
        <w:rPr>
          <w:rStyle w:val="Boldtext"/>
          <w:b w:val="0"/>
          <w:bCs/>
        </w:rPr>
      </w:pPr>
      <w:r w:rsidRPr="00F567FD">
        <w:rPr>
          <w:rStyle w:val="Boldtext"/>
          <w:b w:val="0"/>
          <w:bCs/>
        </w:rPr>
        <w:t xml:space="preserve">Engaging with the Global Climate Partnership Fund to exchange insights on effective financial instruments for green lending and identify target financial institutions. </w:t>
      </w:r>
    </w:p>
    <w:p w14:paraId="65F86392" w14:textId="77777777" w:rsidR="00313846" w:rsidRDefault="00313846" w:rsidP="00313846">
      <w:pPr>
        <w:pStyle w:val="DESNZbulletedlist"/>
        <w:rPr>
          <w:rStyle w:val="Boldtext"/>
          <w:b w:val="0"/>
          <w:bCs/>
        </w:rPr>
      </w:pPr>
      <w:r>
        <w:rPr>
          <w:rStyle w:val="Boldtext"/>
          <w:b w:val="0"/>
          <w:bCs/>
        </w:rPr>
        <w:t xml:space="preserve">Collaborating with the Urban </w:t>
      </w:r>
      <w:r w:rsidRPr="00F567FD">
        <w:rPr>
          <w:rStyle w:val="Boldtext"/>
          <w:b w:val="0"/>
          <w:bCs/>
        </w:rPr>
        <w:t>Climate Action Programme to coordinate city-level capacity building on energy-efficient buildings and avoid duplication of efforts.</w:t>
      </w:r>
    </w:p>
    <w:p w14:paraId="0510C2F8" w14:textId="77777777" w:rsidR="00313846" w:rsidRDefault="00313846" w:rsidP="00313846">
      <w:pPr>
        <w:pStyle w:val="DESNZbulletedlist"/>
        <w:rPr>
          <w:rStyle w:val="Boldtext"/>
          <w:b w:val="0"/>
          <w:bCs/>
        </w:rPr>
      </w:pPr>
      <w:r w:rsidRPr="00F567FD">
        <w:rPr>
          <w:rStyle w:val="Boldtext"/>
          <w:b w:val="0"/>
          <w:bCs/>
        </w:rPr>
        <w:t>Exploring potential partnerships with other ICF initiatives in the green construction or urban development space.</w:t>
      </w:r>
    </w:p>
    <w:p w14:paraId="6F144FED" w14:textId="06378B67" w:rsidR="00313846" w:rsidRPr="00F567FD" w:rsidRDefault="00313846" w:rsidP="00313846">
      <w:pPr>
        <w:rPr>
          <w:rStyle w:val="Boldtext"/>
          <w:b w:val="0"/>
          <w:bCs/>
        </w:rPr>
      </w:pPr>
      <w:r w:rsidRPr="00F567FD">
        <w:rPr>
          <w:rStyle w:val="Boldtext"/>
          <w:b w:val="0"/>
          <w:bCs/>
        </w:rPr>
        <w:t xml:space="preserve">The MAGC team </w:t>
      </w:r>
      <w:r w:rsidR="00353B6C">
        <w:rPr>
          <w:rStyle w:val="Boldtext"/>
          <w:b w:val="0"/>
          <w:bCs/>
        </w:rPr>
        <w:t>c</w:t>
      </w:r>
      <w:r w:rsidRPr="00F567FD">
        <w:rPr>
          <w:rStyle w:val="Boldtext"/>
          <w:b w:val="0"/>
          <w:bCs/>
        </w:rPr>
        <w:t>ould</w:t>
      </w:r>
      <w:r w:rsidR="009A18D4">
        <w:rPr>
          <w:rStyle w:val="Boldtext"/>
          <w:b w:val="0"/>
          <w:bCs/>
        </w:rPr>
        <w:t xml:space="preserve"> </w:t>
      </w:r>
      <w:r w:rsidRPr="00F567FD">
        <w:rPr>
          <w:rStyle w:val="Boldtext"/>
          <w:b w:val="0"/>
          <w:bCs/>
        </w:rPr>
        <w:t>establish communication channels</w:t>
      </w:r>
      <w:r w:rsidR="009A18D4">
        <w:rPr>
          <w:rStyle w:val="Boldtext"/>
          <w:b w:val="0"/>
          <w:bCs/>
        </w:rPr>
        <w:t xml:space="preserve"> between programmes or between Embassies and IFC</w:t>
      </w:r>
      <w:r w:rsidRPr="00F567FD">
        <w:rPr>
          <w:rStyle w:val="Boldtext"/>
          <w:b w:val="0"/>
          <w:bCs/>
        </w:rPr>
        <w:t xml:space="preserve">, and plan periodic coordination sessions. Implementing this recommendation can help </w:t>
      </w:r>
      <w:r w:rsidR="00353B6C">
        <w:rPr>
          <w:rStyle w:val="Boldtext"/>
          <w:b w:val="0"/>
          <w:bCs/>
        </w:rPr>
        <w:t>increase</w:t>
      </w:r>
      <w:r w:rsidRPr="00F567FD">
        <w:rPr>
          <w:rStyle w:val="Boldtext"/>
          <w:b w:val="0"/>
          <w:bCs/>
        </w:rPr>
        <w:t xml:space="preserve"> MAGC's impact by leveraging complementary efforts and avoiding </w:t>
      </w:r>
      <w:r>
        <w:rPr>
          <w:rStyle w:val="Boldtext"/>
          <w:b w:val="0"/>
          <w:bCs/>
        </w:rPr>
        <w:t>duplication of efforts</w:t>
      </w:r>
      <w:r w:rsidRPr="00F567FD">
        <w:rPr>
          <w:rStyle w:val="Boldtext"/>
          <w:b w:val="0"/>
          <w:bCs/>
        </w:rPr>
        <w:t>.</w:t>
      </w:r>
    </w:p>
    <w:p w14:paraId="61F11B66" w14:textId="3A321E04" w:rsidR="008C772D" w:rsidRDefault="00313846" w:rsidP="001C6F7A">
      <w:r w:rsidRPr="00056700">
        <w:rPr>
          <w:rStyle w:val="Boldtext"/>
          <w:b w:val="0"/>
          <w:bCs/>
          <w:i/>
          <w:iCs/>
        </w:rPr>
        <w:t>Priority</w:t>
      </w:r>
      <w:r w:rsidRPr="00F567FD">
        <w:rPr>
          <w:rStyle w:val="Boldtext"/>
          <w:b w:val="0"/>
          <w:bCs/>
        </w:rPr>
        <w:t xml:space="preserve">: Medium </w:t>
      </w:r>
      <w:r>
        <w:rPr>
          <w:rStyle w:val="Boldtext"/>
          <w:b w:val="0"/>
          <w:bCs/>
        </w:rPr>
        <w:t>–</w:t>
      </w:r>
      <w:r w:rsidRPr="00F567FD">
        <w:rPr>
          <w:rStyle w:val="Boldtext"/>
          <w:b w:val="0"/>
          <w:bCs/>
        </w:rPr>
        <w:t xml:space="preserve"> </w:t>
      </w:r>
      <w:r>
        <w:rPr>
          <w:rStyle w:val="Boldtext"/>
          <w:b w:val="0"/>
          <w:bCs/>
        </w:rPr>
        <w:t>c</w:t>
      </w:r>
      <w:r w:rsidRPr="00F567FD">
        <w:rPr>
          <w:rStyle w:val="Boldtext"/>
          <w:b w:val="0"/>
          <w:bCs/>
        </w:rPr>
        <w:t>oordination with other ICF programmes is a valuable force multiplier but may require more time and effort to implement.</w:t>
      </w:r>
      <w:r w:rsidR="00B57A27">
        <w:rPr>
          <w:rStyle w:val="Boldtext"/>
          <w:b w:val="0"/>
          <w:bCs/>
          <w:i/>
          <w:iCs/>
        </w:rPr>
        <w:br/>
      </w:r>
      <w:r w:rsidRPr="00056700">
        <w:rPr>
          <w:rStyle w:val="Boldtext"/>
          <w:b w:val="0"/>
          <w:bCs/>
          <w:i/>
          <w:iCs/>
        </w:rPr>
        <w:t>Feasibility</w:t>
      </w:r>
      <w:r w:rsidRPr="00F567FD">
        <w:rPr>
          <w:rStyle w:val="Boldtext"/>
          <w:b w:val="0"/>
          <w:bCs/>
        </w:rPr>
        <w:t xml:space="preserve">: </w:t>
      </w:r>
      <w:r w:rsidRPr="001C6F7A">
        <w:rPr>
          <w:rStyle w:val="Boldtext"/>
          <w:b w:val="0"/>
          <w:bCs/>
        </w:rPr>
        <w:t>Medium</w:t>
      </w:r>
      <w:r w:rsidR="006F070C" w:rsidRPr="001C6F7A">
        <w:rPr>
          <w:rStyle w:val="Boldtext"/>
          <w:b w:val="0"/>
          <w:bCs/>
        </w:rPr>
        <w:t xml:space="preserve"> </w:t>
      </w:r>
      <w:r w:rsidRPr="006F070C">
        <w:rPr>
          <w:rStyle w:val="Boldtext"/>
          <w:b w:val="0"/>
          <w:bCs/>
        </w:rPr>
        <w:t>–</w:t>
      </w:r>
      <w:r w:rsidRPr="00F567FD">
        <w:rPr>
          <w:rStyle w:val="Boldtext"/>
          <w:b w:val="0"/>
          <w:bCs/>
        </w:rPr>
        <w:t xml:space="preserve"> </w:t>
      </w:r>
      <w:r>
        <w:rPr>
          <w:rStyle w:val="Boldtext"/>
          <w:b w:val="0"/>
          <w:bCs/>
        </w:rPr>
        <w:t>c</w:t>
      </w:r>
      <w:r w:rsidRPr="00F567FD">
        <w:rPr>
          <w:rStyle w:val="Boldtext"/>
          <w:b w:val="0"/>
          <w:bCs/>
        </w:rPr>
        <w:t xml:space="preserve">onnecting with other UK government-funded initiatives should be feasible with </w:t>
      </w:r>
      <w:r>
        <w:rPr>
          <w:rStyle w:val="Boldtext"/>
          <w:b w:val="0"/>
          <w:bCs/>
        </w:rPr>
        <w:t>DESNZ</w:t>
      </w:r>
      <w:r w:rsidRPr="00F567FD">
        <w:rPr>
          <w:rStyle w:val="Boldtext"/>
          <w:b w:val="0"/>
          <w:bCs/>
        </w:rPr>
        <w:t xml:space="preserve"> support, but the extent of coordination will depend on the alignment and resources of the other programmes.</w:t>
      </w:r>
    </w:p>
    <w:p w14:paraId="7D7B8594" w14:textId="3E169A71" w:rsidR="008C1C8D" w:rsidRDefault="003406FC" w:rsidP="00786133">
      <w:pPr>
        <w:pStyle w:val="Heading2"/>
        <w:spacing w:before="240" w:after="240"/>
      </w:pPr>
      <w:bookmarkStart w:id="82" w:name="_Toc178758701"/>
      <w:bookmarkStart w:id="83" w:name="_Toc189155238"/>
      <w:r>
        <w:t xml:space="preserve">8.3 </w:t>
      </w:r>
      <w:r w:rsidR="004C4256">
        <w:t>Wider l</w:t>
      </w:r>
      <w:r>
        <w:t>essons</w:t>
      </w:r>
      <w:bookmarkEnd w:id="82"/>
      <w:bookmarkEnd w:id="83"/>
      <w:r>
        <w:t xml:space="preserve"> </w:t>
      </w:r>
    </w:p>
    <w:p w14:paraId="0CE56B5A" w14:textId="33B60666" w:rsidR="000F43BC" w:rsidRPr="000F43BC" w:rsidRDefault="000F43BC" w:rsidP="00A37CD2">
      <w:r>
        <w:t>This evaluation has identified the following wider lessons, that go beyond the programme itself and could be relevant for other programmes.</w:t>
      </w:r>
    </w:p>
    <w:p w14:paraId="3F881020" w14:textId="5D6E8472" w:rsidR="002352DC" w:rsidRDefault="00281990" w:rsidP="00281990">
      <w:bookmarkStart w:id="84" w:name="_Toc189155239"/>
      <w:r w:rsidRPr="00786133">
        <w:rPr>
          <w:rStyle w:val="Boldtext"/>
        </w:rPr>
        <w:t>1.</w:t>
      </w:r>
      <w:r w:rsidR="00954D13" w:rsidRPr="00406565">
        <w:t xml:space="preserve"> </w:t>
      </w:r>
      <w:r w:rsidR="0011267C" w:rsidRPr="00406565">
        <w:rPr>
          <w:rStyle w:val="Boldtext"/>
        </w:rPr>
        <w:t>MAGC's holistic approach</w:t>
      </w:r>
      <w:bookmarkEnd w:id="84"/>
      <w:r w:rsidR="0011267C" w:rsidRPr="0011267C">
        <w:t xml:space="preserve">, </w:t>
      </w:r>
      <w:r w:rsidR="004C4256">
        <w:t>targeting green construction through</w:t>
      </w:r>
      <w:r w:rsidR="0011267C" w:rsidRPr="0011267C">
        <w:t xml:space="preserve"> investment, advisory services, capacity building, and research, </w:t>
      </w:r>
      <w:r w:rsidR="004C4256">
        <w:t xml:space="preserve">is very relevant for the green construction sector </w:t>
      </w:r>
      <w:r w:rsidR="00405817">
        <w:t>(as shown throughout section 5)</w:t>
      </w:r>
      <w:r w:rsidR="00B708C9">
        <w:t>.</w:t>
      </w:r>
      <w:r w:rsidR="00405817">
        <w:t xml:space="preserve"> </w:t>
      </w:r>
      <w:r w:rsidR="00B708C9">
        <w:t xml:space="preserve">This </w:t>
      </w:r>
      <w:r w:rsidR="0011267C" w:rsidRPr="0011267C">
        <w:t xml:space="preserve">provides a valuable model for other programmes. However, effective implementation requires careful timing </w:t>
      </w:r>
      <w:r w:rsidR="004C4256">
        <w:t>of the different components</w:t>
      </w:r>
      <w:r w:rsidR="00B708C9">
        <w:t xml:space="preserve">, </w:t>
      </w:r>
      <w:r w:rsidR="008C772D">
        <w:t>f</w:t>
      </w:r>
      <w:r w:rsidR="001F0372">
        <w:t>or example, timing of the research component and timing public sector engagement</w:t>
      </w:r>
      <w:r w:rsidR="00405817">
        <w:t xml:space="preserve"> – see section 5.1.4</w:t>
      </w:r>
      <w:r w:rsidR="00B708C9">
        <w:t>.</w:t>
      </w:r>
      <w:r w:rsidR="004C4256">
        <w:t xml:space="preserve"> </w:t>
      </w:r>
      <w:r w:rsidR="00B708C9">
        <w:t>R</w:t>
      </w:r>
      <w:r w:rsidR="0011267C" w:rsidRPr="0011267C">
        <w:t>obust mechanisms to ensure all components inform and reinforce each other</w:t>
      </w:r>
      <w:r w:rsidR="00B708C9">
        <w:t xml:space="preserve"> would be required</w:t>
      </w:r>
      <w:r w:rsidR="0011267C" w:rsidRPr="0011267C">
        <w:t>.</w:t>
      </w:r>
    </w:p>
    <w:p w14:paraId="395E62A1" w14:textId="597F2F23" w:rsidR="00B57A27" w:rsidRDefault="00804E3A" w:rsidP="00281990">
      <w:r>
        <w:rPr>
          <w:b/>
          <w:bCs/>
        </w:rPr>
        <w:t>2</w:t>
      </w:r>
      <w:r w:rsidR="00B57A27" w:rsidRPr="001C6F7A">
        <w:rPr>
          <w:b/>
          <w:bCs/>
        </w:rPr>
        <w:t xml:space="preserve">. </w:t>
      </w:r>
      <w:r w:rsidR="007C2938" w:rsidRPr="001C6F7A">
        <w:rPr>
          <w:b/>
          <w:bCs/>
        </w:rPr>
        <w:t xml:space="preserve">Disbursement </w:t>
      </w:r>
      <w:r w:rsidR="004F0F12">
        <w:t xml:space="preserve">has been </w:t>
      </w:r>
      <w:r w:rsidR="007C2938" w:rsidRPr="001C6F7A">
        <w:t xml:space="preserve">heavily impacted by COVID-19 and this led to a revision of the targets in 2021. This </w:t>
      </w:r>
      <w:r w:rsidR="004F0F12">
        <w:t>wa</w:t>
      </w:r>
      <w:r w:rsidR="007C2938" w:rsidRPr="001C6F7A">
        <w:t xml:space="preserve">s a circumstance which could not have been foreseen, and MAGC is starting to recover from these delays. </w:t>
      </w:r>
      <w:r w:rsidR="005E336C">
        <w:t>D</w:t>
      </w:r>
      <w:r w:rsidR="007C2938" w:rsidRPr="001C6F7A">
        <w:t>isbursement by FIs to end beneficiaries is also being slower than anticipated,</w:t>
      </w:r>
      <w:r w:rsidR="005E336C">
        <w:t xml:space="preserve"> and </w:t>
      </w:r>
      <w:r w:rsidR="00374753">
        <w:t>according to FIs interviewed this is because designing</w:t>
      </w:r>
      <w:r w:rsidR="0023780C">
        <w:t xml:space="preserve"> the financial instrument, training their staff, and </w:t>
      </w:r>
      <w:r w:rsidR="005E3288">
        <w:t xml:space="preserve">closing operations takes longer than originally anticipated in the MAGC Logframe. Other programmes </w:t>
      </w:r>
      <w:r w:rsidR="00CB0A69">
        <w:t xml:space="preserve">that operate as a </w:t>
      </w:r>
      <w:r w:rsidR="0007740C">
        <w:t>second-floor</w:t>
      </w:r>
      <w:r w:rsidR="00CB0A69">
        <w:t xml:space="preserve"> facility </w:t>
      </w:r>
      <w:r w:rsidR="00F7506D">
        <w:t>should</w:t>
      </w:r>
      <w:r w:rsidR="0007740C">
        <w:t xml:space="preserve"> learn from this experience and </w:t>
      </w:r>
      <w:r w:rsidR="00F7506D">
        <w:t xml:space="preserve">anticipate that </w:t>
      </w:r>
      <w:r w:rsidR="008F4C4C">
        <w:t>disbursement</w:t>
      </w:r>
      <w:r w:rsidR="00503A06">
        <w:t xml:space="preserve"> by FIs</w:t>
      </w:r>
      <w:r w:rsidR="008F4C4C">
        <w:t xml:space="preserve"> may be slow. </w:t>
      </w:r>
    </w:p>
    <w:p w14:paraId="184D0637" w14:textId="45A1D994" w:rsidR="00606231" w:rsidRDefault="00952638" w:rsidP="00281990">
      <w:bookmarkStart w:id="85" w:name="_Toc189155241"/>
      <w:r>
        <w:rPr>
          <w:rStyle w:val="Boldtext"/>
        </w:rPr>
        <w:t>3</w:t>
      </w:r>
      <w:r w:rsidR="00606231" w:rsidRPr="00786133">
        <w:rPr>
          <w:rStyle w:val="Boldtext"/>
        </w:rPr>
        <w:t>.</w:t>
      </w:r>
      <w:r w:rsidR="00606231" w:rsidRPr="00406565">
        <w:rPr>
          <w:rStyle w:val="Boldtext"/>
        </w:rPr>
        <w:t xml:space="preserve"> Policy</w:t>
      </w:r>
      <w:r w:rsidR="00606231" w:rsidRPr="00406565">
        <w:t xml:space="preserve"> </w:t>
      </w:r>
      <w:r w:rsidR="00606231" w:rsidRPr="00406565">
        <w:rPr>
          <w:rStyle w:val="Boldtext"/>
        </w:rPr>
        <w:t>support and its effective implementation</w:t>
      </w:r>
      <w:bookmarkEnd w:id="85"/>
      <w:r w:rsidR="00406565">
        <w:rPr>
          <w:rStyle w:val="Boldtext"/>
        </w:rPr>
        <w:t xml:space="preserve"> </w:t>
      </w:r>
      <w:r w:rsidR="00606231">
        <w:t>are key enablers to market transformation</w:t>
      </w:r>
      <w:r w:rsidR="00405817">
        <w:t xml:space="preserve"> (see section 5.1.2 and 5.2.4)</w:t>
      </w:r>
      <w:r w:rsidR="00606231" w:rsidRPr="00131292">
        <w:t xml:space="preserve">. </w:t>
      </w:r>
      <w:r w:rsidR="00606231" w:rsidRPr="00E44244">
        <w:t>MAGC's experience demonstrates the need for both strong policy frameworks and robust implementation mechanisms.</w:t>
      </w:r>
      <w:r w:rsidR="00606231">
        <w:t xml:space="preserve"> </w:t>
      </w:r>
      <w:r w:rsidR="00606231" w:rsidRPr="00E44244">
        <w:t>MAGC's technical assistance has demonstrated its value in supporting policy development and implementation, particularly in creating green building incentives</w:t>
      </w:r>
      <w:r w:rsidR="00405817">
        <w:t xml:space="preserve"> (see 5.1.2)</w:t>
      </w:r>
      <w:r w:rsidR="00606231" w:rsidRPr="00E44244">
        <w:t xml:space="preserve">. </w:t>
      </w:r>
      <w:r w:rsidR="00606231">
        <w:t>Co</w:t>
      </w:r>
      <w:r w:rsidR="00606231" w:rsidRPr="00E574C7">
        <w:t>ntinued and expanded investment in policy support and implementation capacity building is a high-impact opportunity for MAGC</w:t>
      </w:r>
      <w:r w:rsidR="00606231">
        <w:t xml:space="preserve"> and for similar programmes</w:t>
      </w:r>
      <w:r w:rsidR="00606231" w:rsidRPr="00E574C7">
        <w:t>.</w:t>
      </w:r>
    </w:p>
    <w:p w14:paraId="0339995B" w14:textId="7351D229" w:rsidR="00641119" w:rsidRDefault="00952638" w:rsidP="00281990">
      <w:r>
        <w:rPr>
          <w:rStyle w:val="Boldtext"/>
        </w:rPr>
        <w:t>4</w:t>
      </w:r>
      <w:r w:rsidR="00641119">
        <w:t xml:space="preserve">. </w:t>
      </w:r>
      <w:r w:rsidR="00641119" w:rsidRPr="00072D1D">
        <w:t xml:space="preserve">The approach of </w:t>
      </w:r>
      <w:r w:rsidR="00641119" w:rsidRPr="00E51B62">
        <w:rPr>
          <w:b/>
          <w:bCs/>
        </w:rPr>
        <w:t>delivering MAGC in a high number of countries</w:t>
      </w:r>
      <w:r w:rsidR="00641119" w:rsidRPr="00072D1D">
        <w:t xml:space="preserve"> reduced risks of under-delivery due to political shifts</w:t>
      </w:r>
      <w:r w:rsidR="00641119">
        <w:t xml:space="preserve"> (</w:t>
      </w:r>
      <w:r w:rsidR="00641119" w:rsidRPr="00072D1D">
        <w:t xml:space="preserve">e.g., </w:t>
      </w:r>
      <w:r w:rsidR="00641119">
        <w:t>where progress in some countries is slow, this is offset by faster progress in other countries). This is a positive aspect of the programme enabling flexibility</w:t>
      </w:r>
      <w:r w:rsidR="00641119" w:rsidRPr="00072D1D">
        <w:t>.</w:t>
      </w:r>
    </w:p>
    <w:p w14:paraId="70E34915" w14:textId="24F86DD3" w:rsidR="006870A0" w:rsidRDefault="00952638" w:rsidP="004C4256">
      <w:bookmarkStart w:id="86" w:name="_Toc189155243"/>
      <w:r>
        <w:rPr>
          <w:rStyle w:val="Boldtext"/>
        </w:rPr>
        <w:t>5</w:t>
      </w:r>
      <w:r w:rsidR="00281990" w:rsidRPr="00786133">
        <w:rPr>
          <w:rStyle w:val="Boldtext"/>
        </w:rPr>
        <w:t>.</w:t>
      </w:r>
      <w:r w:rsidR="00954D13" w:rsidRPr="00406565">
        <w:t xml:space="preserve"> </w:t>
      </w:r>
      <w:r w:rsidR="004C4256" w:rsidRPr="00406565">
        <w:rPr>
          <w:rStyle w:val="Boldtext"/>
        </w:rPr>
        <w:t>MAGC's experience with GEDSI</w:t>
      </w:r>
      <w:bookmarkEnd w:id="86"/>
      <w:r w:rsidR="004C4256" w:rsidRPr="004C4256">
        <w:t xml:space="preserve"> </w:t>
      </w:r>
      <w:r w:rsidR="00405817">
        <w:t xml:space="preserve">(see section 6) </w:t>
      </w:r>
      <w:r w:rsidR="006870A0">
        <w:t>highlights several key lessons:</w:t>
      </w:r>
    </w:p>
    <w:p w14:paraId="43F444C3" w14:textId="49D159CB" w:rsidR="00515896" w:rsidRDefault="006870A0" w:rsidP="006870A0">
      <w:pPr>
        <w:pStyle w:val="DESNZbulletedlist"/>
      </w:pPr>
      <w:r>
        <w:t>It is important to</w:t>
      </w:r>
      <w:r w:rsidR="004C4256" w:rsidRPr="004C4256">
        <w:t xml:space="preserve"> integrat</w:t>
      </w:r>
      <w:r>
        <w:t>e</w:t>
      </w:r>
      <w:r w:rsidR="004C4256" w:rsidRPr="004C4256">
        <w:t xml:space="preserve"> social inclusion considerations from the outset of green building initiatives. This experience offers critical lessons for future programmes</w:t>
      </w:r>
      <w:r w:rsidR="0009408D">
        <w:t>.</w:t>
      </w:r>
      <w:r w:rsidR="0009408D" w:rsidRPr="004C4256">
        <w:t xml:space="preserve"> </w:t>
      </w:r>
      <w:r w:rsidR="0009408D">
        <w:t xml:space="preserve">To </w:t>
      </w:r>
      <w:r w:rsidR="0009408D" w:rsidRPr="004C4256">
        <w:t>ensur</w:t>
      </w:r>
      <w:r w:rsidR="0009408D">
        <w:t>e</w:t>
      </w:r>
      <w:r w:rsidR="0009408D" w:rsidRPr="004C4256">
        <w:t xml:space="preserve"> </w:t>
      </w:r>
      <w:r w:rsidR="004C4256" w:rsidRPr="004C4256">
        <w:t xml:space="preserve">that the benefits of green building practices are distributed equitably and reach marginalised groups, </w:t>
      </w:r>
      <w:r w:rsidR="0009408D">
        <w:t xml:space="preserve">it is required to </w:t>
      </w:r>
      <w:r w:rsidR="004C4256" w:rsidRPr="004C4256">
        <w:t>effectively incorporating GEDSI from the initial design phase.</w:t>
      </w:r>
      <w:r w:rsidR="001714E7">
        <w:t xml:space="preserve"> Commitment to social inclusion from partners and beneficiary organisations</w:t>
      </w:r>
      <w:r w:rsidR="00EB189B">
        <w:t xml:space="preserve"> and partnership on these issues</w:t>
      </w:r>
      <w:r w:rsidR="001714E7">
        <w:t xml:space="preserve"> is </w:t>
      </w:r>
      <w:r w:rsidR="00EB189B">
        <w:t xml:space="preserve">crucial </w:t>
      </w:r>
      <w:r w:rsidR="001714E7">
        <w:t xml:space="preserve">to achieving these </w:t>
      </w:r>
      <w:r w:rsidR="00405817">
        <w:t>changes</w:t>
      </w:r>
      <w:r w:rsidR="0009408D">
        <w:t>.</w:t>
      </w:r>
      <w:r w:rsidR="00405817">
        <w:t xml:space="preserve"> </w:t>
      </w:r>
      <w:r w:rsidR="0009408D">
        <w:t>This</w:t>
      </w:r>
      <w:r w:rsidR="00EB189B">
        <w:t xml:space="preserve"> highlights a need for broader commitment to GEDSI within the sector.</w:t>
      </w:r>
      <w:r w:rsidR="001714E7">
        <w:t xml:space="preserve"> </w:t>
      </w:r>
    </w:p>
    <w:p w14:paraId="4E76D6B5" w14:textId="064C4758" w:rsidR="006870A0" w:rsidRDefault="006870A0" w:rsidP="006870A0">
      <w:pPr>
        <w:pStyle w:val="DESNZbulletedlist"/>
      </w:pPr>
      <w:r w:rsidRPr="006870A0">
        <w:t>Financial barriers remain a significant challenge for the inclusion of marginalised groups in green building initiatives. MAGC's use of financial subsidies and concessional interest rates has shown potential in making green housing more accessible. Future programmes should continue to explore and expand these financial mechanisms, linking them with local government incentives and international funding sources to enhance affordability for lower-income households.</w:t>
      </w:r>
    </w:p>
    <w:p w14:paraId="2793EE19" w14:textId="29956E18" w:rsidR="006870A0" w:rsidRDefault="001714E7" w:rsidP="006870A0">
      <w:pPr>
        <w:pStyle w:val="DESNZbulletedlist"/>
      </w:pPr>
      <w:r w:rsidRPr="001714E7">
        <w:t>Successful green building projects</w:t>
      </w:r>
      <w:r>
        <w:t xml:space="preserve"> </w:t>
      </w:r>
      <w:r w:rsidRPr="001714E7">
        <w:t>have demonstrated the value of involving future residents in the construction process and supporting community-led initiatives. This approach not only enhances the living environment but also fosters social cohesion and empowerment. Future programmes should prioriti</w:t>
      </w:r>
      <w:r>
        <w:t>s</w:t>
      </w:r>
      <w:r w:rsidRPr="001714E7">
        <w:t>e community engagement and empowerment, ensuring that local voices are central to the planning and implementation of green building projects.</w:t>
      </w:r>
      <w:r>
        <w:t xml:space="preserve"> This can be used to inform effective people-centric design which enables the provision of higher quality housing.</w:t>
      </w:r>
    </w:p>
    <w:p w14:paraId="58DF787C" w14:textId="30FA12A4" w:rsidR="001714E7" w:rsidRDefault="001714E7" w:rsidP="00A37CD2">
      <w:pPr>
        <w:pStyle w:val="DESNZbulletedlist"/>
      </w:pPr>
      <w:r w:rsidRPr="001714E7">
        <w:t xml:space="preserve">Legislative and policy environments play a crucial role in the success of green building initiatives. Aligning programme objectives with supportive policies, such as those mandating social housing and accessibility, can enhance the inclusion of marginalised groups. </w:t>
      </w:r>
    </w:p>
    <w:p w14:paraId="18F11D16" w14:textId="4204BF6E" w:rsidR="00964D61" w:rsidRPr="001C6F7A" w:rsidRDefault="00952638" w:rsidP="001C6F7A">
      <w:pPr>
        <w:rPr>
          <w:b/>
          <w:bCs/>
        </w:rPr>
      </w:pPr>
      <w:r>
        <w:rPr>
          <w:rStyle w:val="Boldtext"/>
        </w:rPr>
        <w:t>6</w:t>
      </w:r>
      <w:r w:rsidR="00964D61" w:rsidRPr="00886B5B">
        <w:rPr>
          <w:rStyle w:val="Boldtext"/>
        </w:rPr>
        <w:t>.</w:t>
      </w:r>
      <w:r w:rsidR="00287454" w:rsidRPr="00886B5B">
        <w:rPr>
          <w:rStyle w:val="Boldtext"/>
        </w:rPr>
        <w:t xml:space="preserve"> To</w:t>
      </w:r>
      <w:r w:rsidR="00287454" w:rsidRPr="00287454">
        <w:rPr>
          <w:rStyle w:val="Boldtext"/>
        </w:rPr>
        <w:t xml:space="preserve"> accelerate the uptake of green construction, especially in the residential sector, </w:t>
      </w:r>
      <w:r w:rsidR="007C2938">
        <w:rPr>
          <w:rStyle w:val="Boldtext"/>
        </w:rPr>
        <w:t>it is important to address</w:t>
      </w:r>
      <w:r w:rsidR="00287454" w:rsidRPr="00287454">
        <w:rPr>
          <w:rStyle w:val="Boldtext"/>
        </w:rPr>
        <w:t xml:space="preserve"> both supply and demand-side barriers.</w:t>
      </w:r>
      <w:r w:rsidR="00287454" w:rsidRPr="007C2938">
        <w:rPr>
          <w:rStyle w:val="Boldtext"/>
          <w:b w:val="0"/>
          <w:bCs/>
        </w:rPr>
        <w:t xml:space="preserve"> Component 2 has effectively built the capacity of developers and other supply-side actors</w:t>
      </w:r>
      <w:r w:rsidR="009634F3">
        <w:rPr>
          <w:rStyle w:val="Boldtext"/>
          <w:b w:val="0"/>
          <w:bCs/>
        </w:rPr>
        <w:t xml:space="preserve"> </w:t>
      </w:r>
      <w:r w:rsidR="009634F3" w:rsidRPr="007C2938">
        <w:rPr>
          <w:rStyle w:val="Boldtext"/>
          <w:b w:val="0"/>
          <w:bCs/>
        </w:rPr>
        <w:t>(</w:t>
      </w:r>
      <w:r w:rsidR="00353B6C" w:rsidRPr="007C2938">
        <w:rPr>
          <w:rStyle w:val="Boldtext"/>
          <w:b w:val="0"/>
          <w:bCs/>
        </w:rPr>
        <w:t>see section 5.1.2</w:t>
      </w:r>
      <w:r w:rsidR="009634F3" w:rsidRPr="007C2938">
        <w:rPr>
          <w:rStyle w:val="Boldtext"/>
          <w:b w:val="0"/>
          <w:bCs/>
        </w:rPr>
        <w:t>)</w:t>
      </w:r>
      <w:r w:rsidR="00287454" w:rsidRPr="007C2938">
        <w:rPr>
          <w:rStyle w:val="Boldtext"/>
          <w:b w:val="0"/>
          <w:bCs/>
        </w:rPr>
        <w:t>. The evaluation identified two key demand-side barriers: limited awareness among end</w:t>
      </w:r>
      <w:r w:rsidR="00E6488F">
        <w:rPr>
          <w:rStyle w:val="Boldtext"/>
          <w:b w:val="0"/>
          <w:bCs/>
        </w:rPr>
        <w:t xml:space="preserve"> </w:t>
      </w:r>
      <w:r w:rsidR="00287454" w:rsidRPr="007C2938">
        <w:rPr>
          <w:rStyle w:val="Boldtext"/>
          <w:b w:val="0"/>
          <w:bCs/>
        </w:rPr>
        <w:t>users about the benefits of green buildings, and insufficient capacity among sales teams to effectively communicate these benefits to potential buyers.</w:t>
      </w:r>
      <w:r w:rsidR="007C2938">
        <w:rPr>
          <w:rStyle w:val="Boldtext"/>
          <w:b w:val="0"/>
          <w:bCs/>
        </w:rPr>
        <w:t xml:space="preserve"> </w:t>
      </w:r>
      <w:r w:rsidR="00287454" w:rsidRPr="00287454">
        <w:rPr>
          <w:rStyle w:val="Boldtext"/>
          <w:b w:val="0"/>
          <w:bCs/>
        </w:rPr>
        <w:t xml:space="preserve">The final evaluation will further assess the extent to which MAGC is addressing demand-side barriers and identify </w:t>
      </w:r>
      <w:r w:rsidR="00E65209">
        <w:rPr>
          <w:rStyle w:val="Boldtext"/>
          <w:b w:val="0"/>
          <w:bCs/>
        </w:rPr>
        <w:t xml:space="preserve">any </w:t>
      </w:r>
      <w:r w:rsidR="00287454" w:rsidRPr="00287454">
        <w:rPr>
          <w:rStyle w:val="Boldtext"/>
          <w:b w:val="0"/>
          <w:bCs/>
        </w:rPr>
        <w:t xml:space="preserve">opportunities </w:t>
      </w:r>
      <w:r w:rsidR="007331A5">
        <w:rPr>
          <w:rStyle w:val="Boldtext"/>
          <w:b w:val="0"/>
          <w:bCs/>
        </w:rPr>
        <w:t>for the programme to target these barriers</w:t>
      </w:r>
      <w:r w:rsidR="00287454" w:rsidRPr="00287454">
        <w:rPr>
          <w:rStyle w:val="Boldtext"/>
          <w:b w:val="0"/>
          <w:bCs/>
        </w:rPr>
        <w:t>.</w:t>
      </w:r>
    </w:p>
    <w:p w14:paraId="175724A7" w14:textId="4B30AD8F" w:rsidR="001F2878" w:rsidRDefault="001F2878" w:rsidP="00786133">
      <w:pPr>
        <w:pStyle w:val="Heading2"/>
        <w:spacing w:before="120" w:after="120"/>
      </w:pPr>
      <w:bookmarkStart w:id="87" w:name="_Toc189155244"/>
      <w:r>
        <w:t xml:space="preserve">8.4 Use and influence </w:t>
      </w:r>
      <w:bookmarkEnd w:id="87"/>
    </w:p>
    <w:p w14:paraId="7A313B83" w14:textId="47FE1A68" w:rsidR="001F2878" w:rsidRDefault="00EE628F" w:rsidP="00786133">
      <w:pPr>
        <w:spacing w:after="120"/>
      </w:pPr>
      <w:r>
        <w:t xml:space="preserve">The </w:t>
      </w:r>
      <w:r w:rsidR="00786133">
        <w:t xml:space="preserve">DESNZ and IFC </w:t>
      </w:r>
      <w:r>
        <w:t>programme team</w:t>
      </w:r>
      <w:r w:rsidR="00786133">
        <w:t>s</w:t>
      </w:r>
      <w:r>
        <w:t xml:space="preserve"> </w:t>
      </w:r>
      <w:r w:rsidR="00786133">
        <w:t xml:space="preserve">have </w:t>
      </w:r>
      <w:r>
        <w:t>had the opportunity to comment on the draft findings, recommendations, and lessons</w:t>
      </w:r>
      <w:r w:rsidR="0009408D">
        <w:t>.</w:t>
      </w:r>
      <w:r>
        <w:t xml:space="preserve"> </w:t>
      </w:r>
      <w:r w:rsidR="0009408D">
        <w:t>T</w:t>
      </w:r>
      <w:r>
        <w:t>his report</w:t>
      </w:r>
      <w:r w:rsidR="00786133">
        <w:t xml:space="preserve"> and its</w:t>
      </w:r>
      <w:r>
        <w:t xml:space="preserve"> annexes reflect those comments. </w:t>
      </w:r>
      <w:r w:rsidR="001F2878">
        <w:t xml:space="preserve">The evaluation findings have been and will continue to be disseminated according to an influence plan (presented in Annex 9 of the Technical Annex). The plan targets </w:t>
      </w:r>
      <w:r w:rsidR="0098607B">
        <w:t>two</w:t>
      </w:r>
      <w:r w:rsidR="001F2878">
        <w:t xml:space="preserve"> </w:t>
      </w:r>
      <w:r w:rsidR="0098607B">
        <w:t>main</w:t>
      </w:r>
      <w:r w:rsidR="001F2878">
        <w:t xml:space="preserve"> groups: </w:t>
      </w:r>
    </w:p>
    <w:p w14:paraId="516A6DD8" w14:textId="6848D993" w:rsidR="001F2878" w:rsidRDefault="0098607B" w:rsidP="00786133">
      <w:pPr>
        <w:pStyle w:val="DESNZbulletedlist"/>
        <w:spacing w:after="0"/>
      </w:pPr>
      <w:r w:rsidRPr="00DF510D">
        <w:rPr>
          <w:b/>
          <w:bCs/>
        </w:rPr>
        <w:t>Stakeholders internal to the programme:</w:t>
      </w:r>
      <w:r>
        <w:t xml:space="preserve"> </w:t>
      </w:r>
      <w:r w:rsidR="0009408D">
        <w:t>E</w:t>
      </w:r>
      <w:r>
        <w:t>valuation and programme management teams at IFC and DESNZ and other relevant teams in the governance and leadership of the programme</w:t>
      </w:r>
      <w:r w:rsidR="001F2878">
        <w:t>.</w:t>
      </w:r>
      <w:r>
        <w:t xml:space="preserve"> Dissemination activities to these groups include emerging findings and learning workshops</w:t>
      </w:r>
      <w:r w:rsidR="0009408D">
        <w:t>.</w:t>
      </w:r>
      <w:r>
        <w:t xml:space="preserve"> </w:t>
      </w:r>
      <w:r w:rsidR="0009408D">
        <w:t>T</w:t>
      </w:r>
      <w:r>
        <w:t>wo of which have already happened with DESNZ and IFC teams</w:t>
      </w:r>
      <w:r w:rsidR="0009408D">
        <w:t xml:space="preserve">, </w:t>
      </w:r>
      <w:r>
        <w:t>one focused on the MAGC Theory of Change, the other on recommendations from the process evaluation</w:t>
      </w:r>
      <w:r w:rsidR="0009408D">
        <w:t>.</w:t>
      </w:r>
      <w:r>
        <w:t xml:space="preserve"> </w:t>
      </w:r>
      <w:r w:rsidR="0009408D">
        <w:t>T</w:t>
      </w:r>
      <w:r>
        <w:t>he rest are planned after the interim evaluation phase.</w:t>
      </w:r>
    </w:p>
    <w:p w14:paraId="51776B2B" w14:textId="4DCFD868" w:rsidR="001F2878" w:rsidRDefault="0098607B" w:rsidP="00786133">
      <w:pPr>
        <w:pStyle w:val="DESNZbulletedlist"/>
        <w:spacing w:after="0"/>
      </w:pPr>
      <w:r w:rsidRPr="00DF510D">
        <w:rPr>
          <w:b/>
          <w:bCs/>
        </w:rPr>
        <w:t>Stakeholders external to the programme:</w:t>
      </w:r>
      <w:r>
        <w:t xml:space="preserve"> </w:t>
      </w:r>
      <w:r w:rsidR="0009408D">
        <w:t>G</w:t>
      </w:r>
      <w:r>
        <w:t>overnance stakeholders of other programmes, in-country MAGC stakeholders, wider evaluation community, green construction stakeholders. Dissemination routes for these groups will use channels like conferences, seminars and workshops and will happen after the end of the interim evaluation phase.</w:t>
      </w:r>
    </w:p>
    <w:p w14:paraId="6C1C6A43" w14:textId="78885DBE" w:rsidR="001F2878" w:rsidRDefault="001F2878" w:rsidP="00786133">
      <w:pPr>
        <w:spacing w:after="0"/>
        <w:sectPr w:rsidR="001F2878" w:rsidSect="00394BA9">
          <w:pgSz w:w="11906" w:h="16838"/>
          <w:pgMar w:top="1418" w:right="907" w:bottom="907" w:left="907" w:header="709" w:footer="266" w:gutter="0"/>
          <w:pgNumType w:start="1"/>
          <w:cols w:space="708"/>
          <w:docGrid w:linePitch="360"/>
        </w:sectPr>
      </w:pPr>
      <w:r>
        <w:t>By tailoring communication formats and cadences towards diverse stakeholder needs, the influence plan aims to optimise real-world impact beyond the evaluation itself.</w:t>
      </w:r>
    </w:p>
    <w:p w14:paraId="1925867A" w14:textId="1E40FB50" w:rsidR="0038306A" w:rsidRDefault="0038306A" w:rsidP="0038306A">
      <w:r>
        <w:t xml:space="preserve">This publication is available from: </w:t>
      </w:r>
      <w:hyperlink r:id="rId17" w:history="1">
        <w:r w:rsidR="00A81362">
          <w:rPr>
            <w:rStyle w:val="Hyperlink"/>
          </w:rPr>
          <w:t>www.gov.uk/desnz</w:t>
        </w:r>
      </w:hyperlink>
      <w:r w:rsidR="00A55956">
        <w:t xml:space="preserve"> </w:t>
      </w:r>
      <w:r w:rsidR="00A55956" w:rsidRPr="00D92F03">
        <w:rPr>
          <w:b/>
          <w:color w:val="A5A5A5" w:themeColor="accent3"/>
        </w:rPr>
        <w:t>[replace with direct URL if known]</w:t>
      </w:r>
      <w:r w:rsidR="007820C8">
        <w:rPr>
          <w:color w:val="A5A5A5" w:themeColor="accent3"/>
        </w:rPr>
        <w:t xml:space="preserve"> </w:t>
      </w:r>
    </w:p>
    <w:p w14:paraId="4FA4ACCB" w14:textId="77777777" w:rsidR="005E661B" w:rsidRPr="005E661B" w:rsidRDefault="0038306A" w:rsidP="00C26D9C">
      <w:pPr>
        <w:spacing w:after="0"/>
      </w:pPr>
      <w:r>
        <w:t xml:space="preserve">If you need a version of this document in a more accessible format, please email </w:t>
      </w:r>
      <w:hyperlink r:id="rId18" w:history="1">
        <w:r w:rsidR="007B7BC9" w:rsidRPr="00F34CA8">
          <w:rPr>
            <w:rStyle w:val="Hyperlink"/>
          </w:rPr>
          <w:t>alt.formats@energy</w:t>
        </w:r>
        <w:r w:rsidR="00C859D1">
          <w:rPr>
            <w:rStyle w:val="Hyperlink"/>
          </w:rPr>
          <w:t>security</w:t>
        </w:r>
        <w:r w:rsidR="007B7BC9" w:rsidRPr="00F34CA8">
          <w:rPr>
            <w:rStyle w:val="Hyperlink"/>
          </w:rPr>
          <w:t>.gov.uk</w:t>
        </w:r>
      </w:hyperlink>
      <w:r>
        <w:t>. Please tell us what format you need. It will help us if you say what assistive technology you use.</w:t>
      </w:r>
    </w:p>
    <w:sectPr w:rsidR="005E661B" w:rsidRPr="005E661B" w:rsidSect="00C26D9C">
      <w:headerReference w:type="default" r:id="rId19"/>
      <w:footerReference w:type="default" r:id="rId20"/>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F761" w14:textId="77777777" w:rsidR="00804C3E" w:rsidRDefault="00804C3E" w:rsidP="00490BD3">
      <w:pPr>
        <w:spacing w:after="0"/>
      </w:pPr>
      <w:r>
        <w:separator/>
      </w:r>
    </w:p>
  </w:endnote>
  <w:endnote w:type="continuationSeparator" w:id="0">
    <w:p w14:paraId="1245F513" w14:textId="77777777" w:rsidR="00804C3E" w:rsidRDefault="00804C3E" w:rsidP="00490BD3">
      <w:pPr>
        <w:spacing w:after="0"/>
      </w:pPr>
      <w:r>
        <w:continuationSeparator/>
      </w:r>
    </w:p>
  </w:endnote>
  <w:endnote w:type="continuationNotice" w:id="1">
    <w:p w14:paraId="087172C0" w14:textId="77777777" w:rsidR="00804C3E" w:rsidRDefault="00804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1DB7" w14:textId="632507B2" w:rsidR="00FC1A03" w:rsidRDefault="00620E2E" w:rsidP="00FC1A03">
    <w:pPr>
      <w:pStyle w:val="DESNZDate"/>
    </w:pPr>
    <w:r>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083394"/>
      <w:docPartObj>
        <w:docPartGallery w:val="Page Numbers (Bottom of Page)"/>
        <w:docPartUnique/>
      </w:docPartObj>
    </w:sdtPr>
    <w:sdtContent>
      <w:p w14:paraId="15CF6EF1" w14:textId="32E72FC1" w:rsidR="00134C29" w:rsidRPr="00134C29" w:rsidRDefault="00134C29">
        <w:pPr>
          <w:pStyle w:val="Footer"/>
        </w:pPr>
        <w:r w:rsidRPr="00134C29">
          <w:fldChar w:fldCharType="begin"/>
        </w:r>
        <w:r w:rsidRPr="00134C29">
          <w:instrText xml:space="preserve"> PAGE   \* MERGEFORMAT </w:instrText>
        </w:r>
        <w:r w:rsidRPr="00134C29">
          <w:fldChar w:fldCharType="separate"/>
        </w:r>
        <w:r w:rsidRPr="00134C29">
          <w:t>2</w:t>
        </w:r>
        <w:r w:rsidRPr="00134C29">
          <w:fldChar w:fldCharType="end"/>
        </w:r>
      </w:p>
    </w:sdtContent>
  </w:sdt>
  <w:p w14:paraId="2005070B" w14:textId="77777777" w:rsidR="00EE178D" w:rsidRPr="00C26D9C" w:rsidRDefault="00EE178D" w:rsidP="00C2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68239"/>
      <w:docPartObj>
        <w:docPartGallery w:val="Page Numbers (Bottom of Page)"/>
        <w:docPartUnique/>
      </w:docPartObj>
    </w:sdtPr>
    <w:sdtContent>
      <w:p w14:paraId="1758BFB9" w14:textId="3C3E55B2" w:rsidR="00134C29" w:rsidRPr="00134C29" w:rsidRDefault="00134C29">
        <w:pPr>
          <w:pStyle w:val="Footer"/>
        </w:pPr>
        <w:r w:rsidRPr="00134C29">
          <w:fldChar w:fldCharType="begin"/>
        </w:r>
        <w:r w:rsidRPr="00134C29">
          <w:instrText xml:space="preserve"> PAGE   \* MERGEFORMAT </w:instrText>
        </w:r>
        <w:r w:rsidRPr="00134C29">
          <w:fldChar w:fldCharType="separate"/>
        </w:r>
        <w:r w:rsidRPr="00134C29">
          <w:t>2</w:t>
        </w:r>
        <w:r w:rsidRPr="00134C29">
          <w:fldChar w:fldCharType="end"/>
        </w:r>
      </w:p>
    </w:sdtContent>
  </w:sdt>
  <w:p w14:paraId="5B19D02B" w14:textId="77777777"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1419" w14:textId="77777777" w:rsidR="00804C3E" w:rsidRDefault="00804C3E" w:rsidP="00490BD3">
      <w:pPr>
        <w:spacing w:after="0"/>
      </w:pPr>
      <w:r>
        <w:separator/>
      </w:r>
    </w:p>
  </w:footnote>
  <w:footnote w:type="continuationSeparator" w:id="0">
    <w:p w14:paraId="2C3F07B2" w14:textId="77777777" w:rsidR="00804C3E" w:rsidRDefault="00804C3E" w:rsidP="00490BD3">
      <w:pPr>
        <w:spacing w:after="0"/>
      </w:pPr>
      <w:r>
        <w:continuationSeparator/>
      </w:r>
    </w:p>
  </w:footnote>
  <w:footnote w:type="continuationNotice" w:id="1">
    <w:p w14:paraId="506428F2" w14:textId="77777777" w:rsidR="00804C3E" w:rsidRDefault="00804C3E">
      <w:pPr>
        <w:spacing w:after="0" w:line="240" w:lineRule="auto"/>
      </w:pPr>
    </w:p>
  </w:footnote>
  <w:footnote w:id="2">
    <w:p w14:paraId="1930ED93" w14:textId="3330A2B6" w:rsidR="009856C4" w:rsidRDefault="009856C4" w:rsidP="009856C4">
      <w:pPr>
        <w:pStyle w:val="FootnoteText"/>
      </w:pPr>
      <w:r>
        <w:rPr>
          <w:rStyle w:val="FootnoteReference"/>
        </w:rPr>
        <w:footnoteRef/>
      </w:r>
      <w:r>
        <w:t xml:space="preserve"> P</w:t>
      </w:r>
      <w:r w:rsidRPr="00406565">
        <w:t xml:space="preserve">ublished </w:t>
      </w:r>
      <w:hyperlink r:id="rId1" w:history="1">
        <w:r w:rsidRPr="00477EAB">
          <w:rPr>
            <w:rStyle w:val="Hyperlink"/>
          </w:rPr>
          <w:t>here</w:t>
        </w:r>
      </w:hyperlink>
    </w:p>
  </w:footnote>
  <w:footnote w:id="3">
    <w:p w14:paraId="7DA0E4EE" w14:textId="4026F1AB" w:rsidR="009856C4" w:rsidRDefault="009856C4">
      <w:pPr>
        <w:pStyle w:val="FootnoteText"/>
      </w:pPr>
      <w:r>
        <w:rPr>
          <w:rStyle w:val="FootnoteReference"/>
        </w:rPr>
        <w:footnoteRef/>
      </w:r>
      <w:r>
        <w:t xml:space="preserve"> </w:t>
      </w:r>
      <w:r w:rsidR="00477EAB">
        <w:t xml:space="preserve">Published </w:t>
      </w:r>
      <w:hyperlink r:id="rId2" w:history="1">
        <w:r w:rsidR="00477EAB" w:rsidRPr="00477EAB">
          <w:rPr>
            <w:rStyle w:val="Hyperlink"/>
          </w:rPr>
          <w:t>here</w:t>
        </w:r>
      </w:hyperlink>
    </w:p>
  </w:footnote>
  <w:footnote w:id="4">
    <w:p w14:paraId="633035E9" w14:textId="1C35F33C" w:rsidR="002F3647" w:rsidRDefault="002F3647" w:rsidP="002F3647">
      <w:pPr>
        <w:pStyle w:val="FootnoteText"/>
      </w:pPr>
      <w:r>
        <w:rPr>
          <w:rStyle w:val="FootnoteReference"/>
        </w:rPr>
        <w:footnoteRef/>
      </w:r>
      <w:r>
        <w:t xml:space="preserve"> The achievement of outcomes for </w:t>
      </w:r>
      <w:r w:rsidR="006013C3">
        <w:t>c</w:t>
      </w:r>
      <w:r>
        <w:t xml:space="preserve">omponent 4 is out of scope for this phase of the evaluation as it is too early to see results. However, some emerging findings from the assessment of other components that related to </w:t>
      </w:r>
      <w:r w:rsidR="006013C3">
        <w:t>c</w:t>
      </w:r>
      <w:r>
        <w:t>omponent 4 (and its interaction with other components) have been included in this report.</w:t>
      </w:r>
    </w:p>
  </w:footnote>
  <w:footnote w:id="5">
    <w:p w14:paraId="4AFDDD6C" w14:textId="4DBC5075" w:rsidR="002923E5" w:rsidRDefault="002923E5">
      <w:pPr>
        <w:pStyle w:val="FootnoteText"/>
      </w:pPr>
      <w:r>
        <w:rPr>
          <w:rStyle w:val="FootnoteReference"/>
        </w:rPr>
        <w:footnoteRef/>
      </w:r>
      <w:r>
        <w:t xml:space="preserve"> MAGC Programme Logframe 2024. Results presented in the MAGC Logframe are prior to any UK ICF KPI adjustments. The MAGC programme has 75% additionality adjustment to account for uncertainty over the counterfactual baseline for ICF KPI reporting such as public and private finance mobilised (KPI 11 &amp; 12).</w:t>
      </w:r>
    </w:p>
  </w:footnote>
  <w:footnote w:id="6">
    <w:p w14:paraId="6CA75511" w14:textId="1EA51746" w:rsidR="006904D7" w:rsidRDefault="006904D7" w:rsidP="006904D7">
      <w:pPr>
        <w:pStyle w:val="FootnoteText"/>
      </w:pPr>
      <w:r>
        <w:rPr>
          <w:rStyle w:val="FootnoteReference"/>
        </w:rPr>
        <w:footnoteRef/>
      </w:r>
      <w:r>
        <w:t xml:space="preserve"> Expected </w:t>
      </w:r>
      <w:r w:rsidRPr="008C3095">
        <w:t>£10.50 to £15.90 per UK £ committed</w:t>
      </w:r>
      <w:r w:rsidR="00620E2E">
        <w:t xml:space="preserve">. MAGC Business Case, IFC, 2018. </w:t>
      </w:r>
      <w:hyperlink r:id="rId3" w:history="1">
        <w:r w:rsidR="00620E2E" w:rsidRPr="00277A57">
          <w:rPr>
            <w:rStyle w:val="Hyperlink"/>
          </w:rPr>
          <w:t>https://science-and-innovation-network.s3.eu-west-2.amazonaws.com/BEIS+ICF/MAGC/MAGC+Business+Case.docx</w:t>
        </w:r>
      </w:hyperlink>
    </w:p>
  </w:footnote>
  <w:footnote w:id="7">
    <w:p w14:paraId="06CB0311" w14:textId="6DF1DFF8" w:rsidR="00233A2A" w:rsidRDefault="00233A2A">
      <w:pPr>
        <w:pStyle w:val="FootnoteText"/>
      </w:pPr>
      <w:r>
        <w:rPr>
          <w:rStyle w:val="FootnoteReference"/>
        </w:rPr>
        <w:footnoteRef/>
      </w:r>
      <w:r>
        <w:t xml:space="preserve"> See </w:t>
      </w:r>
      <w:hyperlink r:id="rId4" w:history="1">
        <w:r w:rsidRPr="00233A2A">
          <w:rPr>
            <w:rStyle w:val="Hyperlink"/>
          </w:rPr>
          <w:t>ICF KPI15 Methodology note</w:t>
        </w:r>
      </w:hyperlink>
      <w:r w:rsidR="006024A8">
        <w:t xml:space="preserve"> and </w:t>
      </w:r>
      <w:hyperlink r:id="rId5" w:history="1">
        <w:r w:rsidR="006024A8" w:rsidRPr="006024A8">
          <w:rPr>
            <w:rStyle w:val="Hyperlink"/>
          </w:rPr>
          <w:t>Technical annex</w:t>
        </w:r>
      </w:hyperlink>
      <w:r w:rsidR="006024A8">
        <w:t xml:space="preserve"> to this report</w:t>
      </w:r>
    </w:p>
  </w:footnote>
  <w:footnote w:id="8">
    <w:p w14:paraId="1E2BF807" w14:textId="4AA1F66B" w:rsidR="006904D7" w:rsidRDefault="006904D7" w:rsidP="006904D7">
      <w:pPr>
        <w:pStyle w:val="FootnoteText"/>
      </w:pPr>
      <w:r>
        <w:rPr>
          <w:rStyle w:val="FootnoteReference"/>
        </w:rPr>
        <w:footnoteRef/>
      </w:r>
      <w:r>
        <w:t xml:space="preserve"> Please refer to the technical annex for more details on KPI15 </w:t>
      </w:r>
      <w:r w:rsidR="004C722D">
        <w:t xml:space="preserve">methodology </w:t>
      </w:r>
      <w:r>
        <w:t>and calculation of the score.</w:t>
      </w:r>
    </w:p>
  </w:footnote>
  <w:footnote w:id="9">
    <w:p w14:paraId="3C308037" w14:textId="54BC90CE" w:rsidR="003163D1" w:rsidRDefault="003163D1">
      <w:pPr>
        <w:pStyle w:val="FootnoteText"/>
      </w:pPr>
      <w:r>
        <w:rPr>
          <w:rStyle w:val="FootnoteReference"/>
        </w:rPr>
        <w:footnoteRef/>
      </w:r>
      <w:r>
        <w:t xml:space="preserve"> GEDSI learnings are reported separately in the GEDSI annex.</w:t>
      </w:r>
    </w:p>
  </w:footnote>
  <w:footnote w:id="10">
    <w:p w14:paraId="4762CD59" w14:textId="03D5F2A0" w:rsidR="003163D1" w:rsidRDefault="003163D1">
      <w:pPr>
        <w:pStyle w:val="FootnoteText"/>
      </w:pPr>
      <w:r>
        <w:rPr>
          <w:rStyle w:val="FootnoteReference"/>
        </w:rPr>
        <w:footnoteRef/>
      </w:r>
      <w:r>
        <w:t xml:space="preserve"> The detailed VfM assessment is reported separately in the Value for Money annex.</w:t>
      </w:r>
    </w:p>
  </w:footnote>
  <w:footnote w:id="11">
    <w:p w14:paraId="31C7B5E3" w14:textId="64C97B03" w:rsidR="005D341E" w:rsidRDefault="005D341E" w:rsidP="00406565">
      <w:pPr>
        <w:pStyle w:val="FootnoteText"/>
      </w:pPr>
      <w:r>
        <w:rPr>
          <w:rStyle w:val="FootnoteReference"/>
        </w:rPr>
        <w:footnoteRef/>
      </w:r>
      <w:r>
        <w:t xml:space="preserve"> </w:t>
      </w:r>
      <w:r w:rsidRPr="00406565">
        <w:t xml:space="preserve">Undertaken in early 2024 and published here: </w:t>
      </w:r>
      <w:hyperlink r:id="rId6" w:history="1">
        <w:r w:rsidR="008D3496" w:rsidRPr="00AB706D">
          <w:rPr>
            <w:rStyle w:val="Hyperlink"/>
          </w:rPr>
          <w:t>https://devtracker.fcdo.gov.uk/programme/GB-GOV-13-ICF-0032-MAGC/documents</w:t>
        </w:r>
      </w:hyperlink>
      <w:r w:rsidR="008D3496">
        <w:t xml:space="preserve"> </w:t>
      </w:r>
      <w:r w:rsidR="008D3496" w:rsidRPr="008D3496" w:rsidDel="00C07474">
        <w:rPr>
          <w:highlight w:val="yellow"/>
        </w:rPr>
        <w:t xml:space="preserve"> </w:t>
      </w:r>
      <w:r w:rsidR="008D3496">
        <w:rPr>
          <w:highlight w:val="yellow"/>
        </w:rPr>
        <w:t xml:space="preserve"> </w:t>
      </w:r>
    </w:p>
  </w:footnote>
  <w:footnote w:id="12">
    <w:p w14:paraId="1E7DA9F0" w14:textId="735777B5" w:rsidR="007A5BB0" w:rsidRDefault="007A5BB0">
      <w:pPr>
        <w:pStyle w:val="FootnoteText"/>
      </w:pPr>
      <w:r>
        <w:rPr>
          <w:rStyle w:val="FootnoteReference"/>
        </w:rPr>
        <w:footnoteRef/>
      </w:r>
      <w:r>
        <w:t xml:space="preserve"> The achievement of outcomes for </w:t>
      </w:r>
      <w:r w:rsidR="006013C3">
        <w:t>c</w:t>
      </w:r>
      <w:r>
        <w:t xml:space="preserve">omponent 4 is out of scope for this phase of the evaluation as it is too early to see results. However, some emerging findings from the assessment of other components that related to </w:t>
      </w:r>
      <w:r w:rsidR="006013C3">
        <w:t>c</w:t>
      </w:r>
      <w:r>
        <w:t>omponent 4 (and its interaction with other components) have been included in this report.</w:t>
      </w:r>
    </w:p>
  </w:footnote>
  <w:footnote w:id="13">
    <w:p w14:paraId="092529B8" w14:textId="5EA47516" w:rsidR="006024A8" w:rsidRDefault="006024A8">
      <w:pPr>
        <w:pStyle w:val="FootnoteText"/>
      </w:pPr>
      <w:r>
        <w:rPr>
          <w:rStyle w:val="FootnoteReference"/>
        </w:rPr>
        <w:footnoteRef/>
      </w:r>
      <w:r>
        <w:t xml:space="preserve"> Published </w:t>
      </w:r>
      <w:hyperlink r:id="rId7" w:history="1">
        <w:r w:rsidRPr="006024A8">
          <w:rPr>
            <w:rStyle w:val="Hyperlink"/>
          </w:rPr>
          <w:t>here</w:t>
        </w:r>
      </w:hyperlink>
    </w:p>
  </w:footnote>
  <w:footnote w:id="14">
    <w:p w14:paraId="7EE1F5F7" w14:textId="1A574BEA" w:rsidR="005E0007" w:rsidRDefault="005E0007">
      <w:pPr>
        <w:pStyle w:val="FootnoteText"/>
      </w:pPr>
      <w:r>
        <w:rPr>
          <w:rStyle w:val="FootnoteReference"/>
        </w:rPr>
        <w:footnoteRef/>
      </w:r>
      <w:r>
        <w:t xml:space="preserve"> </w:t>
      </w:r>
      <w:r w:rsidR="00477EAB">
        <w:t xml:space="preserve">Published </w:t>
      </w:r>
      <w:hyperlink r:id="rId8" w:history="1">
        <w:r w:rsidR="00477EAB" w:rsidRPr="006024A8">
          <w:rPr>
            <w:rStyle w:val="Hyperlink"/>
          </w:rPr>
          <w:t>here</w:t>
        </w:r>
      </w:hyperlink>
    </w:p>
  </w:footnote>
  <w:footnote w:id="15">
    <w:p w14:paraId="621D6482" w14:textId="74FBF72A" w:rsidR="00D40C20" w:rsidRDefault="00D40C20">
      <w:pPr>
        <w:pStyle w:val="FootnoteText"/>
      </w:pPr>
      <w:r>
        <w:rPr>
          <w:rStyle w:val="FootnoteReference"/>
        </w:rPr>
        <w:footnoteRef/>
      </w:r>
      <w:r>
        <w:t xml:space="preserve"> </w:t>
      </w:r>
      <w:r w:rsidRPr="00D40C20">
        <w:t>Magenta Book. Central Government guidance on evaluation 2020</w:t>
      </w:r>
      <w:r>
        <w:t xml:space="preserve">. </w:t>
      </w:r>
      <w:hyperlink r:id="rId9" w:history="1">
        <w:r w:rsidRPr="004E3838">
          <w:rPr>
            <w:rStyle w:val="Hyperlink"/>
          </w:rPr>
          <w:t>https://www.gov.uk/government/publications/the-magenta-book</w:t>
        </w:r>
      </w:hyperlink>
      <w:r>
        <w:t xml:space="preserve"> </w:t>
      </w:r>
    </w:p>
  </w:footnote>
  <w:footnote w:id="16">
    <w:p w14:paraId="1A0239E4" w14:textId="5DD32683" w:rsidR="007820C8" w:rsidRDefault="007820C8">
      <w:pPr>
        <w:pStyle w:val="FootnoteText"/>
      </w:pPr>
      <w:r>
        <w:rPr>
          <w:rStyle w:val="FootnoteReference"/>
        </w:rPr>
        <w:footnoteRef/>
      </w:r>
      <w:r>
        <w:t xml:space="preserve"> See: </w:t>
      </w:r>
      <w:r w:rsidRPr="007820C8">
        <w:t>Pawson, R and Tilley, N (1997). Realistic Evaluation. London: Sage</w:t>
      </w:r>
      <w:r>
        <w:t>; as well as:</w:t>
      </w:r>
      <w:r w:rsidRPr="007820C8">
        <w:t xml:space="preserve"> Stern, E (2015). Impact Evaluation: A guide for commissioners and managers. BOND, May 2015</w:t>
      </w:r>
      <w:r>
        <w:t>, and</w:t>
      </w:r>
      <w:r w:rsidRPr="007820C8">
        <w:t xml:space="preserve"> Westhorp, G (2014). Realistic Impact Evaluation. An Introduction. A Methods Lab Publication, ODI. September, 2014.</w:t>
      </w:r>
      <w:r>
        <w:t xml:space="preserve"> The HM Treasury Magenta Book also contains an appendix on Realist Evaluation: </w:t>
      </w:r>
      <w:r w:rsidRPr="007820C8">
        <w:t>https://assets.publishing.service.gov.uk/media/5e96c869d3bf7f41224bf3c3/Magenta_Book_supplementary_guide._Realist_Evaluation.pdf</w:t>
      </w:r>
    </w:p>
  </w:footnote>
  <w:footnote w:id="17">
    <w:p w14:paraId="588D62C2" w14:textId="77777777" w:rsidR="00BC50D9" w:rsidRDefault="00BC50D9" w:rsidP="00BC50D9">
      <w:pPr>
        <w:pStyle w:val="FootnoteText"/>
      </w:pPr>
      <w:r>
        <w:rPr>
          <w:rStyle w:val="FootnoteReference"/>
        </w:rPr>
        <w:footnoteRef/>
      </w:r>
      <w:r>
        <w:t xml:space="preserve"> The programme’s initial end date was November 2025. An extension was granted for the programme in December 2023.</w:t>
      </w:r>
    </w:p>
  </w:footnote>
  <w:footnote w:id="18">
    <w:p w14:paraId="70E9994E" w14:textId="77777777" w:rsidR="003E4E51" w:rsidRDefault="003E4E51" w:rsidP="003E4E51">
      <w:pPr>
        <w:pStyle w:val="FootnoteText"/>
      </w:pPr>
      <w:r>
        <w:rPr>
          <w:rStyle w:val="FootnoteReference"/>
        </w:rPr>
        <w:footnoteRef/>
      </w:r>
      <w:r>
        <w:t xml:space="preserve"> An a</w:t>
      </w:r>
      <w:r w:rsidRPr="00D673FB">
        <w:t>dditional £12.2 million were committed in March 2023</w:t>
      </w:r>
      <w:r>
        <w:t>. In addition, with the timelines of the programme being extended from 2025 to 2033 (2027 for the investment period) in December 2023, £2 million were committed for advisory and £22 million for the investment component.</w:t>
      </w:r>
    </w:p>
  </w:footnote>
  <w:footnote w:id="19">
    <w:p w14:paraId="6078D356" w14:textId="77777777" w:rsidR="00BC50D9" w:rsidRDefault="00BC50D9" w:rsidP="00BC50D9">
      <w:pPr>
        <w:pStyle w:val="FootnoteText"/>
      </w:pPr>
      <w:r>
        <w:rPr>
          <w:rStyle w:val="FootnoteReference"/>
        </w:rPr>
        <w:footnoteRef/>
      </w:r>
      <w:r>
        <w:t xml:space="preserve"> T1 countries: ▪ Latin America &amp; Caribbean: Argentina, Brazil, Colombia, Costa Rica, Mexico, Peru; ▪ Sub-Saharan Africa: Cote d’Ivoire, Ghana, Kenya, Nigeria, South Africa, Senegal, Tanzania; ▪ Middle East and North Africa: Egypt, Morocco; ▪ South Asia: Bangladesh, India, Pakistan; ▪ East Asia: China (Technical Assistance only), Indonesia, Mongolia, Burma, Philippines, Vietnam</w:t>
      </w:r>
    </w:p>
  </w:footnote>
  <w:footnote w:id="20">
    <w:p w14:paraId="57723477" w14:textId="77777777" w:rsidR="006D776D" w:rsidRDefault="006D776D" w:rsidP="006D776D">
      <w:pPr>
        <w:pStyle w:val="FootnoteText"/>
      </w:pPr>
      <w:r>
        <w:rPr>
          <w:rStyle w:val="FootnoteReference"/>
        </w:rPr>
        <w:footnoteRef/>
      </w:r>
      <w:r>
        <w:t xml:space="preserve"> </w:t>
      </w:r>
      <w:r w:rsidRPr="00C25AD3">
        <w:t>IFC’s</w:t>
      </w:r>
      <w:r>
        <w:t xml:space="preserve"> Departments:</w:t>
      </w:r>
      <w:r w:rsidRPr="00C25AD3">
        <w:t xml:space="preserve"> Financial Institutions Group</w:t>
      </w:r>
      <w:r>
        <w:t xml:space="preserve">, </w:t>
      </w:r>
      <w:r w:rsidRPr="00C25AD3">
        <w:t>Climate Business Department</w:t>
      </w:r>
      <w:r>
        <w:t>,</w:t>
      </w:r>
      <w:r w:rsidRPr="00C25AD3">
        <w:t xml:space="preserve"> Partnerships and Blended Finance Department</w:t>
      </w:r>
      <w:r>
        <w:t xml:space="preserve">, and </w:t>
      </w:r>
      <w:r w:rsidRPr="00C25AD3">
        <w:t>Development Impact Measurement Department</w:t>
      </w:r>
      <w:r>
        <w:t>.</w:t>
      </w:r>
    </w:p>
  </w:footnote>
  <w:footnote w:id="21">
    <w:p w14:paraId="659BD4D4" w14:textId="77777777" w:rsidR="006D776D" w:rsidRDefault="006D776D" w:rsidP="006D776D">
      <w:pPr>
        <w:pStyle w:val="FootnoteText"/>
      </w:pPr>
      <w:r>
        <w:rPr>
          <w:rStyle w:val="FootnoteReference"/>
        </w:rPr>
        <w:footnoteRef/>
      </w:r>
      <w:r>
        <w:t xml:space="preserve"> MAGC reports to DESNZ by fiscal years (ending in June)</w:t>
      </w:r>
    </w:p>
  </w:footnote>
  <w:footnote w:id="22">
    <w:p w14:paraId="71C9E2CC" w14:textId="77777777" w:rsidR="002D4077" w:rsidRDefault="002D4077" w:rsidP="002D4077">
      <w:pPr>
        <w:pStyle w:val="FootnoteText"/>
      </w:pPr>
      <w:r>
        <w:rPr>
          <w:rStyle w:val="FootnoteReference"/>
        </w:rPr>
        <w:footnoteRef/>
      </w:r>
      <w:r>
        <w:t xml:space="preserve"> MAGC Programme Logframe 2024</w:t>
      </w:r>
    </w:p>
  </w:footnote>
  <w:footnote w:id="23">
    <w:p w14:paraId="026D75D9" w14:textId="5332D27C" w:rsidR="00E03230" w:rsidRDefault="00E03230">
      <w:pPr>
        <w:pStyle w:val="FootnoteText"/>
      </w:pPr>
      <w:r>
        <w:rPr>
          <w:rStyle w:val="FootnoteReference"/>
        </w:rPr>
        <w:footnoteRef/>
      </w:r>
      <w:r>
        <w:t xml:space="preserve"> Regarding EDGE certification, a preliminary certificate is provided following design stage and advanced certification post-construction.</w:t>
      </w:r>
    </w:p>
  </w:footnote>
  <w:footnote w:id="24">
    <w:p w14:paraId="278B7B7A" w14:textId="77777777" w:rsidR="006D776D" w:rsidRDefault="006D776D" w:rsidP="006D776D">
      <w:pPr>
        <w:pStyle w:val="FootnoteText"/>
      </w:pPr>
      <w:r>
        <w:rPr>
          <w:rStyle w:val="FootnoteReference"/>
        </w:rPr>
        <w:footnoteRef/>
      </w:r>
      <w:r>
        <w:t xml:space="preserve"> Link to technical annex: [ADD] – Annex 1</w:t>
      </w:r>
    </w:p>
  </w:footnote>
  <w:footnote w:id="25">
    <w:p w14:paraId="2D0CD0A3" w14:textId="77777777" w:rsidR="006D776D" w:rsidRDefault="006D776D" w:rsidP="006D776D">
      <w:pPr>
        <w:pStyle w:val="FootnoteText"/>
      </w:pPr>
      <w:r>
        <w:rPr>
          <w:rStyle w:val="FootnoteReference"/>
        </w:rPr>
        <w:footnoteRef/>
      </w:r>
      <w:r>
        <w:t xml:space="preserve"> MAGC Business Case, IFC, 2018. </w:t>
      </w:r>
      <w:hyperlink r:id="rId10" w:history="1">
        <w:r w:rsidRPr="00277A57">
          <w:rPr>
            <w:rStyle w:val="Hyperlink"/>
          </w:rPr>
          <w:t>https://science-and-innovation-network.s3.eu-west-2.amazonaws.com/BEIS+ICF/MAGC/MAGC+Business+Case.docx</w:t>
        </w:r>
      </w:hyperlink>
      <w:r>
        <w:t xml:space="preserve"> </w:t>
      </w:r>
    </w:p>
  </w:footnote>
  <w:footnote w:id="26">
    <w:p w14:paraId="6B80162E" w14:textId="582B4592" w:rsidR="0068299F" w:rsidRDefault="0068299F" w:rsidP="0068299F">
      <w:pPr>
        <w:pStyle w:val="FootnoteText"/>
      </w:pPr>
      <w:r>
        <w:rPr>
          <w:rStyle w:val="FootnoteReference"/>
        </w:rPr>
        <w:footnoteRef/>
      </w:r>
      <w:r>
        <w:t xml:space="preserve"> </w:t>
      </w:r>
      <w:r w:rsidR="003E6F2A">
        <w:t xml:space="preserve">KPI 15 </w:t>
      </w:r>
      <w:r w:rsidR="00026106">
        <w:t xml:space="preserve">(Transformational Change) </w:t>
      </w:r>
      <w:r w:rsidR="003E6F2A">
        <w:t>Methodology note</w:t>
      </w:r>
      <w:r w:rsidR="00FC4EE1">
        <w:t xml:space="preserve">: </w:t>
      </w:r>
      <w:hyperlink r:id="rId11" w:history="1">
        <w:r w:rsidR="00FC4EE1" w:rsidRPr="009E2B66">
          <w:rPr>
            <w:rStyle w:val="Hyperlink"/>
          </w:rPr>
          <w:t>https://assets.publishing.service.gov.uk/government/uploads/system/uploads/attachment_data/file/1139441/international-climate-finance_KPI_15_Methodology_Note_Extent_to_which_ICF_intervention_is_likely_to_lead_to_transformational_change.pdf</w:t>
        </w:r>
      </w:hyperlink>
      <w:r w:rsidR="00F62198">
        <w:t xml:space="preserve"> </w:t>
      </w:r>
    </w:p>
  </w:footnote>
  <w:footnote w:id="27">
    <w:p w14:paraId="2BDFDCEC" w14:textId="6F54F824" w:rsidR="0068299F" w:rsidRDefault="0068299F" w:rsidP="0068299F">
      <w:pPr>
        <w:pStyle w:val="FootnoteText"/>
      </w:pPr>
      <w:r>
        <w:rPr>
          <w:rStyle w:val="FootnoteReference"/>
        </w:rPr>
        <w:footnoteRef/>
      </w:r>
      <w:r>
        <w:t xml:space="preserve"> </w:t>
      </w:r>
      <w:r w:rsidR="003D0578">
        <w:t xml:space="preserve">MAGC Business Case, IFC, 2018. </w:t>
      </w:r>
      <w:hyperlink r:id="rId12" w:history="1">
        <w:r w:rsidR="003D0578" w:rsidRPr="00277A57">
          <w:rPr>
            <w:rStyle w:val="Hyperlink"/>
          </w:rPr>
          <w:t>https://science-and-innovation-network.s3.eu-west-2.amazonaws.com/BEIS+ICF/MAGC/MAGC+Business+Case.docx</w:t>
        </w:r>
      </w:hyperlink>
    </w:p>
  </w:footnote>
  <w:footnote w:id="28">
    <w:p w14:paraId="67A9AAE8" w14:textId="04A1881E" w:rsidR="002270AB" w:rsidRDefault="002270AB">
      <w:pPr>
        <w:pStyle w:val="FootnoteText"/>
      </w:pPr>
      <w:r>
        <w:rPr>
          <w:rStyle w:val="FootnoteReference"/>
        </w:rPr>
        <w:footnoteRef/>
      </w:r>
      <w:r>
        <w:t xml:space="preserve"> MAGC Programme Logframe, 2024</w:t>
      </w:r>
    </w:p>
  </w:footnote>
  <w:footnote w:id="29">
    <w:p w14:paraId="6CFA1B90" w14:textId="62CCCF64" w:rsidR="00977625" w:rsidRDefault="00977625">
      <w:pPr>
        <w:pStyle w:val="FootnoteText"/>
      </w:pPr>
      <w:r>
        <w:rPr>
          <w:rStyle w:val="FootnoteReference"/>
        </w:rPr>
        <w:footnoteRef/>
      </w:r>
      <w:r>
        <w:t xml:space="preserve"> MAGC Annual report 2024</w:t>
      </w:r>
      <w:r w:rsidR="00695C2A">
        <w:t xml:space="preserve"> (this excludes the $135m of </w:t>
      </w:r>
      <w:r w:rsidR="00695C2A" w:rsidRPr="00BC6706">
        <w:t>private equity mobilised at the sub loan stage</w:t>
      </w:r>
      <w:r w:rsidR="00695C2A">
        <w:t xml:space="preserve"> for MAGC funded green building projects).</w:t>
      </w:r>
    </w:p>
  </w:footnote>
  <w:footnote w:id="30">
    <w:p w14:paraId="3215678D" w14:textId="77777777" w:rsidR="00467EE1" w:rsidRDefault="00467EE1" w:rsidP="00467EE1">
      <w:pPr>
        <w:pStyle w:val="FootnoteText"/>
      </w:pPr>
      <w:r>
        <w:rPr>
          <w:rStyle w:val="FootnoteReference"/>
        </w:rPr>
        <w:footnoteRef/>
      </w:r>
      <w:r>
        <w:t xml:space="preserve"> As per the MAGC Programme Logframe, Output indicator 1a1 “</w:t>
      </w:r>
      <w:r w:rsidRPr="00977625">
        <w:t>Cumulative number of financial intermediaries with MAGC blended finance commitments</w:t>
      </w:r>
      <w:r>
        <w:t xml:space="preserve">” had a target of 11 financial intermediaries in 2024, 16 in 2025 and 19 in 2026. </w:t>
      </w:r>
    </w:p>
  </w:footnote>
  <w:footnote w:id="31">
    <w:p w14:paraId="7A324790" w14:textId="1354FD9E" w:rsidR="00467EE1" w:rsidRDefault="00467EE1" w:rsidP="00467EE1">
      <w:pPr>
        <w:pStyle w:val="FootnoteText"/>
      </w:pPr>
      <w:r>
        <w:rPr>
          <w:rStyle w:val="FootnoteReference"/>
        </w:rPr>
        <w:footnoteRef/>
      </w:r>
      <w:r>
        <w:t xml:space="preserve"> MAGC Programme Logframe 2024</w:t>
      </w:r>
      <w:r w:rsidR="004625F6">
        <w:t xml:space="preserve">. </w:t>
      </w:r>
      <w:r w:rsidR="000726E3">
        <w:t xml:space="preserve">Results presented in the MAGC Logframe are prior to any UK </w:t>
      </w:r>
      <w:r w:rsidR="00D11E8B">
        <w:t xml:space="preserve">ICF </w:t>
      </w:r>
      <w:r w:rsidR="000726E3">
        <w:t>KPI adjustments</w:t>
      </w:r>
      <w:r w:rsidR="00A4002A">
        <w:t>. The MAGC programme has 75% additionality adjustment</w:t>
      </w:r>
      <w:r w:rsidR="00837A1A">
        <w:t xml:space="preserve"> to account for uncertainty over the counterfactual baselin</w:t>
      </w:r>
      <w:r w:rsidR="007B617D">
        <w:t>e for ICF KPI reporting such as public and private finance mobilised (KPI 11 &amp; 12).</w:t>
      </w:r>
    </w:p>
  </w:footnote>
  <w:footnote w:id="32">
    <w:p w14:paraId="75F05A1E" w14:textId="77777777" w:rsidR="00467EE1" w:rsidRDefault="00467EE1" w:rsidP="00467EE1">
      <w:pPr>
        <w:pStyle w:val="FootnoteText"/>
      </w:pPr>
      <w:r>
        <w:rPr>
          <w:rStyle w:val="FootnoteReference"/>
        </w:rPr>
        <w:footnoteRef/>
      </w:r>
      <w:r>
        <w:t xml:space="preserve"> MAGC Business Case. Expected </w:t>
      </w:r>
      <w:r w:rsidRPr="008C3095">
        <w:t>£10.50 to £15.90 per UK £ committed</w:t>
      </w:r>
    </w:p>
  </w:footnote>
  <w:footnote w:id="33">
    <w:p w14:paraId="642104CF" w14:textId="77777777" w:rsidR="00467EE1" w:rsidRDefault="00467EE1" w:rsidP="00467EE1">
      <w:pPr>
        <w:pStyle w:val="FootnoteText"/>
      </w:pPr>
      <w:r>
        <w:rPr>
          <w:rStyle w:val="FootnoteReference"/>
        </w:rPr>
        <w:footnoteRef/>
      </w:r>
      <w:r>
        <w:t xml:space="preserve"> MAGC Business Case.</w:t>
      </w:r>
    </w:p>
  </w:footnote>
  <w:footnote w:id="34">
    <w:p w14:paraId="79C0AD7D" w14:textId="77777777" w:rsidR="00D8735D" w:rsidRDefault="00D8735D" w:rsidP="00D8735D">
      <w:pPr>
        <w:pStyle w:val="FootnoteText"/>
      </w:pPr>
      <w:r>
        <w:rPr>
          <w:rStyle w:val="FootnoteReference"/>
        </w:rPr>
        <w:footnoteRef/>
      </w:r>
      <w:r>
        <w:t xml:space="preserve"> In September 2024, </w:t>
      </w:r>
      <w:r w:rsidRPr="00A5698E">
        <w:t>BIDV rolled out a new financial package aimed directly at green construction</w:t>
      </w:r>
      <w:r>
        <w:t>. This is the first of its kind in Vietnam.</w:t>
      </w:r>
    </w:p>
  </w:footnote>
  <w:footnote w:id="35">
    <w:p w14:paraId="6F5F3B35" w14:textId="330E8722" w:rsidR="00E570FC" w:rsidRDefault="00E570FC">
      <w:pPr>
        <w:pStyle w:val="FootnoteText"/>
      </w:pPr>
      <w:r>
        <w:rPr>
          <w:rStyle w:val="FootnoteReference"/>
        </w:rPr>
        <w:footnoteRef/>
      </w:r>
      <w:r>
        <w:t xml:space="preserve"> </w:t>
      </w:r>
      <w:hyperlink r:id="rId13" w:history="1">
        <w:r w:rsidR="00CD51D4" w:rsidRPr="00480EC8">
          <w:rPr>
            <w:rStyle w:val="Hyperlink"/>
          </w:rPr>
          <w:t>https://www.fke-kenya.org/media-center/news/launch-kenya-2-equal-initiative-fke-and-ifc</w:t>
        </w:r>
      </w:hyperlink>
      <w:r w:rsidR="00CD51D4">
        <w:t xml:space="preserve"> </w:t>
      </w:r>
    </w:p>
  </w:footnote>
  <w:footnote w:id="36">
    <w:p w14:paraId="743BAC8F" w14:textId="56A0EDA5" w:rsidR="00EE5B72" w:rsidRDefault="00EE5B72">
      <w:pPr>
        <w:pStyle w:val="FootnoteText"/>
      </w:pPr>
      <w:r>
        <w:rPr>
          <w:rStyle w:val="FootnoteReference"/>
        </w:rPr>
        <w:footnoteRef/>
      </w:r>
      <w:r>
        <w:t xml:space="preserve"> </w:t>
      </w:r>
      <w:r w:rsidR="00620E2E">
        <w:t xml:space="preserve">MAGC Business Case, IFC, 2018. </w:t>
      </w:r>
      <w:hyperlink r:id="rId14" w:history="1">
        <w:r w:rsidR="00620E2E" w:rsidRPr="00277A57">
          <w:rPr>
            <w:rStyle w:val="Hyperlink"/>
          </w:rPr>
          <w:t>https://science-and-innovation-network.s3.eu-west-2.amazonaws.com/BEIS+ICF/MAGC/MAGC+Business+Case.docx</w:t>
        </w:r>
      </w:hyperlink>
    </w:p>
  </w:footnote>
  <w:footnote w:id="37">
    <w:p w14:paraId="633D8655" w14:textId="2E7A70E9" w:rsidR="002C3C64" w:rsidRDefault="002C3C64">
      <w:pPr>
        <w:pStyle w:val="FootnoteText"/>
      </w:pPr>
      <w:r>
        <w:rPr>
          <w:rStyle w:val="FootnoteReference"/>
        </w:rPr>
        <w:footnoteRef/>
      </w:r>
      <w:r>
        <w:t xml:space="preserve"> Ordinance No. 2581 (Dec 2023; Metropolitan Lima) and Ordinance No. 550 (May 2024; Surquillo), </w:t>
      </w:r>
      <w:r w:rsidRPr="00F4523B">
        <w:t>according to the Annual MAGC Monitoring Reports</w:t>
      </w:r>
    </w:p>
  </w:footnote>
  <w:footnote w:id="38">
    <w:p w14:paraId="6DE4BF53" w14:textId="3AA2014D" w:rsidR="005E53CD" w:rsidRDefault="005E53CD">
      <w:pPr>
        <w:pStyle w:val="FootnoteText"/>
      </w:pPr>
      <w:r>
        <w:rPr>
          <w:rStyle w:val="FootnoteReference"/>
        </w:rPr>
        <w:footnoteRef/>
      </w:r>
      <w:r>
        <w:t xml:space="preserve"> </w:t>
      </w:r>
      <w:hyperlink r:id="rId15" w:history="1">
        <w:r w:rsidRPr="005E53CD">
          <w:rPr>
            <w:rStyle w:val="Hyperlink"/>
          </w:rPr>
          <w:t>https://peruconstruye.net/2025/08/28/surquillo-tendra-su-primer-edificio-bajo-la-ordenanza-de-edificaciones-sostenibles/</w:t>
        </w:r>
      </w:hyperlink>
    </w:p>
  </w:footnote>
  <w:footnote w:id="39">
    <w:p w14:paraId="74959F34" w14:textId="77777777" w:rsidR="00EB7D5A" w:rsidRDefault="00EB7D5A" w:rsidP="00EB7D5A">
      <w:pPr>
        <w:pStyle w:val="FootnoteText"/>
      </w:pPr>
      <w:r>
        <w:rPr>
          <w:rStyle w:val="FootnoteReference"/>
        </w:rPr>
        <w:footnoteRef/>
      </w:r>
      <w:r>
        <w:t xml:space="preserve"> Details of the Decree are available here: </w:t>
      </w:r>
      <w:hyperlink r:id="rId16" w:history="1">
        <w:r w:rsidRPr="007D2118">
          <w:rPr>
            <w:rStyle w:val="Hyperlink"/>
          </w:rPr>
          <w:t>https://www.concejoenvigado.gov.co/wp-content/uploads/2023/02/ACUERDO-001-2023-ENERO-24-DE-2023.pdf</w:t>
        </w:r>
      </w:hyperlink>
      <w:r>
        <w:t xml:space="preserve"> </w:t>
      </w:r>
    </w:p>
  </w:footnote>
  <w:footnote w:id="40">
    <w:p w14:paraId="6C7FE7D0" w14:textId="002A7382" w:rsidR="005E53CD" w:rsidRDefault="005E53CD">
      <w:pPr>
        <w:pStyle w:val="FootnoteText"/>
      </w:pPr>
      <w:r>
        <w:rPr>
          <w:rStyle w:val="FootnoteReference"/>
        </w:rPr>
        <w:footnoteRef/>
      </w:r>
      <w:r>
        <w:t xml:space="preserve"> </w:t>
      </w:r>
    </w:p>
  </w:footnote>
  <w:footnote w:id="41">
    <w:p w14:paraId="77F0BE15" w14:textId="77777777" w:rsidR="002F7AA3" w:rsidRDefault="002F7AA3" w:rsidP="002F7AA3">
      <w:pPr>
        <w:pStyle w:val="FootnoteText"/>
      </w:pPr>
      <w:r>
        <w:rPr>
          <w:rStyle w:val="FootnoteReference"/>
        </w:rPr>
        <w:footnoteRef/>
      </w:r>
      <w:r>
        <w:t xml:space="preserve"> </w:t>
      </w:r>
      <w:hyperlink r:id="rId17" w:history="1">
        <w:r w:rsidRPr="0058301E">
          <w:rPr>
            <w:rStyle w:val="Hyperlink"/>
          </w:rPr>
          <w:t>https://ndcpartnership.org/knowledge-portal/good-practice-database/green-building-market-transformation-colombia</w:t>
        </w:r>
      </w:hyperlink>
      <w:r>
        <w:t xml:space="preserve"> </w:t>
      </w:r>
    </w:p>
  </w:footnote>
  <w:footnote w:id="42">
    <w:p w14:paraId="666B91B6" w14:textId="1832F55E" w:rsidR="004976B9" w:rsidRDefault="004976B9">
      <w:pPr>
        <w:pStyle w:val="FootnoteText"/>
      </w:pPr>
      <w:r>
        <w:rPr>
          <w:rStyle w:val="FootnoteReference"/>
        </w:rPr>
        <w:footnoteRef/>
      </w:r>
      <w:r>
        <w:t xml:space="preserve"> </w:t>
      </w:r>
      <w:r w:rsidRPr="004976B9">
        <w:t>According to IFC monitoring information, 97% of survey respondents who attended MAGC TA events reported increased knowledge of certified green buildings in FY24</w:t>
      </w:r>
      <w:r w:rsidR="003F5355">
        <w:t>.</w:t>
      </w:r>
      <w:r w:rsidRPr="004976B9">
        <w:t xml:space="preserve"> This figure includes building experts, real estate developers, investors, people in academia, the public sector, etc. </w:t>
      </w:r>
      <w:r>
        <w:t>A</w:t>
      </w:r>
      <w:r w:rsidRPr="004976B9">
        <w:t xml:space="preserve">s there is no more granularity to this figure, the evaluation could not confirm or refute the hypothesis that sales teams have been so far adequately engaged and trained.  </w:t>
      </w:r>
    </w:p>
  </w:footnote>
  <w:footnote w:id="43">
    <w:p w14:paraId="2F2A4939" w14:textId="4AFA6AAD" w:rsidR="00D645AF" w:rsidRDefault="00D645AF">
      <w:pPr>
        <w:pStyle w:val="FootnoteText"/>
      </w:pPr>
      <w:r>
        <w:rPr>
          <w:rStyle w:val="FootnoteReference"/>
        </w:rPr>
        <w:footnoteRef/>
      </w:r>
      <w:r>
        <w:t xml:space="preserve"> IFC (2024) </w:t>
      </w:r>
      <w:r w:rsidRPr="00D645AF">
        <w:t>IFC-UK Market Accelerator for Green Construction (MAGC) Program Annual Report</w:t>
      </w:r>
      <w:r>
        <w:t>.</w:t>
      </w:r>
    </w:p>
  </w:footnote>
  <w:footnote w:id="44">
    <w:p w14:paraId="6B21AF88" w14:textId="1EF3F3B8" w:rsidR="00B738E3" w:rsidRDefault="00B738E3">
      <w:pPr>
        <w:pStyle w:val="FootnoteText"/>
      </w:pPr>
      <w:r>
        <w:rPr>
          <w:rStyle w:val="FootnoteReference"/>
        </w:rPr>
        <w:footnoteRef/>
      </w:r>
      <w:r>
        <w:t xml:space="preserve"> For example, looking at </w:t>
      </w:r>
      <w:r w:rsidRPr="00B738E3">
        <w:t>Green Business Certification Inc. (GBCI)</w:t>
      </w:r>
      <w:r>
        <w:t xml:space="preserve"> pricing for both EDGE and LEED, </w:t>
      </w:r>
      <w:r w:rsidRPr="00B738E3">
        <w:t>EDGE certification costs $0.29/sq meter for projects under 25,000 sq meters versus LEED's $0.064-$0.076/sq foot (approximately $0.69-$0.82/sq meter) for projects under 250,000 sq ft</w:t>
      </w:r>
      <w:r>
        <w:t xml:space="preserve">. In terms of registration fees, </w:t>
      </w:r>
      <w:r w:rsidRPr="00B738E3">
        <w:t>EDGE has a single flat project registration fee of $349, while LEED has registration fees of $1350-$1700</w:t>
      </w:r>
      <w:r>
        <w:t xml:space="preserve">. </w:t>
      </w:r>
      <w:hyperlink r:id="rId18" w:history="1">
        <w:r w:rsidRPr="00173E71">
          <w:rPr>
            <w:rStyle w:val="Hyperlink"/>
          </w:rPr>
          <w:t>https://edgebuildings.com/certify/certifiers-pricing/edge-certification-pricing/</w:t>
        </w:r>
      </w:hyperlink>
      <w:r>
        <w:t xml:space="preserve">; </w:t>
      </w:r>
      <w:hyperlink r:id="rId19" w:history="1">
        <w:r w:rsidRPr="00173E71">
          <w:rPr>
            <w:rStyle w:val="Hyperlink"/>
          </w:rPr>
          <w:t>https://www.usgbc.org/tools/leed-certification/fees</w:t>
        </w:r>
      </w:hyperlink>
      <w:r>
        <w:t xml:space="preserve"> </w:t>
      </w:r>
    </w:p>
  </w:footnote>
  <w:footnote w:id="45">
    <w:p w14:paraId="4733D232" w14:textId="01849AEC" w:rsidR="008443C1" w:rsidRDefault="008443C1">
      <w:pPr>
        <w:pStyle w:val="FootnoteText"/>
      </w:pPr>
      <w:r>
        <w:rPr>
          <w:rStyle w:val="FootnoteReference"/>
        </w:rPr>
        <w:footnoteRef/>
      </w:r>
      <w:r>
        <w:t xml:space="preserve"> IFC MAGC Annual report 2023.</w:t>
      </w:r>
    </w:p>
  </w:footnote>
  <w:footnote w:id="46">
    <w:p w14:paraId="55539D01" w14:textId="7800D2EF" w:rsidR="00A03CD7" w:rsidRDefault="00A03CD7">
      <w:pPr>
        <w:pStyle w:val="FootnoteText"/>
      </w:pPr>
      <w:r>
        <w:rPr>
          <w:rStyle w:val="FootnoteReference"/>
        </w:rPr>
        <w:footnoteRef/>
      </w:r>
      <w:r>
        <w:t xml:space="preserve"> IFC, Indonesia</w:t>
      </w:r>
      <w:r w:rsidRPr="00A03CD7">
        <w:t xml:space="preserve"> </w:t>
      </w:r>
      <w:r>
        <w:t>market maturity</w:t>
      </w:r>
      <w:r w:rsidRPr="00A03CD7">
        <w:t xml:space="preserve"> snapshot </w:t>
      </w:r>
      <w:r>
        <w:t>2019</w:t>
      </w:r>
      <w:r w:rsidRPr="00A03CD7">
        <w:t>.</w:t>
      </w:r>
      <w:r>
        <w:t xml:space="preserve"> </w:t>
      </w:r>
      <w:hyperlink r:id="rId20" w:history="1">
        <w:r w:rsidRPr="003D00A0">
          <w:rPr>
            <w:rStyle w:val="Hyperlink"/>
          </w:rPr>
          <w:t>https://edgebuildings.com/wp-content/uploads/2023/11/IFC0077-2023-Indonesia-Green-Building-Market-Maturity-Sheet_R3.pdf</w:t>
        </w:r>
      </w:hyperlink>
      <w:r>
        <w:t xml:space="preserve"> </w:t>
      </w:r>
    </w:p>
  </w:footnote>
  <w:footnote w:id="47">
    <w:p w14:paraId="48706CDA" w14:textId="2209270D" w:rsidR="00E70DFE" w:rsidRDefault="00E70DFE">
      <w:pPr>
        <w:pStyle w:val="FootnoteText"/>
      </w:pPr>
      <w:r>
        <w:rPr>
          <w:rStyle w:val="FootnoteReference"/>
        </w:rPr>
        <w:footnoteRef/>
      </w:r>
      <w:r>
        <w:t xml:space="preserve"> Egypt green building market snapshot 2023 IFC. </w:t>
      </w:r>
      <w:hyperlink r:id="rId21" w:history="1">
        <w:r w:rsidRPr="003D00A0">
          <w:rPr>
            <w:rStyle w:val="Hyperlink"/>
          </w:rPr>
          <w:t>https://edgebuildings.com/wp-content/uploads/2024/04/IFC0077-2024-Egypt-Green-Building-Market-Maturity-Sheet_v3.pdf</w:t>
        </w:r>
      </w:hyperlink>
      <w:r>
        <w:t xml:space="preserve"> </w:t>
      </w:r>
    </w:p>
  </w:footnote>
  <w:footnote w:id="48">
    <w:p w14:paraId="5629D22F" w14:textId="14ACF4F7" w:rsidR="00A03CD7" w:rsidRDefault="00A03CD7">
      <w:pPr>
        <w:pStyle w:val="FootnoteText"/>
      </w:pPr>
      <w:r>
        <w:rPr>
          <w:rStyle w:val="FootnoteReference"/>
        </w:rPr>
        <w:footnoteRef/>
      </w:r>
      <w:r>
        <w:t xml:space="preserve"> </w:t>
      </w:r>
      <w:r w:rsidRPr="00A03CD7">
        <w:t xml:space="preserve">IFC, </w:t>
      </w:r>
      <w:r>
        <w:t>Vietnam</w:t>
      </w:r>
      <w:r w:rsidRPr="00A03CD7">
        <w:t xml:space="preserve"> market maturity snapshot 20</w:t>
      </w:r>
      <w:r>
        <w:t xml:space="preserve">19. </w:t>
      </w:r>
      <w:hyperlink r:id="rId22" w:history="1">
        <w:r w:rsidRPr="003D00A0">
          <w:rPr>
            <w:rStyle w:val="Hyperlink"/>
          </w:rPr>
          <w:t>https://edgebuildings.com/wp-content/uploads/2023/11/IFC0077-2023-Vietnam-Green-Building-Market-Maturity-Sheet.pdf</w:t>
        </w:r>
      </w:hyperlink>
      <w:r>
        <w:t xml:space="preserve"> </w:t>
      </w:r>
    </w:p>
  </w:footnote>
  <w:footnote w:id="49">
    <w:p w14:paraId="0533A79E" w14:textId="29B2049C" w:rsidR="00A03CD7" w:rsidRDefault="00A03CD7">
      <w:pPr>
        <w:pStyle w:val="FootnoteText"/>
      </w:pPr>
      <w:r>
        <w:rPr>
          <w:rStyle w:val="FootnoteReference"/>
        </w:rPr>
        <w:footnoteRef/>
      </w:r>
      <w:r>
        <w:t xml:space="preserve"> </w:t>
      </w:r>
      <w:r w:rsidRPr="00A03CD7">
        <w:t xml:space="preserve">IFC, </w:t>
      </w:r>
      <w:r>
        <w:t>Kenya</w:t>
      </w:r>
      <w:r w:rsidRPr="00A03CD7">
        <w:t xml:space="preserve"> market maturity snapshot 20</w:t>
      </w:r>
      <w:r>
        <w:t xml:space="preserve">20. </w:t>
      </w:r>
      <w:hyperlink r:id="rId23" w:history="1">
        <w:r w:rsidRPr="003D00A0">
          <w:rPr>
            <w:rStyle w:val="Hyperlink"/>
          </w:rPr>
          <w:t>https://edgebuildings.com/wp-content/uploads/2023/11/IFC0077-2023-Kenya-Green-Building-Market-Maturity-Sheet.pdf</w:t>
        </w:r>
      </w:hyperlink>
      <w:r>
        <w:t xml:space="preserve"> </w:t>
      </w:r>
    </w:p>
  </w:footnote>
  <w:footnote w:id="50">
    <w:p w14:paraId="1FC0A255" w14:textId="566FD873" w:rsidR="003D0578" w:rsidRDefault="003D0578" w:rsidP="00620E2E">
      <w:pPr>
        <w:pStyle w:val="FootnoteText"/>
      </w:pPr>
      <w:r>
        <w:rPr>
          <w:rStyle w:val="FootnoteReference"/>
        </w:rPr>
        <w:footnoteRef/>
      </w:r>
      <w:r>
        <w:t xml:space="preserve"> MAGC Business </w:t>
      </w:r>
      <w:r w:rsidRPr="00620E2E">
        <w:t>Case</w:t>
      </w:r>
      <w:r>
        <w:t xml:space="preserve">, IFC, 2018. </w:t>
      </w:r>
      <w:hyperlink r:id="rId24" w:history="1">
        <w:r w:rsidRPr="00277A57">
          <w:rPr>
            <w:rStyle w:val="Hyperlink"/>
          </w:rPr>
          <w:t>https://science-and-innovation-network.s3.eu-west-2.amazonaws.com/BEIS+ICF/MAGC/MAGC+Business+Case.docx</w:t>
        </w:r>
      </w:hyperlink>
    </w:p>
  </w:footnote>
  <w:footnote w:id="51">
    <w:p w14:paraId="1CDB9ECC" w14:textId="0931A347" w:rsidR="00EC3630" w:rsidRDefault="00EC3630" w:rsidP="00620E2E">
      <w:pPr>
        <w:pStyle w:val="FootnoteText"/>
      </w:pPr>
      <w:r>
        <w:rPr>
          <w:rStyle w:val="FootnoteReference"/>
        </w:rPr>
        <w:footnoteRef/>
      </w:r>
      <w:r>
        <w:t xml:space="preserve"> The stakeholder assessments</w:t>
      </w:r>
      <w:r w:rsidR="00965694">
        <w:t xml:space="preserve"> </w:t>
      </w:r>
      <w:r w:rsidR="00965694" w:rsidRPr="00965694">
        <w:t xml:space="preserve">surveyed stakeholder groups in the building sector </w:t>
      </w:r>
      <w:r w:rsidR="00965694">
        <w:t xml:space="preserve">in selected markets to assess </w:t>
      </w:r>
      <w:r w:rsidR="00965694" w:rsidRPr="00620E2E">
        <w:t>perceived</w:t>
      </w:r>
      <w:r w:rsidR="00965694">
        <w:t xml:space="preserve"> motivations and obstacles in green building markets</w:t>
      </w:r>
      <w:r w:rsidR="00965694" w:rsidRPr="00965694">
        <w:t>.</w:t>
      </w:r>
      <w:r w:rsidR="00965694">
        <w:t xml:space="preserve"> The assessments </w:t>
      </w:r>
      <w:r>
        <w:t xml:space="preserve">can be found here: </w:t>
      </w:r>
      <w:hyperlink r:id="rId25" w:history="1">
        <w:r w:rsidRPr="00EC3630">
          <w:rPr>
            <w:rStyle w:val="Hyperlink"/>
          </w:rPr>
          <w:t>Indonesia</w:t>
        </w:r>
      </w:hyperlink>
      <w:r w:rsidR="00353893">
        <w:rPr>
          <w:rStyle w:val="Hyperlink"/>
        </w:rPr>
        <w:t xml:space="preserve"> (IFC, 2023)</w:t>
      </w:r>
      <w:r>
        <w:t xml:space="preserve">, </w:t>
      </w:r>
      <w:hyperlink r:id="rId26" w:history="1">
        <w:r w:rsidRPr="00EC3630">
          <w:rPr>
            <w:rStyle w:val="Hyperlink"/>
          </w:rPr>
          <w:t>Vietnam</w:t>
        </w:r>
      </w:hyperlink>
      <w:r w:rsidR="00353893">
        <w:rPr>
          <w:rStyle w:val="Hyperlink"/>
        </w:rPr>
        <w:t xml:space="preserve"> (IFC, 2023)</w:t>
      </w:r>
      <w:r>
        <w:t xml:space="preserve">, </w:t>
      </w:r>
      <w:hyperlink r:id="rId27" w:history="1">
        <w:r w:rsidRPr="00EC3630">
          <w:rPr>
            <w:rStyle w:val="Hyperlink"/>
          </w:rPr>
          <w:t>South Africa</w:t>
        </w:r>
      </w:hyperlink>
      <w:r w:rsidR="00353893">
        <w:rPr>
          <w:rStyle w:val="Hyperlink"/>
        </w:rPr>
        <w:t xml:space="preserve"> (IFC, 2021)</w:t>
      </w:r>
      <w:r>
        <w:t xml:space="preserve">, </w:t>
      </w:r>
      <w:hyperlink r:id="rId28" w:history="1">
        <w:r w:rsidRPr="00EC3630">
          <w:rPr>
            <w:rStyle w:val="Hyperlink"/>
          </w:rPr>
          <w:t>Mexico</w:t>
        </w:r>
      </w:hyperlink>
      <w:r w:rsidR="00353893">
        <w:rPr>
          <w:rStyle w:val="Hyperlink"/>
        </w:rPr>
        <w:t xml:space="preserve"> (IFC, 2023)</w:t>
      </w:r>
      <w:r>
        <w:t xml:space="preserve">, </w:t>
      </w:r>
      <w:hyperlink r:id="rId29" w:history="1">
        <w:r w:rsidRPr="00EC3630">
          <w:rPr>
            <w:rStyle w:val="Hyperlink"/>
          </w:rPr>
          <w:t>Colombia</w:t>
        </w:r>
      </w:hyperlink>
      <w:r w:rsidR="00353893">
        <w:rPr>
          <w:rStyle w:val="Hyperlink"/>
        </w:rPr>
        <w:t xml:space="preserve"> (IFC, 2022)</w:t>
      </w:r>
      <w:r>
        <w:t xml:space="preserve">, </w:t>
      </w:r>
      <w:hyperlink r:id="rId30" w:history="1">
        <w:r w:rsidRPr="00EC3630">
          <w:rPr>
            <w:rStyle w:val="Hyperlink"/>
          </w:rPr>
          <w:t>Philippines</w:t>
        </w:r>
      </w:hyperlink>
      <w:r w:rsidR="00353893">
        <w:rPr>
          <w:rStyle w:val="Hyperlink"/>
        </w:rPr>
        <w:t xml:space="preserve"> (IFC, 2023)</w:t>
      </w:r>
      <w:r>
        <w:t xml:space="preserve">, </w:t>
      </w:r>
      <w:hyperlink r:id="rId31" w:history="1">
        <w:r w:rsidRPr="00EC3630">
          <w:rPr>
            <w:rStyle w:val="Hyperlink"/>
          </w:rPr>
          <w:t>Kenya</w:t>
        </w:r>
      </w:hyperlink>
      <w:r w:rsidR="00353893">
        <w:rPr>
          <w:rStyle w:val="Hyperlink"/>
        </w:rPr>
        <w:t xml:space="preserve"> (IFC, 2023)</w:t>
      </w:r>
      <w:r w:rsidR="00D8156D">
        <w:rPr>
          <w:rStyle w:val="Hyperlink"/>
        </w:rPr>
        <w:t>.</w:t>
      </w:r>
    </w:p>
  </w:footnote>
  <w:footnote w:id="52">
    <w:p w14:paraId="76A9AE95" w14:textId="4AA09492" w:rsidR="00965694" w:rsidRDefault="00965694" w:rsidP="00620E2E">
      <w:pPr>
        <w:pStyle w:val="FootnoteText"/>
      </w:pPr>
      <w:r>
        <w:rPr>
          <w:rStyle w:val="FootnoteReference"/>
        </w:rPr>
        <w:footnoteRef/>
      </w:r>
      <w:r>
        <w:t xml:space="preserve"> The </w:t>
      </w:r>
      <w:r w:rsidRPr="00620E2E">
        <w:t>baseline</w:t>
      </w:r>
      <w:r w:rsidRPr="00965694">
        <w:t xml:space="preserve"> and mature markets assessment (</w:t>
      </w:r>
      <w:r>
        <w:t>four</w:t>
      </w:r>
      <w:r w:rsidRPr="00965694">
        <w:t xml:space="preserve"> years after baseline) assess how the EDGE tool is working in practice </w:t>
      </w:r>
      <w:r w:rsidR="00582D45">
        <w:t>in selected markets.</w:t>
      </w:r>
      <w:r w:rsidR="00C91AA7">
        <w:t xml:space="preserve"> The </w:t>
      </w:r>
      <w:r w:rsidR="00D8156D">
        <w:t xml:space="preserve">baseline </w:t>
      </w:r>
      <w:r w:rsidR="00C91AA7">
        <w:t>assessments can be found</w:t>
      </w:r>
      <w:r w:rsidR="00D8156D">
        <w:t xml:space="preserve"> here: </w:t>
      </w:r>
      <w:hyperlink r:id="rId32" w:history="1">
        <w:r w:rsidR="00D8156D" w:rsidRPr="00D8156D">
          <w:rPr>
            <w:rStyle w:val="Hyperlink"/>
          </w:rPr>
          <w:t>Egypt (IFC, 2023)</w:t>
        </w:r>
      </w:hyperlink>
      <w:r w:rsidR="00D8156D">
        <w:t xml:space="preserve">, </w:t>
      </w:r>
      <w:hyperlink r:id="rId33" w:history="1">
        <w:r w:rsidR="00D8156D" w:rsidRPr="00D8156D">
          <w:rPr>
            <w:rStyle w:val="Hyperlink"/>
          </w:rPr>
          <w:t>Colombia (IFC, 2019)</w:t>
        </w:r>
      </w:hyperlink>
      <w:r w:rsidR="00D8156D">
        <w:t xml:space="preserve">, </w:t>
      </w:r>
      <w:hyperlink r:id="rId34" w:history="1">
        <w:r w:rsidR="00D8156D" w:rsidRPr="00D8156D">
          <w:rPr>
            <w:rStyle w:val="Hyperlink"/>
          </w:rPr>
          <w:t>Mexico (IFC, 2020)</w:t>
        </w:r>
      </w:hyperlink>
      <w:r w:rsidR="00D8156D">
        <w:t xml:space="preserve">, </w:t>
      </w:r>
      <w:hyperlink r:id="rId35" w:history="1">
        <w:r w:rsidR="00D8156D" w:rsidRPr="00D8156D">
          <w:rPr>
            <w:rStyle w:val="Hyperlink"/>
          </w:rPr>
          <w:t>Peru (IFC, 2019)</w:t>
        </w:r>
      </w:hyperlink>
      <w:r w:rsidR="00D8156D">
        <w:t xml:space="preserve">, </w:t>
      </w:r>
      <w:hyperlink r:id="rId36" w:history="1">
        <w:r w:rsidR="00D8156D" w:rsidRPr="00D8156D">
          <w:rPr>
            <w:rStyle w:val="Hyperlink"/>
          </w:rPr>
          <w:t>Ghana (IFC, 2020)</w:t>
        </w:r>
      </w:hyperlink>
      <w:r w:rsidR="00D8156D">
        <w:t xml:space="preserve">, </w:t>
      </w:r>
      <w:hyperlink r:id="rId37" w:history="1">
        <w:r w:rsidR="00D8156D" w:rsidRPr="00D8156D">
          <w:rPr>
            <w:rStyle w:val="Hyperlink"/>
          </w:rPr>
          <w:t>Kenya (IFC, 2020)</w:t>
        </w:r>
      </w:hyperlink>
      <w:r w:rsidR="00D8156D">
        <w:t xml:space="preserve">, </w:t>
      </w:r>
      <w:hyperlink r:id="rId38" w:history="1">
        <w:r w:rsidR="00D8156D" w:rsidRPr="00D8156D">
          <w:rPr>
            <w:rStyle w:val="Hyperlink"/>
          </w:rPr>
          <w:t>South Africa (IFC, 2020)</w:t>
        </w:r>
      </w:hyperlink>
      <w:r w:rsidR="00D8156D">
        <w:t xml:space="preserve">, </w:t>
      </w:r>
      <w:hyperlink r:id="rId39" w:history="1">
        <w:r w:rsidR="00D8156D" w:rsidRPr="00D8156D">
          <w:rPr>
            <w:rStyle w:val="Hyperlink"/>
          </w:rPr>
          <w:t>India (IFC, 2020)</w:t>
        </w:r>
      </w:hyperlink>
      <w:r w:rsidR="00D8156D">
        <w:t xml:space="preserve">, </w:t>
      </w:r>
      <w:hyperlink r:id="rId40" w:history="1">
        <w:r w:rsidR="00D8156D" w:rsidRPr="00D8156D">
          <w:rPr>
            <w:rStyle w:val="Hyperlink"/>
          </w:rPr>
          <w:t>Indonesia (IFC, 2019)</w:t>
        </w:r>
      </w:hyperlink>
      <w:r w:rsidR="00D8156D">
        <w:t xml:space="preserve">, </w:t>
      </w:r>
      <w:hyperlink r:id="rId41" w:history="1">
        <w:r w:rsidR="00D8156D" w:rsidRPr="00D8156D">
          <w:rPr>
            <w:rStyle w:val="Hyperlink"/>
          </w:rPr>
          <w:t>Philippines (IFC, 2019)</w:t>
        </w:r>
      </w:hyperlink>
      <w:r w:rsidR="00D8156D">
        <w:t xml:space="preserve">, </w:t>
      </w:r>
      <w:hyperlink r:id="rId42" w:history="1">
        <w:r w:rsidR="00D8156D" w:rsidRPr="00D8156D">
          <w:rPr>
            <w:rStyle w:val="Hyperlink"/>
          </w:rPr>
          <w:t>Vietnam (IFC, 2019)</w:t>
        </w:r>
      </w:hyperlink>
      <w:r w:rsidR="00D8156D">
        <w:t xml:space="preserve">. A synthesis report can be found here: </w:t>
      </w:r>
      <w:hyperlink r:id="rId43" w:history="1">
        <w:r w:rsidR="00D8156D" w:rsidRPr="00D8156D">
          <w:rPr>
            <w:rStyle w:val="Hyperlink"/>
          </w:rPr>
          <w:t>2022/2023 Baseline &amp; (IFC, 2023)</w:t>
        </w:r>
      </w:hyperlink>
      <w:r w:rsidR="00D8156D">
        <w:t>.</w:t>
      </w:r>
    </w:p>
  </w:footnote>
  <w:footnote w:id="53">
    <w:p w14:paraId="3E48154F" w14:textId="65E83D89" w:rsidR="00965694" w:rsidRDefault="00965694" w:rsidP="00620E2E">
      <w:pPr>
        <w:pStyle w:val="FootnoteText"/>
      </w:pPr>
      <w:r>
        <w:rPr>
          <w:rStyle w:val="FootnoteReference"/>
        </w:rPr>
        <w:footnoteRef/>
      </w:r>
      <w:r>
        <w:t xml:space="preserve"> The Smart Metering Study (EDGE impact evaluation) assesses </w:t>
      </w:r>
      <w:r w:rsidRPr="00965694">
        <w:t xml:space="preserve">the real-world performance of EDGE-certified buildings in three different regions in emerging markets (South Africa, Colombia, Indonesia), comparing actual energy and water </w:t>
      </w:r>
      <w:r w:rsidRPr="00620E2E">
        <w:t>consumption</w:t>
      </w:r>
      <w:r w:rsidRPr="00965694">
        <w:t xml:space="preserve"> in EDGE buildings to the consumption predicted by the EDGE app, and to non-EDGE buildings</w:t>
      </w:r>
      <w:r>
        <w:t>.</w:t>
      </w:r>
    </w:p>
  </w:footnote>
  <w:footnote w:id="54">
    <w:p w14:paraId="47191872" w14:textId="77777777" w:rsidR="00FA2815" w:rsidRDefault="00FA2815" w:rsidP="00FA2815">
      <w:pPr>
        <w:pStyle w:val="FootnoteText"/>
      </w:pPr>
      <w:r>
        <w:rPr>
          <w:rStyle w:val="FootnoteReference"/>
        </w:rPr>
        <w:footnoteRef/>
      </w:r>
      <w:r>
        <w:t xml:space="preserve"> UK Government (2023). </w:t>
      </w:r>
      <w:r w:rsidRPr="00EE5B72">
        <w:t>Extent to which ICF intervention is likely to lead to Transformational Change</w:t>
      </w:r>
      <w:r>
        <w:t xml:space="preserve">. </w:t>
      </w:r>
      <w:r w:rsidRPr="00EE5B72">
        <w:t>https://assets.publishing.service.gov.uk/media/63fe28fb8fa8f527fb67caf8/international-climate-finance_KPI_15_Methodology_Note_Extent_to_which_ICF_intervention_is_likely_to_lead_to_transformational_change.pdf</w:t>
      </w:r>
    </w:p>
  </w:footnote>
  <w:footnote w:id="55">
    <w:p w14:paraId="28CBAAB4" w14:textId="77777777" w:rsidR="00FA2815" w:rsidRDefault="00FA2815" w:rsidP="00FA2815">
      <w:pPr>
        <w:pStyle w:val="FootnoteText"/>
      </w:pPr>
      <w:r>
        <w:rPr>
          <w:rStyle w:val="FootnoteReference"/>
        </w:rPr>
        <w:footnoteRef/>
      </w:r>
      <w:r>
        <w:t xml:space="preserve"> MAGC Business case.</w:t>
      </w:r>
    </w:p>
  </w:footnote>
  <w:footnote w:id="56">
    <w:p w14:paraId="28607457" w14:textId="77777777" w:rsidR="00FA2815" w:rsidRDefault="00FA2815" w:rsidP="00FA2815">
      <w:pPr>
        <w:pStyle w:val="FootnoteText"/>
      </w:pPr>
      <w:r>
        <w:rPr>
          <w:rStyle w:val="FootnoteReference"/>
        </w:rPr>
        <w:footnoteRef/>
      </w:r>
      <w:r>
        <w:t xml:space="preserve"> </w:t>
      </w:r>
      <w:r w:rsidRPr="007B5246">
        <w:t>https://assets.publishing.service.gov.uk/media/63fe28fb8fa8f527fb67caf8/international-climate-finance_KPI_15_Methodology_Note_Extent_to_which_ICF_intervention_is_likely_to_lead_to_transformational_change.pdf</w:t>
      </w:r>
    </w:p>
  </w:footnote>
  <w:footnote w:id="57">
    <w:p w14:paraId="175BE2E2" w14:textId="77777777" w:rsidR="00FA2815" w:rsidRDefault="00FA2815" w:rsidP="00FA2815">
      <w:pPr>
        <w:pStyle w:val="FootnoteText"/>
      </w:pPr>
      <w:r>
        <w:rPr>
          <w:rStyle w:val="FootnoteReference"/>
        </w:rPr>
        <w:footnoteRef/>
      </w:r>
      <w:r>
        <w:t xml:space="preserve"> Please refer to the technical annex for more details on KPI15 and calculation of the score.</w:t>
      </w:r>
    </w:p>
  </w:footnote>
  <w:footnote w:id="58">
    <w:p w14:paraId="0BFACD62" w14:textId="77777777" w:rsidR="00C06E6C" w:rsidRPr="003834EB" w:rsidRDefault="00C06E6C" w:rsidP="00C06E6C">
      <w:pPr>
        <w:pStyle w:val="FootnoteText"/>
        <w:rPr>
          <w:rStyle w:val="FootnoteReference"/>
        </w:rPr>
      </w:pPr>
      <w:r w:rsidRPr="003834EB">
        <w:rPr>
          <w:rStyle w:val="FootnoteReference"/>
        </w:rPr>
        <w:footnoteRef/>
      </w:r>
      <w:r w:rsidRPr="003834EB">
        <w:rPr>
          <w:rStyle w:val="FootnoteReference"/>
        </w:rPr>
        <w:t xml:space="preserve"> </w:t>
      </w:r>
      <w:hyperlink r:id="rId44" w:history="1">
        <w:r w:rsidRPr="001C6F7A">
          <w:rPr>
            <w:rStyle w:val="FootnoteReference"/>
            <w:vertAlign w:val="baseline"/>
          </w:rPr>
          <w:t>https://www.cooperacionsuiza.pe/wp-content/uploads/2021/03/02.21-FACTSHEET-CEELA-ENG.pdf</w:t>
        </w:r>
      </w:hyperlink>
      <w:r w:rsidRPr="001C6F7A">
        <w:rPr>
          <w:rStyle w:val="FootnoteReference"/>
          <w:vertAlign w:val="baseline"/>
        </w:rPr>
        <w:t xml:space="preserve"> </w:t>
      </w:r>
    </w:p>
  </w:footnote>
  <w:footnote w:id="59">
    <w:p w14:paraId="2E76EC68" w14:textId="307BEC88" w:rsidR="009565FE" w:rsidRDefault="009565FE" w:rsidP="009565FE">
      <w:pPr>
        <w:pStyle w:val="FootnoteText"/>
      </w:pPr>
      <w:r>
        <w:rPr>
          <w:rStyle w:val="FootnoteReference"/>
        </w:rPr>
        <w:footnoteRef/>
      </w:r>
      <w:r>
        <w:t xml:space="preserve"> </w:t>
      </w:r>
      <w:r w:rsidRPr="001C6F7A">
        <w:rPr>
          <w:rStyle w:val="FootnoteReference"/>
          <w:vertAlign w:val="baseline"/>
        </w:rPr>
        <w:t>IFC MAGC annual report FY23</w:t>
      </w:r>
    </w:p>
  </w:footnote>
  <w:footnote w:id="60">
    <w:p w14:paraId="2FA5D855" w14:textId="77777777" w:rsidR="00C06E6C" w:rsidRPr="001C6F7A" w:rsidRDefault="00C06E6C" w:rsidP="00C06E6C">
      <w:pPr>
        <w:pStyle w:val="FootnoteText"/>
        <w:rPr>
          <w:rStyle w:val="FootnoteReference"/>
          <w:vertAlign w:val="baseline"/>
        </w:rPr>
      </w:pPr>
      <w:r w:rsidRPr="003834EB">
        <w:rPr>
          <w:rStyle w:val="FootnoteReference"/>
        </w:rPr>
        <w:footnoteRef/>
      </w:r>
      <w:r w:rsidRPr="003834EB">
        <w:rPr>
          <w:rStyle w:val="FootnoteReference"/>
        </w:rPr>
        <w:t xml:space="preserve"> </w:t>
      </w:r>
      <w:hyperlink r:id="rId45" w:history="1">
        <w:r w:rsidRPr="001C6F7A">
          <w:rPr>
            <w:rStyle w:val="FootnoteReference"/>
            <w:vertAlign w:val="baseline"/>
          </w:rPr>
          <w:t>https://p4gpartnerships.org/pioneering-green-partnerships/all-p4g-partnerships/net-zero-energy-homes-initiative</w:t>
        </w:r>
      </w:hyperlink>
      <w:r w:rsidRPr="001C6F7A">
        <w:rPr>
          <w:rStyle w:val="FootnoteReference"/>
          <w:vertAlign w:val="baseline"/>
        </w:rPr>
        <w:t xml:space="preserve"> </w:t>
      </w:r>
    </w:p>
  </w:footnote>
  <w:footnote w:id="61">
    <w:p w14:paraId="08690368" w14:textId="77777777" w:rsidR="00C06E6C" w:rsidRPr="001C6F7A" w:rsidRDefault="00C06E6C" w:rsidP="00C06E6C">
      <w:pPr>
        <w:pStyle w:val="FootnoteText"/>
        <w:rPr>
          <w:rStyle w:val="FootnoteReference"/>
          <w:vertAlign w:val="baseline"/>
        </w:rPr>
      </w:pPr>
      <w:r w:rsidRPr="003834EB">
        <w:rPr>
          <w:rStyle w:val="FootnoteReference"/>
        </w:rPr>
        <w:footnoteRef/>
      </w:r>
      <w:r w:rsidRPr="003834EB">
        <w:rPr>
          <w:rStyle w:val="FootnoteReference"/>
        </w:rPr>
        <w:t xml:space="preserve"> </w:t>
      </w:r>
      <w:hyperlink r:id="rId46" w:history="1">
        <w:r w:rsidRPr="001C6F7A">
          <w:rPr>
            <w:rStyle w:val="FootnoteReference"/>
            <w:vertAlign w:val="baseline"/>
          </w:rPr>
          <w:t>https://unfccc.int/climate-action/momentum-for-change/financing-for-climate-friendly/mexico-financing-sustainable-housing</w:t>
        </w:r>
      </w:hyperlink>
      <w:r w:rsidRPr="001C6F7A">
        <w:rPr>
          <w:rStyle w:val="FootnoteReference"/>
          <w:vertAlign w:val="baseline"/>
        </w:rPr>
        <w:t xml:space="preserve"> </w:t>
      </w:r>
    </w:p>
  </w:footnote>
  <w:footnote w:id="62">
    <w:p w14:paraId="3FB46E0B" w14:textId="77777777" w:rsidR="00C06E6C" w:rsidRPr="003834EB" w:rsidRDefault="00C06E6C" w:rsidP="00C06E6C">
      <w:pPr>
        <w:pStyle w:val="FootnoteText"/>
        <w:rPr>
          <w:rStyle w:val="FootnoteReference"/>
        </w:rPr>
      </w:pPr>
      <w:r w:rsidRPr="003834EB">
        <w:rPr>
          <w:rStyle w:val="FootnoteReference"/>
        </w:rPr>
        <w:footnoteRef/>
      </w:r>
      <w:r w:rsidRPr="003834EB">
        <w:rPr>
          <w:rStyle w:val="FootnoteReference"/>
        </w:rPr>
        <w:t xml:space="preserve"> </w:t>
      </w:r>
      <w:r w:rsidRPr="001C6F7A">
        <w:rPr>
          <w:rStyle w:val="FootnoteReference"/>
          <w:vertAlign w:val="baseline"/>
        </w:rPr>
        <w:t>https://ebrdgeff.com/egypt/en/</w:t>
      </w:r>
    </w:p>
  </w:footnote>
  <w:footnote w:id="63">
    <w:p w14:paraId="07EE7DDB" w14:textId="77777777" w:rsidR="00C06E6C" w:rsidRDefault="00C06E6C" w:rsidP="00C06E6C">
      <w:pPr>
        <w:pStyle w:val="FootnoteText"/>
      </w:pPr>
      <w:r w:rsidRPr="003834EB">
        <w:rPr>
          <w:rStyle w:val="FootnoteReference"/>
        </w:rPr>
        <w:footnoteRef/>
      </w:r>
      <w:r w:rsidRPr="003834EB">
        <w:rPr>
          <w:rStyle w:val="FootnoteReference"/>
        </w:rPr>
        <w:t xml:space="preserve"> </w:t>
      </w:r>
      <w:r w:rsidRPr="001C6F7A">
        <w:rPr>
          <w:rStyle w:val="FootnoteReference"/>
          <w:vertAlign w:val="baseline"/>
        </w:rPr>
        <w:t>https://gcip.tech/country/vietnam/</w:t>
      </w:r>
    </w:p>
  </w:footnote>
  <w:footnote w:id="64">
    <w:p w14:paraId="3153BF14" w14:textId="77777777" w:rsidR="001E7076" w:rsidRDefault="001E7076" w:rsidP="001E7076">
      <w:pPr>
        <w:pStyle w:val="FootnoteText"/>
      </w:pPr>
      <w:r>
        <w:rPr>
          <w:rStyle w:val="FootnoteReference"/>
        </w:rPr>
        <w:footnoteRef/>
      </w:r>
      <w:r>
        <w:t xml:space="preserve"> MAGC Business Case. Expected </w:t>
      </w:r>
      <w:r w:rsidRPr="008C3095">
        <w:t>£10.50 to £15.90 per UK £ committed</w:t>
      </w:r>
    </w:p>
  </w:footnote>
  <w:footnote w:id="65">
    <w:p w14:paraId="70B15A11" w14:textId="533E71CD" w:rsidR="00F13D1A" w:rsidRDefault="00F13D1A">
      <w:pPr>
        <w:pStyle w:val="FootnoteText"/>
      </w:pPr>
      <w:r>
        <w:rPr>
          <w:rStyle w:val="FootnoteReference"/>
        </w:rPr>
        <w:footnoteRef/>
      </w:r>
      <w:r>
        <w:t xml:space="preserve"> IFC (2024) MAGC Logframe and disaggregated data.</w:t>
      </w:r>
    </w:p>
  </w:footnote>
  <w:footnote w:id="66">
    <w:p w14:paraId="7D4C4C45" w14:textId="2E0FA45F" w:rsidR="002514CB" w:rsidRDefault="002514CB">
      <w:pPr>
        <w:pStyle w:val="FootnoteText"/>
      </w:pPr>
      <w:r>
        <w:rPr>
          <w:rStyle w:val="FootnoteReference"/>
        </w:rPr>
        <w:footnoteRef/>
      </w:r>
      <w:r>
        <w:t xml:space="preserve"> </w:t>
      </w:r>
      <w:r w:rsidRPr="00E77D59">
        <w:t xml:space="preserve">International Finance Corporation. (2023). India Green Building Market Maturity Sheet. </w:t>
      </w:r>
      <w:hyperlink r:id="rId47" w:history="1">
        <w:r w:rsidRPr="00E77D59">
          <w:rPr>
            <w:rStyle w:val="Hyperlink"/>
            <w:sz w:val="16"/>
            <w:szCs w:val="16"/>
          </w:rPr>
          <w:t>https://edgebuildings.com/wp-content/uploads/2023/11/IFC0077-2023-India-Green-Building-Market-Maturity-Sheet.pdf</w:t>
        </w:r>
      </w:hyperlink>
    </w:p>
  </w:footnote>
  <w:footnote w:id="67">
    <w:p w14:paraId="47EB5A13" w14:textId="353DA091" w:rsidR="00D50B3A" w:rsidRPr="00A37CD2" w:rsidRDefault="00D50B3A">
      <w:pPr>
        <w:pStyle w:val="FootnoteText"/>
        <w:rPr>
          <w:lang w:val="fr-FR"/>
        </w:rPr>
      </w:pPr>
      <w:r>
        <w:rPr>
          <w:rStyle w:val="FootnoteReference"/>
        </w:rPr>
        <w:footnoteRef/>
      </w:r>
      <w:r>
        <w:t xml:space="preserve"> EDGE (2020). </w:t>
      </w:r>
      <w:r w:rsidRPr="00D50B3A">
        <w:t>KENYA GREEN BUILDING MARKET SNAPSHOT 202</w:t>
      </w:r>
      <w:r>
        <w:t xml:space="preserve">. </w:t>
      </w:r>
      <w:r w:rsidRPr="00A37CD2">
        <w:rPr>
          <w:lang w:val="fr-FR"/>
        </w:rPr>
        <w:t>Source: https://edgebuildings.com/wp-content/uploads/2023/11/IFC0077-2023-Kenya-Green-Building-Market-Maturity-Sheet.pdf</w:t>
      </w:r>
    </w:p>
  </w:footnote>
  <w:footnote w:id="68">
    <w:p w14:paraId="45294033" w14:textId="17C46B43" w:rsidR="006F4566" w:rsidRPr="00A37CD2" w:rsidRDefault="006F4566">
      <w:pPr>
        <w:pStyle w:val="FootnoteText"/>
        <w:rPr>
          <w:lang w:val="fr-FR"/>
        </w:rPr>
      </w:pPr>
      <w:r>
        <w:rPr>
          <w:rStyle w:val="FootnoteReference"/>
        </w:rPr>
        <w:footnoteRef/>
      </w:r>
      <w:r w:rsidRPr="00A37CD2">
        <w:rPr>
          <w:lang w:val="fr-FR"/>
        </w:rPr>
        <w:t xml:space="preserve"> </w:t>
      </w:r>
      <w:hyperlink r:id="rId48" w:history="1">
        <w:r w:rsidRPr="00A37CD2">
          <w:rPr>
            <w:rStyle w:val="Hyperlink"/>
            <w:lang w:val="fr-FR"/>
          </w:rPr>
          <w:t>https://www.reccessary.com/en/news/vn-market/green-certified-building-grows-30-vietnam</w:t>
        </w:r>
      </w:hyperlink>
      <w:r w:rsidRPr="00A37CD2">
        <w:rPr>
          <w:lang w:val="fr-FR"/>
        </w:rPr>
        <w:t xml:space="preserve"> </w:t>
      </w:r>
    </w:p>
  </w:footnote>
  <w:footnote w:id="69">
    <w:p w14:paraId="4702A014" w14:textId="77777777" w:rsidR="008E3F4D" w:rsidRDefault="008E3F4D" w:rsidP="008E3F4D">
      <w:pPr>
        <w:pStyle w:val="FootnoteText"/>
      </w:pPr>
      <w:r>
        <w:rPr>
          <w:rStyle w:val="FootnoteReference"/>
        </w:rPr>
        <w:footnoteRef/>
      </w:r>
      <w:r>
        <w:t xml:space="preserve"> As reported by the IFC Vietnam office, including also trained but not accredited experts</w:t>
      </w:r>
    </w:p>
  </w:footnote>
  <w:footnote w:id="70">
    <w:p w14:paraId="74113121" w14:textId="77777777" w:rsidR="001E7076" w:rsidRDefault="001E7076" w:rsidP="001E7076">
      <w:pPr>
        <w:pStyle w:val="FootnoteText"/>
      </w:pPr>
      <w:r>
        <w:rPr>
          <w:rStyle w:val="FootnoteReference"/>
        </w:rPr>
        <w:footnoteRef/>
      </w:r>
      <w:r>
        <w:t xml:space="preserve"> IFC (2023) South Africa Green Building Market snapshot, </w:t>
      </w:r>
      <w:hyperlink r:id="rId49" w:history="1">
        <w:r w:rsidRPr="005A49A7">
          <w:rPr>
            <w:rStyle w:val="Hyperlink"/>
          </w:rPr>
          <w:t>https://edgebuildings.com/wp-content/uploads/2023/11/IFC0077-2023-South-Africa-Green-Building-Market-Maturity-Sheet.pdf</w:t>
        </w:r>
      </w:hyperlink>
    </w:p>
  </w:footnote>
  <w:footnote w:id="71">
    <w:p w14:paraId="032AFD5B" w14:textId="77777777" w:rsidR="008E3F4D" w:rsidRDefault="008E3F4D" w:rsidP="008E3F4D">
      <w:pPr>
        <w:pStyle w:val="FootnoteText"/>
      </w:pPr>
      <w:r>
        <w:rPr>
          <w:rStyle w:val="FootnoteReference"/>
        </w:rPr>
        <w:footnoteRef/>
      </w:r>
      <w:r>
        <w:t xml:space="preserve"> IFC MAGC annual report 2024</w:t>
      </w:r>
    </w:p>
  </w:footnote>
  <w:footnote w:id="72">
    <w:p w14:paraId="28BCBDC2" w14:textId="6DB5E047" w:rsidR="009378A7" w:rsidRDefault="009378A7" w:rsidP="009378A7">
      <w:pPr>
        <w:pStyle w:val="FootnoteText"/>
      </w:pPr>
      <w:r>
        <w:rPr>
          <w:rStyle w:val="FootnoteReference"/>
        </w:rPr>
        <w:footnoteRef/>
      </w:r>
      <w:r>
        <w:t xml:space="preserve"> </w:t>
      </w:r>
      <w:r w:rsidR="003D0578">
        <w:t xml:space="preserve">MAGC Business Case, IFC, 2018. </w:t>
      </w:r>
      <w:hyperlink r:id="rId50" w:history="1">
        <w:r w:rsidR="003D0578" w:rsidRPr="00277A57">
          <w:rPr>
            <w:rStyle w:val="Hyperlink"/>
          </w:rPr>
          <w:t>https://science-and-innovation-network.s3.eu-west-2.amazonaws.com/BEIS+ICF/MAGC/MAGC+Business+Case.docx</w:t>
        </w:r>
      </w:hyperlink>
      <w:r w:rsidR="003D0578">
        <w:t xml:space="preserve"> </w:t>
      </w:r>
    </w:p>
  </w:footnote>
  <w:footnote w:id="73">
    <w:p w14:paraId="2544D933" w14:textId="77B94481" w:rsidR="000D4C45" w:rsidRDefault="000D4C45">
      <w:pPr>
        <w:pStyle w:val="FootnoteText"/>
      </w:pPr>
      <w:r>
        <w:rPr>
          <w:rStyle w:val="FootnoteReference"/>
        </w:rPr>
        <w:footnoteRef/>
      </w:r>
      <w:r>
        <w:t xml:space="preserve"> The full findings and analysis can be found in the GESDI Learning annex</w:t>
      </w:r>
      <w:r w:rsidR="00477EAB">
        <w:t xml:space="preserve"> published </w:t>
      </w:r>
      <w:hyperlink r:id="rId51" w:history="1">
        <w:r w:rsidR="00477EAB" w:rsidRPr="006024A8">
          <w:rPr>
            <w:rStyle w:val="Hyperlink"/>
          </w:rPr>
          <w:t>here</w:t>
        </w:r>
      </w:hyperlink>
    </w:p>
  </w:footnote>
  <w:footnote w:id="74">
    <w:p w14:paraId="3BA1A8F8" w14:textId="77777777" w:rsidR="001E7076" w:rsidRDefault="001E7076" w:rsidP="001E7076">
      <w:pPr>
        <w:pStyle w:val="FootnoteText"/>
      </w:pPr>
      <w:r>
        <w:rPr>
          <w:rStyle w:val="FootnoteReference"/>
        </w:rPr>
        <w:footnoteRef/>
      </w:r>
      <w:r>
        <w:t xml:space="preserve"> A term coined by di</w:t>
      </w:r>
      <w:r w:rsidRPr="00187A97">
        <w:t>sabled and neurodivergent environmental activists to name and highlight the issue of ableism (discrimination toward disabled people) which arises in environmental policy, planning, and activism</w:t>
      </w:r>
      <w:r>
        <w:t>.</w:t>
      </w:r>
    </w:p>
  </w:footnote>
  <w:footnote w:id="75">
    <w:p w14:paraId="5D1B9BEA" w14:textId="3EA33DF9" w:rsidR="00DA61A7" w:rsidRDefault="00DA61A7">
      <w:pPr>
        <w:pStyle w:val="FootnoteText"/>
      </w:pPr>
      <w:r>
        <w:rPr>
          <w:rStyle w:val="FootnoteReference"/>
        </w:rPr>
        <w:footnoteRef/>
      </w:r>
      <w:r>
        <w:t xml:space="preserve"> </w:t>
      </w:r>
      <w:r w:rsidRPr="00DA61A7">
        <w:t>This could be any group that faces discrimination due to the interplay of their personal characteristics, including gender, sex, ethnicity, sexual orientation, social class etc. in the society.</w:t>
      </w:r>
    </w:p>
  </w:footnote>
  <w:footnote w:id="76">
    <w:p w14:paraId="0F101F51" w14:textId="0DFB1960" w:rsidR="00481B07" w:rsidRDefault="00481B07">
      <w:pPr>
        <w:pStyle w:val="FootnoteText"/>
      </w:pPr>
      <w:r>
        <w:rPr>
          <w:rStyle w:val="FootnoteReference"/>
        </w:rPr>
        <w:footnoteRef/>
      </w:r>
      <w:r>
        <w:t xml:space="preserve"> Deviations occurred regarding staff time required by the programme within DESNZ, which was more than was originally estimated in the business case. </w:t>
      </w:r>
    </w:p>
  </w:footnote>
  <w:footnote w:id="77">
    <w:p w14:paraId="785E8116" w14:textId="48917EE9" w:rsidR="006D410A" w:rsidRDefault="006D410A">
      <w:pPr>
        <w:pStyle w:val="FootnoteText"/>
      </w:pPr>
      <w:r>
        <w:rPr>
          <w:rStyle w:val="FootnoteReference"/>
        </w:rPr>
        <w:footnoteRef/>
      </w:r>
      <w:r>
        <w:t xml:space="preserve"> The workshop was held on 26</w:t>
      </w:r>
      <w:r w:rsidRPr="001C6F7A">
        <w:rPr>
          <w:vertAlign w:val="superscript"/>
        </w:rPr>
        <w:t>th</w:t>
      </w:r>
      <w:r>
        <w:t xml:space="preserve"> February 2025, in an online format, and included representatives from both DESNZ and IFC programme teams.</w:t>
      </w:r>
    </w:p>
  </w:footnote>
  <w:footnote w:id="78">
    <w:p w14:paraId="35E0C0F2" w14:textId="77777777" w:rsidR="00641119" w:rsidRDefault="00641119" w:rsidP="00641119">
      <w:pPr>
        <w:pStyle w:val="FootnoteText"/>
      </w:pPr>
      <w:r>
        <w:rPr>
          <w:rStyle w:val="FootnoteReference"/>
        </w:rPr>
        <w:footnoteRef/>
      </w:r>
      <w:r>
        <w:t xml:space="preserve"> Please refer to the technical annex for more details on KPI15 and calculation of the score.</w:t>
      </w:r>
    </w:p>
  </w:footnote>
  <w:footnote w:id="79">
    <w:p w14:paraId="07940816" w14:textId="1634D2C9" w:rsidR="00BD5A5A" w:rsidRDefault="00BD5A5A">
      <w:pPr>
        <w:pStyle w:val="FootnoteText"/>
      </w:pPr>
      <w:r>
        <w:rPr>
          <w:rStyle w:val="FootnoteReference"/>
        </w:rPr>
        <w:footnoteRef/>
      </w:r>
      <w:r>
        <w:t xml:space="preserve"> </w:t>
      </w:r>
      <w:hyperlink r:id="rId52" w:history="1">
        <w:r w:rsidRPr="00AB706D">
          <w:rPr>
            <w:rStyle w:val="Hyperlink"/>
          </w:rPr>
          <w:t>https://www.ifc.org/content/dam/ifc/doc/mgrt/ifc-blendedfinance-fin-092021.pdf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52DF" w14:textId="77777777" w:rsidR="00490BD3" w:rsidRDefault="00A81362" w:rsidP="00FC1A03">
    <w:pPr>
      <w:pStyle w:val="Header"/>
      <w:ind w:left="-142"/>
    </w:pPr>
    <w:r>
      <w:rPr>
        <w:noProof/>
        <w:lang w:eastAsia="en-GB"/>
      </w:rPr>
      <w:drawing>
        <wp:anchor distT="0" distB="0" distL="114300" distR="114300" simplePos="0" relativeHeight="251658240" behindDoc="0" locked="0" layoutInCell="1" allowOverlap="1" wp14:anchorId="299B3942" wp14:editId="42F068DA">
          <wp:simplePos x="0" y="0"/>
          <wp:positionH relativeFrom="margin">
            <wp:align>left</wp:align>
          </wp:positionH>
          <wp:positionV relativeFrom="paragraph">
            <wp:posOffset>-19714</wp:posOffset>
          </wp:positionV>
          <wp:extent cx="2058035" cy="12103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EED0" w14:textId="326BB007" w:rsidR="00490BD3" w:rsidRPr="00B00598" w:rsidRDefault="00490BD3" w:rsidP="00582C8C">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E677" w14:textId="5B7CF821" w:rsidR="00D91B0E" w:rsidRPr="00B00598" w:rsidRDefault="00FB6C34" w:rsidP="00C26D9C">
    <w:pPr>
      <w:pStyle w:val="Header"/>
      <w:pBdr>
        <w:bottom w:val="single" w:sz="2" w:space="3" w:color="2B7EE2"/>
      </w:pBdr>
      <w:rPr>
        <w:color w:val="041E42"/>
        <w:sz w:val="22"/>
      </w:rPr>
    </w:pPr>
    <w:r>
      <w:t>Market Accelerator for Green Construction – Early outcome evaluation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E40" w14:textId="77777777" w:rsidR="0038306A" w:rsidRPr="00B00598" w:rsidRDefault="0038306A"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0D"/>
    <w:multiLevelType w:val="hybridMultilevel"/>
    <w:tmpl w:val="DC30A0A8"/>
    <w:lvl w:ilvl="0" w:tplc="20CEF08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C54"/>
    <w:multiLevelType w:val="hybridMultilevel"/>
    <w:tmpl w:val="F640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674"/>
    <w:multiLevelType w:val="hybridMultilevel"/>
    <w:tmpl w:val="A46C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63D0"/>
    <w:multiLevelType w:val="hybridMultilevel"/>
    <w:tmpl w:val="0D026B2E"/>
    <w:lvl w:ilvl="0" w:tplc="A546E6C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C6BA0"/>
    <w:multiLevelType w:val="hybridMultilevel"/>
    <w:tmpl w:val="39AE4A20"/>
    <w:lvl w:ilvl="0" w:tplc="0414E8C4">
      <w:start w:val="1"/>
      <w:numFmt w:val="bullet"/>
      <w:lvlText w:val="•"/>
      <w:lvlJc w:val="left"/>
      <w:pPr>
        <w:tabs>
          <w:tab w:val="num" w:pos="720"/>
        </w:tabs>
        <w:ind w:left="720" w:hanging="360"/>
      </w:pPr>
      <w:rPr>
        <w:rFonts w:ascii="Arial" w:hAnsi="Arial" w:hint="default"/>
      </w:rPr>
    </w:lvl>
    <w:lvl w:ilvl="1" w:tplc="4DB2F91C">
      <w:numFmt w:val="bullet"/>
      <w:lvlText w:val="•"/>
      <w:lvlJc w:val="left"/>
      <w:pPr>
        <w:tabs>
          <w:tab w:val="num" w:pos="1440"/>
        </w:tabs>
        <w:ind w:left="1440" w:hanging="360"/>
      </w:pPr>
      <w:rPr>
        <w:rFonts w:ascii="Arial" w:hAnsi="Arial" w:hint="default"/>
      </w:rPr>
    </w:lvl>
    <w:lvl w:ilvl="2" w:tplc="3D1CC0B8" w:tentative="1">
      <w:start w:val="1"/>
      <w:numFmt w:val="bullet"/>
      <w:lvlText w:val="•"/>
      <w:lvlJc w:val="left"/>
      <w:pPr>
        <w:tabs>
          <w:tab w:val="num" w:pos="2160"/>
        </w:tabs>
        <w:ind w:left="2160" w:hanging="360"/>
      </w:pPr>
      <w:rPr>
        <w:rFonts w:ascii="Arial" w:hAnsi="Arial" w:hint="default"/>
      </w:rPr>
    </w:lvl>
    <w:lvl w:ilvl="3" w:tplc="F34EB3BC" w:tentative="1">
      <w:start w:val="1"/>
      <w:numFmt w:val="bullet"/>
      <w:lvlText w:val="•"/>
      <w:lvlJc w:val="left"/>
      <w:pPr>
        <w:tabs>
          <w:tab w:val="num" w:pos="2880"/>
        </w:tabs>
        <w:ind w:left="2880" w:hanging="360"/>
      </w:pPr>
      <w:rPr>
        <w:rFonts w:ascii="Arial" w:hAnsi="Arial" w:hint="default"/>
      </w:rPr>
    </w:lvl>
    <w:lvl w:ilvl="4" w:tplc="B76073D4" w:tentative="1">
      <w:start w:val="1"/>
      <w:numFmt w:val="bullet"/>
      <w:lvlText w:val="•"/>
      <w:lvlJc w:val="left"/>
      <w:pPr>
        <w:tabs>
          <w:tab w:val="num" w:pos="3600"/>
        </w:tabs>
        <w:ind w:left="3600" w:hanging="360"/>
      </w:pPr>
      <w:rPr>
        <w:rFonts w:ascii="Arial" w:hAnsi="Arial" w:hint="default"/>
      </w:rPr>
    </w:lvl>
    <w:lvl w:ilvl="5" w:tplc="1276B760" w:tentative="1">
      <w:start w:val="1"/>
      <w:numFmt w:val="bullet"/>
      <w:lvlText w:val="•"/>
      <w:lvlJc w:val="left"/>
      <w:pPr>
        <w:tabs>
          <w:tab w:val="num" w:pos="4320"/>
        </w:tabs>
        <w:ind w:left="4320" w:hanging="360"/>
      </w:pPr>
      <w:rPr>
        <w:rFonts w:ascii="Arial" w:hAnsi="Arial" w:hint="default"/>
      </w:rPr>
    </w:lvl>
    <w:lvl w:ilvl="6" w:tplc="7B66722E" w:tentative="1">
      <w:start w:val="1"/>
      <w:numFmt w:val="bullet"/>
      <w:lvlText w:val="•"/>
      <w:lvlJc w:val="left"/>
      <w:pPr>
        <w:tabs>
          <w:tab w:val="num" w:pos="5040"/>
        </w:tabs>
        <w:ind w:left="5040" w:hanging="360"/>
      </w:pPr>
      <w:rPr>
        <w:rFonts w:ascii="Arial" w:hAnsi="Arial" w:hint="default"/>
      </w:rPr>
    </w:lvl>
    <w:lvl w:ilvl="7" w:tplc="B358C91C" w:tentative="1">
      <w:start w:val="1"/>
      <w:numFmt w:val="bullet"/>
      <w:lvlText w:val="•"/>
      <w:lvlJc w:val="left"/>
      <w:pPr>
        <w:tabs>
          <w:tab w:val="num" w:pos="5760"/>
        </w:tabs>
        <w:ind w:left="5760" w:hanging="360"/>
      </w:pPr>
      <w:rPr>
        <w:rFonts w:ascii="Arial" w:hAnsi="Arial" w:hint="default"/>
      </w:rPr>
    </w:lvl>
    <w:lvl w:ilvl="8" w:tplc="E16EEF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EE2E32"/>
    <w:multiLevelType w:val="hybridMultilevel"/>
    <w:tmpl w:val="399441CA"/>
    <w:lvl w:ilvl="0" w:tplc="E7C038E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2B259F"/>
    <w:multiLevelType w:val="hybridMultilevel"/>
    <w:tmpl w:val="A6FC7D14"/>
    <w:lvl w:ilvl="0" w:tplc="E24E69B4">
      <w:start w:val="1"/>
      <w:numFmt w:val="bullet"/>
      <w:pStyle w:val="DESNZbulletedlist"/>
      <w:lvlText w:val=""/>
      <w:lvlJc w:val="left"/>
      <w:pPr>
        <w:ind w:left="-711" w:hanging="360"/>
      </w:pPr>
      <w:rPr>
        <w:rFonts w:ascii="Symbol" w:hAnsi="Symbol" w:hint="default"/>
        <w:color w:val="041E42"/>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8" w15:restartNumberingAfterBreak="0">
    <w:nsid w:val="313D312B"/>
    <w:multiLevelType w:val="hybridMultilevel"/>
    <w:tmpl w:val="DA6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E826A8"/>
    <w:multiLevelType w:val="hybridMultilevel"/>
    <w:tmpl w:val="B9602506"/>
    <w:lvl w:ilvl="0" w:tplc="14D487A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D5C63"/>
    <w:multiLevelType w:val="hybridMultilevel"/>
    <w:tmpl w:val="CB6EBF80"/>
    <w:lvl w:ilvl="0" w:tplc="7C44D6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C123A"/>
    <w:multiLevelType w:val="hybridMultilevel"/>
    <w:tmpl w:val="DB443E2E"/>
    <w:lvl w:ilvl="0" w:tplc="EB222F82">
      <w:start w:val="1"/>
      <w:numFmt w:val="bullet"/>
      <w:lvlText w:val="•"/>
      <w:lvlJc w:val="left"/>
      <w:pPr>
        <w:tabs>
          <w:tab w:val="num" w:pos="720"/>
        </w:tabs>
        <w:ind w:left="720" w:hanging="360"/>
      </w:pPr>
      <w:rPr>
        <w:rFonts w:ascii="Arial" w:hAnsi="Arial" w:hint="default"/>
      </w:rPr>
    </w:lvl>
    <w:lvl w:ilvl="1" w:tplc="01382F08" w:tentative="1">
      <w:start w:val="1"/>
      <w:numFmt w:val="bullet"/>
      <w:lvlText w:val="•"/>
      <w:lvlJc w:val="left"/>
      <w:pPr>
        <w:tabs>
          <w:tab w:val="num" w:pos="1440"/>
        </w:tabs>
        <w:ind w:left="1440" w:hanging="360"/>
      </w:pPr>
      <w:rPr>
        <w:rFonts w:ascii="Arial" w:hAnsi="Arial" w:hint="default"/>
      </w:rPr>
    </w:lvl>
    <w:lvl w:ilvl="2" w:tplc="C5420206">
      <w:numFmt w:val="bullet"/>
      <w:lvlText w:val="•"/>
      <w:lvlJc w:val="left"/>
      <w:pPr>
        <w:tabs>
          <w:tab w:val="num" w:pos="2160"/>
        </w:tabs>
        <w:ind w:left="2160" w:hanging="360"/>
      </w:pPr>
      <w:rPr>
        <w:rFonts w:ascii="Arial" w:hAnsi="Arial" w:hint="default"/>
      </w:rPr>
    </w:lvl>
    <w:lvl w:ilvl="3" w:tplc="FE26B81A" w:tentative="1">
      <w:start w:val="1"/>
      <w:numFmt w:val="bullet"/>
      <w:lvlText w:val="•"/>
      <w:lvlJc w:val="left"/>
      <w:pPr>
        <w:tabs>
          <w:tab w:val="num" w:pos="2880"/>
        </w:tabs>
        <w:ind w:left="2880" w:hanging="360"/>
      </w:pPr>
      <w:rPr>
        <w:rFonts w:ascii="Arial" w:hAnsi="Arial" w:hint="default"/>
      </w:rPr>
    </w:lvl>
    <w:lvl w:ilvl="4" w:tplc="36ACAF12" w:tentative="1">
      <w:start w:val="1"/>
      <w:numFmt w:val="bullet"/>
      <w:lvlText w:val="•"/>
      <w:lvlJc w:val="left"/>
      <w:pPr>
        <w:tabs>
          <w:tab w:val="num" w:pos="3600"/>
        </w:tabs>
        <w:ind w:left="3600" w:hanging="360"/>
      </w:pPr>
      <w:rPr>
        <w:rFonts w:ascii="Arial" w:hAnsi="Arial" w:hint="default"/>
      </w:rPr>
    </w:lvl>
    <w:lvl w:ilvl="5" w:tplc="C0B21F66" w:tentative="1">
      <w:start w:val="1"/>
      <w:numFmt w:val="bullet"/>
      <w:lvlText w:val="•"/>
      <w:lvlJc w:val="left"/>
      <w:pPr>
        <w:tabs>
          <w:tab w:val="num" w:pos="4320"/>
        </w:tabs>
        <w:ind w:left="4320" w:hanging="360"/>
      </w:pPr>
      <w:rPr>
        <w:rFonts w:ascii="Arial" w:hAnsi="Arial" w:hint="default"/>
      </w:rPr>
    </w:lvl>
    <w:lvl w:ilvl="6" w:tplc="0DD64C2E" w:tentative="1">
      <w:start w:val="1"/>
      <w:numFmt w:val="bullet"/>
      <w:lvlText w:val="•"/>
      <w:lvlJc w:val="left"/>
      <w:pPr>
        <w:tabs>
          <w:tab w:val="num" w:pos="5040"/>
        </w:tabs>
        <w:ind w:left="5040" w:hanging="360"/>
      </w:pPr>
      <w:rPr>
        <w:rFonts w:ascii="Arial" w:hAnsi="Arial" w:hint="default"/>
      </w:rPr>
    </w:lvl>
    <w:lvl w:ilvl="7" w:tplc="12FCA1AE" w:tentative="1">
      <w:start w:val="1"/>
      <w:numFmt w:val="bullet"/>
      <w:lvlText w:val="•"/>
      <w:lvlJc w:val="left"/>
      <w:pPr>
        <w:tabs>
          <w:tab w:val="num" w:pos="5760"/>
        </w:tabs>
        <w:ind w:left="5760" w:hanging="360"/>
      </w:pPr>
      <w:rPr>
        <w:rFonts w:ascii="Arial" w:hAnsi="Arial" w:hint="default"/>
      </w:rPr>
    </w:lvl>
    <w:lvl w:ilvl="8" w:tplc="314A5B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D257C0"/>
    <w:multiLevelType w:val="hybridMultilevel"/>
    <w:tmpl w:val="346426AC"/>
    <w:lvl w:ilvl="0" w:tplc="DFE61D24">
      <w:start w:val="1"/>
      <w:numFmt w:val="lowerLetter"/>
      <w:lvlText w:val="%1)"/>
      <w:lvlJc w:val="left"/>
      <w:pPr>
        <w:ind w:left="1020" w:hanging="360"/>
      </w:pPr>
    </w:lvl>
    <w:lvl w:ilvl="1" w:tplc="436AC514">
      <w:start w:val="1"/>
      <w:numFmt w:val="lowerLetter"/>
      <w:lvlText w:val="%2)"/>
      <w:lvlJc w:val="left"/>
      <w:pPr>
        <w:ind w:left="1020" w:hanging="360"/>
      </w:pPr>
    </w:lvl>
    <w:lvl w:ilvl="2" w:tplc="45C864CC">
      <w:start w:val="1"/>
      <w:numFmt w:val="lowerLetter"/>
      <w:lvlText w:val="%3)"/>
      <w:lvlJc w:val="left"/>
      <w:pPr>
        <w:ind w:left="1020" w:hanging="360"/>
      </w:pPr>
    </w:lvl>
    <w:lvl w:ilvl="3" w:tplc="576EAA06">
      <w:start w:val="1"/>
      <w:numFmt w:val="lowerLetter"/>
      <w:lvlText w:val="%4)"/>
      <w:lvlJc w:val="left"/>
      <w:pPr>
        <w:ind w:left="1020" w:hanging="360"/>
      </w:pPr>
    </w:lvl>
    <w:lvl w:ilvl="4" w:tplc="4F980272">
      <w:start w:val="1"/>
      <w:numFmt w:val="lowerLetter"/>
      <w:lvlText w:val="%5)"/>
      <w:lvlJc w:val="left"/>
      <w:pPr>
        <w:ind w:left="1020" w:hanging="360"/>
      </w:pPr>
    </w:lvl>
    <w:lvl w:ilvl="5" w:tplc="39A03DAA">
      <w:start w:val="1"/>
      <w:numFmt w:val="lowerLetter"/>
      <w:lvlText w:val="%6)"/>
      <w:lvlJc w:val="left"/>
      <w:pPr>
        <w:ind w:left="1020" w:hanging="360"/>
      </w:pPr>
    </w:lvl>
    <w:lvl w:ilvl="6" w:tplc="1138DA76">
      <w:start w:val="1"/>
      <w:numFmt w:val="lowerLetter"/>
      <w:lvlText w:val="%7)"/>
      <w:lvlJc w:val="left"/>
      <w:pPr>
        <w:ind w:left="1020" w:hanging="360"/>
      </w:pPr>
    </w:lvl>
    <w:lvl w:ilvl="7" w:tplc="83B2C8EC">
      <w:start w:val="1"/>
      <w:numFmt w:val="lowerLetter"/>
      <w:lvlText w:val="%8)"/>
      <w:lvlJc w:val="left"/>
      <w:pPr>
        <w:ind w:left="1020" w:hanging="360"/>
      </w:pPr>
    </w:lvl>
    <w:lvl w:ilvl="8" w:tplc="861E956C">
      <w:start w:val="1"/>
      <w:numFmt w:val="lowerLetter"/>
      <w:lvlText w:val="%9)"/>
      <w:lvlJc w:val="left"/>
      <w:pPr>
        <w:ind w:left="1020" w:hanging="360"/>
      </w:pPr>
    </w:lvl>
  </w:abstractNum>
  <w:abstractNum w:abstractNumId="16" w15:restartNumberingAfterBreak="0">
    <w:nsid w:val="5F417D93"/>
    <w:multiLevelType w:val="hybridMultilevel"/>
    <w:tmpl w:val="91783442"/>
    <w:lvl w:ilvl="0" w:tplc="4C9ECBDA">
      <w:start w:val="1"/>
      <w:numFmt w:val="bullet"/>
      <w:lvlText w:val="•"/>
      <w:lvlJc w:val="left"/>
      <w:pPr>
        <w:tabs>
          <w:tab w:val="num" w:pos="720"/>
        </w:tabs>
        <w:ind w:left="720" w:hanging="360"/>
      </w:pPr>
      <w:rPr>
        <w:rFonts w:ascii="Arial" w:hAnsi="Arial" w:hint="default"/>
      </w:rPr>
    </w:lvl>
    <w:lvl w:ilvl="1" w:tplc="070C98E8" w:tentative="1">
      <w:start w:val="1"/>
      <w:numFmt w:val="bullet"/>
      <w:lvlText w:val="•"/>
      <w:lvlJc w:val="left"/>
      <w:pPr>
        <w:tabs>
          <w:tab w:val="num" w:pos="1440"/>
        </w:tabs>
        <w:ind w:left="1440" w:hanging="360"/>
      </w:pPr>
      <w:rPr>
        <w:rFonts w:ascii="Arial" w:hAnsi="Arial" w:hint="default"/>
      </w:rPr>
    </w:lvl>
    <w:lvl w:ilvl="2" w:tplc="6750CB58" w:tentative="1">
      <w:start w:val="1"/>
      <w:numFmt w:val="bullet"/>
      <w:lvlText w:val="•"/>
      <w:lvlJc w:val="left"/>
      <w:pPr>
        <w:tabs>
          <w:tab w:val="num" w:pos="2160"/>
        </w:tabs>
        <w:ind w:left="2160" w:hanging="360"/>
      </w:pPr>
      <w:rPr>
        <w:rFonts w:ascii="Arial" w:hAnsi="Arial" w:hint="default"/>
      </w:rPr>
    </w:lvl>
    <w:lvl w:ilvl="3" w:tplc="8CE00ACC" w:tentative="1">
      <w:start w:val="1"/>
      <w:numFmt w:val="bullet"/>
      <w:lvlText w:val="•"/>
      <w:lvlJc w:val="left"/>
      <w:pPr>
        <w:tabs>
          <w:tab w:val="num" w:pos="2880"/>
        </w:tabs>
        <w:ind w:left="2880" w:hanging="360"/>
      </w:pPr>
      <w:rPr>
        <w:rFonts w:ascii="Arial" w:hAnsi="Arial" w:hint="default"/>
      </w:rPr>
    </w:lvl>
    <w:lvl w:ilvl="4" w:tplc="72F0010A" w:tentative="1">
      <w:start w:val="1"/>
      <w:numFmt w:val="bullet"/>
      <w:lvlText w:val="•"/>
      <w:lvlJc w:val="left"/>
      <w:pPr>
        <w:tabs>
          <w:tab w:val="num" w:pos="3600"/>
        </w:tabs>
        <w:ind w:left="3600" w:hanging="360"/>
      </w:pPr>
      <w:rPr>
        <w:rFonts w:ascii="Arial" w:hAnsi="Arial" w:hint="default"/>
      </w:rPr>
    </w:lvl>
    <w:lvl w:ilvl="5" w:tplc="1FF2CFA8" w:tentative="1">
      <w:start w:val="1"/>
      <w:numFmt w:val="bullet"/>
      <w:lvlText w:val="•"/>
      <w:lvlJc w:val="left"/>
      <w:pPr>
        <w:tabs>
          <w:tab w:val="num" w:pos="4320"/>
        </w:tabs>
        <w:ind w:left="4320" w:hanging="360"/>
      </w:pPr>
      <w:rPr>
        <w:rFonts w:ascii="Arial" w:hAnsi="Arial" w:hint="default"/>
      </w:rPr>
    </w:lvl>
    <w:lvl w:ilvl="6" w:tplc="EF261578" w:tentative="1">
      <w:start w:val="1"/>
      <w:numFmt w:val="bullet"/>
      <w:lvlText w:val="•"/>
      <w:lvlJc w:val="left"/>
      <w:pPr>
        <w:tabs>
          <w:tab w:val="num" w:pos="5040"/>
        </w:tabs>
        <w:ind w:left="5040" w:hanging="360"/>
      </w:pPr>
      <w:rPr>
        <w:rFonts w:ascii="Arial" w:hAnsi="Arial" w:hint="default"/>
      </w:rPr>
    </w:lvl>
    <w:lvl w:ilvl="7" w:tplc="E794C44E" w:tentative="1">
      <w:start w:val="1"/>
      <w:numFmt w:val="bullet"/>
      <w:lvlText w:val="•"/>
      <w:lvlJc w:val="left"/>
      <w:pPr>
        <w:tabs>
          <w:tab w:val="num" w:pos="5760"/>
        </w:tabs>
        <w:ind w:left="5760" w:hanging="360"/>
      </w:pPr>
      <w:rPr>
        <w:rFonts w:ascii="Arial" w:hAnsi="Arial" w:hint="default"/>
      </w:rPr>
    </w:lvl>
    <w:lvl w:ilvl="8" w:tplc="84BA3E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E85322"/>
    <w:multiLevelType w:val="hybridMultilevel"/>
    <w:tmpl w:val="E572F8C4"/>
    <w:lvl w:ilvl="0" w:tplc="8B0818C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745E7B2F"/>
    <w:multiLevelType w:val="hybridMultilevel"/>
    <w:tmpl w:val="04B8899E"/>
    <w:lvl w:ilvl="0" w:tplc="1108B058">
      <w:start w:val="1"/>
      <w:numFmt w:val="bullet"/>
      <w:lvlText w:val="•"/>
      <w:lvlJc w:val="left"/>
      <w:pPr>
        <w:tabs>
          <w:tab w:val="num" w:pos="720"/>
        </w:tabs>
        <w:ind w:left="720" w:hanging="360"/>
      </w:pPr>
      <w:rPr>
        <w:rFonts w:ascii="Arial" w:hAnsi="Arial" w:hint="default"/>
      </w:rPr>
    </w:lvl>
    <w:lvl w:ilvl="1" w:tplc="9C7CC982" w:tentative="1">
      <w:start w:val="1"/>
      <w:numFmt w:val="bullet"/>
      <w:lvlText w:val="•"/>
      <w:lvlJc w:val="left"/>
      <w:pPr>
        <w:tabs>
          <w:tab w:val="num" w:pos="1440"/>
        </w:tabs>
        <w:ind w:left="1440" w:hanging="360"/>
      </w:pPr>
      <w:rPr>
        <w:rFonts w:ascii="Arial" w:hAnsi="Arial" w:hint="default"/>
      </w:rPr>
    </w:lvl>
    <w:lvl w:ilvl="2" w:tplc="F8A0D29A" w:tentative="1">
      <w:start w:val="1"/>
      <w:numFmt w:val="bullet"/>
      <w:lvlText w:val="•"/>
      <w:lvlJc w:val="left"/>
      <w:pPr>
        <w:tabs>
          <w:tab w:val="num" w:pos="2160"/>
        </w:tabs>
        <w:ind w:left="2160" w:hanging="360"/>
      </w:pPr>
      <w:rPr>
        <w:rFonts w:ascii="Arial" w:hAnsi="Arial" w:hint="default"/>
      </w:rPr>
    </w:lvl>
    <w:lvl w:ilvl="3" w:tplc="DD36E46C" w:tentative="1">
      <w:start w:val="1"/>
      <w:numFmt w:val="bullet"/>
      <w:lvlText w:val="•"/>
      <w:lvlJc w:val="left"/>
      <w:pPr>
        <w:tabs>
          <w:tab w:val="num" w:pos="2880"/>
        </w:tabs>
        <w:ind w:left="2880" w:hanging="360"/>
      </w:pPr>
      <w:rPr>
        <w:rFonts w:ascii="Arial" w:hAnsi="Arial" w:hint="default"/>
      </w:rPr>
    </w:lvl>
    <w:lvl w:ilvl="4" w:tplc="7FD0C9FA" w:tentative="1">
      <w:start w:val="1"/>
      <w:numFmt w:val="bullet"/>
      <w:lvlText w:val="•"/>
      <w:lvlJc w:val="left"/>
      <w:pPr>
        <w:tabs>
          <w:tab w:val="num" w:pos="3600"/>
        </w:tabs>
        <w:ind w:left="3600" w:hanging="360"/>
      </w:pPr>
      <w:rPr>
        <w:rFonts w:ascii="Arial" w:hAnsi="Arial" w:hint="default"/>
      </w:rPr>
    </w:lvl>
    <w:lvl w:ilvl="5" w:tplc="19808CF6" w:tentative="1">
      <w:start w:val="1"/>
      <w:numFmt w:val="bullet"/>
      <w:lvlText w:val="•"/>
      <w:lvlJc w:val="left"/>
      <w:pPr>
        <w:tabs>
          <w:tab w:val="num" w:pos="4320"/>
        </w:tabs>
        <w:ind w:left="4320" w:hanging="360"/>
      </w:pPr>
      <w:rPr>
        <w:rFonts w:ascii="Arial" w:hAnsi="Arial" w:hint="default"/>
      </w:rPr>
    </w:lvl>
    <w:lvl w:ilvl="6" w:tplc="1A28C440" w:tentative="1">
      <w:start w:val="1"/>
      <w:numFmt w:val="bullet"/>
      <w:lvlText w:val="•"/>
      <w:lvlJc w:val="left"/>
      <w:pPr>
        <w:tabs>
          <w:tab w:val="num" w:pos="5040"/>
        </w:tabs>
        <w:ind w:left="5040" w:hanging="360"/>
      </w:pPr>
      <w:rPr>
        <w:rFonts w:ascii="Arial" w:hAnsi="Arial" w:hint="default"/>
      </w:rPr>
    </w:lvl>
    <w:lvl w:ilvl="7" w:tplc="73202CDA" w:tentative="1">
      <w:start w:val="1"/>
      <w:numFmt w:val="bullet"/>
      <w:lvlText w:val="•"/>
      <w:lvlJc w:val="left"/>
      <w:pPr>
        <w:tabs>
          <w:tab w:val="num" w:pos="5760"/>
        </w:tabs>
        <w:ind w:left="5760" w:hanging="360"/>
      </w:pPr>
      <w:rPr>
        <w:rFonts w:ascii="Arial" w:hAnsi="Arial" w:hint="default"/>
      </w:rPr>
    </w:lvl>
    <w:lvl w:ilvl="8" w:tplc="1BDE9E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70131B"/>
    <w:multiLevelType w:val="hybridMultilevel"/>
    <w:tmpl w:val="8C5400F2"/>
    <w:lvl w:ilvl="0" w:tplc="E0F499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073909">
    <w:abstractNumId w:val="10"/>
  </w:num>
  <w:num w:numId="2" w16cid:durableId="1824927166">
    <w:abstractNumId w:val="18"/>
  </w:num>
  <w:num w:numId="3" w16cid:durableId="395202613">
    <w:abstractNumId w:val="5"/>
  </w:num>
  <w:num w:numId="4" w16cid:durableId="2003501849">
    <w:abstractNumId w:val="7"/>
  </w:num>
  <w:num w:numId="5" w16cid:durableId="197204742">
    <w:abstractNumId w:val="9"/>
  </w:num>
  <w:num w:numId="6" w16cid:durableId="1337852561">
    <w:abstractNumId w:val="14"/>
  </w:num>
  <w:num w:numId="7" w16cid:durableId="788470197">
    <w:abstractNumId w:val="20"/>
  </w:num>
  <w:num w:numId="8" w16cid:durableId="1743600006">
    <w:abstractNumId w:val="0"/>
  </w:num>
  <w:num w:numId="9" w16cid:durableId="43137752">
    <w:abstractNumId w:val="12"/>
  </w:num>
  <w:num w:numId="10" w16cid:durableId="718668212">
    <w:abstractNumId w:val="11"/>
  </w:num>
  <w:num w:numId="11" w16cid:durableId="1350373342">
    <w:abstractNumId w:val="6"/>
  </w:num>
  <w:num w:numId="12" w16cid:durableId="652878594">
    <w:abstractNumId w:val="17"/>
  </w:num>
  <w:num w:numId="13" w16cid:durableId="1566144040">
    <w:abstractNumId w:val="8"/>
  </w:num>
  <w:num w:numId="14" w16cid:durableId="33848853">
    <w:abstractNumId w:val="3"/>
  </w:num>
  <w:num w:numId="15" w16cid:durableId="1667509906">
    <w:abstractNumId w:val="15"/>
  </w:num>
  <w:num w:numId="16" w16cid:durableId="1436712611">
    <w:abstractNumId w:val="1"/>
  </w:num>
  <w:num w:numId="17" w16cid:durableId="1568301869">
    <w:abstractNumId w:val="4"/>
  </w:num>
  <w:num w:numId="18" w16cid:durableId="1122072289">
    <w:abstractNumId w:val="13"/>
  </w:num>
  <w:num w:numId="19" w16cid:durableId="2007512610">
    <w:abstractNumId w:val="19"/>
  </w:num>
  <w:num w:numId="20" w16cid:durableId="1617254889">
    <w:abstractNumId w:val="16"/>
  </w:num>
  <w:num w:numId="21" w16cid:durableId="15960920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NjUxtzAwMTWxNDRQ0lEKTi0uzszPAykwqwUAndbkHSwAAAA="/>
  </w:docVars>
  <w:rsids>
    <w:rsidRoot w:val="00A600B7"/>
    <w:rsid w:val="00000A23"/>
    <w:rsid w:val="000020C3"/>
    <w:rsid w:val="00002259"/>
    <w:rsid w:val="000025C8"/>
    <w:rsid w:val="00002731"/>
    <w:rsid w:val="0000277E"/>
    <w:rsid w:val="00002B27"/>
    <w:rsid w:val="00002CF9"/>
    <w:rsid w:val="000032E5"/>
    <w:rsid w:val="00003498"/>
    <w:rsid w:val="00003557"/>
    <w:rsid w:val="00003941"/>
    <w:rsid w:val="00003B88"/>
    <w:rsid w:val="00004B14"/>
    <w:rsid w:val="00004DCE"/>
    <w:rsid w:val="00004EAF"/>
    <w:rsid w:val="00005AD4"/>
    <w:rsid w:val="00006217"/>
    <w:rsid w:val="00007043"/>
    <w:rsid w:val="0000714C"/>
    <w:rsid w:val="0000734D"/>
    <w:rsid w:val="00007847"/>
    <w:rsid w:val="00007B45"/>
    <w:rsid w:val="00007DBF"/>
    <w:rsid w:val="00010276"/>
    <w:rsid w:val="000102E4"/>
    <w:rsid w:val="0001034F"/>
    <w:rsid w:val="0001071E"/>
    <w:rsid w:val="0001089A"/>
    <w:rsid w:val="000108CC"/>
    <w:rsid w:val="00010917"/>
    <w:rsid w:val="00010F7A"/>
    <w:rsid w:val="00011BBD"/>
    <w:rsid w:val="00011D64"/>
    <w:rsid w:val="00012D0A"/>
    <w:rsid w:val="000137A2"/>
    <w:rsid w:val="00013809"/>
    <w:rsid w:val="00013936"/>
    <w:rsid w:val="00013B58"/>
    <w:rsid w:val="0001488A"/>
    <w:rsid w:val="00014B58"/>
    <w:rsid w:val="00015016"/>
    <w:rsid w:val="00015046"/>
    <w:rsid w:val="00015191"/>
    <w:rsid w:val="0001579D"/>
    <w:rsid w:val="00015A0A"/>
    <w:rsid w:val="00015D93"/>
    <w:rsid w:val="0001620F"/>
    <w:rsid w:val="00016465"/>
    <w:rsid w:val="000167DE"/>
    <w:rsid w:val="00017204"/>
    <w:rsid w:val="00017277"/>
    <w:rsid w:val="00020297"/>
    <w:rsid w:val="00020D65"/>
    <w:rsid w:val="00020F1D"/>
    <w:rsid w:val="00020FEA"/>
    <w:rsid w:val="00021011"/>
    <w:rsid w:val="00022558"/>
    <w:rsid w:val="00022C25"/>
    <w:rsid w:val="00022CA4"/>
    <w:rsid w:val="000232CA"/>
    <w:rsid w:val="00023B11"/>
    <w:rsid w:val="0002410F"/>
    <w:rsid w:val="00024E00"/>
    <w:rsid w:val="000258ED"/>
    <w:rsid w:val="00026106"/>
    <w:rsid w:val="0002641B"/>
    <w:rsid w:val="000266D0"/>
    <w:rsid w:val="000267D6"/>
    <w:rsid w:val="00026972"/>
    <w:rsid w:val="00026C67"/>
    <w:rsid w:val="00026DA0"/>
    <w:rsid w:val="0002715D"/>
    <w:rsid w:val="000273E4"/>
    <w:rsid w:val="00027461"/>
    <w:rsid w:val="000276FA"/>
    <w:rsid w:val="00027A4B"/>
    <w:rsid w:val="00027A6D"/>
    <w:rsid w:val="00027C14"/>
    <w:rsid w:val="00027DB8"/>
    <w:rsid w:val="000304B7"/>
    <w:rsid w:val="00030C36"/>
    <w:rsid w:val="00030F8D"/>
    <w:rsid w:val="000311F8"/>
    <w:rsid w:val="0003168F"/>
    <w:rsid w:val="000320FD"/>
    <w:rsid w:val="0003233D"/>
    <w:rsid w:val="00032559"/>
    <w:rsid w:val="00033D5A"/>
    <w:rsid w:val="000340EC"/>
    <w:rsid w:val="00034C47"/>
    <w:rsid w:val="00035356"/>
    <w:rsid w:val="00036A1B"/>
    <w:rsid w:val="00036E54"/>
    <w:rsid w:val="00037175"/>
    <w:rsid w:val="00037591"/>
    <w:rsid w:val="00037849"/>
    <w:rsid w:val="000379AC"/>
    <w:rsid w:val="0004035A"/>
    <w:rsid w:val="00041106"/>
    <w:rsid w:val="00041267"/>
    <w:rsid w:val="00041305"/>
    <w:rsid w:val="0004167A"/>
    <w:rsid w:val="00041938"/>
    <w:rsid w:val="00041B8A"/>
    <w:rsid w:val="00041EA2"/>
    <w:rsid w:val="000427D0"/>
    <w:rsid w:val="00042E00"/>
    <w:rsid w:val="00043603"/>
    <w:rsid w:val="00043D2F"/>
    <w:rsid w:val="00043DCF"/>
    <w:rsid w:val="0004490F"/>
    <w:rsid w:val="00044AD5"/>
    <w:rsid w:val="00044B2E"/>
    <w:rsid w:val="00045487"/>
    <w:rsid w:val="000454D6"/>
    <w:rsid w:val="000455FE"/>
    <w:rsid w:val="00045A1E"/>
    <w:rsid w:val="000462E9"/>
    <w:rsid w:val="00047252"/>
    <w:rsid w:val="00047860"/>
    <w:rsid w:val="00047A46"/>
    <w:rsid w:val="000507E7"/>
    <w:rsid w:val="0005159D"/>
    <w:rsid w:val="00051BBA"/>
    <w:rsid w:val="00052DBA"/>
    <w:rsid w:val="00052EF5"/>
    <w:rsid w:val="000530F6"/>
    <w:rsid w:val="00053104"/>
    <w:rsid w:val="00053105"/>
    <w:rsid w:val="00053427"/>
    <w:rsid w:val="00053445"/>
    <w:rsid w:val="00053959"/>
    <w:rsid w:val="00053E13"/>
    <w:rsid w:val="00054146"/>
    <w:rsid w:val="00054284"/>
    <w:rsid w:val="000545ED"/>
    <w:rsid w:val="00054AD2"/>
    <w:rsid w:val="00055141"/>
    <w:rsid w:val="00055528"/>
    <w:rsid w:val="0005552A"/>
    <w:rsid w:val="00056436"/>
    <w:rsid w:val="00056622"/>
    <w:rsid w:val="0005670E"/>
    <w:rsid w:val="00056748"/>
    <w:rsid w:val="00056883"/>
    <w:rsid w:val="00056DD3"/>
    <w:rsid w:val="000601BC"/>
    <w:rsid w:val="000604E0"/>
    <w:rsid w:val="000604FF"/>
    <w:rsid w:val="0006052D"/>
    <w:rsid w:val="0006085F"/>
    <w:rsid w:val="00060C58"/>
    <w:rsid w:val="000611CD"/>
    <w:rsid w:val="0006193C"/>
    <w:rsid w:val="00061942"/>
    <w:rsid w:val="00061DC5"/>
    <w:rsid w:val="000626ED"/>
    <w:rsid w:val="00062BF7"/>
    <w:rsid w:val="0006323D"/>
    <w:rsid w:val="00063511"/>
    <w:rsid w:val="00063524"/>
    <w:rsid w:val="00063980"/>
    <w:rsid w:val="00063C18"/>
    <w:rsid w:val="00063EAD"/>
    <w:rsid w:val="00063F31"/>
    <w:rsid w:val="00065378"/>
    <w:rsid w:val="000654EC"/>
    <w:rsid w:val="00065A51"/>
    <w:rsid w:val="000662BD"/>
    <w:rsid w:val="00066DF4"/>
    <w:rsid w:val="00066E3A"/>
    <w:rsid w:val="00066F65"/>
    <w:rsid w:val="0006723E"/>
    <w:rsid w:val="00067783"/>
    <w:rsid w:val="00067F6C"/>
    <w:rsid w:val="00071029"/>
    <w:rsid w:val="00071282"/>
    <w:rsid w:val="000718FD"/>
    <w:rsid w:val="000719CC"/>
    <w:rsid w:val="00071BA7"/>
    <w:rsid w:val="00071BAF"/>
    <w:rsid w:val="000726E3"/>
    <w:rsid w:val="0007277F"/>
    <w:rsid w:val="00072A71"/>
    <w:rsid w:val="00072E13"/>
    <w:rsid w:val="00073071"/>
    <w:rsid w:val="00073275"/>
    <w:rsid w:val="00073461"/>
    <w:rsid w:val="000739E6"/>
    <w:rsid w:val="00073AA7"/>
    <w:rsid w:val="00073BE9"/>
    <w:rsid w:val="000740CC"/>
    <w:rsid w:val="000742F5"/>
    <w:rsid w:val="000743B3"/>
    <w:rsid w:val="00074764"/>
    <w:rsid w:val="000747E5"/>
    <w:rsid w:val="00075335"/>
    <w:rsid w:val="0007655E"/>
    <w:rsid w:val="00076838"/>
    <w:rsid w:val="000768FF"/>
    <w:rsid w:val="00076CC3"/>
    <w:rsid w:val="000773F7"/>
    <w:rsid w:val="0007740C"/>
    <w:rsid w:val="00077F76"/>
    <w:rsid w:val="00080287"/>
    <w:rsid w:val="00080DD0"/>
    <w:rsid w:val="0008121A"/>
    <w:rsid w:val="00081473"/>
    <w:rsid w:val="00082576"/>
    <w:rsid w:val="0008283D"/>
    <w:rsid w:val="000836F2"/>
    <w:rsid w:val="00083EFC"/>
    <w:rsid w:val="00083F17"/>
    <w:rsid w:val="000840C7"/>
    <w:rsid w:val="00084131"/>
    <w:rsid w:val="0008446D"/>
    <w:rsid w:val="00084BD3"/>
    <w:rsid w:val="00084EEB"/>
    <w:rsid w:val="00085117"/>
    <w:rsid w:val="000853F8"/>
    <w:rsid w:val="00085A27"/>
    <w:rsid w:val="00085D08"/>
    <w:rsid w:val="000867AB"/>
    <w:rsid w:val="00086D0C"/>
    <w:rsid w:val="00086D33"/>
    <w:rsid w:val="00086DE8"/>
    <w:rsid w:val="00087BAF"/>
    <w:rsid w:val="00087C2D"/>
    <w:rsid w:val="0009156E"/>
    <w:rsid w:val="00091B04"/>
    <w:rsid w:val="00091CB0"/>
    <w:rsid w:val="00091D7F"/>
    <w:rsid w:val="00092345"/>
    <w:rsid w:val="00092508"/>
    <w:rsid w:val="0009257C"/>
    <w:rsid w:val="00092626"/>
    <w:rsid w:val="00092797"/>
    <w:rsid w:val="000938AA"/>
    <w:rsid w:val="0009408D"/>
    <w:rsid w:val="0009456D"/>
    <w:rsid w:val="00094697"/>
    <w:rsid w:val="00094C40"/>
    <w:rsid w:val="000950A1"/>
    <w:rsid w:val="000951BF"/>
    <w:rsid w:val="0009549B"/>
    <w:rsid w:val="00095732"/>
    <w:rsid w:val="00095C44"/>
    <w:rsid w:val="00096319"/>
    <w:rsid w:val="00097B88"/>
    <w:rsid w:val="000A03A1"/>
    <w:rsid w:val="000A071B"/>
    <w:rsid w:val="000A07B6"/>
    <w:rsid w:val="000A09E1"/>
    <w:rsid w:val="000A0B01"/>
    <w:rsid w:val="000A13FD"/>
    <w:rsid w:val="000A14ED"/>
    <w:rsid w:val="000A1955"/>
    <w:rsid w:val="000A1D6E"/>
    <w:rsid w:val="000A22CA"/>
    <w:rsid w:val="000A282E"/>
    <w:rsid w:val="000A2AF5"/>
    <w:rsid w:val="000A2B49"/>
    <w:rsid w:val="000A2D96"/>
    <w:rsid w:val="000A2DE5"/>
    <w:rsid w:val="000A3953"/>
    <w:rsid w:val="000A3ED6"/>
    <w:rsid w:val="000A4028"/>
    <w:rsid w:val="000A471E"/>
    <w:rsid w:val="000A480C"/>
    <w:rsid w:val="000A49F2"/>
    <w:rsid w:val="000A55E4"/>
    <w:rsid w:val="000A5FF7"/>
    <w:rsid w:val="000A6ADF"/>
    <w:rsid w:val="000A6E77"/>
    <w:rsid w:val="000A7706"/>
    <w:rsid w:val="000B0132"/>
    <w:rsid w:val="000B0256"/>
    <w:rsid w:val="000B0420"/>
    <w:rsid w:val="000B0997"/>
    <w:rsid w:val="000B0C64"/>
    <w:rsid w:val="000B1362"/>
    <w:rsid w:val="000B13B8"/>
    <w:rsid w:val="000B13F6"/>
    <w:rsid w:val="000B13FF"/>
    <w:rsid w:val="000B17B6"/>
    <w:rsid w:val="000B1871"/>
    <w:rsid w:val="000B1E1A"/>
    <w:rsid w:val="000B3018"/>
    <w:rsid w:val="000B33C4"/>
    <w:rsid w:val="000B3966"/>
    <w:rsid w:val="000B3AE1"/>
    <w:rsid w:val="000B4590"/>
    <w:rsid w:val="000B4628"/>
    <w:rsid w:val="000B47A6"/>
    <w:rsid w:val="000B4F24"/>
    <w:rsid w:val="000B528E"/>
    <w:rsid w:val="000B53BF"/>
    <w:rsid w:val="000B590C"/>
    <w:rsid w:val="000B5F0F"/>
    <w:rsid w:val="000B6149"/>
    <w:rsid w:val="000B6295"/>
    <w:rsid w:val="000B6504"/>
    <w:rsid w:val="000B6A48"/>
    <w:rsid w:val="000B76E7"/>
    <w:rsid w:val="000B7EC4"/>
    <w:rsid w:val="000B7F09"/>
    <w:rsid w:val="000C0096"/>
    <w:rsid w:val="000C0627"/>
    <w:rsid w:val="000C072F"/>
    <w:rsid w:val="000C0A1B"/>
    <w:rsid w:val="000C0EA9"/>
    <w:rsid w:val="000C1053"/>
    <w:rsid w:val="000C19C8"/>
    <w:rsid w:val="000C1B13"/>
    <w:rsid w:val="000C1FAD"/>
    <w:rsid w:val="000C3435"/>
    <w:rsid w:val="000C3616"/>
    <w:rsid w:val="000C38A8"/>
    <w:rsid w:val="000C3A87"/>
    <w:rsid w:val="000C3F2A"/>
    <w:rsid w:val="000C4323"/>
    <w:rsid w:val="000C43A0"/>
    <w:rsid w:val="000C4A00"/>
    <w:rsid w:val="000C50EA"/>
    <w:rsid w:val="000C5BB5"/>
    <w:rsid w:val="000C5FF9"/>
    <w:rsid w:val="000C61EE"/>
    <w:rsid w:val="000C62E9"/>
    <w:rsid w:val="000C6816"/>
    <w:rsid w:val="000C6F77"/>
    <w:rsid w:val="000C748D"/>
    <w:rsid w:val="000C7A38"/>
    <w:rsid w:val="000C7ADA"/>
    <w:rsid w:val="000D00D9"/>
    <w:rsid w:val="000D056E"/>
    <w:rsid w:val="000D0C46"/>
    <w:rsid w:val="000D1245"/>
    <w:rsid w:val="000D14FF"/>
    <w:rsid w:val="000D15E3"/>
    <w:rsid w:val="000D16FA"/>
    <w:rsid w:val="000D1D76"/>
    <w:rsid w:val="000D201B"/>
    <w:rsid w:val="000D2421"/>
    <w:rsid w:val="000D2A4F"/>
    <w:rsid w:val="000D2F65"/>
    <w:rsid w:val="000D31BF"/>
    <w:rsid w:val="000D3613"/>
    <w:rsid w:val="000D4369"/>
    <w:rsid w:val="000D4A5D"/>
    <w:rsid w:val="000D4A66"/>
    <w:rsid w:val="000D4C45"/>
    <w:rsid w:val="000D5563"/>
    <w:rsid w:val="000D5B9C"/>
    <w:rsid w:val="000D5F22"/>
    <w:rsid w:val="000D6BD1"/>
    <w:rsid w:val="000D6C2E"/>
    <w:rsid w:val="000D70ED"/>
    <w:rsid w:val="000D72C8"/>
    <w:rsid w:val="000D7345"/>
    <w:rsid w:val="000E058B"/>
    <w:rsid w:val="000E089B"/>
    <w:rsid w:val="000E0AF7"/>
    <w:rsid w:val="000E1568"/>
    <w:rsid w:val="000E1AE6"/>
    <w:rsid w:val="000E1F09"/>
    <w:rsid w:val="000E1F2C"/>
    <w:rsid w:val="000E1F74"/>
    <w:rsid w:val="000E28A7"/>
    <w:rsid w:val="000E2D24"/>
    <w:rsid w:val="000E38D2"/>
    <w:rsid w:val="000E3A8F"/>
    <w:rsid w:val="000E3C26"/>
    <w:rsid w:val="000E43E6"/>
    <w:rsid w:val="000E44CF"/>
    <w:rsid w:val="000E4543"/>
    <w:rsid w:val="000E5471"/>
    <w:rsid w:val="000E54B8"/>
    <w:rsid w:val="000E5522"/>
    <w:rsid w:val="000E6A44"/>
    <w:rsid w:val="000E7415"/>
    <w:rsid w:val="000E79E3"/>
    <w:rsid w:val="000E7A11"/>
    <w:rsid w:val="000E7AA7"/>
    <w:rsid w:val="000E7B77"/>
    <w:rsid w:val="000E7C2F"/>
    <w:rsid w:val="000E7F37"/>
    <w:rsid w:val="000F0094"/>
    <w:rsid w:val="000F0326"/>
    <w:rsid w:val="000F05F9"/>
    <w:rsid w:val="000F1000"/>
    <w:rsid w:val="000F192F"/>
    <w:rsid w:val="000F1A4D"/>
    <w:rsid w:val="000F1B10"/>
    <w:rsid w:val="000F2377"/>
    <w:rsid w:val="000F2E17"/>
    <w:rsid w:val="000F2F1E"/>
    <w:rsid w:val="000F3BC6"/>
    <w:rsid w:val="000F3BCE"/>
    <w:rsid w:val="000F402B"/>
    <w:rsid w:val="000F42BA"/>
    <w:rsid w:val="000F43BC"/>
    <w:rsid w:val="000F48A0"/>
    <w:rsid w:val="000F4BA3"/>
    <w:rsid w:val="000F4C32"/>
    <w:rsid w:val="000F4E66"/>
    <w:rsid w:val="000F5007"/>
    <w:rsid w:val="000F5068"/>
    <w:rsid w:val="000F50ED"/>
    <w:rsid w:val="000F5591"/>
    <w:rsid w:val="000F6482"/>
    <w:rsid w:val="000F6BA8"/>
    <w:rsid w:val="000F6FAD"/>
    <w:rsid w:val="000F7335"/>
    <w:rsid w:val="000F7A4B"/>
    <w:rsid w:val="0010049D"/>
    <w:rsid w:val="001006F2"/>
    <w:rsid w:val="00101282"/>
    <w:rsid w:val="00101475"/>
    <w:rsid w:val="0010176B"/>
    <w:rsid w:val="00101F01"/>
    <w:rsid w:val="00101FEF"/>
    <w:rsid w:val="00103270"/>
    <w:rsid w:val="00103BAD"/>
    <w:rsid w:val="00103E6A"/>
    <w:rsid w:val="00103F24"/>
    <w:rsid w:val="001047DB"/>
    <w:rsid w:val="001048BC"/>
    <w:rsid w:val="00105051"/>
    <w:rsid w:val="0010528F"/>
    <w:rsid w:val="00105857"/>
    <w:rsid w:val="00106540"/>
    <w:rsid w:val="001068A3"/>
    <w:rsid w:val="00106D3B"/>
    <w:rsid w:val="00106D9B"/>
    <w:rsid w:val="00106F66"/>
    <w:rsid w:val="001075E3"/>
    <w:rsid w:val="00110022"/>
    <w:rsid w:val="0011032D"/>
    <w:rsid w:val="001103D1"/>
    <w:rsid w:val="001108B0"/>
    <w:rsid w:val="001109B0"/>
    <w:rsid w:val="00111B7E"/>
    <w:rsid w:val="00111DB2"/>
    <w:rsid w:val="00111F20"/>
    <w:rsid w:val="0011260E"/>
    <w:rsid w:val="0011267C"/>
    <w:rsid w:val="00112964"/>
    <w:rsid w:val="00112A4A"/>
    <w:rsid w:val="00112DEA"/>
    <w:rsid w:val="001134CE"/>
    <w:rsid w:val="00113890"/>
    <w:rsid w:val="0011562B"/>
    <w:rsid w:val="00115A06"/>
    <w:rsid w:val="001160C2"/>
    <w:rsid w:val="00116109"/>
    <w:rsid w:val="00116112"/>
    <w:rsid w:val="001165D8"/>
    <w:rsid w:val="00116A02"/>
    <w:rsid w:val="00116B30"/>
    <w:rsid w:val="00116F84"/>
    <w:rsid w:val="001176D7"/>
    <w:rsid w:val="00117AC8"/>
    <w:rsid w:val="00117E6F"/>
    <w:rsid w:val="00117F8C"/>
    <w:rsid w:val="0012050F"/>
    <w:rsid w:val="001210B0"/>
    <w:rsid w:val="00121B79"/>
    <w:rsid w:val="00122551"/>
    <w:rsid w:val="001225A7"/>
    <w:rsid w:val="001226B6"/>
    <w:rsid w:val="00122BD8"/>
    <w:rsid w:val="00122F40"/>
    <w:rsid w:val="00123426"/>
    <w:rsid w:val="00124204"/>
    <w:rsid w:val="00124236"/>
    <w:rsid w:val="00125E9F"/>
    <w:rsid w:val="00126044"/>
    <w:rsid w:val="0012621E"/>
    <w:rsid w:val="001263B4"/>
    <w:rsid w:val="0012662D"/>
    <w:rsid w:val="001270CC"/>
    <w:rsid w:val="00127487"/>
    <w:rsid w:val="0012749C"/>
    <w:rsid w:val="00127C0B"/>
    <w:rsid w:val="00127D31"/>
    <w:rsid w:val="00127E10"/>
    <w:rsid w:val="00127EA5"/>
    <w:rsid w:val="00130F13"/>
    <w:rsid w:val="00131426"/>
    <w:rsid w:val="00132508"/>
    <w:rsid w:val="00132C10"/>
    <w:rsid w:val="00132DF5"/>
    <w:rsid w:val="001334DC"/>
    <w:rsid w:val="0013372F"/>
    <w:rsid w:val="00133D01"/>
    <w:rsid w:val="00133F5C"/>
    <w:rsid w:val="00134098"/>
    <w:rsid w:val="0013431B"/>
    <w:rsid w:val="001348E4"/>
    <w:rsid w:val="00134C29"/>
    <w:rsid w:val="00135C38"/>
    <w:rsid w:val="00135E4F"/>
    <w:rsid w:val="00136045"/>
    <w:rsid w:val="001363B3"/>
    <w:rsid w:val="00136A5F"/>
    <w:rsid w:val="00137300"/>
    <w:rsid w:val="001377F6"/>
    <w:rsid w:val="001400D2"/>
    <w:rsid w:val="00140244"/>
    <w:rsid w:val="001403F1"/>
    <w:rsid w:val="001409EA"/>
    <w:rsid w:val="0014181D"/>
    <w:rsid w:val="0014182A"/>
    <w:rsid w:val="00142387"/>
    <w:rsid w:val="00142A1E"/>
    <w:rsid w:val="00142A95"/>
    <w:rsid w:val="001430D9"/>
    <w:rsid w:val="001434C6"/>
    <w:rsid w:val="001439A0"/>
    <w:rsid w:val="00143AC2"/>
    <w:rsid w:val="0014404F"/>
    <w:rsid w:val="0014405E"/>
    <w:rsid w:val="0014448B"/>
    <w:rsid w:val="001444E1"/>
    <w:rsid w:val="00144BE3"/>
    <w:rsid w:val="001454B3"/>
    <w:rsid w:val="0014682C"/>
    <w:rsid w:val="00146AB0"/>
    <w:rsid w:val="00147106"/>
    <w:rsid w:val="001472B5"/>
    <w:rsid w:val="0014766E"/>
    <w:rsid w:val="00147A32"/>
    <w:rsid w:val="001500DB"/>
    <w:rsid w:val="001505F4"/>
    <w:rsid w:val="00150949"/>
    <w:rsid w:val="001509D1"/>
    <w:rsid w:val="00150A00"/>
    <w:rsid w:val="001514F1"/>
    <w:rsid w:val="00151872"/>
    <w:rsid w:val="0015198B"/>
    <w:rsid w:val="001523C6"/>
    <w:rsid w:val="00152408"/>
    <w:rsid w:val="00152B76"/>
    <w:rsid w:val="00152CD1"/>
    <w:rsid w:val="00152CF8"/>
    <w:rsid w:val="00152F55"/>
    <w:rsid w:val="00152F7D"/>
    <w:rsid w:val="001537CD"/>
    <w:rsid w:val="00153C1A"/>
    <w:rsid w:val="00153C87"/>
    <w:rsid w:val="00153F66"/>
    <w:rsid w:val="001544F2"/>
    <w:rsid w:val="0015476A"/>
    <w:rsid w:val="00155635"/>
    <w:rsid w:val="00155770"/>
    <w:rsid w:val="00155833"/>
    <w:rsid w:val="00155925"/>
    <w:rsid w:val="00155B9A"/>
    <w:rsid w:val="001561F6"/>
    <w:rsid w:val="00156331"/>
    <w:rsid w:val="00156509"/>
    <w:rsid w:val="00156966"/>
    <w:rsid w:val="00157C37"/>
    <w:rsid w:val="00157EED"/>
    <w:rsid w:val="001601C6"/>
    <w:rsid w:val="00160202"/>
    <w:rsid w:val="001603B7"/>
    <w:rsid w:val="001604B1"/>
    <w:rsid w:val="00160805"/>
    <w:rsid w:val="00161491"/>
    <w:rsid w:val="001614E4"/>
    <w:rsid w:val="00161A6F"/>
    <w:rsid w:val="00161B27"/>
    <w:rsid w:val="00162417"/>
    <w:rsid w:val="0016275C"/>
    <w:rsid w:val="00162B1B"/>
    <w:rsid w:val="00162C32"/>
    <w:rsid w:val="00163044"/>
    <w:rsid w:val="001634DD"/>
    <w:rsid w:val="001639A0"/>
    <w:rsid w:val="00163A6B"/>
    <w:rsid w:val="001640E4"/>
    <w:rsid w:val="00164FA6"/>
    <w:rsid w:val="00165525"/>
    <w:rsid w:val="001655F6"/>
    <w:rsid w:val="00165814"/>
    <w:rsid w:val="0016589E"/>
    <w:rsid w:val="00165B1A"/>
    <w:rsid w:val="00166675"/>
    <w:rsid w:val="0016678F"/>
    <w:rsid w:val="00166A1C"/>
    <w:rsid w:val="00166B2C"/>
    <w:rsid w:val="00166B83"/>
    <w:rsid w:val="00167014"/>
    <w:rsid w:val="0016748C"/>
    <w:rsid w:val="001700B3"/>
    <w:rsid w:val="001714E7"/>
    <w:rsid w:val="001715F3"/>
    <w:rsid w:val="00172169"/>
    <w:rsid w:val="001722FC"/>
    <w:rsid w:val="001730DF"/>
    <w:rsid w:val="0017329E"/>
    <w:rsid w:val="0017384B"/>
    <w:rsid w:val="00173CEB"/>
    <w:rsid w:val="00174C43"/>
    <w:rsid w:val="001750F0"/>
    <w:rsid w:val="001751C0"/>
    <w:rsid w:val="001753A1"/>
    <w:rsid w:val="00175A24"/>
    <w:rsid w:val="00175A63"/>
    <w:rsid w:val="00175B84"/>
    <w:rsid w:val="00175C53"/>
    <w:rsid w:val="00176843"/>
    <w:rsid w:val="00176E8C"/>
    <w:rsid w:val="00177A25"/>
    <w:rsid w:val="00177FAD"/>
    <w:rsid w:val="0018057B"/>
    <w:rsid w:val="00180602"/>
    <w:rsid w:val="00180D14"/>
    <w:rsid w:val="00181095"/>
    <w:rsid w:val="001812BD"/>
    <w:rsid w:val="001815C7"/>
    <w:rsid w:val="00181B38"/>
    <w:rsid w:val="00182454"/>
    <w:rsid w:val="00182DF7"/>
    <w:rsid w:val="00184010"/>
    <w:rsid w:val="00184053"/>
    <w:rsid w:val="001842D0"/>
    <w:rsid w:val="00184564"/>
    <w:rsid w:val="001849AB"/>
    <w:rsid w:val="00185253"/>
    <w:rsid w:val="00185A3F"/>
    <w:rsid w:val="00185BDC"/>
    <w:rsid w:val="00185F19"/>
    <w:rsid w:val="0018617F"/>
    <w:rsid w:val="0018621D"/>
    <w:rsid w:val="00186566"/>
    <w:rsid w:val="001868EA"/>
    <w:rsid w:val="00186D67"/>
    <w:rsid w:val="00187FE1"/>
    <w:rsid w:val="001911B5"/>
    <w:rsid w:val="00191A29"/>
    <w:rsid w:val="00191C64"/>
    <w:rsid w:val="00191D6A"/>
    <w:rsid w:val="00192505"/>
    <w:rsid w:val="00192D69"/>
    <w:rsid w:val="0019380D"/>
    <w:rsid w:val="00193822"/>
    <w:rsid w:val="00194146"/>
    <w:rsid w:val="001941CC"/>
    <w:rsid w:val="00194576"/>
    <w:rsid w:val="00195509"/>
    <w:rsid w:val="00195A1E"/>
    <w:rsid w:val="00195EA8"/>
    <w:rsid w:val="001965BB"/>
    <w:rsid w:val="001969FF"/>
    <w:rsid w:val="00196E0D"/>
    <w:rsid w:val="001A03C2"/>
    <w:rsid w:val="001A046C"/>
    <w:rsid w:val="001A0684"/>
    <w:rsid w:val="001A0CD3"/>
    <w:rsid w:val="001A0E51"/>
    <w:rsid w:val="001A1F1B"/>
    <w:rsid w:val="001A2C9C"/>
    <w:rsid w:val="001A2EAD"/>
    <w:rsid w:val="001A313E"/>
    <w:rsid w:val="001A3313"/>
    <w:rsid w:val="001A40AC"/>
    <w:rsid w:val="001A4459"/>
    <w:rsid w:val="001A4C7F"/>
    <w:rsid w:val="001A50A2"/>
    <w:rsid w:val="001A5347"/>
    <w:rsid w:val="001A54AD"/>
    <w:rsid w:val="001A56C9"/>
    <w:rsid w:val="001A6814"/>
    <w:rsid w:val="001A6C62"/>
    <w:rsid w:val="001A6FDA"/>
    <w:rsid w:val="001A7306"/>
    <w:rsid w:val="001A7381"/>
    <w:rsid w:val="001A7F13"/>
    <w:rsid w:val="001B010D"/>
    <w:rsid w:val="001B023A"/>
    <w:rsid w:val="001B0493"/>
    <w:rsid w:val="001B177E"/>
    <w:rsid w:val="001B19F0"/>
    <w:rsid w:val="001B1A11"/>
    <w:rsid w:val="001B1A34"/>
    <w:rsid w:val="001B222B"/>
    <w:rsid w:val="001B23B3"/>
    <w:rsid w:val="001B2711"/>
    <w:rsid w:val="001B2C49"/>
    <w:rsid w:val="001B3892"/>
    <w:rsid w:val="001B3DBE"/>
    <w:rsid w:val="001B3FF5"/>
    <w:rsid w:val="001B401A"/>
    <w:rsid w:val="001B50CF"/>
    <w:rsid w:val="001B5A16"/>
    <w:rsid w:val="001B5C70"/>
    <w:rsid w:val="001B6049"/>
    <w:rsid w:val="001B62D9"/>
    <w:rsid w:val="001B6CB2"/>
    <w:rsid w:val="001B7217"/>
    <w:rsid w:val="001C008E"/>
    <w:rsid w:val="001C01C8"/>
    <w:rsid w:val="001C1503"/>
    <w:rsid w:val="001C1651"/>
    <w:rsid w:val="001C17D4"/>
    <w:rsid w:val="001C1834"/>
    <w:rsid w:val="001C1F8F"/>
    <w:rsid w:val="001C2720"/>
    <w:rsid w:val="001C27F1"/>
    <w:rsid w:val="001C478E"/>
    <w:rsid w:val="001C5342"/>
    <w:rsid w:val="001C5969"/>
    <w:rsid w:val="001C5CBA"/>
    <w:rsid w:val="001C625F"/>
    <w:rsid w:val="001C6495"/>
    <w:rsid w:val="001C6B24"/>
    <w:rsid w:val="001C6F7A"/>
    <w:rsid w:val="001C76EC"/>
    <w:rsid w:val="001C7B0F"/>
    <w:rsid w:val="001C7FD5"/>
    <w:rsid w:val="001D0C5D"/>
    <w:rsid w:val="001D1333"/>
    <w:rsid w:val="001D18A1"/>
    <w:rsid w:val="001D1A8E"/>
    <w:rsid w:val="001D22BA"/>
    <w:rsid w:val="001D27C3"/>
    <w:rsid w:val="001D2C42"/>
    <w:rsid w:val="001D2E2F"/>
    <w:rsid w:val="001D3B6D"/>
    <w:rsid w:val="001D4615"/>
    <w:rsid w:val="001D4C92"/>
    <w:rsid w:val="001D4F40"/>
    <w:rsid w:val="001D57DB"/>
    <w:rsid w:val="001D5CDB"/>
    <w:rsid w:val="001D5DF4"/>
    <w:rsid w:val="001D66FB"/>
    <w:rsid w:val="001D6767"/>
    <w:rsid w:val="001D6E2A"/>
    <w:rsid w:val="001D7154"/>
    <w:rsid w:val="001D76DE"/>
    <w:rsid w:val="001E0859"/>
    <w:rsid w:val="001E0E41"/>
    <w:rsid w:val="001E1168"/>
    <w:rsid w:val="001E1252"/>
    <w:rsid w:val="001E1434"/>
    <w:rsid w:val="001E16FB"/>
    <w:rsid w:val="001E1EBB"/>
    <w:rsid w:val="001E1F8B"/>
    <w:rsid w:val="001E2062"/>
    <w:rsid w:val="001E231D"/>
    <w:rsid w:val="001E23B8"/>
    <w:rsid w:val="001E258B"/>
    <w:rsid w:val="001E27CF"/>
    <w:rsid w:val="001E27D1"/>
    <w:rsid w:val="001E2804"/>
    <w:rsid w:val="001E2F09"/>
    <w:rsid w:val="001E35E2"/>
    <w:rsid w:val="001E3846"/>
    <w:rsid w:val="001E391D"/>
    <w:rsid w:val="001E446A"/>
    <w:rsid w:val="001E54E3"/>
    <w:rsid w:val="001E5507"/>
    <w:rsid w:val="001E5926"/>
    <w:rsid w:val="001E5C1B"/>
    <w:rsid w:val="001E5F1E"/>
    <w:rsid w:val="001E65A4"/>
    <w:rsid w:val="001E6902"/>
    <w:rsid w:val="001E7076"/>
    <w:rsid w:val="001E7953"/>
    <w:rsid w:val="001F023F"/>
    <w:rsid w:val="001F0372"/>
    <w:rsid w:val="001F054F"/>
    <w:rsid w:val="001F06C0"/>
    <w:rsid w:val="001F0BCD"/>
    <w:rsid w:val="001F1757"/>
    <w:rsid w:val="001F18F8"/>
    <w:rsid w:val="001F1F6A"/>
    <w:rsid w:val="001F20B0"/>
    <w:rsid w:val="001F2728"/>
    <w:rsid w:val="001F2878"/>
    <w:rsid w:val="001F2FD6"/>
    <w:rsid w:val="001F47FB"/>
    <w:rsid w:val="001F4887"/>
    <w:rsid w:val="001F4E9D"/>
    <w:rsid w:val="001F5473"/>
    <w:rsid w:val="001F6371"/>
    <w:rsid w:val="001F653F"/>
    <w:rsid w:val="001F6B51"/>
    <w:rsid w:val="001F6E60"/>
    <w:rsid w:val="001F7B27"/>
    <w:rsid w:val="001F7CC9"/>
    <w:rsid w:val="001F7F5A"/>
    <w:rsid w:val="002004B3"/>
    <w:rsid w:val="00200670"/>
    <w:rsid w:val="00200F14"/>
    <w:rsid w:val="00201358"/>
    <w:rsid w:val="0020159B"/>
    <w:rsid w:val="00201869"/>
    <w:rsid w:val="002027B0"/>
    <w:rsid w:val="0020282C"/>
    <w:rsid w:val="00203008"/>
    <w:rsid w:val="002037A6"/>
    <w:rsid w:val="0020390C"/>
    <w:rsid w:val="00203967"/>
    <w:rsid w:val="002039DE"/>
    <w:rsid w:val="00204575"/>
    <w:rsid w:val="00204924"/>
    <w:rsid w:val="00204D3B"/>
    <w:rsid w:val="00204D5D"/>
    <w:rsid w:val="00204F7B"/>
    <w:rsid w:val="0020502A"/>
    <w:rsid w:val="00205779"/>
    <w:rsid w:val="00206037"/>
    <w:rsid w:val="002061AB"/>
    <w:rsid w:val="00206770"/>
    <w:rsid w:val="002068BD"/>
    <w:rsid w:val="002072D0"/>
    <w:rsid w:val="00207A50"/>
    <w:rsid w:val="00207DE2"/>
    <w:rsid w:val="00210CF6"/>
    <w:rsid w:val="00211169"/>
    <w:rsid w:val="00211359"/>
    <w:rsid w:val="002113D9"/>
    <w:rsid w:val="002119BF"/>
    <w:rsid w:val="002125DE"/>
    <w:rsid w:val="00213300"/>
    <w:rsid w:val="00213DA6"/>
    <w:rsid w:val="00213E3E"/>
    <w:rsid w:val="0021401B"/>
    <w:rsid w:val="0021479B"/>
    <w:rsid w:val="00214A6A"/>
    <w:rsid w:val="0021500E"/>
    <w:rsid w:val="00215C47"/>
    <w:rsid w:val="00215CB1"/>
    <w:rsid w:val="00216B2A"/>
    <w:rsid w:val="00216DEA"/>
    <w:rsid w:val="00216E85"/>
    <w:rsid w:val="00217218"/>
    <w:rsid w:val="002178F5"/>
    <w:rsid w:val="00220482"/>
    <w:rsid w:val="002210A9"/>
    <w:rsid w:val="002212D6"/>
    <w:rsid w:val="00221E7F"/>
    <w:rsid w:val="00222084"/>
    <w:rsid w:val="00222BD9"/>
    <w:rsid w:val="00223339"/>
    <w:rsid w:val="002235C9"/>
    <w:rsid w:val="0022396D"/>
    <w:rsid w:val="00223A31"/>
    <w:rsid w:val="00223EE6"/>
    <w:rsid w:val="0022405E"/>
    <w:rsid w:val="0022450D"/>
    <w:rsid w:val="0022581C"/>
    <w:rsid w:val="00225FFB"/>
    <w:rsid w:val="00226135"/>
    <w:rsid w:val="002262CB"/>
    <w:rsid w:val="0022648D"/>
    <w:rsid w:val="002270AB"/>
    <w:rsid w:val="002272BC"/>
    <w:rsid w:val="00230161"/>
    <w:rsid w:val="002301F5"/>
    <w:rsid w:val="0023045B"/>
    <w:rsid w:val="00230687"/>
    <w:rsid w:val="0023109F"/>
    <w:rsid w:val="0023113F"/>
    <w:rsid w:val="002312E0"/>
    <w:rsid w:val="002316CB"/>
    <w:rsid w:val="002317EB"/>
    <w:rsid w:val="00232047"/>
    <w:rsid w:val="0023256B"/>
    <w:rsid w:val="002326F3"/>
    <w:rsid w:val="00232AF0"/>
    <w:rsid w:val="00232C48"/>
    <w:rsid w:val="00232E97"/>
    <w:rsid w:val="00233471"/>
    <w:rsid w:val="00233A2A"/>
    <w:rsid w:val="00233BC5"/>
    <w:rsid w:val="00233D4D"/>
    <w:rsid w:val="0023404E"/>
    <w:rsid w:val="00234245"/>
    <w:rsid w:val="002343D8"/>
    <w:rsid w:val="002345F3"/>
    <w:rsid w:val="00234A79"/>
    <w:rsid w:val="00234C39"/>
    <w:rsid w:val="002352B7"/>
    <w:rsid w:val="002352DC"/>
    <w:rsid w:val="00235861"/>
    <w:rsid w:val="0023596F"/>
    <w:rsid w:val="00235A3E"/>
    <w:rsid w:val="00235DC4"/>
    <w:rsid w:val="00235DCA"/>
    <w:rsid w:val="00236009"/>
    <w:rsid w:val="002362AA"/>
    <w:rsid w:val="00236373"/>
    <w:rsid w:val="00236448"/>
    <w:rsid w:val="0023664E"/>
    <w:rsid w:val="00236A89"/>
    <w:rsid w:val="00236AE7"/>
    <w:rsid w:val="00236DB0"/>
    <w:rsid w:val="0023766E"/>
    <w:rsid w:val="00237710"/>
    <w:rsid w:val="0023775D"/>
    <w:rsid w:val="0023780C"/>
    <w:rsid w:val="002379A2"/>
    <w:rsid w:val="00237CCF"/>
    <w:rsid w:val="00240F1D"/>
    <w:rsid w:val="002414F7"/>
    <w:rsid w:val="00241A72"/>
    <w:rsid w:val="002421A0"/>
    <w:rsid w:val="0024228E"/>
    <w:rsid w:val="00242D5F"/>
    <w:rsid w:val="00243028"/>
    <w:rsid w:val="0024321C"/>
    <w:rsid w:val="002434AA"/>
    <w:rsid w:val="0024362D"/>
    <w:rsid w:val="00243DC8"/>
    <w:rsid w:val="00244496"/>
    <w:rsid w:val="00244D52"/>
    <w:rsid w:val="00245998"/>
    <w:rsid w:val="00245A44"/>
    <w:rsid w:val="00245F1F"/>
    <w:rsid w:val="0024654D"/>
    <w:rsid w:val="002466B9"/>
    <w:rsid w:val="002468FC"/>
    <w:rsid w:val="002469D6"/>
    <w:rsid w:val="00246D43"/>
    <w:rsid w:val="00247217"/>
    <w:rsid w:val="00247A5C"/>
    <w:rsid w:val="002507D8"/>
    <w:rsid w:val="00250BA8"/>
    <w:rsid w:val="002514CB"/>
    <w:rsid w:val="00251B3C"/>
    <w:rsid w:val="00251E3B"/>
    <w:rsid w:val="00251EA9"/>
    <w:rsid w:val="0025201D"/>
    <w:rsid w:val="0025214C"/>
    <w:rsid w:val="00252571"/>
    <w:rsid w:val="00252DE4"/>
    <w:rsid w:val="0025300F"/>
    <w:rsid w:val="0025342F"/>
    <w:rsid w:val="00253971"/>
    <w:rsid w:val="002539C2"/>
    <w:rsid w:val="00253AB2"/>
    <w:rsid w:val="00253E6B"/>
    <w:rsid w:val="00253F3B"/>
    <w:rsid w:val="00254C68"/>
    <w:rsid w:val="00254E32"/>
    <w:rsid w:val="00255028"/>
    <w:rsid w:val="00255378"/>
    <w:rsid w:val="002559C0"/>
    <w:rsid w:val="00255F09"/>
    <w:rsid w:val="00256302"/>
    <w:rsid w:val="002564F5"/>
    <w:rsid w:val="00256A10"/>
    <w:rsid w:val="00257E06"/>
    <w:rsid w:val="00257F38"/>
    <w:rsid w:val="00261B96"/>
    <w:rsid w:val="00261C57"/>
    <w:rsid w:val="00261E45"/>
    <w:rsid w:val="00263334"/>
    <w:rsid w:val="002637E5"/>
    <w:rsid w:val="00263A18"/>
    <w:rsid w:val="00263A3F"/>
    <w:rsid w:val="00263B9A"/>
    <w:rsid w:val="00263CC2"/>
    <w:rsid w:val="00263E0B"/>
    <w:rsid w:val="002642C7"/>
    <w:rsid w:val="00264972"/>
    <w:rsid w:val="0026562E"/>
    <w:rsid w:val="00265C57"/>
    <w:rsid w:val="00265ED6"/>
    <w:rsid w:val="00265FB4"/>
    <w:rsid w:val="00266033"/>
    <w:rsid w:val="00266329"/>
    <w:rsid w:val="0026656C"/>
    <w:rsid w:val="00266769"/>
    <w:rsid w:val="0026686A"/>
    <w:rsid w:val="00266AE7"/>
    <w:rsid w:val="00266B7C"/>
    <w:rsid w:val="0026710C"/>
    <w:rsid w:val="00267C4A"/>
    <w:rsid w:val="00267CB5"/>
    <w:rsid w:val="00267E2E"/>
    <w:rsid w:val="0027005C"/>
    <w:rsid w:val="002701EE"/>
    <w:rsid w:val="00270564"/>
    <w:rsid w:val="0027067B"/>
    <w:rsid w:val="00271455"/>
    <w:rsid w:val="0027163E"/>
    <w:rsid w:val="00271FE1"/>
    <w:rsid w:val="00272453"/>
    <w:rsid w:val="002735C7"/>
    <w:rsid w:val="00273B47"/>
    <w:rsid w:val="00273BAA"/>
    <w:rsid w:val="00274362"/>
    <w:rsid w:val="002743C2"/>
    <w:rsid w:val="00274E3E"/>
    <w:rsid w:val="002751D9"/>
    <w:rsid w:val="0027529A"/>
    <w:rsid w:val="00275920"/>
    <w:rsid w:val="00275F9F"/>
    <w:rsid w:val="0027714D"/>
    <w:rsid w:val="002772A0"/>
    <w:rsid w:val="002778EF"/>
    <w:rsid w:val="00277CB4"/>
    <w:rsid w:val="00280097"/>
    <w:rsid w:val="00280846"/>
    <w:rsid w:val="00280FAD"/>
    <w:rsid w:val="00281948"/>
    <w:rsid w:val="00281990"/>
    <w:rsid w:val="002819EF"/>
    <w:rsid w:val="00281B93"/>
    <w:rsid w:val="00281C98"/>
    <w:rsid w:val="00281CA0"/>
    <w:rsid w:val="00282470"/>
    <w:rsid w:val="002826FB"/>
    <w:rsid w:val="00282BE4"/>
    <w:rsid w:val="00284089"/>
    <w:rsid w:val="002842B0"/>
    <w:rsid w:val="00284430"/>
    <w:rsid w:val="0028488A"/>
    <w:rsid w:val="00284AE6"/>
    <w:rsid w:val="00284B52"/>
    <w:rsid w:val="002860ED"/>
    <w:rsid w:val="0028707E"/>
    <w:rsid w:val="002870EF"/>
    <w:rsid w:val="0028731C"/>
    <w:rsid w:val="00287454"/>
    <w:rsid w:val="0028777B"/>
    <w:rsid w:val="002878BE"/>
    <w:rsid w:val="002878F5"/>
    <w:rsid w:val="00290130"/>
    <w:rsid w:val="0029039B"/>
    <w:rsid w:val="002903F5"/>
    <w:rsid w:val="00290BDF"/>
    <w:rsid w:val="00290FCC"/>
    <w:rsid w:val="00291407"/>
    <w:rsid w:val="0029149F"/>
    <w:rsid w:val="00291F15"/>
    <w:rsid w:val="002923E5"/>
    <w:rsid w:val="002925EC"/>
    <w:rsid w:val="00292FC7"/>
    <w:rsid w:val="00293268"/>
    <w:rsid w:val="00293684"/>
    <w:rsid w:val="002938FC"/>
    <w:rsid w:val="002939F9"/>
    <w:rsid w:val="00293C00"/>
    <w:rsid w:val="002941A4"/>
    <w:rsid w:val="0029459B"/>
    <w:rsid w:val="002945F0"/>
    <w:rsid w:val="0029500F"/>
    <w:rsid w:val="00295716"/>
    <w:rsid w:val="0029588F"/>
    <w:rsid w:val="0029639F"/>
    <w:rsid w:val="00296781"/>
    <w:rsid w:val="00297050"/>
    <w:rsid w:val="002971C4"/>
    <w:rsid w:val="00297281"/>
    <w:rsid w:val="00297543"/>
    <w:rsid w:val="00297A41"/>
    <w:rsid w:val="002A0356"/>
    <w:rsid w:val="002A0B59"/>
    <w:rsid w:val="002A1153"/>
    <w:rsid w:val="002A20F9"/>
    <w:rsid w:val="002A2223"/>
    <w:rsid w:val="002A334C"/>
    <w:rsid w:val="002A3860"/>
    <w:rsid w:val="002A3CBB"/>
    <w:rsid w:val="002A457D"/>
    <w:rsid w:val="002A572C"/>
    <w:rsid w:val="002A57CF"/>
    <w:rsid w:val="002A6667"/>
    <w:rsid w:val="002A6A12"/>
    <w:rsid w:val="002A6BDC"/>
    <w:rsid w:val="002A6EE2"/>
    <w:rsid w:val="002A6F01"/>
    <w:rsid w:val="002A78F0"/>
    <w:rsid w:val="002A7F93"/>
    <w:rsid w:val="002B0577"/>
    <w:rsid w:val="002B1039"/>
    <w:rsid w:val="002B16C8"/>
    <w:rsid w:val="002B1B61"/>
    <w:rsid w:val="002B2567"/>
    <w:rsid w:val="002B2C2A"/>
    <w:rsid w:val="002B2CBE"/>
    <w:rsid w:val="002B3159"/>
    <w:rsid w:val="002B3692"/>
    <w:rsid w:val="002B37DD"/>
    <w:rsid w:val="002B3F9F"/>
    <w:rsid w:val="002B3FF8"/>
    <w:rsid w:val="002B4040"/>
    <w:rsid w:val="002B44C9"/>
    <w:rsid w:val="002B5395"/>
    <w:rsid w:val="002B5BA6"/>
    <w:rsid w:val="002B6E8C"/>
    <w:rsid w:val="002B700B"/>
    <w:rsid w:val="002B70F6"/>
    <w:rsid w:val="002B7205"/>
    <w:rsid w:val="002B7E66"/>
    <w:rsid w:val="002C0602"/>
    <w:rsid w:val="002C08F3"/>
    <w:rsid w:val="002C18BA"/>
    <w:rsid w:val="002C1948"/>
    <w:rsid w:val="002C27A8"/>
    <w:rsid w:val="002C3101"/>
    <w:rsid w:val="002C3232"/>
    <w:rsid w:val="002C32A4"/>
    <w:rsid w:val="002C383A"/>
    <w:rsid w:val="002C3848"/>
    <w:rsid w:val="002C3C43"/>
    <w:rsid w:val="002C3C64"/>
    <w:rsid w:val="002C3F40"/>
    <w:rsid w:val="002C5BA4"/>
    <w:rsid w:val="002C63BE"/>
    <w:rsid w:val="002C63FA"/>
    <w:rsid w:val="002C65D8"/>
    <w:rsid w:val="002C6D77"/>
    <w:rsid w:val="002C6E61"/>
    <w:rsid w:val="002C6FB7"/>
    <w:rsid w:val="002C77AC"/>
    <w:rsid w:val="002C7C4C"/>
    <w:rsid w:val="002C7F12"/>
    <w:rsid w:val="002D0405"/>
    <w:rsid w:val="002D05FB"/>
    <w:rsid w:val="002D0BDB"/>
    <w:rsid w:val="002D0C7B"/>
    <w:rsid w:val="002D15C3"/>
    <w:rsid w:val="002D2006"/>
    <w:rsid w:val="002D2492"/>
    <w:rsid w:val="002D2FC5"/>
    <w:rsid w:val="002D3153"/>
    <w:rsid w:val="002D4077"/>
    <w:rsid w:val="002D45F5"/>
    <w:rsid w:val="002D4620"/>
    <w:rsid w:val="002D516A"/>
    <w:rsid w:val="002D5B60"/>
    <w:rsid w:val="002D5C28"/>
    <w:rsid w:val="002D6269"/>
    <w:rsid w:val="002D6746"/>
    <w:rsid w:val="002D67B9"/>
    <w:rsid w:val="002D6A8F"/>
    <w:rsid w:val="002D6FE8"/>
    <w:rsid w:val="002D7370"/>
    <w:rsid w:val="002D7EB1"/>
    <w:rsid w:val="002E004D"/>
    <w:rsid w:val="002E0F9C"/>
    <w:rsid w:val="002E1924"/>
    <w:rsid w:val="002E2172"/>
    <w:rsid w:val="002E3087"/>
    <w:rsid w:val="002E3314"/>
    <w:rsid w:val="002E357B"/>
    <w:rsid w:val="002E37BB"/>
    <w:rsid w:val="002E3BC3"/>
    <w:rsid w:val="002E3DD4"/>
    <w:rsid w:val="002E5B4B"/>
    <w:rsid w:val="002E5E0F"/>
    <w:rsid w:val="002E6192"/>
    <w:rsid w:val="002E62CD"/>
    <w:rsid w:val="002E742C"/>
    <w:rsid w:val="002E76F5"/>
    <w:rsid w:val="002E7BA7"/>
    <w:rsid w:val="002E7CAB"/>
    <w:rsid w:val="002F0ABC"/>
    <w:rsid w:val="002F0D32"/>
    <w:rsid w:val="002F0E2B"/>
    <w:rsid w:val="002F178F"/>
    <w:rsid w:val="002F1A9A"/>
    <w:rsid w:val="002F20AC"/>
    <w:rsid w:val="002F2740"/>
    <w:rsid w:val="002F2865"/>
    <w:rsid w:val="002F28E4"/>
    <w:rsid w:val="002F3171"/>
    <w:rsid w:val="002F340F"/>
    <w:rsid w:val="002F3536"/>
    <w:rsid w:val="002F3647"/>
    <w:rsid w:val="002F3827"/>
    <w:rsid w:val="002F3830"/>
    <w:rsid w:val="002F3FBB"/>
    <w:rsid w:val="002F430F"/>
    <w:rsid w:val="002F4722"/>
    <w:rsid w:val="002F565A"/>
    <w:rsid w:val="002F5732"/>
    <w:rsid w:val="002F5AFA"/>
    <w:rsid w:val="002F5EB7"/>
    <w:rsid w:val="002F67EC"/>
    <w:rsid w:val="002F7195"/>
    <w:rsid w:val="002F7349"/>
    <w:rsid w:val="002F7406"/>
    <w:rsid w:val="002F7AA3"/>
    <w:rsid w:val="002F7E60"/>
    <w:rsid w:val="00300A4E"/>
    <w:rsid w:val="00300C79"/>
    <w:rsid w:val="00301670"/>
    <w:rsid w:val="00301F7F"/>
    <w:rsid w:val="0030226C"/>
    <w:rsid w:val="0030288F"/>
    <w:rsid w:val="00302E34"/>
    <w:rsid w:val="00303923"/>
    <w:rsid w:val="0030404A"/>
    <w:rsid w:val="00304631"/>
    <w:rsid w:val="0030558E"/>
    <w:rsid w:val="00305A8B"/>
    <w:rsid w:val="0030609B"/>
    <w:rsid w:val="003060C4"/>
    <w:rsid w:val="00306F09"/>
    <w:rsid w:val="003072B4"/>
    <w:rsid w:val="003079BB"/>
    <w:rsid w:val="00307BC6"/>
    <w:rsid w:val="00307BCE"/>
    <w:rsid w:val="00310109"/>
    <w:rsid w:val="003108FE"/>
    <w:rsid w:val="0031122E"/>
    <w:rsid w:val="00311893"/>
    <w:rsid w:val="00311B57"/>
    <w:rsid w:val="00311F46"/>
    <w:rsid w:val="00312118"/>
    <w:rsid w:val="00312585"/>
    <w:rsid w:val="003125F9"/>
    <w:rsid w:val="0031286D"/>
    <w:rsid w:val="0031296F"/>
    <w:rsid w:val="00312995"/>
    <w:rsid w:val="00313846"/>
    <w:rsid w:val="00314011"/>
    <w:rsid w:val="00314018"/>
    <w:rsid w:val="00314194"/>
    <w:rsid w:val="003145F0"/>
    <w:rsid w:val="00314A63"/>
    <w:rsid w:val="00314A7B"/>
    <w:rsid w:val="00315A2D"/>
    <w:rsid w:val="00315C5E"/>
    <w:rsid w:val="00315D30"/>
    <w:rsid w:val="00316240"/>
    <w:rsid w:val="003163D1"/>
    <w:rsid w:val="0031659B"/>
    <w:rsid w:val="0031666A"/>
    <w:rsid w:val="00316A3F"/>
    <w:rsid w:val="0031709E"/>
    <w:rsid w:val="00317FEA"/>
    <w:rsid w:val="003201DD"/>
    <w:rsid w:val="00320473"/>
    <w:rsid w:val="003222E0"/>
    <w:rsid w:val="00322AED"/>
    <w:rsid w:val="00322AF9"/>
    <w:rsid w:val="00323213"/>
    <w:rsid w:val="003240B0"/>
    <w:rsid w:val="003247DF"/>
    <w:rsid w:val="00325263"/>
    <w:rsid w:val="00325314"/>
    <w:rsid w:val="00325639"/>
    <w:rsid w:val="00325AAF"/>
    <w:rsid w:val="00325F59"/>
    <w:rsid w:val="00326024"/>
    <w:rsid w:val="003261C4"/>
    <w:rsid w:val="0032674B"/>
    <w:rsid w:val="00326C00"/>
    <w:rsid w:val="00327222"/>
    <w:rsid w:val="00327492"/>
    <w:rsid w:val="00327882"/>
    <w:rsid w:val="00327B30"/>
    <w:rsid w:val="00327D06"/>
    <w:rsid w:val="00330A55"/>
    <w:rsid w:val="00330D5F"/>
    <w:rsid w:val="0033189B"/>
    <w:rsid w:val="0033211B"/>
    <w:rsid w:val="00332266"/>
    <w:rsid w:val="003329AE"/>
    <w:rsid w:val="00332ECA"/>
    <w:rsid w:val="003333BB"/>
    <w:rsid w:val="003340D4"/>
    <w:rsid w:val="00334295"/>
    <w:rsid w:val="0033488B"/>
    <w:rsid w:val="00334B73"/>
    <w:rsid w:val="003354C4"/>
    <w:rsid w:val="00335681"/>
    <w:rsid w:val="003356BC"/>
    <w:rsid w:val="003359FB"/>
    <w:rsid w:val="003365A1"/>
    <w:rsid w:val="0033660E"/>
    <w:rsid w:val="00336D23"/>
    <w:rsid w:val="00336F1C"/>
    <w:rsid w:val="0033780F"/>
    <w:rsid w:val="003405F1"/>
    <w:rsid w:val="003406FC"/>
    <w:rsid w:val="00340881"/>
    <w:rsid w:val="00340A51"/>
    <w:rsid w:val="00340EEF"/>
    <w:rsid w:val="00341353"/>
    <w:rsid w:val="003420D0"/>
    <w:rsid w:val="003426BB"/>
    <w:rsid w:val="00342BA3"/>
    <w:rsid w:val="00342D4C"/>
    <w:rsid w:val="00343EE9"/>
    <w:rsid w:val="00343EFB"/>
    <w:rsid w:val="00344170"/>
    <w:rsid w:val="003444D5"/>
    <w:rsid w:val="003445B3"/>
    <w:rsid w:val="003446AE"/>
    <w:rsid w:val="003446D9"/>
    <w:rsid w:val="00344C46"/>
    <w:rsid w:val="00345803"/>
    <w:rsid w:val="00345CD0"/>
    <w:rsid w:val="00346062"/>
    <w:rsid w:val="00346715"/>
    <w:rsid w:val="00346F31"/>
    <w:rsid w:val="00347320"/>
    <w:rsid w:val="00347597"/>
    <w:rsid w:val="00347D60"/>
    <w:rsid w:val="00347D90"/>
    <w:rsid w:val="00350A91"/>
    <w:rsid w:val="00350FE9"/>
    <w:rsid w:val="0035100C"/>
    <w:rsid w:val="003511DC"/>
    <w:rsid w:val="003513CE"/>
    <w:rsid w:val="003524C4"/>
    <w:rsid w:val="00352643"/>
    <w:rsid w:val="003528BF"/>
    <w:rsid w:val="003529DA"/>
    <w:rsid w:val="0035321D"/>
    <w:rsid w:val="00353893"/>
    <w:rsid w:val="00353A87"/>
    <w:rsid w:val="00353B6C"/>
    <w:rsid w:val="00353D1C"/>
    <w:rsid w:val="00353E9B"/>
    <w:rsid w:val="00354E26"/>
    <w:rsid w:val="003550E9"/>
    <w:rsid w:val="003555BD"/>
    <w:rsid w:val="00355F95"/>
    <w:rsid w:val="0035610B"/>
    <w:rsid w:val="003561B5"/>
    <w:rsid w:val="0035647D"/>
    <w:rsid w:val="00356526"/>
    <w:rsid w:val="003566CC"/>
    <w:rsid w:val="00356DF3"/>
    <w:rsid w:val="003577D3"/>
    <w:rsid w:val="00357EFE"/>
    <w:rsid w:val="003600CA"/>
    <w:rsid w:val="00360897"/>
    <w:rsid w:val="00360952"/>
    <w:rsid w:val="00360FBB"/>
    <w:rsid w:val="00360FE0"/>
    <w:rsid w:val="00361226"/>
    <w:rsid w:val="00361BC6"/>
    <w:rsid w:val="00361C5A"/>
    <w:rsid w:val="00361FEE"/>
    <w:rsid w:val="00362467"/>
    <w:rsid w:val="00362ACE"/>
    <w:rsid w:val="00362E57"/>
    <w:rsid w:val="0036343F"/>
    <w:rsid w:val="003634FC"/>
    <w:rsid w:val="00363BCB"/>
    <w:rsid w:val="003646FE"/>
    <w:rsid w:val="00364788"/>
    <w:rsid w:val="00364E37"/>
    <w:rsid w:val="00364EDE"/>
    <w:rsid w:val="00364F7E"/>
    <w:rsid w:val="00365432"/>
    <w:rsid w:val="00365D0E"/>
    <w:rsid w:val="00366020"/>
    <w:rsid w:val="003664B7"/>
    <w:rsid w:val="0036659A"/>
    <w:rsid w:val="003665DC"/>
    <w:rsid w:val="00370469"/>
    <w:rsid w:val="003707DF"/>
    <w:rsid w:val="003714D6"/>
    <w:rsid w:val="00371755"/>
    <w:rsid w:val="003719E7"/>
    <w:rsid w:val="00371BD8"/>
    <w:rsid w:val="00371DAA"/>
    <w:rsid w:val="00373234"/>
    <w:rsid w:val="00373AC8"/>
    <w:rsid w:val="003743F0"/>
    <w:rsid w:val="00374496"/>
    <w:rsid w:val="003745C1"/>
    <w:rsid w:val="003745FE"/>
    <w:rsid w:val="00374753"/>
    <w:rsid w:val="00374998"/>
    <w:rsid w:val="00374CED"/>
    <w:rsid w:val="00375277"/>
    <w:rsid w:val="003752C9"/>
    <w:rsid w:val="003752EC"/>
    <w:rsid w:val="00375969"/>
    <w:rsid w:val="00375A1A"/>
    <w:rsid w:val="003763D4"/>
    <w:rsid w:val="003765DC"/>
    <w:rsid w:val="00376743"/>
    <w:rsid w:val="00376A9F"/>
    <w:rsid w:val="00376ADB"/>
    <w:rsid w:val="00377BB2"/>
    <w:rsid w:val="00380554"/>
    <w:rsid w:val="00381391"/>
    <w:rsid w:val="003822D6"/>
    <w:rsid w:val="00382A09"/>
    <w:rsid w:val="00382B23"/>
    <w:rsid w:val="00382B44"/>
    <w:rsid w:val="0038306A"/>
    <w:rsid w:val="003834EB"/>
    <w:rsid w:val="00383A2F"/>
    <w:rsid w:val="0038402F"/>
    <w:rsid w:val="003842BF"/>
    <w:rsid w:val="003846BC"/>
    <w:rsid w:val="00384D6C"/>
    <w:rsid w:val="0038548C"/>
    <w:rsid w:val="00385869"/>
    <w:rsid w:val="00385B1B"/>
    <w:rsid w:val="003868D4"/>
    <w:rsid w:val="00386B6D"/>
    <w:rsid w:val="003870E1"/>
    <w:rsid w:val="0038727C"/>
    <w:rsid w:val="003874E3"/>
    <w:rsid w:val="0038786B"/>
    <w:rsid w:val="00387B58"/>
    <w:rsid w:val="00387C7D"/>
    <w:rsid w:val="00390823"/>
    <w:rsid w:val="00390F4F"/>
    <w:rsid w:val="00391107"/>
    <w:rsid w:val="00392124"/>
    <w:rsid w:val="0039213A"/>
    <w:rsid w:val="003927E8"/>
    <w:rsid w:val="00392A7A"/>
    <w:rsid w:val="00392B09"/>
    <w:rsid w:val="00392D39"/>
    <w:rsid w:val="00393465"/>
    <w:rsid w:val="00393573"/>
    <w:rsid w:val="00393680"/>
    <w:rsid w:val="0039375C"/>
    <w:rsid w:val="00393E44"/>
    <w:rsid w:val="00394BA9"/>
    <w:rsid w:val="00394BC7"/>
    <w:rsid w:val="00394D08"/>
    <w:rsid w:val="003953D2"/>
    <w:rsid w:val="00395636"/>
    <w:rsid w:val="0039569A"/>
    <w:rsid w:val="003957B4"/>
    <w:rsid w:val="0039586A"/>
    <w:rsid w:val="00395ABC"/>
    <w:rsid w:val="00395BB0"/>
    <w:rsid w:val="003960F8"/>
    <w:rsid w:val="00396294"/>
    <w:rsid w:val="00396318"/>
    <w:rsid w:val="0039698E"/>
    <w:rsid w:val="00396E18"/>
    <w:rsid w:val="00396F03"/>
    <w:rsid w:val="0039756A"/>
    <w:rsid w:val="00397592"/>
    <w:rsid w:val="00397D29"/>
    <w:rsid w:val="00397D62"/>
    <w:rsid w:val="003A16C9"/>
    <w:rsid w:val="003A1809"/>
    <w:rsid w:val="003A1BBA"/>
    <w:rsid w:val="003A1C8A"/>
    <w:rsid w:val="003A2538"/>
    <w:rsid w:val="003A32BD"/>
    <w:rsid w:val="003A3C2A"/>
    <w:rsid w:val="003A6237"/>
    <w:rsid w:val="003A628F"/>
    <w:rsid w:val="003A66A2"/>
    <w:rsid w:val="003A6F6C"/>
    <w:rsid w:val="003A6FA6"/>
    <w:rsid w:val="003A794E"/>
    <w:rsid w:val="003A7B61"/>
    <w:rsid w:val="003A7C22"/>
    <w:rsid w:val="003A7E79"/>
    <w:rsid w:val="003B0829"/>
    <w:rsid w:val="003B0E0F"/>
    <w:rsid w:val="003B0E4E"/>
    <w:rsid w:val="003B14E3"/>
    <w:rsid w:val="003B1720"/>
    <w:rsid w:val="003B2911"/>
    <w:rsid w:val="003B3096"/>
    <w:rsid w:val="003B3C43"/>
    <w:rsid w:val="003B3F63"/>
    <w:rsid w:val="003B43C8"/>
    <w:rsid w:val="003B460D"/>
    <w:rsid w:val="003B50A1"/>
    <w:rsid w:val="003B5114"/>
    <w:rsid w:val="003B5B66"/>
    <w:rsid w:val="003B61E0"/>
    <w:rsid w:val="003B68FA"/>
    <w:rsid w:val="003B6EFE"/>
    <w:rsid w:val="003B7002"/>
    <w:rsid w:val="003B7AEB"/>
    <w:rsid w:val="003B7C78"/>
    <w:rsid w:val="003B7DAA"/>
    <w:rsid w:val="003C013D"/>
    <w:rsid w:val="003C0424"/>
    <w:rsid w:val="003C1922"/>
    <w:rsid w:val="003C1E80"/>
    <w:rsid w:val="003C277B"/>
    <w:rsid w:val="003C2990"/>
    <w:rsid w:val="003C2ABC"/>
    <w:rsid w:val="003C3B73"/>
    <w:rsid w:val="003C3F40"/>
    <w:rsid w:val="003C4730"/>
    <w:rsid w:val="003C627D"/>
    <w:rsid w:val="003C7B61"/>
    <w:rsid w:val="003C7BD6"/>
    <w:rsid w:val="003C7CDD"/>
    <w:rsid w:val="003D0578"/>
    <w:rsid w:val="003D0A8A"/>
    <w:rsid w:val="003D210C"/>
    <w:rsid w:val="003D243E"/>
    <w:rsid w:val="003D2586"/>
    <w:rsid w:val="003D2AAC"/>
    <w:rsid w:val="003D2AE9"/>
    <w:rsid w:val="003D34B8"/>
    <w:rsid w:val="003D3E04"/>
    <w:rsid w:val="003D3E0E"/>
    <w:rsid w:val="003D3E80"/>
    <w:rsid w:val="003D3F62"/>
    <w:rsid w:val="003D400E"/>
    <w:rsid w:val="003D417A"/>
    <w:rsid w:val="003D43FD"/>
    <w:rsid w:val="003D48BC"/>
    <w:rsid w:val="003D4ADC"/>
    <w:rsid w:val="003D52E3"/>
    <w:rsid w:val="003D548C"/>
    <w:rsid w:val="003D5EED"/>
    <w:rsid w:val="003D6BA8"/>
    <w:rsid w:val="003D71F0"/>
    <w:rsid w:val="003D7B1D"/>
    <w:rsid w:val="003D7D66"/>
    <w:rsid w:val="003D7E94"/>
    <w:rsid w:val="003E0845"/>
    <w:rsid w:val="003E0DC9"/>
    <w:rsid w:val="003E11CB"/>
    <w:rsid w:val="003E11CE"/>
    <w:rsid w:val="003E151A"/>
    <w:rsid w:val="003E1D03"/>
    <w:rsid w:val="003E24CA"/>
    <w:rsid w:val="003E269F"/>
    <w:rsid w:val="003E2711"/>
    <w:rsid w:val="003E4A0B"/>
    <w:rsid w:val="003E4BF4"/>
    <w:rsid w:val="003E4E51"/>
    <w:rsid w:val="003E5105"/>
    <w:rsid w:val="003E513E"/>
    <w:rsid w:val="003E53F6"/>
    <w:rsid w:val="003E5BD1"/>
    <w:rsid w:val="003E60F2"/>
    <w:rsid w:val="003E6D85"/>
    <w:rsid w:val="003E6F2A"/>
    <w:rsid w:val="003E777A"/>
    <w:rsid w:val="003E777D"/>
    <w:rsid w:val="003F0726"/>
    <w:rsid w:val="003F0D54"/>
    <w:rsid w:val="003F2466"/>
    <w:rsid w:val="003F29E6"/>
    <w:rsid w:val="003F2B83"/>
    <w:rsid w:val="003F31AF"/>
    <w:rsid w:val="003F33BA"/>
    <w:rsid w:val="003F391F"/>
    <w:rsid w:val="003F3DF3"/>
    <w:rsid w:val="003F4473"/>
    <w:rsid w:val="003F4CEE"/>
    <w:rsid w:val="003F51D9"/>
    <w:rsid w:val="003F526D"/>
    <w:rsid w:val="003F5355"/>
    <w:rsid w:val="003F5847"/>
    <w:rsid w:val="003F5BFC"/>
    <w:rsid w:val="003F65A4"/>
    <w:rsid w:val="003F668D"/>
    <w:rsid w:val="003F68FB"/>
    <w:rsid w:val="003F6DB4"/>
    <w:rsid w:val="003F6E5B"/>
    <w:rsid w:val="003F7014"/>
    <w:rsid w:val="003F7B01"/>
    <w:rsid w:val="003F7E7A"/>
    <w:rsid w:val="00400911"/>
    <w:rsid w:val="00400AFB"/>
    <w:rsid w:val="00400B30"/>
    <w:rsid w:val="00401287"/>
    <w:rsid w:val="00401CE8"/>
    <w:rsid w:val="00402115"/>
    <w:rsid w:val="00402244"/>
    <w:rsid w:val="00402248"/>
    <w:rsid w:val="004025A7"/>
    <w:rsid w:val="004031A1"/>
    <w:rsid w:val="00403215"/>
    <w:rsid w:val="004032D2"/>
    <w:rsid w:val="00403B7D"/>
    <w:rsid w:val="00403FBF"/>
    <w:rsid w:val="0040402A"/>
    <w:rsid w:val="0040451B"/>
    <w:rsid w:val="00404526"/>
    <w:rsid w:val="00404ABC"/>
    <w:rsid w:val="00404B3F"/>
    <w:rsid w:val="00404B4D"/>
    <w:rsid w:val="00405181"/>
    <w:rsid w:val="0040531A"/>
    <w:rsid w:val="00405817"/>
    <w:rsid w:val="004059F1"/>
    <w:rsid w:val="00405A36"/>
    <w:rsid w:val="00405AF5"/>
    <w:rsid w:val="004060C3"/>
    <w:rsid w:val="00406172"/>
    <w:rsid w:val="00406565"/>
    <w:rsid w:val="00406B5F"/>
    <w:rsid w:val="00406E20"/>
    <w:rsid w:val="0040733A"/>
    <w:rsid w:val="0040785F"/>
    <w:rsid w:val="00410517"/>
    <w:rsid w:val="004106F8"/>
    <w:rsid w:val="00410917"/>
    <w:rsid w:val="00410B76"/>
    <w:rsid w:val="00410D88"/>
    <w:rsid w:val="004112B0"/>
    <w:rsid w:val="004116C7"/>
    <w:rsid w:val="00411A9E"/>
    <w:rsid w:val="00411D6B"/>
    <w:rsid w:val="0041218F"/>
    <w:rsid w:val="0041236D"/>
    <w:rsid w:val="00412BF4"/>
    <w:rsid w:val="0041304E"/>
    <w:rsid w:val="0041354B"/>
    <w:rsid w:val="004136EB"/>
    <w:rsid w:val="004137C4"/>
    <w:rsid w:val="00413CE1"/>
    <w:rsid w:val="00414269"/>
    <w:rsid w:val="00414522"/>
    <w:rsid w:val="00415BEE"/>
    <w:rsid w:val="00415C2F"/>
    <w:rsid w:val="00416025"/>
    <w:rsid w:val="00416F83"/>
    <w:rsid w:val="004170DE"/>
    <w:rsid w:val="004178BB"/>
    <w:rsid w:val="00417D45"/>
    <w:rsid w:val="00417DF3"/>
    <w:rsid w:val="00417FEC"/>
    <w:rsid w:val="0042052F"/>
    <w:rsid w:val="004211B1"/>
    <w:rsid w:val="00421556"/>
    <w:rsid w:val="004215BA"/>
    <w:rsid w:val="00421E11"/>
    <w:rsid w:val="0042241F"/>
    <w:rsid w:val="0042387B"/>
    <w:rsid w:val="00423E3B"/>
    <w:rsid w:val="00423EB8"/>
    <w:rsid w:val="0042461F"/>
    <w:rsid w:val="004247A4"/>
    <w:rsid w:val="00424C67"/>
    <w:rsid w:val="004250B3"/>
    <w:rsid w:val="00425418"/>
    <w:rsid w:val="00425BB0"/>
    <w:rsid w:val="00426848"/>
    <w:rsid w:val="00426A8D"/>
    <w:rsid w:val="0042717E"/>
    <w:rsid w:val="00430178"/>
    <w:rsid w:val="00430ED6"/>
    <w:rsid w:val="0043152E"/>
    <w:rsid w:val="00431603"/>
    <w:rsid w:val="00431B5A"/>
    <w:rsid w:val="00431CB1"/>
    <w:rsid w:val="00431E43"/>
    <w:rsid w:val="004320E6"/>
    <w:rsid w:val="00432332"/>
    <w:rsid w:val="00432ECC"/>
    <w:rsid w:val="004336FE"/>
    <w:rsid w:val="00433A77"/>
    <w:rsid w:val="00433AA2"/>
    <w:rsid w:val="00433AC8"/>
    <w:rsid w:val="0043415A"/>
    <w:rsid w:val="004344A5"/>
    <w:rsid w:val="00434633"/>
    <w:rsid w:val="00434719"/>
    <w:rsid w:val="00434932"/>
    <w:rsid w:val="00434C1F"/>
    <w:rsid w:val="004350B2"/>
    <w:rsid w:val="00435E8F"/>
    <w:rsid w:val="00436625"/>
    <w:rsid w:val="00437341"/>
    <w:rsid w:val="00437557"/>
    <w:rsid w:val="00437745"/>
    <w:rsid w:val="00437DA0"/>
    <w:rsid w:val="004400BD"/>
    <w:rsid w:val="00440E3C"/>
    <w:rsid w:val="0044126C"/>
    <w:rsid w:val="00441513"/>
    <w:rsid w:val="004416AF"/>
    <w:rsid w:val="004418E6"/>
    <w:rsid w:val="00441E22"/>
    <w:rsid w:val="00441F82"/>
    <w:rsid w:val="00442145"/>
    <w:rsid w:val="004426BB"/>
    <w:rsid w:val="00442A9C"/>
    <w:rsid w:val="00442DD9"/>
    <w:rsid w:val="00443999"/>
    <w:rsid w:val="004446CA"/>
    <w:rsid w:val="00444707"/>
    <w:rsid w:val="00445362"/>
    <w:rsid w:val="00445B1A"/>
    <w:rsid w:val="004461AF"/>
    <w:rsid w:val="00446341"/>
    <w:rsid w:val="00446458"/>
    <w:rsid w:val="004468AA"/>
    <w:rsid w:val="00446919"/>
    <w:rsid w:val="0044704C"/>
    <w:rsid w:val="00447380"/>
    <w:rsid w:val="00447560"/>
    <w:rsid w:val="00447A9A"/>
    <w:rsid w:val="00447D7A"/>
    <w:rsid w:val="004500F2"/>
    <w:rsid w:val="0045034A"/>
    <w:rsid w:val="00450EC3"/>
    <w:rsid w:val="00451346"/>
    <w:rsid w:val="00451AB9"/>
    <w:rsid w:val="0045224C"/>
    <w:rsid w:val="004527F1"/>
    <w:rsid w:val="0045297B"/>
    <w:rsid w:val="00452A73"/>
    <w:rsid w:val="00453125"/>
    <w:rsid w:val="00454092"/>
    <w:rsid w:val="004548A3"/>
    <w:rsid w:val="00454DE5"/>
    <w:rsid w:val="00454FB7"/>
    <w:rsid w:val="004552CC"/>
    <w:rsid w:val="00456B69"/>
    <w:rsid w:val="0045711D"/>
    <w:rsid w:val="00457129"/>
    <w:rsid w:val="00457BAA"/>
    <w:rsid w:val="004604B0"/>
    <w:rsid w:val="0046053A"/>
    <w:rsid w:val="004605BA"/>
    <w:rsid w:val="004610D9"/>
    <w:rsid w:val="00461314"/>
    <w:rsid w:val="00461535"/>
    <w:rsid w:val="0046156F"/>
    <w:rsid w:val="00461C0D"/>
    <w:rsid w:val="00461D96"/>
    <w:rsid w:val="0046238B"/>
    <w:rsid w:val="004624EE"/>
    <w:rsid w:val="004625F6"/>
    <w:rsid w:val="00462B77"/>
    <w:rsid w:val="00463443"/>
    <w:rsid w:val="00464414"/>
    <w:rsid w:val="00464685"/>
    <w:rsid w:val="00464D78"/>
    <w:rsid w:val="00464DEB"/>
    <w:rsid w:val="00464DFA"/>
    <w:rsid w:val="00464EC9"/>
    <w:rsid w:val="00464F99"/>
    <w:rsid w:val="00465547"/>
    <w:rsid w:val="004655B7"/>
    <w:rsid w:val="00465924"/>
    <w:rsid w:val="00465A13"/>
    <w:rsid w:val="00465CEE"/>
    <w:rsid w:val="0046614A"/>
    <w:rsid w:val="0046659A"/>
    <w:rsid w:val="004673D5"/>
    <w:rsid w:val="00467515"/>
    <w:rsid w:val="00467AF4"/>
    <w:rsid w:val="00467EE1"/>
    <w:rsid w:val="00467F3B"/>
    <w:rsid w:val="0047079C"/>
    <w:rsid w:val="00470CB4"/>
    <w:rsid w:val="00470DD6"/>
    <w:rsid w:val="004712B3"/>
    <w:rsid w:val="00471602"/>
    <w:rsid w:val="00471A27"/>
    <w:rsid w:val="00471BA5"/>
    <w:rsid w:val="0047207F"/>
    <w:rsid w:val="004721AA"/>
    <w:rsid w:val="004726EF"/>
    <w:rsid w:val="00472C41"/>
    <w:rsid w:val="00472FD0"/>
    <w:rsid w:val="004731B0"/>
    <w:rsid w:val="00473487"/>
    <w:rsid w:val="00473571"/>
    <w:rsid w:val="00473C9E"/>
    <w:rsid w:val="004742DD"/>
    <w:rsid w:val="00475CBA"/>
    <w:rsid w:val="00475F1D"/>
    <w:rsid w:val="00475FC2"/>
    <w:rsid w:val="00476392"/>
    <w:rsid w:val="00476804"/>
    <w:rsid w:val="00476F33"/>
    <w:rsid w:val="00476F90"/>
    <w:rsid w:val="004770D8"/>
    <w:rsid w:val="00477264"/>
    <w:rsid w:val="00477664"/>
    <w:rsid w:val="00477EAB"/>
    <w:rsid w:val="00477EE6"/>
    <w:rsid w:val="00480357"/>
    <w:rsid w:val="004808BC"/>
    <w:rsid w:val="004814BD"/>
    <w:rsid w:val="00481B07"/>
    <w:rsid w:val="00481BC0"/>
    <w:rsid w:val="004821DE"/>
    <w:rsid w:val="0048240F"/>
    <w:rsid w:val="00482BF1"/>
    <w:rsid w:val="00482D2D"/>
    <w:rsid w:val="00482EAC"/>
    <w:rsid w:val="00483115"/>
    <w:rsid w:val="00483754"/>
    <w:rsid w:val="00483BA0"/>
    <w:rsid w:val="00483D0D"/>
    <w:rsid w:val="00484738"/>
    <w:rsid w:val="004847E9"/>
    <w:rsid w:val="004848AE"/>
    <w:rsid w:val="00484BD6"/>
    <w:rsid w:val="00485061"/>
    <w:rsid w:val="004855D3"/>
    <w:rsid w:val="00485B53"/>
    <w:rsid w:val="00485E48"/>
    <w:rsid w:val="0048611B"/>
    <w:rsid w:val="00486D3F"/>
    <w:rsid w:val="004874BB"/>
    <w:rsid w:val="00490371"/>
    <w:rsid w:val="0049040F"/>
    <w:rsid w:val="0049066A"/>
    <w:rsid w:val="00490A32"/>
    <w:rsid w:val="00490BD3"/>
    <w:rsid w:val="00490CD7"/>
    <w:rsid w:val="00490FC9"/>
    <w:rsid w:val="0049189B"/>
    <w:rsid w:val="00491A0D"/>
    <w:rsid w:val="00491B9D"/>
    <w:rsid w:val="00492007"/>
    <w:rsid w:val="0049210E"/>
    <w:rsid w:val="00492747"/>
    <w:rsid w:val="0049275C"/>
    <w:rsid w:val="00492C93"/>
    <w:rsid w:val="00493579"/>
    <w:rsid w:val="00493AB2"/>
    <w:rsid w:val="004949DB"/>
    <w:rsid w:val="00494D61"/>
    <w:rsid w:val="00495437"/>
    <w:rsid w:val="004964B1"/>
    <w:rsid w:val="00496987"/>
    <w:rsid w:val="004976B9"/>
    <w:rsid w:val="0049790A"/>
    <w:rsid w:val="00497D3F"/>
    <w:rsid w:val="00497E3F"/>
    <w:rsid w:val="004A0B5C"/>
    <w:rsid w:val="004A0BC0"/>
    <w:rsid w:val="004A1D52"/>
    <w:rsid w:val="004A2015"/>
    <w:rsid w:val="004A2114"/>
    <w:rsid w:val="004A216A"/>
    <w:rsid w:val="004A2223"/>
    <w:rsid w:val="004A2228"/>
    <w:rsid w:val="004A2896"/>
    <w:rsid w:val="004A33D4"/>
    <w:rsid w:val="004A35E6"/>
    <w:rsid w:val="004A3A81"/>
    <w:rsid w:val="004A3AC8"/>
    <w:rsid w:val="004A3FE7"/>
    <w:rsid w:val="004A452F"/>
    <w:rsid w:val="004A5283"/>
    <w:rsid w:val="004A58B4"/>
    <w:rsid w:val="004A5FD5"/>
    <w:rsid w:val="004A6298"/>
    <w:rsid w:val="004A69F9"/>
    <w:rsid w:val="004A6F9C"/>
    <w:rsid w:val="004A7978"/>
    <w:rsid w:val="004A7A95"/>
    <w:rsid w:val="004A7AF9"/>
    <w:rsid w:val="004A7BA8"/>
    <w:rsid w:val="004A7F12"/>
    <w:rsid w:val="004B0ACE"/>
    <w:rsid w:val="004B10A7"/>
    <w:rsid w:val="004B1B0E"/>
    <w:rsid w:val="004B1DA1"/>
    <w:rsid w:val="004B3404"/>
    <w:rsid w:val="004B34AA"/>
    <w:rsid w:val="004B39B8"/>
    <w:rsid w:val="004B3B0C"/>
    <w:rsid w:val="004B3E29"/>
    <w:rsid w:val="004B4A9D"/>
    <w:rsid w:val="004B4C55"/>
    <w:rsid w:val="004B4DF4"/>
    <w:rsid w:val="004B5565"/>
    <w:rsid w:val="004B5D3D"/>
    <w:rsid w:val="004B5D83"/>
    <w:rsid w:val="004B5F04"/>
    <w:rsid w:val="004B6AA2"/>
    <w:rsid w:val="004B6B43"/>
    <w:rsid w:val="004B6D41"/>
    <w:rsid w:val="004B709D"/>
    <w:rsid w:val="004B768C"/>
    <w:rsid w:val="004B7A34"/>
    <w:rsid w:val="004C0B8C"/>
    <w:rsid w:val="004C0E98"/>
    <w:rsid w:val="004C0FFE"/>
    <w:rsid w:val="004C1B6A"/>
    <w:rsid w:val="004C1C90"/>
    <w:rsid w:val="004C1CA5"/>
    <w:rsid w:val="004C293D"/>
    <w:rsid w:val="004C3C9F"/>
    <w:rsid w:val="004C3DE3"/>
    <w:rsid w:val="004C4072"/>
    <w:rsid w:val="004C4211"/>
    <w:rsid w:val="004C4256"/>
    <w:rsid w:val="004C4578"/>
    <w:rsid w:val="004C4593"/>
    <w:rsid w:val="004C4B8B"/>
    <w:rsid w:val="004C568B"/>
    <w:rsid w:val="004C6C2E"/>
    <w:rsid w:val="004C6FE2"/>
    <w:rsid w:val="004C722D"/>
    <w:rsid w:val="004D0228"/>
    <w:rsid w:val="004D0AE1"/>
    <w:rsid w:val="004D0D3B"/>
    <w:rsid w:val="004D0EA2"/>
    <w:rsid w:val="004D1055"/>
    <w:rsid w:val="004D10C4"/>
    <w:rsid w:val="004D19FD"/>
    <w:rsid w:val="004D2689"/>
    <w:rsid w:val="004D32D0"/>
    <w:rsid w:val="004D36CB"/>
    <w:rsid w:val="004D3D64"/>
    <w:rsid w:val="004D3F78"/>
    <w:rsid w:val="004D4207"/>
    <w:rsid w:val="004D43A0"/>
    <w:rsid w:val="004D4760"/>
    <w:rsid w:val="004D4BE7"/>
    <w:rsid w:val="004D5702"/>
    <w:rsid w:val="004D5E2D"/>
    <w:rsid w:val="004D6384"/>
    <w:rsid w:val="004D66AC"/>
    <w:rsid w:val="004D6BDB"/>
    <w:rsid w:val="004D6F20"/>
    <w:rsid w:val="004D7EAD"/>
    <w:rsid w:val="004D7FE6"/>
    <w:rsid w:val="004E018E"/>
    <w:rsid w:val="004E11BD"/>
    <w:rsid w:val="004E1334"/>
    <w:rsid w:val="004E16DA"/>
    <w:rsid w:val="004E1776"/>
    <w:rsid w:val="004E1F14"/>
    <w:rsid w:val="004E231E"/>
    <w:rsid w:val="004E2C12"/>
    <w:rsid w:val="004E2E5E"/>
    <w:rsid w:val="004E3594"/>
    <w:rsid w:val="004E3729"/>
    <w:rsid w:val="004E377A"/>
    <w:rsid w:val="004E3C03"/>
    <w:rsid w:val="004E3D06"/>
    <w:rsid w:val="004E4D21"/>
    <w:rsid w:val="004E4EF9"/>
    <w:rsid w:val="004E5041"/>
    <w:rsid w:val="004E6FEA"/>
    <w:rsid w:val="004E71F8"/>
    <w:rsid w:val="004E72F7"/>
    <w:rsid w:val="004E73E2"/>
    <w:rsid w:val="004E75A0"/>
    <w:rsid w:val="004F0043"/>
    <w:rsid w:val="004F02B9"/>
    <w:rsid w:val="004F0684"/>
    <w:rsid w:val="004F0F12"/>
    <w:rsid w:val="004F1158"/>
    <w:rsid w:val="004F13E0"/>
    <w:rsid w:val="004F1803"/>
    <w:rsid w:val="004F18B5"/>
    <w:rsid w:val="004F1A76"/>
    <w:rsid w:val="004F1FEC"/>
    <w:rsid w:val="004F23FB"/>
    <w:rsid w:val="004F2FC3"/>
    <w:rsid w:val="004F3009"/>
    <w:rsid w:val="004F3C2B"/>
    <w:rsid w:val="004F40CB"/>
    <w:rsid w:val="004F5BFB"/>
    <w:rsid w:val="004F5EF2"/>
    <w:rsid w:val="004F6725"/>
    <w:rsid w:val="004F6CF2"/>
    <w:rsid w:val="004F72AD"/>
    <w:rsid w:val="004F75ED"/>
    <w:rsid w:val="004F79FD"/>
    <w:rsid w:val="005003E9"/>
    <w:rsid w:val="00500417"/>
    <w:rsid w:val="0050066E"/>
    <w:rsid w:val="00500BBD"/>
    <w:rsid w:val="00500FB5"/>
    <w:rsid w:val="005017E7"/>
    <w:rsid w:val="00501867"/>
    <w:rsid w:val="0050281C"/>
    <w:rsid w:val="00502D59"/>
    <w:rsid w:val="00503504"/>
    <w:rsid w:val="00503A06"/>
    <w:rsid w:val="00504398"/>
    <w:rsid w:val="0050483C"/>
    <w:rsid w:val="00504CA7"/>
    <w:rsid w:val="00504DFD"/>
    <w:rsid w:val="005053A1"/>
    <w:rsid w:val="00505C79"/>
    <w:rsid w:val="00506482"/>
    <w:rsid w:val="005064E8"/>
    <w:rsid w:val="00506548"/>
    <w:rsid w:val="00506925"/>
    <w:rsid w:val="0050733A"/>
    <w:rsid w:val="00507B5F"/>
    <w:rsid w:val="00507BD6"/>
    <w:rsid w:val="005101E5"/>
    <w:rsid w:val="00510860"/>
    <w:rsid w:val="00511184"/>
    <w:rsid w:val="0051222D"/>
    <w:rsid w:val="0051379A"/>
    <w:rsid w:val="00515896"/>
    <w:rsid w:val="0051592A"/>
    <w:rsid w:val="00515DBA"/>
    <w:rsid w:val="00516030"/>
    <w:rsid w:val="00516D2D"/>
    <w:rsid w:val="00517082"/>
    <w:rsid w:val="0051780B"/>
    <w:rsid w:val="005178D6"/>
    <w:rsid w:val="00517A16"/>
    <w:rsid w:val="00520452"/>
    <w:rsid w:val="005211C0"/>
    <w:rsid w:val="005212CA"/>
    <w:rsid w:val="0052287E"/>
    <w:rsid w:val="005242FA"/>
    <w:rsid w:val="005245AB"/>
    <w:rsid w:val="005249C8"/>
    <w:rsid w:val="005255BD"/>
    <w:rsid w:val="00525E68"/>
    <w:rsid w:val="00526795"/>
    <w:rsid w:val="00526DCF"/>
    <w:rsid w:val="00527040"/>
    <w:rsid w:val="005271D3"/>
    <w:rsid w:val="00527A77"/>
    <w:rsid w:val="00527EF2"/>
    <w:rsid w:val="0053059E"/>
    <w:rsid w:val="00530AAF"/>
    <w:rsid w:val="00530B13"/>
    <w:rsid w:val="00530B15"/>
    <w:rsid w:val="00530B18"/>
    <w:rsid w:val="00530D86"/>
    <w:rsid w:val="00530E90"/>
    <w:rsid w:val="00530ECB"/>
    <w:rsid w:val="0053123D"/>
    <w:rsid w:val="00531ECA"/>
    <w:rsid w:val="005326FC"/>
    <w:rsid w:val="00532B58"/>
    <w:rsid w:val="00532D88"/>
    <w:rsid w:val="00532F93"/>
    <w:rsid w:val="0053338A"/>
    <w:rsid w:val="005335A6"/>
    <w:rsid w:val="005337D8"/>
    <w:rsid w:val="00534014"/>
    <w:rsid w:val="005346AE"/>
    <w:rsid w:val="00534C5E"/>
    <w:rsid w:val="00535654"/>
    <w:rsid w:val="00535DB5"/>
    <w:rsid w:val="00536137"/>
    <w:rsid w:val="005362B7"/>
    <w:rsid w:val="00536E28"/>
    <w:rsid w:val="0053778C"/>
    <w:rsid w:val="00537973"/>
    <w:rsid w:val="00537E1B"/>
    <w:rsid w:val="005405F3"/>
    <w:rsid w:val="00540BB3"/>
    <w:rsid w:val="0054119A"/>
    <w:rsid w:val="005414B2"/>
    <w:rsid w:val="00541CA6"/>
    <w:rsid w:val="00542623"/>
    <w:rsid w:val="00542DF9"/>
    <w:rsid w:val="00543002"/>
    <w:rsid w:val="00543567"/>
    <w:rsid w:val="005439DC"/>
    <w:rsid w:val="00543AB5"/>
    <w:rsid w:val="00545165"/>
    <w:rsid w:val="00545228"/>
    <w:rsid w:val="0054579C"/>
    <w:rsid w:val="00545AF7"/>
    <w:rsid w:val="005473B3"/>
    <w:rsid w:val="00547977"/>
    <w:rsid w:val="00547F77"/>
    <w:rsid w:val="0055029F"/>
    <w:rsid w:val="00550382"/>
    <w:rsid w:val="0055061B"/>
    <w:rsid w:val="0055067B"/>
    <w:rsid w:val="00550A61"/>
    <w:rsid w:val="00550BC0"/>
    <w:rsid w:val="00550CD1"/>
    <w:rsid w:val="00550D8E"/>
    <w:rsid w:val="005518F4"/>
    <w:rsid w:val="00551C36"/>
    <w:rsid w:val="00552101"/>
    <w:rsid w:val="00552456"/>
    <w:rsid w:val="005530A7"/>
    <w:rsid w:val="00553186"/>
    <w:rsid w:val="005531FD"/>
    <w:rsid w:val="0055335C"/>
    <w:rsid w:val="00553AAF"/>
    <w:rsid w:val="00553EAC"/>
    <w:rsid w:val="005543F6"/>
    <w:rsid w:val="00554B2A"/>
    <w:rsid w:val="005550A8"/>
    <w:rsid w:val="00555605"/>
    <w:rsid w:val="00555D6E"/>
    <w:rsid w:val="00556074"/>
    <w:rsid w:val="005564E9"/>
    <w:rsid w:val="005568C4"/>
    <w:rsid w:val="00556A12"/>
    <w:rsid w:val="00556AD7"/>
    <w:rsid w:val="00556DBF"/>
    <w:rsid w:val="00557342"/>
    <w:rsid w:val="005609F7"/>
    <w:rsid w:val="00560E24"/>
    <w:rsid w:val="005611C3"/>
    <w:rsid w:val="00561A4E"/>
    <w:rsid w:val="00561D35"/>
    <w:rsid w:val="0056202E"/>
    <w:rsid w:val="005620F5"/>
    <w:rsid w:val="00562134"/>
    <w:rsid w:val="005624EB"/>
    <w:rsid w:val="00562644"/>
    <w:rsid w:val="00562BC4"/>
    <w:rsid w:val="00562E64"/>
    <w:rsid w:val="005631ED"/>
    <w:rsid w:val="00563983"/>
    <w:rsid w:val="00564650"/>
    <w:rsid w:val="005646D6"/>
    <w:rsid w:val="00564934"/>
    <w:rsid w:val="00564E5F"/>
    <w:rsid w:val="00565247"/>
    <w:rsid w:val="00565319"/>
    <w:rsid w:val="005656ED"/>
    <w:rsid w:val="0056587B"/>
    <w:rsid w:val="0056595A"/>
    <w:rsid w:val="005659AD"/>
    <w:rsid w:val="00565C6C"/>
    <w:rsid w:val="005665A2"/>
    <w:rsid w:val="00566B27"/>
    <w:rsid w:val="005671CB"/>
    <w:rsid w:val="0057030F"/>
    <w:rsid w:val="00570AB5"/>
    <w:rsid w:val="00571BDA"/>
    <w:rsid w:val="005720C9"/>
    <w:rsid w:val="005723AA"/>
    <w:rsid w:val="005723FB"/>
    <w:rsid w:val="00572586"/>
    <w:rsid w:val="005729EA"/>
    <w:rsid w:val="00572A45"/>
    <w:rsid w:val="00572EE0"/>
    <w:rsid w:val="0057335F"/>
    <w:rsid w:val="00573C63"/>
    <w:rsid w:val="0057430C"/>
    <w:rsid w:val="0057493E"/>
    <w:rsid w:val="00574FD3"/>
    <w:rsid w:val="00574FDF"/>
    <w:rsid w:val="0057516A"/>
    <w:rsid w:val="0057575C"/>
    <w:rsid w:val="005759C6"/>
    <w:rsid w:val="00575E24"/>
    <w:rsid w:val="005761DD"/>
    <w:rsid w:val="00577AB7"/>
    <w:rsid w:val="00577B87"/>
    <w:rsid w:val="00577C0D"/>
    <w:rsid w:val="00577EB3"/>
    <w:rsid w:val="00580069"/>
    <w:rsid w:val="005801E8"/>
    <w:rsid w:val="005810CE"/>
    <w:rsid w:val="00581744"/>
    <w:rsid w:val="005817C2"/>
    <w:rsid w:val="00581D44"/>
    <w:rsid w:val="00582566"/>
    <w:rsid w:val="00582C8C"/>
    <w:rsid w:val="00582D45"/>
    <w:rsid w:val="005837B3"/>
    <w:rsid w:val="00583A69"/>
    <w:rsid w:val="00583D13"/>
    <w:rsid w:val="005840EF"/>
    <w:rsid w:val="0058418F"/>
    <w:rsid w:val="005845AE"/>
    <w:rsid w:val="00585CCF"/>
    <w:rsid w:val="005873A3"/>
    <w:rsid w:val="00587432"/>
    <w:rsid w:val="005874C0"/>
    <w:rsid w:val="005877C8"/>
    <w:rsid w:val="00587C45"/>
    <w:rsid w:val="00587C83"/>
    <w:rsid w:val="005905DE"/>
    <w:rsid w:val="005906AE"/>
    <w:rsid w:val="00590750"/>
    <w:rsid w:val="005907BB"/>
    <w:rsid w:val="0059088C"/>
    <w:rsid w:val="00590D6F"/>
    <w:rsid w:val="00590EFE"/>
    <w:rsid w:val="00590F1D"/>
    <w:rsid w:val="0059154D"/>
    <w:rsid w:val="00591C8F"/>
    <w:rsid w:val="00591D76"/>
    <w:rsid w:val="00592027"/>
    <w:rsid w:val="00592466"/>
    <w:rsid w:val="00592557"/>
    <w:rsid w:val="0059268E"/>
    <w:rsid w:val="005929CD"/>
    <w:rsid w:val="00592AF1"/>
    <w:rsid w:val="00592B84"/>
    <w:rsid w:val="00592CEC"/>
    <w:rsid w:val="00593A79"/>
    <w:rsid w:val="00593ACA"/>
    <w:rsid w:val="00593C73"/>
    <w:rsid w:val="005947B1"/>
    <w:rsid w:val="00594A45"/>
    <w:rsid w:val="00594AB5"/>
    <w:rsid w:val="005951E3"/>
    <w:rsid w:val="00595561"/>
    <w:rsid w:val="00595F29"/>
    <w:rsid w:val="00596498"/>
    <w:rsid w:val="00596DA2"/>
    <w:rsid w:val="005975DF"/>
    <w:rsid w:val="00597672"/>
    <w:rsid w:val="00597BE6"/>
    <w:rsid w:val="00597EFD"/>
    <w:rsid w:val="005A0108"/>
    <w:rsid w:val="005A0565"/>
    <w:rsid w:val="005A0944"/>
    <w:rsid w:val="005A1238"/>
    <w:rsid w:val="005A1656"/>
    <w:rsid w:val="005A232A"/>
    <w:rsid w:val="005A2A77"/>
    <w:rsid w:val="005A3096"/>
    <w:rsid w:val="005A33B8"/>
    <w:rsid w:val="005A356C"/>
    <w:rsid w:val="005A3823"/>
    <w:rsid w:val="005A3D06"/>
    <w:rsid w:val="005A4048"/>
    <w:rsid w:val="005A44D8"/>
    <w:rsid w:val="005A4CC9"/>
    <w:rsid w:val="005A4E65"/>
    <w:rsid w:val="005A53E4"/>
    <w:rsid w:val="005A575F"/>
    <w:rsid w:val="005A5F57"/>
    <w:rsid w:val="005A6245"/>
    <w:rsid w:val="005A64B2"/>
    <w:rsid w:val="005A7859"/>
    <w:rsid w:val="005A7A54"/>
    <w:rsid w:val="005A7DF1"/>
    <w:rsid w:val="005A7F79"/>
    <w:rsid w:val="005B0017"/>
    <w:rsid w:val="005B03F6"/>
    <w:rsid w:val="005B0C36"/>
    <w:rsid w:val="005B0D10"/>
    <w:rsid w:val="005B1697"/>
    <w:rsid w:val="005B1F1B"/>
    <w:rsid w:val="005B2BCD"/>
    <w:rsid w:val="005B2E2B"/>
    <w:rsid w:val="005B3178"/>
    <w:rsid w:val="005B3813"/>
    <w:rsid w:val="005B3868"/>
    <w:rsid w:val="005B3ACB"/>
    <w:rsid w:val="005B3C7E"/>
    <w:rsid w:val="005B4026"/>
    <w:rsid w:val="005B406F"/>
    <w:rsid w:val="005B466A"/>
    <w:rsid w:val="005B4C51"/>
    <w:rsid w:val="005B5068"/>
    <w:rsid w:val="005B576A"/>
    <w:rsid w:val="005B5FCB"/>
    <w:rsid w:val="005B6854"/>
    <w:rsid w:val="005B6DFF"/>
    <w:rsid w:val="005B6E34"/>
    <w:rsid w:val="005B7B0F"/>
    <w:rsid w:val="005B7CF3"/>
    <w:rsid w:val="005B7F1A"/>
    <w:rsid w:val="005C0267"/>
    <w:rsid w:val="005C185D"/>
    <w:rsid w:val="005C221F"/>
    <w:rsid w:val="005C233E"/>
    <w:rsid w:val="005C272B"/>
    <w:rsid w:val="005C3521"/>
    <w:rsid w:val="005C3ECE"/>
    <w:rsid w:val="005C4C8C"/>
    <w:rsid w:val="005C4D50"/>
    <w:rsid w:val="005C4E05"/>
    <w:rsid w:val="005C53DA"/>
    <w:rsid w:val="005C57E0"/>
    <w:rsid w:val="005C59A5"/>
    <w:rsid w:val="005C5A00"/>
    <w:rsid w:val="005C69BF"/>
    <w:rsid w:val="005C7A93"/>
    <w:rsid w:val="005D0363"/>
    <w:rsid w:val="005D0CAE"/>
    <w:rsid w:val="005D0F96"/>
    <w:rsid w:val="005D1CAD"/>
    <w:rsid w:val="005D1F74"/>
    <w:rsid w:val="005D24A2"/>
    <w:rsid w:val="005D341E"/>
    <w:rsid w:val="005D372B"/>
    <w:rsid w:val="005D416F"/>
    <w:rsid w:val="005D4DE1"/>
    <w:rsid w:val="005D5032"/>
    <w:rsid w:val="005D58AD"/>
    <w:rsid w:val="005D5F76"/>
    <w:rsid w:val="005D6183"/>
    <w:rsid w:val="005D7D92"/>
    <w:rsid w:val="005E0007"/>
    <w:rsid w:val="005E042E"/>
    <w:rsid w:val="005E06AD"/>
    <w:rsid w:val="005E0EC1"/>
    <w:rsid w:val="005E133D"/>
    <w:rsid w:val="005E13C0"/>
    <w:rsid w:val="005E1C32"/>
    <w:rsid w:val="005E3036"/>
    <w:rsid w:val="005E3288"/>
    <w:rsid w:val="005E336C"/>
    <w:rsid w:val="005E34AC"/>
    <w:rsid w:val="005E370D"/>
    <w:rsid w:val="005E3A6A"/>
    <w:rsid w:val="005E3C53"/>
    <w:rsid w:val="005E3EA8"/>
    <w:rsid w:val="005E3EE7"/>
    <w:rsid w:val="005E4589"/>
    <w:rsid w:val="005E5196"/>
    <w:rsid w:val="005E53CD"/>
    <w:rsid w:val="005E54B6"/>
    <w:rsid w:val="005E5682"/>
    <w:rsid w:val="005E6240"/>
    <w:rsid w:val="005E64E8"/>
    <w:rsid w:val="005E661B"/>
    <w:rsid w:val="005E772E"/>
    <w:rsid w:val="005E7A70"/>
    <w:rsid w:val="005E7C66"/>
    <w:rsid w:val="005F0536"/>
    <w:rsid w:val="005F058F"/>
    <w:rsid w:val="005F0888"/>
    <w:rsid w:val="005F1CFD"/>
    <w:rsid w:val="005F266A"/>
    <w:rsid w:val="005F29FE"/>
    <w:rsid w:val="005F2C20"/>
    <w:rsid w:val="005F2C27"/>
    <w:rsid w:val="005F3107"/>
    <w:rsid w:val="005F37A5"/>
    <w:rsid w:val="005F3E1F"/>
    <w:rsid w:val="005F42E8"/>
    <w:rsid w:val="005F451B"/>
    <w:rsid w:val="005F4DB6"/>
    <w:rsid w:val="005F524E"/>
    <w:rsid w:val="005F52C5"/>
    <w:rsid w:val="005F534B"/>
    <w:rsid w:val="005F5379"/>
    <w:rsid w:val="005F62CB"/>
    <w:rsid w:val="005F673D"/>
    <w:rsid w:val="005F7416"/>
    <w:rsid w:val="005F75CB"/>
    <w:rsid w:val="006001A9"/>
    <w:rsid w:val="00600465"/>
    <w:rsid w:val="006004E7"/>
    <w:rsid w:val="00600ABC"/>
    <w:rsid w:val="00600BA4"/>
    <w:rsid w:val="006013C3"/>
    <w:rsid w:val="00601AC7"/>
    <w:rsid w:val="00601C24"/>
    <w:rsid w:val="00602247"/>
    <w:rsid w:val="006022B5"/>
    <w:rsid w:val="006024A8"/>
    <w:rsid w:val="00602F57"/>
    <w:rsid w:val="00602FDC"/>
    <w:rsid w:val="00603117"/>
    <w:rsid w:val="006032EC"/>
    <w:rsid w:val="006033C4"/>
    <w:rsid w:val="00603649"/>
    <w:rsid w:val="00603942"/>
    <w:rsid w:val="00603B4A"/>
    <w:rsid w:val="006040ED"/>
    <w:rsid w:val="0060410A"/>
    <w:rsid w:val="006045BE"/>
    <w:rsid w:val="00604869"/>
    <w:rsid w:val="00604D59"/>
    <w:rsid w:val="0060500A"/>
    <w:rsid w:val="00605203"/>
    <w:rsid w:val="00605219"/>
    <w:rsid w:val="0060595A"/>
    <w:rsid w:val="00606231"/>
    <w:rsid w:val="00606DF0"/>
    <w:rsid w:val="00606E01"/>
    <w:rsid w:val="00606F2E"/>
    <w:rsid w:val="006079F3"/>
    <w:rsid w:val="00607D9C"/>
    <w:rsid w:val="00610390"/>
    <w:rsid w:val="0061060C"/>
    <w:rsid w:val="006106AB"/>
    <w:rsid w:val="00610A5F"/>
    <w:rsid w:val="00611742"/>
    <w:rsid w:val="0061266C"/>
    <w:rsid w:val="00612952"/>
    <w:rsid w:val="00612B1E"/>
    <w:rsid w:val="00612EB8"/>
    <w:rsid w:val="00612F42"/>
    <w:rsid w:val="00612FBD"/>
    <w:rsid w:val="006131C4"/>
    <w:rsid w:val="006135F0"/>
    <w:rsid w:val="00613842"/>
    <w:rsid w:val="00613889"/>
    <w:rsid w:val="00613D7C"/>
    <w:rsid w:val="006144CE"/>
    <w:rsid w:val="00614B6D"/>
    <w:rsid w:val="00614BAB"/>
    <w:rsid w:val="00614CB8"/>
    <w:rsid w:val="00614DFF"/>
    <w:rsid w:val="00615000"/>
    <w:rsid w:val="006154B7"/>
    <w:rsid w:val="00616BB7"/>
    <w:rsid w:val="00616CB7"/>
    <w:rsid w:val="00616F33"/>
    <w:rsid w:val="006170EC"/>
    <w:rsid w:val="006174DD"/>
    <w:rsid w:val="00617BC2"/>
    <w:rsid w:val="00620548"/>
    <w:rsid w:val="00620BF8"/>
    <w:rsid w:val="00620E2E"/>
    <w:rsid w:val="0062147B"/>
    <w:rsid w:val="006216CB"/>
    <w:rsid w:val="006217CF"/>
    <w:rsid w:val="006218FB"/>
    <w:rsid w:val="00621BC8"/>
    <w:rsid w:val="0062255D"/>
    <w:rsid w:val="00622645"/>
    <w:rsid w:val="006226C9"/>
    <w:rsid w:val="00622ECC"/>
    <w:rsid w:val="00623240"/>
    <w:rsid w:val="006236C0"/>
    <w:rsid w:val="00623CA6"/>
    <w:rsid w:val="006253CE"/>
    <w:rsid w:val="00625401"/>
    <w:rsid w:val="006254F3"/>
    <w:rsid w:val="0062560D"/>
    <w:rsid w:val="00626751"/>
    <w:rsid w:val="006267B9"/>
    <w:rsid w:val="00627342"/>
    <w:rsid w:val="00627704"/>
    <w:rsid w:val="006278F7"/>
    <w:rsid w:val="00627CF1"/>
    <w:rsid w:val="00627FB2"/>
    <w:rsid w:val="006305FB"/>
    <w:rsid w:val="006308B1"/>
    <w:rsid w:val="00631050"/>
    <w:rsid w:val="00631283"/>
    <w:rsid w:val="006313A2"/>
    <w:rsid w:val="0063140D"/>
    <w:rsid w:val="00631C1A"/>
    <w:rsid w:val="00631E9C"/>
    <w:rsid w:val="00632B6E"/>
    <w:rsid w:val="00632BE8"/>
    <w:rsid w:val="00632D39"/>
    <w:rsid w:val="00633E6D"/>
    <w:rsid w:val="006341F2"/>
    <w:rsid w:val="0063440A"/>
    <w:rsid w:val="006348EB"/>
    <w:rsid w:val="00634B34"/>
    <w:rsid w:val="006351EF"/>
    <w:rsid w:val="00635269"/>
    <w:rsid w:val="0063596D"/>
    <w:rsid w:val="00635C4C"/>
    <w:rsid w:val="00635C66"/>
    <w:rsid w:val="00635FA2"/>
    <w:rsid w:val="006364E4"/>
    <w:rsid w:val="00636C85"/>
    <w:rsid w:val="00636CA5"/>
    <w:rsid w:val="006373BB"/>
    <w:rsid w:val="00637B3C"/>
    <w:rsid w:val="006402BA"/>
    <w:rsid w:val="0064071C"/>
    <w:rsid w:val="00640F89"/>
    <w:rsid w:val="006410DA"/>
    <w:rsid w:val="00641119"/>
    <w:rsid w:val="00641161"/>
    <w:rsid w:val="0064148A"/>
    <w:rsid w:val="00641943"/>
    <w:rsid w:val="006423A5"/>
    <w:rsid w:val="006425A5"/>
    <w:rsid w:val="00642902"/>
    <w:rsid w:val="00642EF8"/>
    <w:rsid w:val="0064317E"/>
    <w:rsid w:val="0064332B"/>
    <w:rsid w:val="00643CD1"/>
    <w:rsid w:val="006446E4"/>
    <w:rsid w:val="006447A8"/>
    <w:rsid w:val="006450B0"/>
    <w:rsid w:val="00645C1D"/>
    <w:rsid w:val="0064627A"/>
    <w:rsid w:val="006465AA"/>
    <w:rsid w:val="006466EF"/>
    <w:rsid w:val="006468AC"/>
    <w:rsid w:val="00646BDD"/>
    <w:rsid w:val="0064724F"/>
    <w:rsid w:val="0064785D"/>
    <w:rsid w:val="00650298"/>
    <w:rsid w:val="00650344"/>
    <w:rsid w:val="0065078D"/>
    <w:rsid w:val="00650D31"/>
    <w:rsid w:val="006510C8"/>
    <w:rsid w:val="00651330"/>
    <w:rsid w:val="006515FF"/>
    <w:rsid w:val="006519C6"/>
    <w:rsid w:val="0065200D"/>
    <w:rsid w:val="006522EB"/>
    <w:rsid w:val="0065283B"/>
    <w:rsid w:val="00652AF9"/>
    <w:rsid w:val="00652E71"/>
    <w:rsid w:val="00652EC1"/>
    <w:rsid w:val="0065335B"/>
    <w:rsid w:val="00653779"/>
    <w:rsid w:val="006539BB"/>
    <w:rsid w:val="00653D48"/>
    <w:rsid w:val="00653E20"/>
    <w:rsid w:val="0065440D"/>
    <w:rsid w:val="0065485F"/>
    <w:rsid w:val="006549AF"/>
    <w:rsid w:val="00654B96"/>
    <w:rsid w:val="00654F03"/>
    <w:rsid w:val="006550DF"/>
    <w:rsid w:val="00655967"/>
    <w:rsid w:val="00656432"/>
    <w:rsid w:val="00656F4C"/>
    <w:rsid w:val="006570E5"/>
    <w:rsid w:val="006571F4"/>
    <w:rsid w:val="0065721A"/>
    <w:rsid w:val="0065731E"/>
    <w:rsid w:val="006574CF"/>
    <w:rsid w:val="00657B45"/>
    <w:rsid w:val="00657CF8"/>
    <w:rsid w:val="00657FD7"/>
    <w:rsid w:val="00660026"/>
    <w:rsid w:val="006607E8"/>
    <w:rsid w:val="006609CC"/>
    <w:rsid w:val="00660A92"/>
    <w:rsid w:val="006615BC"/>
    <w:rsid w:val="00661E0A"/>
    <w:rsid w:val="00662337"/>
    <w:rsid w:val="00663272"/>
    <w:rsid w:val="006633A4"/>
    <w:rsid w:val="00663CF3"/>
    <w:rsid w:val="00663DD4"/>
    <w:rsid w:val="00663EBF"/>
    <w:rsid w:val="00664389"/>
    <w:rsid w:val="006648A0"/>
    <w:rsid w:val="00665332"/>
    <w:rsid w:val="006656B0"/>
    <w:rsid w:val="00665C47"/>
    <w:rsid w:val="0066650A"/>
    <w:rsid w:val="006665E2"/>
    <w:rsid w:val="006674AB"/>
    <w:rsid w:val="00667930"/>
    <w:rsid w:val="006704AB"/>
    <w:rsid w:val="0067080A"/>
    <w:rsid w:val="0067082E"/>
    <w:rsid w:val="00670946"/>
    <w:rsid w:val="00670C5E"/>
    <w:rsid w:val="00670EA5"/>
    <w:rsid w:val="0067186B"/>
    <w:rsid w:val="0067219A"/>
    <w:rsid w:val="00672E9B"/>
    <w:rsid w:val="0067322D"/>
    <w:rsid w:val="0067342F"/>
    <w:rsid w:val="00673565"/>
    <w:rsid w:val="00673698"/>
    <w:rsid w:val="00673B68"/>
    <w:rsid w:val="00673F15"/>
    <w:rsid w:val="0067428F"/>
    <w:rsid w:val="00674E96"/>
    <w:rsid w:val="00674F3B"/>
    <w:rsid w:val="006755B5"/>
    <w:rsid w:val="0067653E"/>
    <w:rsid w:val="00676833"/>
    <w:rsid w:val="0067771B"/>
    <w:rsid w:val="00677965"/>
    <w:rsid w:val="00677AAE"/>
    <w:rsid w:val="00677E6C"/>
    <w:rsid w:val="006800C6"/>
    <w:rsid w:val="006800E3"/>
    <w:rsid w:val="00680649"/>
    <w:rsid w:val="00680A76"/>
    <w:rsid w:val="00680A7C"/>
    <w:rsid w:val="00680C2C"/>
    <w:rsid w:val="00681A43"/>
    <w:rsid w:val="00681EB0"/>
    <w:rsid w:val="00681EDA"/>
    <w:rsid w:val="00682430"/>
    <w:rsid w:val="0068299F"/>
    <w:rsid w:val="00682AD4"/>
    <w:rsid w:val="00682C0E"/>
    <w:rsid w:val="00683219"/>
    <w:rsid w:val="00683561"/>
    <w:rsid w:val="006835CD"/>
    <w:rsid w:val="00683C6F"/>
    <w:rsid w:val="006842E9"/>
    <w:rsid w:val="00684A7A"/>
    <w:rsid w:val="0068517D"/>
    <w:rsid w:val="006856D5"/>
    <w:rsid w:val="00685DA6"/>
    <w:rsid w:val="00685EFD"/>
    <w:rsid w:val="0068646A"/>
    <w:rsid w:val="00686FCB"/>
    <w:rsid w:val="0068703B"/>
    <w:rsid w:val="006870A0"/>
    <w:rsid w:val="0068785A"/>
    <w:rsid w:val="006904D7"/>
    <w:rsid w:val="00690A54"/>
    <w:rsid w:val="00690E80"/>
    <w:rsid w:val="00691BAD"/>
    <w:rsid w:val="00692337"/>
    <w:rsid w:val="0069242F"/>
    <w:rsid w:val="00692703"/>
    <w:rsid w:val="00692ADC"/>
    <w:rsid w:val="00692E2D"/>
    <w:rsid w:val="0069403C"/>
    <w:rsid w:val="006941DE"/>
    <w:rsid w:val="006949EA"/>
    <w:rsid w:val="00694B8E"/>
    <w:rsid w:val="006951C9"/>
    <w:rsid w:val="00695C2A"/>
    <w:rsid w:val="006971FB"/>
    <w:rsid w:val="006975E5"/>
    <w:rsid w:val="00697998"/>
    <w:rsid w:val="00697A15"/>
    <w:rsid w:val="006A0073"/>
    <w:rsid w:val="006A0078"/>
    <w:rsid w:val="006A0317"/>
    <w:rsid w:val="006A0353"/>
    <w:rsid w:val="006A0625"/>
    <w:rsid w:val="006A0BB3"/>
    <w:rsid w:val="006A1380"/>
    <w:rsid w:val="006A1655"/>
    <w:rsid w:val="006A1892"/>
    <w:rsid w:val="006A1A0C"/>
    <w:rsid w:val="006A1ED1"/>
    <w:rsid w:val="006A2559"/>
    <w:rsid w:val="006A265B"/>
    <w:rsid w:val="006A3062"/>
    <w:rsid w:val="006A37BD"/>
    <w:rsid w:val="006A3E8C"/>
    <w:rsid w:val="006A44B2"/>
    <w:rsid w:val="006A44EB"/>
    <w:rsid w:val="006A57C1"/>
    <w:rsid w:val="006A59C3"/>
    <w:rsid w:val="006A5D1B"/>
    <w:rsid w:val="006A6065"/>
    <w:rsid w:val="006A6215"/>
    <w:rsid w:val="006A68C3"/>
    <w:rsid w:val="006A6A94"/>
    <w:rsid w:val="006A7068"/>
    <w:rsid w:val="006A77C2"/>
    <w:rsid w:val="006B0A58"/>
    <w:rsid w:val="006B0A7F"/>
    <w:rsid w:val="006B0D7E"/>
    <w:rsid w:val="006B1D77"/>
    <w:rsid w:val="006B1DC4"/>
    <w:rsid w:val="006B2379"/>
    <w:rsid w:val="006B2436"/>
    <w:rsid w:val="006B28A4"/>
    <w:rsid w:val="006B299F"/>
    <w:rsid w:val="006B2F2E"/>
    <w:rsid w:val="006B304B"/>
    <w:rsid w:val="006B3452"/>
    <w:rsid w:val="006B3514"/>
    <w:rsid w:val="006B3970"/>
    <w:rsid w:val="006B39AF"/>
    <w:rsid w:val="006B3CCC"/>
    <w:rsid w:val="006B3D91"/>
    <w:rsid w:val="006B3E67"/>
    <w:rsid w:val="006B4B9B"/>
    <w:rsid w:val="006B5116"/>
    <w:rsid w:val="006B54D9"/>
    <w:rsid w:val="006B5AB9"/>
    <w:rsid w:val="006B604E"/>
    <w:rsid w:val="006B687C"/>
    <w:rsid w:val="006B7479"/>
    <w:rsid w:val="006B7818"/>
    <w:rsid w:val="006C00BD"/>
    <w:rsid w:val="006C01F5"/>
    <w:rsid w:val="006C0E93"/>
    <w:rsid w:val="006C192F"/>
    <w:rsid w:val="006C1B8A"/>
    <w:rsid w:val="006C2400"/>
    <w:rsid w:val="006C2468"/>
    <w:rsid w:val="006C2E80"/>
    <w:rsid w:val="006C30E2"/>
    <w:rsid w:val="006C36DD"/>
    <w:rsid w:val="006C3BF8"/>
    <w:rsid w:val="006C3C1C"/>
    <w:rsid w:val="006C3DD4"/>
    <w:rsid w:val="006C407E"/>
    <w:rsid w:val="006C466E"/>
    <w:rsid w:val="006C5959"/>
    <w:rsid w:val="006C5E58"/>
    <w:rsid w:val="006C6A99"/>
    <w:rsid w:val="006C6AC0"/>
    <w:rsid w:val="006C6BA9"/>
    <w:rsid w:val="006C6FD5"/>
    <w:rsid w:val="006C7465"/>
    <w:rsid w:val="006C77B1"/>
    <w:rsid w:val="006C7D4C"/>
    <w:rsid w:val="006D0409"/>
    <w:rsid w:val="006D0A98"/>
    <w:rsid w:val="006D215C"/>
    <w:rsid w:val="006D2351"/>
    <w:rsid w:val="006D2921"/>
    <w:rsid w:val="006D30A0"/>
    <w:rsid w:val="006D32C5"/>
    <w:rsid w:val="006D33CB"/>
    <w:rsid w:val="006D360A"/>
    <w:rsid w:val="006D378F"/>
    <w:rsid w:val="006D3850"/>
    <w:rsid w:val="006D3C2F"/>
    <w:rsid w:val="006D3F04"/>
    <w:rsid w:val="006D410A"/>
    <w:rsid w:val="006D4419"/>
    <w:rsid w:val="006D467E"/>
    <w:rsid w:val="006D4703"/>
    <w:rsid w:val="006D515B"/>
    <w:rsid w:val="006D5267"/>
    <w:rsid w:val="006D5A41"/>
    <w:rsid w:val="006D5DBB"/>
    <w:rsid w:val="006D5DEF"/>
    <w:rsid w:val="006D624D"/>
    <w:rsid w:val="006D6359"/>
    <w:rsid w:val="006D66FC"/>
    <w:rsid w:val="006D6EB2"/>
    <w:rsid w:val="006D6EC8"/>
    <w:rsid w:val="006D7367"/>
    <w:rsid w:val="006D769D"/>
    <w:rsid w:val="006D76B5"/>
    <w:rsid w:val="006D776D"/>
    <w:rsid w:val="006D7CE3"/>
    <w:rsid w:val="006E04E4"/>
    <w:rsid w:val="006E0599"/>
    <w:rsid w:val="006E0ED8"/>
    <w:rsid w:val="006E104C"/>
    <w:rsid w:val="006E1337"/>
    <w:rsid w:val="006E252D"/>
    <w:rsid w:val="006E2A2F"/>
    <w:rsid w:val="006E2C78"/>
    <w:rsid w:val="006E2E9A"/>
    <w:rsid w:val="006E30B6"/>
    <w:rsid w:val="006E3188"/>
    <w:rsid w:val="006E3756"/>
    <w:rsid w:val="006E3E68"/>
    <w:rsid w:val="006E4B90"/>
    <w:rsid w:val="006E4D75"/>
    <w:rsid w:val="006E542C"/>
    <w:rsid w:val="006E55FE"/>
    <w:rsid w:val="006E5D24"/>
    <w:rsid w:val="006E6193"/>
    <w:rsid w:val="006E6839"/>
    <w:rsid w:val="006E6AF1"/>
    <w:rsid w:val="006E6BC2"/>
    <w:rsid w:val="006E6FF9"/>
    <w:rsid w:val="006E74F3"/>
    <w:rsid w:val="006E7DB9"/>
    <w:rsid w:val="006F034C"/>
    <w:rsid w:val="006F070C"/>
    <w:rsid w:val="006F16BA"/>
    <w:rsid w:val="006F1ACD"/>
    <w:rsid w:val="006F205F"/>
    <w:rsid w:val="006F22AF"/>
    <w:rsid w:val="006F24E2"/>
    <w:rsid w:val="006F256F"/>
    <w:rsid w:val="006F28A2"/>
    <w:rsid w:val="006F2D40"/>
    <w:rsid w:val="006F2E9A"/>
    <w:rsid w:val="006F36A9"/>
    <w:rsid w:val="006F38E5"/>
    <w:rsid w:val="006F39EA"/>
    <w:rsid w:val="006F3D01"/>
    <w:rsid w:val="006F3FDA"/>
    <w:rsid w:val="006F4566"/>
    <w:rsid w:val="006F4957"/>
    <w:rsid w:val="006F4FFF"/>
    <w:rsid w:val="006F5161"/>
    <w:rsid w:val="006F5680"/>
    <w:rsid w:val="006F57E2"/>
    <w:rsid w:val="006F6EA7"/>
    <w:rsid w:val="006F6F02"/>
    <w:rsid w:val="006F7140"/>
    <w:rsid w:val="006F7831"/>
    <w:rsid w:val="007003E7"/>
    <w:rsid w:val="00700586"/>
    <w:rsid w:val="0070064E"/>
    <w:rsid w:val="00700952"/>
    <w:rsid w:val="007009C2"/>
    <w:rsid w:val="0070167D"/>
    <w:rsid w:val="00701CC8"/>
    <w:rsid w:val="0070252C"/>
    <w:rsid w:val="007029F0"/>
    <w:rsid w:val="00702C1C"/>
    <w:rsid w:val="00703683"/>
    <w:rsid w:val="00703C25"/>
    <w:rsid w:val="00703E3B"/>
    <w:rsid w:val="007047F1"/>
    <w:rsid w:val="00704CF3"/>
    <w:rsid w:val="007057A9"/>
    <w:rsid w:val="00705B79"/>
    <w:rsid w:val="00705F7A"/>
    <w:rsid w:val="0070688F"/>
    <w:rsid w:val="00706A55"/>
    <w:rsid w:val="0070767B"/>
    <w:rsid w:val="0070773E"/>
    <w:rsid w:val="007079A6"/>
    <w:rsid w:val="00707C7F"/>
    <w:rsid w:val="00707ECE"/>
    <w:rsid w:val="007100C4"/>
    <w:rsid w:val="0071026C"/>
    <w:rsid w:val="00710605"/>
    <w:rsid w:val="00710677"/>
    <w:rsid w:val="00710E5B"/>
    <w:rsid w:val="00710FE9"/>
    <w:rsid w:val="00711CEC"/>
    <w:rsid w:val="00712941"/>
    <w:rsid w:val="007141AA"/>
    <w:rsid w:val="00714BA0"/>
    <w:rsid w:val="007151C4"/>
    <w:rsid w:val="0071548F"/>
    <w:rsid w:val="00715675"/>
    <w:rsid w:val="00715B80"/>
    <w:rsid w:val="00715BE3"/>
    <w:rsid w:val="00715E1B"/>
    <w:rsid w:val="007161F8"/>
    <w:rsid w:val="00716870"/>
    <w:rsid w:val="007175BF"/>
    <w:rsid w:val="00717B0A"/>
    <w:rsid w:val="00717B68"/>
    <w:rsid w:val="00720062"/>
    <w:rsid w:val="007205C7"/>
    <w:rsid w:val="00721357"/>
    <w:rsid w:val="00721460"/>
    <w:rsid w:val="00721872"/>
    <w:rsid w:val="0072197F"/>
    <w:rsid w:val="0072225F"/>
    <w:rsid w:val="007227EB"/>
    <w:rsid w:val="00722CE6"/>
    <w:rsid w:val="00722D48"/>
    <w:rsid w:val="007233C4"/>
    <w:rsid w:val="00723538"/>
    <w:rsid w:val="00723A90"/>
    <w:rsid w:val="00723CEB"/>
    <w:rsid w:val="00724E11"/>
    <w:rsid w:val="007250BD"/>
    <w:rsid w:val="00725415"/>
    <w:rsid w:val="0072622B"/>
    <w:rsid w:val="007266B3"/>
    <w:rsid w:val="0072735B"/>
    <w:rsid w:val="007275CF"/>
    <w:rsid w:val="007277F2"/>
    <w:rsid w:val="0072795D"/>
    <w:rsid w:val="00727C3B"/>
    <w:rsid w:val="00730608"/>
    <w:rsid w:val="00730918"/>
    <w:rsid w:val="0073190E"/>
    <w:rsid w:val="00731C73"/>
    <w:rsid w:val="00731EC6"/>
    <w:rsid w:val="007324E5"/>
    <w:rsid w:val="00732B95"/>
    <w:rsid w:val="00732D6F"/>
    <w:rsid w:val="00732E1E"/>
    <w:rsid w:val="00732E78"/>
    <w:rsid w:val="007331A5"/>
    <w:rsid w:val="007331F0"/>
    <w:rsid w:val="0073390B"/>
    <w:rsid w:val="00733F42"/>
    <w:rsid w:val="00733F49"/>
    <w:rsid w:val="00733FC0"/>
    <w:rsid w:val="00734045"/>
    <w:rsid w:val="00734377"/>
    <w:rsid w:val="0073462A"/>
    <w:rsid w:val="007347C1"/>
    <w:rsid w:val="007347F6"/>
    <w:rsid w:val="00734DF2"/>
    <w:rsid w:val="00735257"/>
    <w:rsid w:val="007353AF"/>
    <w:rsid w:val="007356A8"/>
    <w:rsid w:val="007359FB"/>
    <w:rsid w:val="00735C1F"/>
    <w:rsid w:val="00735EE7"/>
    <w:rsid w:val="0073614A"/>
    <w:rsid w:val="00736444"/>
    <w:rsid w:val="0073670A"/>
    <w:rsid w:val="007369A7"/>
    <w:rsid w:val="00736BF6"/>
    <w:rsid w:val="00737209"/>
    <w:rsid w:val="0073721A"/>
    <w:rsid w:val="007408B8"/>
    <w:rsid w:val="00740F05"/>
    <w:rsid w:val="007410E8"/>
    <w:rsid w:val="007414C5"/>
    <w:rsid w:val="0074163C"/>
    <w:rsid w:val="00741B50"/>
    <w:rsid w:val="00741F8B"/>
    <w:rsid w:val="007422B1"/>
    <w:rsid w:val="007425CE"/>
    <w:rsid w:val="0074262C"/>
    <w:rsid w:val="00742BAA"/>
    <w:rsid w:val="00742CF5"/>
    <w:rsid w:val="00743147"/>
    <w:rsid w:val="00743271"/>
    <w:rsid w:val="0074336D"/>
    <w:rsid w:val="007438C6"/>
    <w:rsid w:val="00743A1D"/>
    <w:rsid w:val="007447E1"/>
    <w:rsid w:val="00745734"/>
    <w:rsid w:val="00745829"/>
    <w:rsid w:val="00745851"/>
    <w:rsid w:val="00745A1C"/>
    <w:rsid w:val="00745D44"/>
    <w:rsid w:val="0074608B"/>
    <w:rsid w:val="00746404"/>
    <w:rsid w:val="0074664B"/>
    <w:rsid w:val="00746843"/>
    <w:rsid w:val="0074698D"/>
    <w:rsid w:val="00747301"/>
    <w:rsid w:val="00747592"/>
    <w:rsid w:val="0074799B"/>
    <w:rsid w:val="00747A57"/>
    <w:rsid w:val="00747CD9"/>
    <w:rsid w:val="00747F61"/>
    <w:rsid w:val="0075057A"/>
    <w:rsid w:val="00750776"/>
    <w:rsid w:val="00750A0E"/>
    <w:rsid w:val="00750B22"/>
    <w:rsid w:val="00750E5B"/>
    <w:rsid w:val="00751041"/>
    <w:rsid w:val="007521AF"/>
    <w:rsid w:val="007526CF"/>
    <w:rsid w:val="00752819"/>
    <w:rsid w:val="00752DE3"/>
    <w:rsid w:val="00752F90"/>
    <w:rsid w:val="00753315"/>
    <w:rsid w:val="00753825"/>
    <w:rsid w:val="00753844"/>
    <w:rsid w:val="00754008"/>
    <w:rsid w:val="00754322"/>
    <w:rsid w:val="00754FDB"/>
    <w:rsid w:val="007550BB"/>
    <w:rsid w:val="0075574A"/>
    <w:rsid w:val="00756377"/>
    <w:rsid w:val="007569BC"/>
    <w:rsid w:val="00756D53"/>
    <w:rsid w:val="00756E2E"/>
    <w:rsid w:val="00757336"/>
    <w:rsid w:val="00757562"/>
    <w:rsid w:val="00757608"/>
    <w:rsid w:val="00757809"/>
    <w:rsid w:val="00757DA9"/>
    <w:rsid w:val="007605FA"/>
    <w:rsid w:val="0076060C"/>
    <w:rsid w:val="0076061E"/>
    <w:rsid w:val="0076094D"/>
    <w:rsid w:val="00761263"/>
    <w:rsid w:val="00761719"/>
    <w:rsid w:val="00761FA5"/>
    <w:rsid w:val="0076211C"/>
    <w:rsid w:val="007628C3"/>
    <w:rsid w:val="0076293A"/>
    <w:rsid w:val="00763BEB"/>
    <w:rsid w:val="00763F3E"/>
    <w:rsid w:val="00764721"/>
    <w:rsid w:val="00764813"/>
    <w:rsid w:val="00764886"/>
    <w:rsid w:val="00765834"/>
    <w:rsid w:val="007658FC"/>
    <w:rsid w:val="007662DF"/>
    <w:rsid w:val="00766B8B"/>
    <w:rsid w:val="00767226"/>
    <w:rsid w:val="00767929"/>
    <w:rsid w:val="00770178"/>
    <w:rsid w:val="00770688"/>
    <w:rsid w:val="0077111F"/>
    <w:rsid w:val="00771585"/>
    <w:rsid w:val="0077163C"/>
    <w:rsid w:val="00771DF2"/>
    <w:rsid w:val="00771EAA"/>
    <w:rsid w:val="00771F9A"/>
    <w:rsid w:val="00772353"/>
    <w:rsid w:val="0077300D"/>
    <w:rsid w:val="007730BC"/>
    <w:rsid w:val="0077330F"/>
    <w:rsid w:val="007735DD"/>
    <w:rsid w:val="0077370C"/>
    <w:rsid w:val="00773AC1"/>
    <w:rsid w:val="00774413"/>
    <w:rsid w:val="007746C9"/>
    <w:rsid w:val="00774C21"/>
    <w:rsid w:val="00774D19"/>
    <w:rsid w:val="00775AF2"/>
    <w:rsid w:val="007762A9"/>
    <w:rsid w:val="007765C8"/>
    <w:rsid w:val="007769E5"/>
    <w:rsid w:val="00776B91"/>
    <w:rsid w:val="00776C41"/>
    <w:rsid w:val="00776EBC"/>
    <w:rsid w:val="00777126"/>
    <w:rsid w:val="00777276"/>
    <w:rsid w:val="0077790A"/>
    <w:rsid w:val="00777ADB"/>
    <w:rsid w:val="00780357"/>
    <w:rsid w:val="00780877"/>
    <w:rsid w:val="0078097D"/>
    <w:rsid w:val="00780C91"/>
    <w:rsid w:val="0078133C"/>
    <w:rsid w:val="007818F1"/>
    <w:rsid w:val="00781EBD"/>
    <w:rsid w:val="007820C8"/>
    <w:rsid w:val="00782107"/>
    <w:rsid w:val="0078216E"/>
    <w:rsid w:val="0078379D"/>
    <w:rsid w:val="00783DCF"/>
    <w:rsid w:val="00783E94"/>
    <w:rsid w:val="00783FD2"/>
    <w:rsid w:val="007845F6"/>
    <w:rsid w:val="00784F9B"/>
    <w:rsid w:val="007850AA"/>
    <w:rsid w:val="00785B01"/>
    <w:rsid w:val="00786133"/>
    <w:rsid w:val="007865B6"/>
    <w:rsid w:val="00786630"/>
    <w:rsid w:val="007869BD"/>
    <w:rsid w:val="00786E01"/>
    <w:rsid w:val="00787167"/>
    <w:rsid w:val="007876CF"/>
    <w:rsid w:val="007900EC"/>
    <w:rsid w:val="00790FC0"/>
    <w:rsid w:val="007910C8"/>
    <w:rsid w:val="00791678"/>
    <w:rsid w:val="007926C1"/>
    <w:rsid w:val="00792D88"/>
    <w:rsid w:val="00792E64"/>
    <w:rsid w:val="00792EB4"/>
    <w:rsid w:val="00792F26"/>
    <w:rsid w:val="0079309A"/>
    <w:rsid w:val="00793258"/>
    <w:rsid w:val="00793B1A"/>
    <w:rsid w:val="00793F32"/>
    <w:rsid w:val="00794368"/>
    <w:rsid w:val="007944C9"/>
    <w:rsid w:val="00794C61"/>
    <w:rsid w:val="00794D5D"/>
    <w:rsid w:val="007951F8"/>
    <w:rsid w:val="00795462"/>
    <w:rsid w:val="00795B0D"/>
    <w:rsid w:val="00795E58"/>
    <w:rsid w:val="0079662E"/>
    <w:rsid w:val="007974BD"/>
    <w:rsid w:val="00797971"/>
    <w:rsid w:val="00797D64"/>
    <w:rsid w:val="00797FC8"/>
    <w:rsid w:val="007A01DE"/>
    <w:rsid w:val="007A0527"/>
    <w:rsid w:val="007A071E"/>
    <w:rsid w:val="007A0DB1"/>
    <w:rsid w:val="007A0E5C"/>
    <w:rsid w:val="007A104C"/>
    <w:rsid w:val="007A1411"/>
    <w:rsid w:val="007A14A3"/>
    <w:rsid w:val="007A14CA"/>
    <w:rsid w:val="007A15C9"/>
    <w:rsid w:val="007A1881"/>
    <w:rsid w:val="007A1AC7"/>
    <w:rsid w:val="007A222A"/>
    <w:rsid w:val="007A2295"/>
    <w:rsid w:val="007A2A2D"/>
    <w:rsid w:val="007A2CA5"/>
    <w:rsid w:val="007A2DB1"/>
    <w:rsid w:val="007A2E48"/>
    <w:rsid w:val="007A2E72"/>
    <w:rsid w:val="007A3651"/>
    <w:rsid w:val="007A3C77"/>
    <w:rsid w:val="007A4653"/>
    <w:rsid w:val="007A4660"/>
    <w:rsid w:val="007A47C3"/>
    <w:rsid w:val="007A4809"/>
    <w:rsid w:val="007A4BEE"/>
    <w:rsid w:val="007A58AC"/>
    <w:rsid w:val="007A5BB0"/>
    <w:rsid w:val="007A5E7F"/>
    <w:rsid w:val="007A6DBB"/>
    <w:rsid w:val="007A6F1F"/>
    <w:rsid w:val="007A741A"/>
    <w:rsid w:val="007B0F06"/>
    <w:rsid w:val="007B197C"/>
    <w:rsid w:val="007B1C9B"/>
    <w:rsid w:val="007B22DB"/>
    <w:rsid w:val="007B2592"/>
    <w:rsid w:val="007B2C11"/>
    <w:rsid w:val="007B3171"/>
    <w:rsid w:val="007B32CF"/>
    <w:rsid w:val="007B3B26"/>
    <w:rsid w:val="007B4233"/>
    <w:rsid w:val="007B4514"/>
    <w:rsid w:val="007B471B"/>
    <w:rsid w:val="007B5033"/>
    <w:rsid w:val="007B5BBA"/>
    <w:rsid w:val="007B617D"/>
    <w:rsid w:val="007B6948"/>
    <w:rsid w:val="007B6C23"/>
    <w:rsid w:val="007B70B9"/>
    <w:rsid w:val="007B7535"/>
    <w:rsid w:val="007B7938"/>
    <w:rsid w:val="007B7A78"/>
    <w:rsid w:val="007B7AA0"/>
    <w:rsid w:val="007B7AE9"/>
    <w:rsid w:val="007B7BC9"/>
    <w:rsid w:val="007C014D"/>
    <w:rsid w:val="007C0799"/>
    <w:rsid w:val="007C1332"/>
    <w:rsid w:val="007C1592"/>
    <w:rsid w:val="007C1912"/>
    <w:rsid w:val="007C1C21"/>
    <w:rsid w:val="007C2938"/>
    <w:rsid w:val="007C2997"/>
    <w:rsid w:val="007C29E9"/>
    <w:rsid w:val="007C2A86"/>
    <w:rsid w:val="007C33CF"/>
    <w:rsid w:val="007C41B6"/>
    <w:rsid w:val="007C475A"/>
    <w:rsid w:val="007C4763"/>
    <w:rsid w:val="007C4873"/>
    <w:rsid w:val="007C4C07"/>
    <w:rsid w:val="007C4E04"/>
    <w:rsid w:val="007C4EF3"/>
    <w:rsid w:val="007C5630"/>
    <w:rsid w:val="007C58B6"/>
    <w:rsid w:val="007C661B"/>
    <w:rsid w:val="007C6AF1"/>
    <w:rsid w:val="007C6B23"/>
    <w:rsid w:val="007C6B62"/>
    <w:rsid w:val="007C6E3C"/>
    <w:rsid w:val="007C7106"/>
    <w:rsid w:val="007C7452"/>
    <w:rsid w:val="007C7553"/>
    <w:rsid w:val="007C7829"/>
    <w:rsid w:val="007C7A86"/>
    <w:rsid w:val="007C7E8C"/>
    <w:rsid w:val="007D028B"/>
    <w:rsid w:val="007D0415"/>
    <w:rsid w:val="007D0748"/>
    <w:rsid w:val="007D087B"/>
    <w:rsid w:val="007D0DB4"/>
    <w:rsid w:val="007D1271"/>
    <w:rsid w:val="007D1A67"/>
    <w:rsid w:val="007D1F67"/>
    <w:rsid w:val="007D22AE"/>
    <w:rsid w:val="007D23E8"/>
    <w:rsid w:val="007D243B"/>
    <w:rsid w:val="007D2690"/>
    <w:rsid w:val="007D274C"/>
    <w:rsid w:val="007D28F2"/>
    <w:rsid w:val="007D2E30"/>
    <w:rsid w:val="007D3B59"/>
    <w:rsid w:val="007D4158"/>
    <w:rsid w:val="007D42FA"/>
    <w:rsid w:val="007D48A4"/>
    <w:rsid w:val="007D4965"/>
    <w:rsid w:val="007D497D"/>
    <w:rsid w:val="007D4A1D"/>
    <w:rsid w:val="007D723D"/>
    <w:rsid w:val="007D7412"/>
    <w:rsid w:val="007D756C"/>
    <w:rsid w:val="007D769D"/>
    <w:rsid w:val="007D7713"/>
    <w:rsid w:val="007D7EF6"/>
    <w:rsid w:val="007E04ED"/>
    <w:rsid w:val="007E0746"/>
    <w:rsid w:val="007E0BF6"/>
    <w:rsid w:val="007E0F3A"/>
    <w:rsid w:val="007E119C"/>
    <w:rsid w:val="007E127A"/>
    <w:rsid w:val="007E127B"/>
    <w:rsid w:val="007E1354"/>
    <w:rsid w:val="007E1A2F"/>
    <w:rsid w:val="007E1DCD"/>
    <w:rsid w:val="007E215C"/>
    <w:rsid w:val="007E29A0"/>
    <w:rsid w:val="007E2F19"/>
    <w:rsid w:val="007E51AC"/>
    <w:rsid w:val="007E51AF"/>
    <w:rsid w:val="007E520E"/>
    <w:rsid w:val="007E5267"/>
    <w:rsid w:val="007E52CB"/>
    <w:rsid w:val="007E581C"/>
    <w:rsid w:val="007E605D"/>
    <w:rsid w:val="007E612F"/>
    <w:rsid w:val="007E6A3A"/>
    <w:rsid w:val="007E70EC"/>
    <w:rsid w:val="007E76CF"/>
    <w:rsid w:val="007E7898"/>
    <w:rsid w:val="007E794A"/>
    <w:rsid w:val="007E794C"/>
    <w:rsid w:val="007E79F5"/>
    <w:rsid w:val="007F0569"/>
    <w:rsid w:val="007F14F6"/>
    <w:rsid w:val="007F15ED"/>
    <w:rsid w:val="007F16EE"/>
    <w:rsid w:val="007F1E92"/>
    <w:rsid w:val="007F2F40"/>
    <w:rsid w:val="007F35BC"/>
    <w:rsid w:val="007F3631"/>
    <w:rsid w:val="007F3A0A"/>
    <w:rsid w:val="007F45AD"/>
    <w:rsid w:val="007F4D46"/>
    <w:rsid w:val="007F4E51"/>
    <w:rsid w:val="007F57BF"/>
    <w:rsid w:val="007F586E"/>
    <w:rsid w:val="007F5D9C"/>
    <w:rsid w:val="007F61E0"/>
    <w:rsid w:val="007F6408"/>
    <w:rsid w:val="007F6CDD"/>
    <w:rsid w:val="007F6FEB"/>
    <w:rsid w:val="007F732A"/>
    <w:rsid w:val="007F74A5"/>
    <w:rsid w:val="007F7C6F"/>
    <w:rsid w:val="007F7C9E"/>
    <w:rsid w:val="0080074F"/>
    <w:rsid w:val="00800A07"/>
    <w:rsid w:val="00800BEF"/>
    <w:rsid w:val="00801E76"/>
    <w:rsid w:val="00802076"/>
    <w:rsid w:val="0080216D"/>
    <w:rsid w:val="00802561"/>
    <w:rsid w:val="00802946"/>
    <w:rsid w:val="00803535"/>
    <w:rsid w:val="00803D2A"/>
    <w:rsid w:val="00803DA6"/>
    <w:rsid w:val="00804414"/>
    <w:rsid w:val="008045E2"/>
    <w:rsid w:val="0080467B"/>
    <w:rsid w:val="008047FD"/>
    <w:rsid w:val="00804828"/>
    <w:rsid w:val="00804C3E"/>
    <w:rsid w:val="00804E3A"/>
    <w:rsid w:val="00805076"/>
    <w:rsid w:val="008065D1"/>
    <w:rsid w:val="008068C4"/>
    <w:rsid w:val="0080691B"/>
    <w:rsid w:val="00806A69"/>
    <w:rsid w:val="00806AEF"/>
    <w:rsid w:val="00806EDF"/>
    <w:rsid w:val="008071B7"/>
    <w:rsid w:val="00807964"/>
    <w:rsid w:val="008079E7"/>
    <w:rsid w:val="008105F9"/>
    <w:rsid w:val="00810C9F"/>
    <w:rsid w:val="0081101E"/>
    <w:rsid w:val="008120ED"/>
    <w:rsid w:val="008125F7"/>
    <w:rsid w:val="00812932"/>
    <w:rsid w:val="00812D0F"/>
    <w:rsid w:val="00813426"/>
    <w:rsid w:val="0081405E"/>
    <w:rsid w:val="00814121"/>
    <w:rsid w:val="00814818"/>
    <w:rsid w:val="00814E8F"/>
    <w:rsid w:val="00815619"/>
    <w:rsid w:val="0081584E"/>
    <w:rsid w:val="00815A27"/>
    <w:rsid w:val="0081606A"/>
    <w:rsid w:val="00816681"/>
    <w:rsid w:val="0081690D"/>
    <w:rsid w:val="008172F4"/>
    <w:rsid w:val="00817398"/>
    <w:rsid w:val="00817A63"/>
    <w:rsid w:val="00817C24"/>
    <w:rsid w:val="008200FE"/>
    <w:rsid w:val="0082010A"/>
    <w:rsid w:val="00820658"/>
    <w:rsid w:val="00821B78"/>
    <w:rsid w:val="00822227"/>
    <w:rsid w:val="00822ACC"/>
    <w:rsid w:val="0082322D"/>
    <w:rsid w:val="008232C6"/>
    <w:rsid w:val="00823431"/>
    <w:rsid w:val="00823C7B"/>
    <w:rsid w:val="00823E6F"/>
    <w:rsid w:val="008251EF"/>
    <w:rsid w:val="0082556E"/>
    <w:rsid w:val="0082571F"/>
    <w:rsid w:val="0082580D"/>
    <w:rsid w:val="00825D6E"/>
    <w:rsid w:val="008265EE"/>
    <w:rsid w:val="008269A1"/>
    <w:rsid w:val="00826A8F"/>
    <w:rsid w:val="00826F9D"/>
    <w:rsid w:val="0082727F"/>
    <w:rsid w:val="0082744B"/>
    <w:rsid w:val="008275DA"/>
    <w:rsid w:val="00827942"/>
    <w:rsid w:val="00830839"/>
    <w:rsid w:val="00830F20"/>
    <w:rsid w:val="00831016"/>
    <w:rsid w:val="0083132F"/>
    <w:rsid w:val="0083145D"/>
    <w:rsid w:val="0083161A"/>
    <w:rsid w:val="0083183B"/>
    <w:rsid w:val="00831AEC"/>
    <w:rsid w:val="00831C65"/>
    <w:rsid w:val="00831D62"/>
    <w:rsid w:val="00831EBB"/>
    <w:rsid w:val="008326C5"/>
    <w:rsid w:val="00833967"/>
    <w:rsid w:val="00833A7D"/>
    <w:rsid w:val="0083406C"/>
    <w:rsid w:val="008342C7"/>
    <w:rsid w:val="0083442F"/>
    <w:rsid w:val="00834BC2"/>
    <w:rsid w:val="00834F08"/>
    <w:rsid w:val="00835122"/>
    <w:rsid w:val="008352CF"/>
    <w:rsid w:val="00835301"/>
    <w:rsid w:val="00835623"/>
    <w:rsid w:val="008362F3"/>
    <w:rsid w:val="00836C26"/>
    <w:rsid w:val="0083721A"/>
    <w:rsid w:val="00837991"/>
    <w:rsid w:val="00837A1A"/>
    <w:rsid w:val="00840152"/>
    <w:rsid w:val="008409F4"/>
    <w:rsid w:val="00840C43"/>
    <w:rsid w:val="008411DD"/>
    <w:rsid w:val="00841278"/>
    <w:rsid w:val="0084167F"/>
    <w:rsid w:val="00841959"/>
    <w:rsid w:val="00841B2F"/>
    <w:rsid w:val="00843873"/>
    <w:rsid w:val="00843911"/>
    <w:rsid w:val="00843A94"/>
    <w:rsid w:val="00843C58"/>
    <w:rsid w:val="00843D1E"/>
    <w:rsid w:val="008443C1"/>
    <w:rsid w:val="008448E3"/>
    <w:rsid w:val="00844B90"/>
    <w:rsid w:val="00844BB4"/>
    <w:rsid w:val="00845131"/>
    <w:rsid w:val="0084530F"/>
    <w:rsid w:val="0084550C"/>
    <w:rsid w:val="00845AA3"/>
    <w:rsid w:val="00846E6D"/>
    <w:rsid w:val="0084795C"/>
    <w:rsid w:val="008479EC"/>
    <w:rsid w:val="00850A22"/>
    <w:rsid w:val="00850C59"/>
    <w:rsid w:val="00850CB1"/>
    <w:rsid w:val="00851033"/>
    <w:rsid w:val="008514EE"/>
    <w:rsid w:val="00851621"/>
    <w:rsid w:val="008516E2"/>
    <w:rsid w:val="00851BB4"/>
    <w:rsid w:val="00851E57"/>
    <w:rsid w:val="00851F33"/>
    <w:rsid w:val="0085232F"/>
    <w:rsid w:val="0085271A"/>
    <w:rsid w:val="008553FA"/>
    <w:rsid w:val="00856364"/>
    <w:rsid w:val="008565F9"/>
    <w:rsid w:val="00856977"/>
    <w:rsid w:val="00856EC2"/>
    <w:rsid w:val="00857125"/>
    <w:rsid w:val="008575F5"/>
    <w:rsid w:val="00857D9F"/>
    <w:rsid w:val="00857FAF"/>
    <w:rsid w:val="008603FC"/>
    <w:rsid w:val="0086071E"/>
    <w:rsid w:val="0086157E"/>
    <w:rsid w:val="008615DF"/>
    <w:rsid w:val="00861A99"/>
    <w:rsid w:val="00861AA9"/>
    <w:rsid w:val="00861CCE"/>
    <w:rsid w:val="0086264F"/>
    <w:rsid w:val="0086290D"/>
    <w:rsid w:val="00862D5A"/>
    <w:rsid w:val="00862D5C"/>
    <w:rsid w:val="00862EB1"/>
    <w:rsid w:val="00863D6E"/>
    <w:rsid w:val="00864334"/>
    <w:rsid w:val="00865073"/>
    <w:rsid w:val="008650A3"/>
    <w:rsid w:val="00865435"/>
    <w:rsid w:val="008654DB"/>
    <w:rsid w:val="00865511"/>
    <w:rsid w:val="0086561F"/>
    <w:rsid w:val="00865799"/>
    <w:rsid w:val="008658A1"/>
    <w:rsid w:val="0086592E"/>
    <w:rsid w:val="00865DB6"/>
    <w:rsid w:val="0086609C"/>
    <w:rsid w:val="0086729A"/>
    <w:rsid w:val="00867DB8"/>
    <w:rsid w:val="00870146"/>
    <w:rsid w:val="0087028A"/>
    <w:rsid w:val="008703C5"/>
    <w:rsid w:val="00871146"/>
    <w:rsid w:val="0087142F"/>
    <w:rsid w:val="008714AA"/>
    <w:rsid w:val="008715AD"/>
    <w:rsid w:val="008717E6"/>
    <w:rsid w:val="00871C20"/>
    <w:rsid w:val="008722EF"/>
    <w:rsid w:val="00872749"/>
    <w:rsid w:val="0087279E"/>
    <w:rsid w:val="00872BD3"/>
    <w:rsid w:val="00872E56"/>
    <w:rsid w:val="00873009"/>
    <w:rsid w:val="00873074"/>
    <w:rsid w:val="00873F5C"/>
    <w:rsid w:val="008742C1"/>
    <w:rsid w:val="00875052"/>
    <w:rsid w:val="00875657"/>
    <w:rsid w:val="00875838"/>
    <w:rsid w:val="008758AD"/>
    <w:rsid w:val="00875B0A"/>
    <w:rsid w:val="00875B6F"/>
    <w:rsid w:val="00875C1F"/>
    <w:rsid w:val="0087669B"/>
    <w:rsid w:val="00877144"/>
    <w:rsid w:val="00877BC1"/>
    <w:rsid w:val="00877FF8"/>
    <w:rsid w:val="00880CF1"/>
    <w:rsid w:val="00880D75"/>
    <w:rsid w:val="0088128A"/>
    <w:rsid w:val="00881656"/>
    <w:rsid w:val="00881713"/>
    <w:rsid w:val="008818FC"/>
    <w:rsid w:val="00881C8F"/>
    <w:rsid w:val="00881E5E"/>
    <w:rsid w:val="0088240F"/>
    <w:rsid w:val="00882411"/>
    <w:rsid w:val="00882C0A"/>
    <w:rsid w:val="00882C90"/>
    <w:rsid w:val="00882F26"/>
    <w:rsid w:val="0088300B"/>
    <w:rsid w:val="00883014"/>
    <w:rsid w:val="008830DE"/>
    <w:rsid w:val="008834AA"/>
    <w:rsid w:val="008839B5"/>
    <w:rsid w:val="008840E8"/>
    <w:rsid w:val="008859DC"/>
    <w:rsid w:val="00886166"/>
    <w:rsid w:val="008862C0"/>
    <w:rsid w:val="00886B5B"/>
    <w:rsid w:val="00887215"/>
    <w:rsid w:val="00887935"/>
    <w:rsid w:val="008879CA"/>
    <w:rsid w:val="0089049E"/>
    <w:rsid w:val="00890A57"/>
    <w:rsid w:val="00890B5F"/>
    <w:rsid w:val="00890BF4"/>
    <w:rsid w:val="00890EB1"/>
    <w:rsid w:val="00891D43"/>
    <w:rsid w:val="008921CD"/>
    <w:rsid w:val="008926EC"/>
    <w:rsid w:val="00892749"/>
    <w:rsid w:val="00892F1F"/>
    <w:rsid w:val="00893625"/>
    <w:rsid w:val="00893ADE"/>
    <w:rsid w:val="00893B18"/>
    <w:rsid w:val="00893C84"/>
    <w:rsid w:val="00893CA5"/>
    <w:rsid w:val="00893D29"/>
    <w:rsid w:val="00894573"/>
    <w:rsid w:val="00894F52"/>
    <w:rsid w:val="00895764"/>
    <w:rsid w:val="008959EC"/>
    <w:rsid w:val="00895A1E"/>
    <w:rsid w:val="00895A36"/>
    <w:rsid w:val="00895A72"/>
    <w:rsid w:val="00896879"/>
    <w:rsid w:val="00896A9D"/>
    <w:rsid w:val="00896C29"/>
    <w:rsid w:val="00896FB8"/>
    <w:rsid w:val="0089752B"/>
    <w:rsid w:val="008A041D"/>
    <w:rsid w:val="008A0985"/>
    <w:rsid w:val="008A1F97"/>
    <w:rsid w:val="008A32E1"/>
    <w:rsid w:val="008A3F48"/>
    <w:rsid w:val="008A4402"/>
    <w:rsid w:val="008A4611"/>
    <w:rsid w:val="008A46F6"/>
    <w:rsid w:val="008A4D28"/>
    <w:rsid w:val="008A51D0"/>
    <w:rsid w:val="008A57DC"/>
    <w:rsid w:val="008A5D95"/>
    <w:rsid w:val="008A6267"/>
    <w:rsid w:val="008A6694"/>
    <w:rsid w:val="008A6FED"/>
    <w:rsid w:val="008A7F9A"/>
    <w:rsid w:val="008B02A3"/>
    <w:rsid w:val="008B035C"/>
    <w:rsid w:val="008B0648"/>
    <w:rsid w:val="008B0927"/>
    <w:rsid w:val="008B14A7"/>
    <w:rsid w:val="008B154B"/>
    <w:rsid w:val="008B1920"/>
    <w:rsid w:val="008B1AA4"/>
    <w:rsid w:val="008B1D01"/>
    <w:rsid w:val="008B256D"/>
    <w:rsid w:val="008B2CD2"/>
    <w:rsid w:val="008B2D46"/>
    <w:rsid w:val="008B2D71"/>
    <w:rsid w:val="008B44BA"/>
    <w:rsid w:val="008B4591"/>
    <w:rsid w:val="008B4954"/>
    <w:rsid w:val="008B57BC"/>
    <w:rsid w:val="008B60B3"/>
    <w:rsid w:val="008B613A"/>
    <w:rsid w:val="008B6556"/>
    <w:rsid w:val="008B6BBA"/>
    <w:rsid w:val="008B6D87"/>
    <w:rsid w:val="008B6DA1"/>
    <w:rsid w:val="008B7A89"/>
    <w:rsid w:val="008C0C90"/>
    <w:rsid w:val="008C1601"/>
    <w:rsid w:val="008C1C8D"/>
    <w:rsid w:val="008C1DDB"/>
    <w:rsid w:val="008C20F8"/>
    <w:rsid w:val="008C2C59"/>
    <w:rsid w:val="008C2EBD"/>
    <w:rsid w:val="008C2FA9"/>
    <w:rsid w:val="008C3598"/>
    <w:rsid w:val="008C3737"/>
    <w:rsid w:val="008C3BC3"/>
    <w:rsid w:val="008C3D9F"/>
    <w:rsid w:val="008C424A"/>
    <w:rsid w:val="008C4920"/>
    <w:rsid w:val="008C4BFD"/>
    <w:rsid w:val="008C4E04"/>
    <w:rsid w:val="008C538E"/>
    <w:rsid w:val="008C5732"/>
    <w:rsid w:val="008C5F35"/>
    <w:rsid w:val="008C6034"/>
    <w:rsid w:val="008C639E"/>
    <w:rsid w:val="008C699B"/>
    <w:rsid w:val="008C7325"/>
    <w:rsid w:val="008C7351"/>
    <w:rsid w:val="008C772D"/>
    <w:rsid w:val="008C795F"/>
    <w:rsid w:val="008C7FB3"/>
    <w:rsid w:val="008D0560"/>
    <w:rsid w:val="008D0ECB"/>
    <w:rsid w:val="008D100C"/>
    <w:rsid w:val="008D10AB"/>
    <w:rsid w:val="008D2E6D"/>
    <w:rsid w:val="008D3320"/>
    <w:rsid w:val="008D333D"/>
    <w:rsid w:val="008D3496"/>
    <w:rsid w:val="008D37FE"/>
    <w:rsid w:val="008D3B42"/>
    <w:rsid w:val="008D4051"/>
    <w:rsid w:val="008D4525"/>
    <w:rsid w:val="008D4661"/>
    <w:rsid w:val="008D47D1"/>
    <w:rsid w:val="008D4D23"/>
    <w:rsid w:val="008D4FE5"/>
    <w:rsid w:val="008D53F5"/>
    <w:rsid w:val="008D5A3F"/>
    <w:rsid w:val="008D5F79"/>
    <w:rsid w:val="008D61D6"/>
    <w:rsid w:val="008D64F5"/>
    <w:rsid w:val="008D68AA"/>
    <w:rsid w:val="008D6A03"/>
    <w:rsid w:val="008D6CD7"/>
    <w:rsid w:val="008D701A"/>
    <w:rsid w:val="008D79E7"/>
    <w:rsid w:val="008E02E4"/>
    <w:rsid w:val="008E06FE"/>
    <w:rsid w:val="008E1483"/>
    <w:rsid w:val="008E14AE"/>
    <w:rsid w:val="008E17A1"/>
    <w:rsid w:val="008E1C09"/>
    <w:rsid w:val="008E2350"/>
    <w:rsid w:val="008E2471"/>
    <w:rsid w:val="008E2761"/>
    <w:rsid w:val="008E27E3"/>
    <w:rsid w:val="008E2C2A"/>
    <w:rsid w:val="008E31E4"/>
    <w:rsid w:val="008E3386"/>
    <w:rsid w:val="008E34B3"/>
    <w:rsid w:val="008E3F4D"/>
    <w:rsid w:val="008E4652"/>
    <w:rsid w:val="008E4D09"/>
    <w:rsid w:val="008E51EC"/>
    <w:rsid w:val="008E56E4"/>
    <w:rsid w:val="008E5F3A"/>
    <w:rsid w:val="008E657A"/>
    <w:rsid w:val="008E6B6B"/>
    <w:rsid w:val="008E6FDC"/>
    <w:rsid w:val="008E7301"/>
    <w:rsid w:val="008E7531"/>
    <w:rsid w:val="008F06A2"/>
    <w:rsid w:val="008F08B4"/>
    <w:rsid w:val="008F0979"/>
    <w:rsid w:val="008F09E5"/>
    <w:rsid w:val="008F0B87"/>
    <w:rsid w:val="008F0DBD"/>
    <w:rsid w:val="008F133D"/>
    <w:rsid w:val="008F1981"/>
    <w:rsid w:val="008F1A1F"/>
    <w:rsid w:val="008F2262"/>
    <w:rsid w:val="008F284E"/>
    <w:rsid w:val="008F2B4E"/>
    <w:rsid w:val="008F3218"/>
    <w:rsid w:val="008F3C0A"/>
    <w:rsid w:val="008F3EF5"/>
    <w:rsid w:val="008F4C4C"/>
    <w:rsid w:val="008F523C"/>
    <w:rsid w:val="008F56AB"/>
    <w:rsid w:val="008F57E4"/>
    <w:rsid w:val="008F58D8"/>
    <w:rsid w:val="008F58F9"/>
    <w:rsid w:val="008F6A7D"/>
    <w:rsid w:val="008F6AF0"/>
    <w:rsid w:val="008F6D50"/>
    <w:rsid w:val="008F7431"/>
    <w:rsid w:val="008F7F19"/>
    <w:rsid w:val="009008B9"/>
    <w:rsid w:val="009016C0"/>
    <w:rsid w:val="009018BD"/>
    <w:rsid w:val="00901A6D"/>
    <w:rsid w:val="00901C3D"/>
    <w:rsid w:val="00901EB5"/>
    <w:rsid w:val="00902297"/>
    <w:rsid w:val="00902A32"/>
    <w:rsid w:val="00902BDA"/>
    <w:rsid w:val="00902CB4"/>
    <w:rsid w:val="00903023"/>
    <w:rsid w:val="0090391C"/>
    <w:rsid w:val="00903AFB"/>
    <w:rsid w:val="009054EF"/>
    <w:rsid w:val="00905516"/>
    <w:rsid w:val="00905819"/>
    <w:rsid w:val="00905FF5"/>
    <w:rsid w:val="009072AB"/>
    <w:rsid w:val="00907636"/>
    <w:rsid w:val="009077E9"/>
    <w:rsid w:val="0091005A"/>
    <w:rsid w:val="00910126"/>
    <w:rsid w:val="00910776"/>
    <w:rsid w:val="0091078A"/>
    <w:rsid w:val="00910C76"/>
    <w:rsid w:val="0091149A"/>
    <w:rsid w:val="00911796"/>
    <w:rsid w:val="009118EC"/>
    <w:rsid w:val="00911BA1"/>
    <w:rsid w:val="00911CC0"/>
    <w:rsid w:val="0091281E"/>
    <w:rsid w:val="00912AA4"/>
    <w:rsid w:val="00913727"/>
    <w:rsid w:val="009138B4"/>
    <w:rsid w:val="00913AF2"/>
    <w:rsid w:val="00913EE7"/>
    <w:rsid w:val="00914BE8"/>
    <w:rsid w:val="00915537"/>
    <w:rsid w:val="009159E6"/>
    <w:rsid w:val="00916151"/>
    <w:rsid w:val="00916582"/>
    <w:rsid w:val="00916EDF"/>
    <w:rsid w:val="0092040C"/>
    <w:rsid w:val="009204BD"/>
    <w:rsid w:val="009207FC"/>
    <w:rsid w:val="009209E5"/>
    <w:rsid w:val="00920A23"/>
    <w:rsid w:val="00920EC4"/>
    <w:rsid w:val="00921371"/>
    <w:rsid w:val="00921D7D"/>
    <w:rsid w:val="00922221"/>
    <w:rsid w:val="0092239E"/>
    <w:rsid w:val="00922986"/>
    <w:rsid w:val="00922F8F"/>
    <w:rsid w:val="0092342D"/>
    <w:rsid w:val="00923D6D"/>
    <w:rsid w:val="009242C3"/>
    <w:rsid w:val="00924386"/>
    <w:rsid w:val="00924734"/>
    <w:rsid w:val="009249CD"/>
    <w:rsid w:val="00924D1C"/>
    <w:rsid w:val="00924EC6"/>
    <w:rsid w:val="009255C5"/>
    <w:rsid w:val="00925ABC"/>
    <w:rsid w:val="00925DA7"/>
    <w:rsid w:val="00926229"/>
    <w:rsid w:val="0092636D"/>
    <w:rsid w:val="009268CE"/>
    <w:rsid w:val="00926D0A"/>
    <w:rsid w:val="00926EBF"/>
    <w:rsid w:val="00927101"/>
    <w:rsid w:val="00927485"/>
    <w:rsid w:val="009278DC"/>
    <w:rsid w:val="0093011D"/>
    <w:rsid w:val="0093036F"/>
    <w:rsid w:val="0093096D"/>
    <w:rsid w:val="00931099"/>
    <w:rsid w:val="0093121D"/>
    <w:rsid w:val="00932413"/>
    <w:rsid w:val="009325D5"/>
    <w:rsid w:val="00932F01"/>
    <w:rsid w:val="009339AB"/>
    <w:rsid w:val="00933D8C"/>
    <w:rsid w:val="00933F00"/>
    <w:rsid w:val="00933F3F"/>
    <w:rsid w:val="00934562"/>
    <w:rsid w:val="0093477D"/>
    <w:rsid w:val="00934834"/>
    <w:rsid w:val="00934912"/>
    <w:rsid w:val="00934B1D"/>
    <w:rsid w:val="00935888"/>
    <w:rsid w:val="00936567"/>
    <w:rsid w:val="0093662D"/>
    <w:rsid w:val="009366F7"/>
    <w:rsid w:val="00936B35"/>
    <w:rsid w:val="00936F57"/>
    <w:rsid w:val="009378A7"/>
    <w:rsid w:val="009378B1"/>
    <w:rsid w:val="009378C6"/>
    <w:rsid w:val="00937AFA"/>
    <w:rsid w:val="00940198"/>
    <w:rsid w:val="009402FF"/>
    <w:rsid w:val="00940912"/>
    <w:rsid w:val="00940EED"/>
    <w:rsid w:val="00940F92"/>
    <w:rsid w:val="00941558"/>
    <w:rsid w:val="00941BFF"/>
    <w:rsid w:val="00941E0B"/>
    <w:rsid w:val="009420B0"/>
    <w:rsid w:val="0094229B"/>
    <w:rsid w:val="00942EC8"/>
    <w:rsid w:val="00943878"/>
    <w:rsid w:val="009439DA"/>
    <w:rsid w:val="00944262"/>
    <w:rsid w:val="00944311"/>
    <w:rsid w:val="00944C24"/>
    <w:rsid w:val="00944C76"/>
    <w:rsid w:val="0094525A"/>
    <w:rsid w:val="00946A92"/>
    <w:rsid w:val="00946E77"/>
    <w:rsid w:val="00946FEC"/>
    <w:rsid w:val="0094759A"/>
    <w:rsid w:val="00947A60"/>
    <w:rsid w:val="00947A9D"/>
    <w:rsid w:val="00947D52"/>
    <w:rsid w:val="00947D97"/>
    <w:rsid w:val="00950331"/>
    <w:rsid w:val="00950B26"/>
    <w:rsid w:val="0095101A"/>
    <w:rsid w:val="00951582"/>
    <w:rsid w:val="00951BBA"/>
    <w:rsid w:val="0095237F"/>
    <w:rsid w:val="00952638"/>
    <w:rsid w:val="009527DD"/>
    <w:rsid w:val="00952975"/>
    <w:rsid w:val="00952DFB"/>
    <w:rsid w:val="0095361E"/>
    <w:rsid w:val="0095382F"/>
    <w:rsid w:val="00953E14"/>
    <w:rsid w:val="009542A4"/>
    <w:rsid w:val="009545F6"/>
    <w:rsid w:val="009547D4"/>
    <w:rsid w:val="00954951"/>
    <w:rsid w:val="00954D13"/>
    <w:rsid w:val="009551A0"/>
    <w:rsid w:val="009556C2"/>
    <w:rsid w:val="00955AA8"/>
    <w:rsid w:val="00955EA2"/>
    <w:rsid w:val="009565FE"/>
    <w:rsid w:val="009566B1"/>
    <w:rsid w:val="009567CB"/>
    <w:rsid w:val="00956D94"/>
    <w:rsid w:val="00956F05"/>
    <w:rsid w:val="00956F2A"/>
    <w:rsid w:val="00956FD7"/>
    <w:rsid w:val="00957128"/>
    <w:rsid w:val="00957382"/>
    <w:rsid w:val="009602E8"/>
    <w:rsid w:val="0096037D"/>
    <w:rsid w:val="00960807"/>
    <w:rsid w:val="009609DE"/>
    <w:rsid w:val="00960D60"/>
    <w:rsid w:val="00960FFA"/>
    <w:rsid w:val="00961293"/>
    <w:rsid w:val="0096193E"/>
    <w:rsid w:val="009621F3"/>
    <w:rsid w:val="00962F5D"/>
    <w:rsid w:val="009634F3"/>
    <w:rsid w:val="00963AEA"/>
    <w:rsid w:val="00963F15"/>
    <w:rsid w:val="00964278"/>
    <w:rsid w:val="0096448F"/>
    <w:rsid w:val="0096463C"/>
    <w:rsid w:val="00964D61"/>
    <w:rsid w:val="00964DB3"/>
    <w:rsid w:val="00965353"/>
    <w:rsid w:val="00965694"/>
    <w:rsid w:val="00966468"/>
    <w:rsid w:val="00966665"/>
    <w:rsid w:val="0096699D"/>
    <w:rsid w:val="00970023"/>
    <w:rsid w:val="009705B9"/>
    <w:rsid w:val="0097108B"/>
    <w:rsid w:val="00971158"/>
    <w:rsid w:val="00971520"/>
    <w:rsid w:val="00971530"/>
    <w:rsid w:val="00971606"/>
    <w:rsid w:val="00971802"/>
    <w:rsid w:val="009718B3"/>
    <w:rsid w:val="00971C60"/>
    <w:rsid w:val="0097226C"/>
    <w:rsid w:val="00972D3A"/>
    <w:rsid w:val="009731C4"/>
    <w:rsid w:val="00973932"/>
    <w:rsid w:val="00973A20"/>
    <w:rsid w:val="00973A59"/>
    <w:rsid w:val="00973F15"/>
    <w:rsid w:val="009741D0"/>
    <w:rsid w:val="00974207"/>
    <w:rsid w:val="00974ABA"/>
    <w:rsid w:val="00974DE2"/>
    <w:rsid w:val="00975112"/>
    <w:rsid w:val="00975436"/>
    <w:rsid w:val="00975458"/>
    <w:rsid w:val="00975B4C"/>
    <w:rsid w:val="00976105"/>
    <w:rsid w:val="00977141"/>
    <w:rsid w:val="00977625"/>
    <w:rsid w:val="009805AF"/>
    <w:rsid w:val="00980720"/>
    <w:rsid w:val="00980AFC"/>
    <w:rsid w:val="00980B9C"/>
    <w:rsid w:val="00980C15"/>
    <w:rsid w:val="009818B7"/>
    <w:rsid w:val="00982304"/>
    <w:rsid w:val="0098243A"/>
    <w:rsid w:val="009826D9"/>
    <w:rsid w:val="009827CD"/>
    <w:rsid w:val="00982C46"/>
    <w:rsid w:val="00983191"/>
    <w:rsid w:val="0098354F"/>
    <w:rsid w:val="0098359D"/>
    <w:rsid w:val="00983EB7"/>
    <w:rsid w:val="009847E6"/>
    <w:rsid w:val="00984872"/>
    <w:rsid w:val="00984A59"/>
    <w:rsid w:val="00984BE5"/>
    <w:rsid w:val="00984C0A"/>
    <w:rsid w:val="0098546B"/>
    <w:rsid w:val="009856C4"/>
    <w:rsid w:val="00985848"/>
    <w:rsid w:val="0098607B"/>
    <w:rsid w:val="00987B14"/>
    <w:rsid w:val="00987F2C"/>
    <w:rsid w:val="00990867"/>
    <w:rsid w:val="00990E09"/>
    <w:rsid w:val="00990F4B"/>
    <w:rsid w:val="009911E3"/>
    <w:rsid w:val="009919C9"/>
    <w:rsid w:val="0099210F"/>
    <w:rsid w:val="00992688"/>
    <w:rsid w:val="009926E0"/>
    <w:rsid w:val="0099285A"/>
    <w:rsid w:val="00992AAA"/>
    <w:rsid w:val="00993022"/>
    <w:rsid w:val="009930EB"/>
    <w:rsid w:val="0099340B"/>
    <w:rsid w:val="00993A34"/>
    <w:rsid w:val="0099488E"/>
    <w:rsid w:val="00995301"/>
    <w:rsid w:val="0099603C"/>
    <w:rsid w:val="00996236"/>
    <w:rsid w:val="00996488"/>
    <w:rsid w:val="00996593"/>
    <w:rsid w:val="0099684A"/>
    <w:rsid w:val="009968AE"/>
    <w:rsid w:val="00997071"/>
    <w:rsid w:val="009979BC"/>
    <w:rsid w:val="00997C3D"/>
    <w:rsid w:val="00997D1E"/>
    <w:rsid w:val="009A01E7"/>
    <w:rsid w:val="009A06F9"/>
    <w:rsid w:val="009A07C5"/>
    <w:rsid w:val="009A1594"/>
    <w:rsid w:val="009A18D4"/>
    <w:rsid w:val="009A1A21"/>
    <w:rsid w:val="009A1A98"/>
    <w:rsid w:val="009A2B88"/>
    <w:rsid w:val="009A302B"/>
    <w:rsid w:val="009A52FD"/>
    <w:rsid w:val="009A5327"/>
    <w:rsid w:val="009A5954"/>
    <w:rsid w:val="009A6358"/>
    <w:rsid w:val="009A6669"/>
    <w:rsid w:val="009A79FF"/>
    <w:rsid w:val="009A7AC4"/>
    <w:rsid w:val="009A7F29"/>
    <w:rsid w:val="009B07E3"/>
    <w:rsid w:val="009B092D"/>
    <w:rsid w:val="009B0975"/>
    <w:rsid w:val="009B0C1F"/>
    <w:rsid w:val="009B0D3E"/>
    <w:rsid w:val="009B0FAE"/>
    <w:rsid w:val="009B10B4"/>
    <w:rsid w:val="009B11A1"/>
    <w:rsid w:val="009B1C86"/>
    <w:rsid w:val="009B25C7"/>
    <w:rsid w:val="009B2AFE"/>
    <w:rsid w:val="009B2C1F"/>
    <w:rsid w:val="009B3A20"/>
    <w:rsid w:val="009B4054"/>
    <w:rsid w:val="009B42D5"/>
    <w:rsid w:val="009B438D"/>
    <w:rsid w:val="009B470A"/>
    <w:rsid w:val="009B4D91"/>
    <w:rsid w:val="009B4E29"/>
    <w:rsid w:val="009B4E6C"/>
    <w:rsid w:val="009B527B"/>
    <w:rsid w:val="009B53E2"/>
    <w:rsid w:val="009B5463"/>
    <w:rsid w:val="009B565C"/>
    <w:rsid w:val="009B566A"/>
    <w:rsid w:val="009B5F48"/>
    <w:rsid w:val="009B64B8"/>
    <w:rsid w:val="009B6695"/>
    <w:rsid w:val="009B6AD7"/>
    <w:rsid w:val="009B7821"/>
    <w:rsid w:val="009B7940"/>
    <w:rsid w:val="009B79E8"/>
    <w:rsid w:val="009B7D76"/>
    <w:rsid w:val="009C0162"/>
    <w:rsid w:val="009C08A2"/>
    <w:rsid w:val="009C0DE4"/>
    <w:rsid w:val="009C1064"/>
    <w:rsid w:val="009C1115"/>
    <w:rsid w:val="009C1271"/>
    <w:rsid w:val="009C1C35"/>
    <w:rsid w:val="009C1D6F"/>
    <w:rsid w:val="009C30DE"/>
    <w:rsid w:val="009C35B6"/>
    <w:rsid w:val="009C385D"/>
    <w:rsid w:val="009C3CD1"/>
    <w:rsid w:val="009C40E3"/>
    <w:rsid w:val="009C48A6"/>
    <w:rsid w:val="009C4C6C"/>
    <w:rsid w:val="009C4DC1"/>
    <w:rsid w:val="009C4EA0"/>
    <w:rsid w:val="009C4EE0"/>
    <w:rsid w:val="009C4F2F"/>
    <w:rsid w:val="009C4FB5"/>
    <w:rsid w:val="009C5310"/>
    <w:rsid w:val="009C53F2"/>
    <w:rsid w:val="009C56D8"/>
    <w:rsid w:val="009C56E4"/>
    <w:rsid w:val="009C5A7A"/>
    <w:rsid w:val="009C6818"/>
    <w:rsid w:val="009C7884"/>
    <w:rsid w:val="009D00E9"/>
    <w:rsid w:val="009D0343"/>
    <w:rsid w:val="009D1070"/>
    <w:rsid w:val="009D18A2"/>
    <w:rsid w:val="009D2B6D"/>
    <w:rsid w:val="009D3A2F"/>
    <w:rsid w:val="009D3C6B"/>
    <w:rsid w:val="009D43FF"/>
    <w:rsid w:val="009D459F"/>
    <w:rsid w:val="009D4DA4"/>
    <w:rsid w:val="009D5231"/>
    <w:rsid w:val="009D543C"/>
    <w:rsid w:val="009D5811"/>
    <w:rsid w:val="009D5CC7"/>
    <w:rsid w:val="009D648D"/>
    <w:rsid w:val="009D64EA"/>
    <w:rsid w:val="009D68A4"/>
    <w:rsid w:val="009D68E1"/>
    <w:rsid w:val="009D6A5D"/>
    <w:rsid w:val="009D71CF"/>
    <w:rsid w:val="009D76E9"/>
    <w:rsid w:val="009D7B66"/>
    <w:rsid w:val="009D7BF3"/>
    <w:rsid w:val="009E0202"/>
    <w:rsid w:val="009E03B9"/>
    <w:rsid w:val="009E06A6"/>
    <w:rsid w:val="009E0B8D"/>
    <w:rsid w:val="009E0D85"/>
    <w:rsid w:val="009E17CD"/>
    <w:rsid w:val="009E18BA"/>
    <w:rsid w:val="009E21E0"/>
    <w:rsid w:val="009E2290"/>
    <w:rsid w:val="009E2327"/>
    <w:rsid w:val="009E25F2"/>
    <w:rsid w:val="009E3FEC"/>
    <w:rsid w:val="009E475A"/>
    <w:rsid w:val="009E4D4D"/>
    <w:rsid w:val="009E4E92"/>
    <w:rsid w:val="009E4F22"/>
    <w:rsid w:val="009E516A"/>
    <w:rsid w:val="009E5B71"/>
    <w:rsid w:val="009E5FD1"/>
    <w:rsid w:val="009E65E1"/>
    <w:rsid w:val="009E673C"/>
    <w:rsid w:val="009E691A"/>
    <w:rsid w:val="009E7AD8"/>
    <w:rsid w:val="009E7B38"/>
    <w:rsid w:val="009F008D"/>
    <w:rsid w:val="009F0161"/>
    <w:rsid w:val="009F0175"/>
    <w:rsid w:val="009F0580"/>
    <w:rsid w:val="009F127C"/>
    <w:rsid w:val="009F17F8"/>
    <w:rsid w:val="009F1A46"/>
    <w:rsid w:val="009F281B"/>
    <w:rsid w:val="009F2B6B"/>
    <w:rsid w:val="009F2E2D"/>
    <w:rsid w:val="009F2EDC"/>
    <w:rsid w:val="009F35A4"/>
    <w:rsid w:val="009F385E"/>
    <w:rsid w:val="009F4332"/>
    <w:rsid w:val="009F4347"/>
    <w:rsid w:val="009F452B"/>
    <w:rsid w:val="009F455F"/>
    <w:rsid w:val="009F4C35"/>
    <w:rsid w:val="009F552D"/>
    <w:rsid w:val="009F5658"/>
    <w:rsid w:val="009F6CCD"/>
    <w:rsid w:val="009F79B3"/>
    <w:rsid w:val="009F7B12"/>
    <w:rsid w:val="009F7DF6"/>
    <w:rsid w:val="009F7E14"/>
    <w:rsid w:val="009F7E54"/>
    <w:rsid w:val="009F7FD9"/>
    <w:rsid w:val="00A003E6"/>
    <w:rsid w:val="00A0062A"/>
    <w:rsid w:val="00A008E4"/>
    <w:rsid w:val="00A00F1F"/>
    <w:rsid w:val="00A01709"/>
    <w:rsid w:val="00A01F21"/>
    <w:rsid w:val="00A03267"/>
    <w:rsid w:val="00A0370D"/>
    <w:rsid w:val="00A0387E"/>
    <w:rsid w:val="00A03CD7"/>
    <w:rsid w:val="00A03F1C"/>
    <w:rsid w:val="00A04303"/>
    <w:rsid w:val="00A0465E"/>
    <w:rsid w:val="00A04C19"/>
    <w:rsid w:val="00A04E0A"/>
    <w:rsid w:val="00A04F71"/>
    <w:rsid w:val="00A0502C"/>
    <w:rsid w:val="00A05473"/>
    <w:rsid w:val="00A05DB4"/>
    <w:rsid w:val="00A06836"/>
    <w:rsid w:val="00A06856"/>
    <w:rsid w:val="00A07036"/>
    <w:rsid w:val="00A0713F"/>
    <w:rsid w:val="00A07908"/>
    <w:rsid w:val="00A07A04"/>
    <w:rsid w:val="00A1026A"/>
    <w:rsid w:val="00A1092A"/>
    <w:rsid w:val="00A10BA6"/>
    <w:rsid w:val="00A10EF6"/>
    <w:rsid w:val="00A10FBE"/>
    <w:rsid w:val="00A118AD"/>
    <w:rsid w:val="00A11C1C"/>
    <w:rsid w:val="00A11C2B"/>
    <w:rsid w:val="00A12348"/>
    <w:rsid w:val="00A127C2"/>
    <w:rsid w:val="00A12A32"/>
    <w:rsid w:val="00A12B8C"/>
    <w:rsid w:val="00A12D0B"/>
    <w:rsid w:val="00A1319C"/>
    <w:rsid w:val="00A1350E"/>
    <w:rsid w:val="00A14126"/>
    <w:rsid w:val="00A157FD"/>
    <w:rsid w:val="00A15839"/>
    <w:rsid w:val="00A15BDC"/>
    <w:rsid w:val="00A1615D"/>
    <w:rsid w:val="00A1685E"/>
    <w:rsid w:val="00A17054"/>
    <w:rsid w:val="00A173B5"/>
    <w:rsid w:val="00A1749B"/>
    <w:rsid w:val="00A1769B"/>
    <w:rsid w:val="00A17A4A"/>
    <w:rsid w:val="00A17AE8"/>
    <w:rsid w:val="00A201EA"/>
    <w:rsid w:val="00A21248"/>
    <w:rsid w:val="00A21473"/>
    <w:rsid w:val="00A21517"/>
    <w:rsid w:val="00A2183A"/>
    <w:rsid w:val="00A21D7B"/>
    <w:rsid w:val="00A22507"/>
    <w:rsid w:val="00A233D6"/>
    <w:rsid w:val="00A23781"/>
    <w:rsid w:val="00A23E4D"/>
    <w:rsid w:val="00A24863"/>
    <w:rsid w:val="00A2535E"/>
    <w:rsid w:val="00A257C0"/>
    <w:rsid w:val="00A259FB"/>
    <w:rsid w:val="00A25B4A"/>
    <w:rsid w:val="00A25E28"/>
    <w:rsid w:val="00A25EB1"/>
    <w:rsid w:val="00A26472"/>
    <w:rsid w:val="00A26D81"/>
    <w:rsid w:val="00A27F3D"/>
    <w:rsid w:val="00A300BA"/>
    <w:rsid w:val="00A309B7"/>
    <w:rsid w:val="00A314CC"/>
    <w:rsid w:val="00A3184C"/>
    <w:rsid w:val="00A32E40"/>
    <w:rsid w:val="00A331B6"/>
    <w:rsid w:val="00A331F5"/>
    <w:rsid w:val="00A33397"/>
    <w:rsid w:val="00A343E3"/>
    <w:rsid w:val="00A34971"/>
    <w:rsid w:val="00A35263"/>
    <w:rsid w:val="00A357FB"/>
    <w:rsid w:val="00A35C98"/>
    <w:rsid w:val="00A35F57"/>
    <w:rsid w:val="00A36A5E"/>
    <w:rsid w:val="00A37548"/>
    <w:rsid w:val="00A3755F"/>
    <w:rsid w:val="00A3768A"/>
    <w:rsid w:val="00A3798F"/>
    <w:rsid w:val="00A37CD2"/>
    <w:rsid w:val="00A37E0C"/>
    <w:rsid w:val="00A4002A"/>
    <w:rsid w:val="00A4008E"/>
    <w:rsid w:val="00A4053C"/>
    <w:rsid w:val="00A40CEF"/>
    <w:rsid w:val="00A4160B"/>
    <w:rsid w:val="00A41902"/>
    <w:rsid w:val="00A41DDE"/>
    <w:rsid w:val="00A41E68"/>
    <w:rsid w:val="00A41EC0"/>
    <w:rsid w:val="00A41F73"/>
    <w:rsid w:val="00A4209C"/>
    <w:rsid w:val="00A420E6"/>
    <w:rsid w:val="00A4264D"/>
    <w:rsid w:val="00A429DC"/>
    <w:rsid w:val="00A42BFF"/>
    <w:rsid w:val="00A43575"/>
    <w:rsid w:val="00A4375A"/>
    <w:rsid w:val="00A4396C"/>
    <w:rsid w:val="00A43CEE"/>
    <w:rsid w:val="00A44071"/>
    <w:rsid w:val="00A44370"/>
    <w:rsid w:val="00A453AA"/>
    <w:rsid w:val="00A45BAC"/>
    <w:rsid w:val="00A45D8B"/>
    <w:rsid w:val="00A45EFB"/>
    <w:rsid w:val="00A46DB0"/>
    <w:rsid w:val="00A4743E"/>
    <w:rsid w:val="00A47A56"/>
    <w:rsid w:val="00A47D24"/>
    <w:rsid w:val="00A47F44"/>
    <w:rsid w:val="00A50253"/>
    <w:rsid w:val="00A50616"/>
    <w:rsid w:val="00A50AC9"/>
    <w:rsid w:val="00A50E04"/>
    <w:rsid w:val="00A523BE"/>
    <w:rsid w:val="00A5277F"/>
    <w:rsid w:val="00A52AC8"/>
    <w:rsid w:val="00A52EB7"/>
    <w:rsid w:val="00A5310B"/>
    <w:rsid w:val="00A53209"/>
    <w:rsid w:val="00A532D1"/>
    <w:rsid w:val="00A5360D"/>
    <w:rsid w:val="00A53D29"/>
    <w:rsid w:val="00A54946"/>
    <w:rsid w:val="00A54D6D"/>
    <w:rsid w:val="00A55467"/>
    <w:rsid w:val="00A556FA"/>
    <w:rsid w:val="00A55956"/>
    <w:rsid w:val="00A56491"/>
    <w:rsid w:val="00A564B1"/>
    <w:rsid w:val="00A56514"/>
    <w:rsid w:val="00A5658B"/>
    <w:rsid w:val="00A56598"/>
    <w:rsid w:val="00A566DE"/>
    <w:rsid w:val="00A56936"/>
    <w:rsid w:val="00A56A44"/>
    <w:rsid w:val="00A56B7A"/>
    <w:rsid w:val="00A5705B"/>
    <w:rsid w:val="00A573DA"/>
    <w:rsid w:val="00A57EC3"/>
    <w:rsid w:val="00A600B7"/>
    <w:rsid w:val="00A603A5"/>
    <w:rsid w:val="00A608B8"/>
    <w:rsid w:val="00A60A7D"/>
    <w:rsid w:val="00A60C78"/>
    <w:rsid w:val="00A60D77"/>
    <w:rsid w:val="00A616FD"/>
    <w:rsid w:val="00A61C2A"/>
    <w:rsid w:val="00A620BF"/>
    <w:rsid w:val="00A621B2"/>
    <w:rsid w:val="00A62508"/>
    <w:rsid w:val="00A627A6"/>
    <w:rsid w:val="00A6284D"/>
    <w:rsid w:val="00A62DE3"/>
    <w:rsid w:val="00A63DD5"/>
    <w:rsid w:val="00A63F8E"/>
    <w:rsid w:val="00A64279"/>
    <w:rsid w:val="00A649B1"/>
    <w:rsid w:val="00A65E51"/>
    <w:rsid w:val="00A66663"/>
    <w:rsid w:val="00A66699"/>
    <w:rsid w:val="00A66A8B"/>
    <w:rsid w:val="00A66ABF"/>
    <w:rsid w:val="00A66D07"/>
    <w:rsid w:val="00A66DCF"/>
    <w:rsid w:val="00A673F4"/>
    <w:rsid w:val="00A70565"/>
    <w:rsid w:val="00A707BF"/>
    <w:rsid w:val="00A70B16"/>
    <w:rsid w:val="00A70D72"/>
    <w:rsid w:val="00A727A9"/>
    <w:rsid w:val="00A73002"/>
    <w:rsid w:val="00A73365"/>
    <w:rsid w:val="00A73A2E"/>
    <w:rsid w:val="00A744C9"/>
    <w:rsid w:val="00A74525"/>
    <w:rsid w:val="00A74613"/>
    <w:rsid w:val="00A74A9B"/>
    <w:rsid w:val="00A75A29"/>
    <w:rsid w:val="00A75BC6"/>
    <w:rsid w:val="00A75BCE"/>
    <w:rsid w:val="00A76A9F"/>
    <w:rsid w:val="00A7718F"/>
    <w:rsid w:val="00A771C5"/>
    <w:rsid w:val="00A776BA"/>
    <w:rsid w:val="00A7777D"/>
    <w:rsid w:val="00A77D0D"/>
    <w:rsid w:val="00A80354"/>
    <w:rsid w:val="00A80371"/>
    <w:rsid w:val="00A804B6"/>
    <w:rsid w:val="00A80BA1"/>
    <w:rsid w:val="00A81160"/>
    <w:rsid w:val="00A81362"/>
    <w:rsid w:val="00A81CC8"/>
    <w:rsid w:val="00A81D4E"/>
    <w:rsid w:val="00A81D9B"/>
    <w:rsid w:val="00A82DD7"/>
    <w:rsid w:val="00A82FF6"/>
    <w:rsid w:val="00A83422"/>
    <w:rsid w:val="00A83699"/>
    <w:rsid w:val="00A83A27"/>
    <w:rsid w:val="00A844B3"/>
    <w:rsid w:val="00A8478B"/>
    <w:rsid w:val="00A847EE"/>
    <w:rsid w:val="00A848E8"/>
    <w:rsid w:val="00A85318"/>
    <w:rsid w:val="00A86235"/>
    <w:rsid w:val="00A86351"/>
    <w:rsid w:val="00A86CFB"/>
    <w:rsid w:val="00A870BE"/>
    <w:rsid w:val="00A8719F"/>
    <w:rsid w:val="00A90748"/>
    <w:rsid w:val="00A90DB0"/>
    <w:rsid w:val="00A9187D"/>
    <w:rsid w:val="00A91A5B"/>
    <w:rsid w:val="00A91C81"/>
    <w:rsid w:val="00A920B9"/>
    <w:rsid w:val="00A922F3"/>
    <w:rsid w:val="00A938CC"/>
    <w:rsid w:val="00A93FCD"/>
    <w:rsid w:val="00A94379"/>
    <w:rsid w:val="00A94C0F"/>
    <w:rsid w:val="00A94E7D"/>
    <w:rsid w:val="00A958C7"/>
    <w:rsid w:val="00A95C3E"/>
    <w:rsid w:val="00A963C5"/>
    <w:rsid w:val="00A9658A"/>
    <w:rsid w:val="00A97479"/>
    <w:rsid w:val="00A9778A"/>
    <w:rsid w:val="00A97DC4"/>
    <w:rsid w:val="00AA02F6"/>
    <w:rsid w:val="00AA06FD"/>
    <w:rsid w:val="00AA0A36"/>
    <w:rsid w:val="00AA0AC3"/>
    <w:rsid w:val="00AA0B9F"/>
    <w:rsid w:val="00AA0DB0"/>
    <w:rsid w:val="00AA1A86"/>
    <w:rsid w:val="00AA1CB2"/>
    <w:rsid w:val="00AA1DF8"/>
    <w:rsid w:val="00AA27E7"/>
    <w:rsid w:val="00AA2C15"/>
    <w:rsid w:val="00AA3679"/>
    <w:rsid w:val="00AA3F67"/>
    <w:rsid w:val="00AA449F"/>
    <w:rsid w:val="00AA5BEC"/>
    <w:rsid w:val="00AA5C32"/>
    <w:rsid w:val="00AA5C50"/>
    <w:rsid w:val="00AA5E81"/>
    <w:rsid w:val="00AA60AE"/>
    <w:rsid w:val="00AA6903"/>
    <w:rsid w:val="00AA79CC"/>
    <w:rsid w:val="00AB0089"/>
    <w:rsid w:val="00AB08D8"/>
    <w:rsid w:val="00AB0AAD"/>
    <w:rsid w:val="00AB0FF5"/>
    <w:rsid w:val="00AB132D"/>
    <w:rsid w:val="00AB166C"/>
    <w:rsid w:val="00AB1D1B"/>
    <w:rsid w:val="00AB1EE7"/>
    <w:rsid w:val="00AB214B"/>
    <w:rsid w:val="00AB2183"/>
    <w:rsid w:val="00AB2412"/>
    <w:rsid w:val="00AB2828"/>
    <w:rsid w:val="00AB290C"/>
    <w:rsid w:val="00AB3CDD"/>
    <w:rsid w:val="00AB3D9D"/>
    <w:rsid w:val="00AB3F0B"/>
    <w:rsid w:val="00AB44F3"/>
    <w:rsid w:val="00AB49DD"/>
    <w:rsid w:val="00AB5114"/>
    <w:rsid w:val="00AB52D8"/>
    <w:rsid w:val="00AB5341"/>
    <w:rsid w:val="00AB5841"/>
    <w:rsid w:val="00AB6391"/>
    <w:rsid w:val="00AB6895"/>
    <w:rsid w:val="00AB6CD0"/>
    <w:rsid w:val="00AB7324"/>
    <w:rsid w:val="00AB7BA1"/>
    <w:rsid w:val="00AC02F1"/>
    <w:rsid w:val="00AC04BF"/>
    <w:rsid w:val="00AC05C8"/>
    <w:rsid w:val="00AC098D"/>
    <w:rsid w:val="00AC0E3E"/>
    <w:rsid w:val="00AC2B67"/>
    <w:rsid w:val="00AC3670"/>
    <w:rsid w:val="00AC3674"/>
    <w:rsid w:val="00AC3784"/>
    <w:rsid w:val="00AC3B1B"/>
    <w:rsid w:val="00AC3E03"/>
    <w:rsid w:val="00AC44FB"/>
    <w:rsid w:val="00AC47C1"/>
    <w:rsid w:val="00AC4919"/>
    <w:rsid w:val="00AC4FC0"/>
    <w:rsid w:val="00AC5028"/>
    <w:rsid w:val="00AC5316"/>
    <w:rsid w:val="00AC5A3A"/>
    <w:rsid w:val="00AC5B55"/>
    <w:rsid w:val="00AC63A6"/>
    <w:rsid w:val="00AC6CB3"/>
    <w:rsid w:val="00AC6CFC"/>
    <w:rsid w:val="00AC733D"/>
    <w:rsid w:val="00AC7423"/>
    <w:rsid w:val="00AC75EA"/>
    <w:rsid w:val="00AC7F88"/>
    <w:rsid w:val="00AD008D"/>
    <w:rsid w:val="00AD088C"/>
    <w:rsid w:val="00AD08B3"/>
    <w:rsid w:val="00AD0ED9"/>
    <w:rsid w:val="00AD13D5"/>
    <w:rsid w:val="00AD1E33"/>
    <w:rsid w:val="00AD1F0C"/>
    <w:rsid w:val="00AD2C79"/>
    <w:rsid w:val="00AD301A"/>
    <w:rsid w:val="00AD3446"/>
    <w:rsid w:val="00AD41B1"/>
    <w:rsid w:val="00AD45CB"/>
    <w:rsid w:val="00AD4941"/>
    <w:rsid w:val="00AD4D7C"/>
    <w:rsid w:val="00AD4F7D"/>
    <w:rsid w:val="00AD552C"/>
    <w:rsid w:val="00AD56AF"/>
    <w:rsid w:val="00AD5930"/>
    <w:rsid w:val="00AD5A52"/>
    <w:rsid w:val="00AD5C32"/>
    <w:rsid w:val="00AD7F22"/>
    <w:rsid w:val="00AE04C9"/>
    <w:rsid w:val="00AE19F9"/>
    <w:rsid w:val="00AE1F26"/>
    <w:rsid w:val="00AE201C"/>
    <w:rsid w:val="00AE205D"/>
    <w:rsid w:val="00AE20F9"/>
    <w:rsid w:val="00AE2252"/>
    <w:rsid w:val="00AE22DD"/>
    <w:rsid w:val="00AE24F9"/>
    <w:rsid w:val="00AE2685"/>
    <w:rsid w:val="00AE28D5"/>
    <w:rsid w:val="00AE2F12"/>
    <w:rsid w:val="00AE3669"/>
    <w:rsid w:val="00AE3E6A"/>
    <w:rsid w:val="00AE3F37"/>
    <w:rsid w:val="00AE419D"/>
    <w:rsid w:val="00AE44EC"/>
    <w:rsid w:val="00AE47C6"/>
    <w:rsid w:val="00AE5623"/>
    <w:rsid w:val="00AE57DC"/>
    <w:rsid w:val="00AE59ED"/>
    <w:rsid w:val="00AE5A53"/>
    <w:rsid w:val="00AE5FEC"/>
    <w:rsid w:val="00AE601E"/>
    <w:rsid w:val="00AE632B"/>
    <w:rsid w:val="00AE6A75"/>
    <w:rsid w:val="00AE6F3C"/>
    <w:rsid w:val="00AE712D"/>
    <w:rsid w:val="00AF02D7"/>
    <w:rsid w:val="00AF08A1"/>
    <w:rsid w:val="00AF1203"/>
    <w:rsid w:val="00AF13D8"/>
    <w:rsid w:val="00AF1556"/>
    <w:rsid w:val="00AF1BD5"/>
    <w:rsid w:val="00AF2C86"/>
    <w:rsid w:val="00AF2E35"/>
    <w:rsid w:val="00AF402A"/>
    <w:rsid w:val="00AF4295"/>
    <w:rsid w:val="00AF45F6"/>
    <w:rsid w:val="00AF46CF"/>
    <w:rsid w:val="00AF49CF"/>
    <w:rsid w:val="00AF5359"/>
    <w:rsid w:val="00AF5765"/>
    <w:rsid w:val="00AF5906"/>
    <w:rsid w:val="00AF5CA5"/>
    <w:rsid w:val="00AF5F9E"/>
    <w:rsid w:val="00AF6007"/>
    <w:rsid w:val="00AF6233"/>
    <w:rsid w:val="00AF64BA"/>
    <w:rsid w:val="00AF74FE"/>
    <w:rsid w:val="00AF7A4B"/>
    <w:rsid w:val="00B00598"/>
    <w:rsid w:val="00B006A6"/>
    <w:rsid w:val="00B00C2E"/>
    <w:rsid w:val="00B010F7"/>
    <w:rsid w:val="00B01A78"/>
    <w:rsid w:val="00B0261B"/>
    <w:rsid w:val="00B032A4"/>
    <w:rsid w:val="00B03559"/>
    <w:rsid w:val="00B035AA"/>
    <w:rsid w:val="00B04B38"/>
    <w:rsid w:val="00B05DF1"/>
    <w:rsid w:val="00B05FA4"/>
    <w:rsid w:val="00B063B1"/>
    <w:rsid w:val="00B06BEA"/>
    <w:rsid w:val="00B079B3"/>
    <w:rsid w:val="00B07E76"/>
    <w:rsid w:val="00B1017A"/>
    <w:rsid w:val="00B1079B"/>
    <w:rsid w:val="00B107BD"/>
    <w:rsid w:val="00B10A4A"/>
    <w:rsid w:val="00B116E3"/>
    <w:rsid w:val="00B12012"/>
    <w:rsid w:val="00B1208D"/>
    <w:rsid w:val="00B1248E"/>
    <w:rsid w:val="00B125A4"/>
    <w:rsid w:val="00B1261A"/>
    <w:rsid w:val="00B12E26"/>
    <w:rsid w:val="00B137D1"/>
    <w:rsid w:val="00B13AD4"/>
    <w:rsid w:val="00B13D30"/>
    <w:rsid w:val="00B14001"/>
    <w:rsid w:val="00B14164"/>
    <w:rsid w:val="00B144C6"/>
    <w:rsid w:val="00B14A1B"/>
    <w:rsid w:val="00B14A4F"/>
    <w:rsid w:val="00B15685"/>
    <w:rsid w:val="00B158ED"/>
    <w:rsid w:val="00B15DAD"/>
    <w:rsid w:val="00B16321"/>
    <w:rsid w:val="00B169B3"/>
    <w:rsid w:val="00B16F93"/>
    <w:rsid w:val="00B175A5"/>
    <w:rsid w:val="00B17674"/>
    <w:rsid w:val="00B17778"/>
    <w:rsid w:val="00B17914"/>
    <w:rsid w:val="00B179C1"/>
    <w:rsid w:val="00B17BDE"/>
    <w:rsid w:val="00B17C81"/>
    <w:rsid w:val="00B20231"/>
    <w:rsid w:val="00B20EFF"/>
    <w:rsid w:val="00B21155"/>
    <w:rsid w:val="00B21547"/>
    <w:rsid w:val="00B21790"/>
    <w:rsid w:val="00B22292"/>
    <w:rsid w:val="00B223B8"/>
    <w:rsid w:val="00B2253C"/>
    <w:rsid w:val="00B2278F"/>
    <w:rsid w:val="00B22C02"/>
    <w:rsid w:val="00B2349A"/>
    <w:rsid w:val="00B234C8"/>
    <w:rsid w:val="00B234E7"/>
    <w:rsid w:val="00B23CA7"/>
    <w:rsid w:val="00B23D19"/>
    <w:rsid w:val="00B2490F"/>
    <w:rsid w:val="00B2495D"/>
    <w:rsid w:val="00B249B5"/>
    <w:rsid w:val="00B24B20"/>
    <w:rsid w:val="00B25127"/>
    <w:rsid w:val="00B25820"/>
    <w:rsid w:val="00B25B3F"/>
    <w:rsid w:val="00B262F6"/>
    <w:rsid w:val="00B26623"/>
    <w:rsid w:val="00B26682"/>
    <w:rsid w:val="00B26B74"/>
    <w:rsid w:val="00B26D8B"/>
    <w:rsid w:val="00B277AD"/>
    <w:rsid w:val="00B30533"/>
    <w:rsid w:val="00B30973"/>
    <w:rsid w:val="00B30FE6"/>
    <w:rsid w:val="00B3133F"/>
    <w:rsid w:val="00B31435"/>
    <w:rsid w:val="00B3164B"/>
    <w:rsid w:val="00B316A8"/>
    <w:rsid w:val="00B32686"/>
    <w:rsid w:val="00B329D0"/>
    <w:rsid w:val="00B32F12"/>
    <w:rsid w:val="00B338F9"/>
    <w:rsid w:val="00B33D08"/>
    <w:rsid w:val="00B33F02"/>
    <w:rsid w:val="00B33FC8"/>
    <w:rsid w:val="00B34E06"/>
    <w:rsid w:val="00B3504A"/>
    <w:rsid w:val="00B352D2"/>
    <w:rsid w:val="00B35574"/>
    <w:rsid w:val="00B35A65"/>
    <w:rsid w:val="00B35D90"/>
    <w:rsid w:val="00B35E8F"/>
    <w:rsid w:val="00B36113"/>
    <w:rsid w:val="00B363F5"/>
    <w:rsid w:val="00B3693F"/>
    <w:rsid w:val="00B37304"/>
    <w:rsid w:val="00B37341"/>
    <w:rsid w:val="00B37448"/>
    <w:rsid w:val="00B379E9"/>
    <w:rsid w:val="00B37FA4"/>
    <w:rsid w:val="00B403C1"/>
    <w:rsid w:val="00B40A37"/>
    <w:rsid w:val="00B42D6D"/>
    <w:rsid w:val="00B42F26"/>
    <w:rsid w:val="00B4318D"/>
    <w:rsid w:val="00B4319B"/>
    <w:rsid w:val="00B43307"/>
    <w:rsid w:val="00B43983"/>
    <w:rsid w:val="00B44BDE"/>
    <w:rsid w:val="00B44DF6"/>
    <w:rsid w:val="00B44FB7"/>
    <w:rsid w:val="00B451DB"/>
    <w:rsid w:val="00B45515"/>
    <w:rsid w:val="00B45771"/>
    <w:rsid w:val="00B45D36"/>
    <w:rsid w:val="00B4653E"/>
    <w:rsid w:val="00B46650"/>
    <w:rsid w:val="00B47B36"/>
    <w:rsid w:val="00B5007D"/>
    <w:rsid w:val="00B50C77"/>
    <w:rsid w:val="00B50CBB"/>
    <w:rsid w:val="00B50F6E"/>
    <w:rsid w:val="00B513C2"/>
    <w:rsid w:val="00B514E9"/>
    <w:rsid w:val="00B51563"/>
    <w:rsid w:val="00B52067"/>
    <w:rsid w:val="00B5255F"/>
    <w:rsid w:val="00B52C03"/>
    <w:rsid w:val="00B52FA8"/>
    <w:rsid w:val="00B533D6"/>
    <w:rsid w:val="00B53625"/>
    <w:rsid w:val="00B53FDC"/>
    <w:rsid w:val="00B54932"/>
    <w:rsid w:val="00B5497C"/>
    <w:rsid w:val="00B54E33"/>
    <w:rsid w:val="00B55328"/>
    <w:rsid w:val="00B55891"/>
    <w:rsid w:val="00B56231"/>
    <w:rsid w:val="00B56878"/>
    <w:rsid w:val="00B56B1E"/>
    <w:rsid w:val="00B56ED2"/>
    <w:rsid w:val="00B5709B"/>
    <w:rsid w:val="00B57A27"/>
    <w:rsid w:val="00B6021D"/>
    <w:rsid w:val="00B60576"/>
    <w:rsid w:val="00B60D8C"/>
    <w:rsid w:val="00B60E64"/>
    <w:rsid w:val="00B60F23"/>
    <w:rsid w:val="00B61058"/>
    <w:rsid w:val="00B619B1"/>
    <w:rsid w:val="00B61F83"/>
    <w:rsid w:val="00B62012"/>
    <w:rsid w:val="00B62BB7"/>
    <w:rsid w:val="00B62F09"/>
    <w:rsid w:val="00B63C8C"/>
    <w:rsid w:val="00B64447"/>
    <w:rsid w:val="00B656C7"/>
    <w:rsid w:val="00B657C6"/>
    <w:rsid w:val="00B65886"/>
    <w:rsid w:val="00B667F5"/>
    <w:rsid w:val="00B6713D"/>
    <w:rsid w:val="00B70155"/>
    <w:rsid w:val="00B70637"/>
    <w:rsid w:val="00B706C8"/>
    <w:rsid w:val="00B706FA"/>
    <w:rsid w:val="00B708C9"/>
    <w:rsid w:val="00B70966"/>
    <w:rsid w:val="00B71154"/>
    <w:rsid w:val="00B71CB7"/>
    <w:rsid w:val="00B720A2"/>
    <w:rsid w:val="00B7264F"/>
    <w:rsid w:val="00B7296C"/>
    <w:rsid w:val="00B73130"/>
    <w:rsid w:val="00B73651"/>
    <w:rsid w:val="00B7375A"/>
    <w:rsid w:val="00B738E3"/>
    <w:rsid w:val="00B741DE"/>
    <w:rsid w:val="00B742C0"/>
    <w:rsid w:val="00B7462D"/>
    <w:rsid w:val="00B749DE"/>
    <w:rsid w:val="00B751DA"/>
    <w:rsid w:val="00B7530F"/>
    <w:rsid w:val="00B755E9"/>
    <w:rsid w:val="00B75A03"/>
    <w:rsid w:val="00B75CAC"/>
    <w:rsid w:val="00B766D5"/>
    <w:rsid w:val="00B76F71"/>
    <w:rsid w:val="00B7724C"/>
    <w:rsid w:val="00B778AE"/>
    <w:rsid w:val="00B778C7"/>
    <w:rsid w:val="00B80211"/>
    <w:rsid w:val="00B80AA5"/>
    <w:rsid w:val="00B80AB8"/>
    <w:rsid w:val="00B80B0B"/>
    <w:rsid w:val="00B81964"/>
    <w:rsid w:val="00B81FC8"/>
    <w:rsid w:val="00B82109"/>
    <w:rsid w:val="00B82CBB"/>
    <w:rsid w:val="00B8306C"/>
    <w:rsid w:val="00B839AC"/>
    <w:rsid w:val="00B84290"/>
    <w:rsid w:val="00B842C5"/>
    <w:rsid w:val="00B8437F"/>
    <w:rsid w:val="00B844AC"/>
    <w:rsid w:val="00B849D2"/>
    <w:rsid w:val="00B84C10"/>
    <w:rsid w:val="00B84C53"/>
    <w:rsid w:val="00B84FD5"/>
    <w:rsid w:val="00B856E3"/>
    <w:rsid w:val="00B85729"/>
    <w:rsid w:val="00B859F8"/>
    <w:rsid w:val="00B85DD7"/>
    <w:rsid w:val="00B861D9"/>
    <w:rsid w:val="00B87182"/>
    <w:rsid w:val="00B87DE6"/>
    <w:rsid w:val="00B9003B"/>
    <w:rsid w:val="00B908BE"/>
    <w:rsid w:val="00B908E1"/>
    <w:rsid w:val="00B90C09"/>
    <w:rsid w:val="00B90E39"/>
    <w:rsid w:val="00B90EA8"/>
    <w:rsid w:val="00B912A5"/>
    <w:rsid w:val="00B9153C"/>
    <w:rsid w:val="00B91558"/>
    <w:rsid w:val="00B91637"/>
    <w:rsid w:val="00B91CA3"/>
    <w:rsid w:val="00B92947"/>
    <w:rsid w:val="00B92B7A"/>
    <w:rsid w:val="00B93847"/>
    <w:rsid w:val="00B93B23"/>
    <w:rsid w:val="00B93C7D"/>
    <w:rsid w:val="00B94B3A"/>
    <w:rsid w:val="00B94CCD"/>
    <w:rsid w:val="00B94F61"/>
    <w:rsid w:val="00B9660F"/>
    <w:rsid w:val="00B96735"/>
    <w:rsid w:val="00B973FE"/>
    <w:rsid w:val="00B97A9F"/>
    <w:rsid w:val="00BA06B1"/>
    <w:rsid w:val="00BA128E"/>
    <w:rsid w:val="00BA2839"/>
    <w:rsid w:val="00BA318A"/>
    <w:rsid w:val="00BA3195"/>
    <w:rsid w:val="00BA32F9"/>
    <w:rsid w:val="00BA33C2"/>
    <w:rsid w:val="00BA3794"/>
    <w:rsid w:val="00BA388A"/>
    <w:rsid w:val="00BA4560"/>
    <w:rsid w:val="00BA4AE9"/>
    <w:rsid w:val="00BA4C3E"/>
    <w:rsid w:val="00BA4DD7"/>
    <w:rsid w:val="00BA5615"/>
    <w:rsid w:val="00BA5BC7"/>
    <w:rsid w:val="00BA6162"/>
    <w:rsid w:val="00BA6334"/>
    <w:rsid w:val="00BA655A"/>
    <w:rsid w:val="00BA6621"/>
    <w:rsid w:val="00BA6769"/>
    <w:rsid w:val="00BA6A3F"/>
    <w:rsid w:val="00BA6CBA"/>
    <w:rsid w:val="00BA6DC6"/>
    <w:rsid w:val="00BA756E"/>
    <w:rsid w:val="00BA7B97"/>
    <w:rsid w:val="00BA7BCA"/>
    <w:rsid w:val="00BB062E"/>
    <w:rsid w:val="00BB0BDE"/>
    <w:rsid w:val="00BB1161"/>
    <w:rsid w:val="00BB23E7"/>
    <w:rsid w:val="00BB2793"/>
    <w:rsid w:val="00BB2941"/>
    <w:rsid w:val="00BB2F02"/>
    <w:rsid w:val="00BB2F7D"/>
    <w:rsid w:val="00BB3108"/>
    <w:rsid w:val="00BB33FD"/>
    <w:rsid w:val="00BB3420"/>
    <w:rsid w:val="00BB3475"/>
    <w:rsid w:val="00BB3FB4"/>
    <w:rsid w:val="00BB403E"/>
    <w:rsid w:val="00BB4733"/>
    <w:rsid w:val="00BB4F35"/>
    <w:rsid w:val="00BB5017"/>
    <w:rsid w:val="00BB6587"/>
    <w:rsid w:val="00BB6B82"/>
    <w:rsid w:val="00BB6C35"/>
    <w:rsid w:val="00BB6CF3"/>
    <w:rsid w:val="00BB7254"/>
    <w:rsid w:val="00BB7CD4"/>
    <w:rsid w:val="00BC0030"/>
    <w:rsid w:val="00BC00CF"/>
    <w:rsid w:val="00BC0C57"/>
    <w:rsid w:val="00BC0E27"/>
    <w:rsid w:val="00BC0E99"/>
    <w:rsid w:val="00BC0F37"/>
    <w:rsid w:val="00BC13C9"/>
    <w:rsid w:val="00BC231A"/>
    <w:rsid w:val="00BC2ABD"/>
    <w:rsid w:val="00BC2CC4"/>
    <w:rsid w:val="00BC2D08"/>
    <w:rsid w:val="00BC2E51"/>
    <w:rsid w:val="00BC3B7E"/>
    <w:rsid w:val="00BC46BA"/>
    <w:rsid w:val="00BC4BA9"/>
    <w:rsid w:val="00BC50D9"/>
    <w:rsid w:val="00BC547B"/>
    <w:rsid w:val="00BC5E5A"/>
    <w:rsid w:val="00BC5F93"/>
    <w:rsid w:val="00BC6065"/>
    <w:rsid w:val="00BC6706"/>
    <w:rsid w:val="00BC6A2A"/>
    <w:rsid w:val="00BC770D"/>
    <w:rsid w:val="00BC774C"/>
    <w:rsid w:val="00BC7EBA"/>
    <w:rsid w:val="00BD0475"/>
    <w:rsid w:val="00BD0663"/>
    <w:rsid w:val="00BD06B1"/>
    <w:rsid w:val="00BD0EE8"/>
    <w:rsid w:val="00BD107B"/>
    <w:rsid w:val="00BD10EA"/>
    <w:rsid w:val="00BD150E"/>
    <w:rsid w:val="00BD1CB4"/>
    <w:rsid w:val="00BD2057"/>
    <w:rsid w:val="00BD2325"/>
    <w:rsid w:val="00BD28AA"/>
    <w:rsid w:val="00BD2C44"/>
    <w:rsid w:val="00BD2E13"/>
    <w:rsid w:val="00BD2F9A"/>
    <w:rsid w:val="00BD2F9F"/>
    <w:rsid w:val="00BD30CC"/>
    <w:rsid w:val="00BD3222"/>
    <w:rsid w:val="00BD3657"/>
    <w:rsid w:val="00BD3C4A"/>
    <w:rsid w:val="00BD4DAD"/>
    <w:rsid w:val="00BD4F75"/>
    <w:rsid w:val="00BD4FAD"/>
    <w:rsid w:val="00BD5A5A"/>
    <w:rsid w:val="00BD5C3A"/>
    <w:rsid w:val="00BD647C"/>
    <w:rsid w:val="00BD678E"/>
    <w:rsid w:val="00BD6949"/>
    <w:rsid w:val="00BD701B"/>
    <w:rsid w:val="00BD7C4C"/>
    <w:rsid w:val="00BE01C2"/>
    <w:rsid w:val="00BE0407"/>
    <w:rsid w:val="00BE0D70"/>
    <w:rsid w:val="00BE1782"/>
    <w:rsid w:val="00BE274A"/>
    <w:rsid w:val="00BE2973"/>
    <w:rsid w:val="00BE324E"/>
    <w:rsid w:val="00BE33D9"/>
    <w:rsid w:val="00BE4622"/>
    <w:rsid w:val="00BE4D93"/>
    <w:rsid w:val="00BE503F"/>
    <w:rsid w:val="00BE5302"/>
    <w:rsid w:val="00BE5C40"/>
    <w:rsid w:val="00BE5CEE"/>
    <w:rsid w:val="00BE5DF3"/>
    <w:rsid w:val="00BE6077"/>
    <w:rsid w:val="00BE64BD"/>
    <w:rsid w:val="00BE67EE"/>
    <w:rsid w:val="00BE6EA0"/>
    <w:rsid w:val="00BE7089"/>
    <w:rsid w:val="00BE71AE"/>
    <w:rsid w:val="00BE7728"/>
    <w:rsid w:val="00BE7A2A"/>
    <w:rsid w:val="00BE7F20"/>
    <w:rsid w:val="00BF07E9"/>
    <w:rsid w:val="00BF098E"/>
    <w:rsid w:val="00BF0D96"/>
    <w:rsid w:val="00BF0ECB"/>
    <w:rsid w:val="00BF11BD"/>
    <w:rsid w:val="00BF1813"/>
    <w:rsid w:val="00BF19F7"/>
    <w:rsid w:val="00BF1D37"/>
    <w:rsid w:val="00BF1F9A"/>
    <w:rsid w:val="00BF461D"/>
    <w:rsid w:val="00BF4627"/>
    <w:rsid w:val="00BF473E"/>
    <w:rsid w:val="00BF474E"/>
    <w:rsid w:val="00BF4B62"/>
    <w:rsid w:val="00BF5895"/>
    <w:rsid w:val="00BF6C68"/>
    <w:rsid w:val="00BF6F62"/>
    <w:rsid w:val="00BF7176"/>
    <w:rsid w:val="00BF71AE"/>
    <w:rsid w:val="00BF72EF"/>
    <w:rsid w:val="00BF7390"/>
    <w:rsid w:val="00BF76BD"/>
    <w:rsid w:val="00BF79EA"/>
    <w:rsid w:val="00C00557"/>
    <w:rsid w:val="00C013DD"/>
    <w:rsid w:val="00C015D0"/>
    <w:rsid w:val="00C01681"/>
    <w:rsid w:val="00C0194D"/>
    <w:rsid w:val="00C01CE9"/>
    <w:rsid w:val="00C025D0"/>
    <w:rsid w:val="00C041A9"/>
    <w:rsid w:val="00C04ECD"/>
    <w:rsid w:val="00C05266"/>
    <w:rsid w:val="00C054D1"/>
    <w:rsid w:val="00C05555"/>
    <w:rsid w:val="00C05736"/>
    <w:rsid w:val="00C05954"/>
    <w:rsid w:val="00C06059"/>
    <w:rsid w:val="00C061EB"/>
    <w:rsid w:val="00C06283"/>
    <w:rsid w:val="00C06E6C"/>
    <w:rsid w:val="00C07474"/>
    <w:rsid w:val="00C07FCA"/>
    <w:rsid w:val="00C10C35"/>
    <w:rsid w:val="00C111AA"/>
    <w:rsid w:val="00C116C9"/>
    <w:rsid w:val="00C11C84"/>
    <w:rsid w:val="00C11EDC"/>
    <w:rsid w:val="00C129BB"/>
    <w:rsid w:val="00C1309C"/>
    <w:rsid w:val="00C13B68"/>
    <w:rsid w:val="00C13B7D"/>
    <w:rsid w:val="00C13C8F"/>
    <w:rsid w:val="00C14566"/>
    <w:rsid w:val="00C14809"/>
    <w:rsid w:val="00C14C00"/>
    <w:rsid w:val="00C15A43"/>
    <w:rsid w:val="00C15DC3"/>
    <w:rsid w:val="00C1682D"/>
    <w:rsid w:val="00C20545"/>
    <w:rsid w:val="00C2094A"/>
    <w:rsid w:val="00C20E19"/>
    <w:rsid w:val="00C20F91"/>
    <w:rsid w:val="00C213EE"/>
    <w:rsid w:val="00C217F9"/>
    <w:rsid w:val="00C21CDE"/>
    <w:rsid w:val="00C21D31"/>
    <w:rsid w:val="00C223F7"/>
    <w:rsid w:val="00C2289D"/>
    <w:rsid w:val="00C22CEB"/>
    <w:rsid w:val="00C22E20"/>
    <w:rsid w:val="00C2345E"/>
    <w:rsid w:val="00C23509"/>
    <w:rsid w:val="00C23A1A"/>
    <w:rsid w:val="00C23B91"/>
    <w:rsid w:val="00C23FCF"/>
    <w:rsid w:val="00C252AA"/>
    <w:rsid w:val="00C252B9"/>
    <w:rsid w:val="00C257CC"/>
    <w:rsid w:val="00C25B0A"/>
    <w:rsid w:val="00C26680"/>
    <w:rsid w:val="00C2691D"/>
    <w:rsid w:val="00C26D9C"/>
    <w:rsid w:val="00C27720"/>
    <w:rsid w:val="00C27E67"/>
    <w:rsid w:val="00C27ECD"/>
    <w:rsid w:val="00C300F1"/>
    <w:rsid w:val="00C3036D"/>
    <w:rsid w:val="00C3080E"/>
    <w:rsid w:val="00C308B9"/>
    <w:rsid w:val="00C30C2E"/>
    <w:rsid w:val="00C30C89"/>
    <w:rsid w:val="00C30E7B"/>
    <w:rsid w:val="00C312F7"/>
    <w:rsid w:val="00C3155B"/>
    <w:rsid w:val="00C3175D"/>
    <w:rsid w:val="00C32378"/>
    <w:rsid w:val="00C32E32"/>
    <w:rsid w:val="00C352DD"/>
    <w:rsid w:val="00C35540"/>
    <w:rsid w:val="00C35591"/>
    <w:rsid w:val="00C356B9"/>
    <w:rsid w:val="00C362D0"/>
    <w:rsid w:val="00C365AE"/>
    <w:rsid w:val="00C367F8"/>
    <w:rsid w:val="00C3692B"/>
    <w:rsid w:val="00C36A3C"/>
    <w:rsid w:val="00C37720"/>
    <w:rsid w:val="00C37D61"/>
    <w:rsid w:val="00C37F3B"/>
    <w:rsid w:val="00C4067F"/>
    <w:rsid w:val="00C40A55"/>
    <w:rsid w:val="00C417EC"/>
    <w:rsid w:val="00C41885"/>
    <w:rsid w:val="00C424CF"/>
    <w:rsid w:val="00C43115"/>
    <w:rsid w:val="00C43868"/>
    <w:rsid w:val="00C4497A"/>
    <w:rsid w:val="00C449E0"/>
    <w:rsid w:val="00C45617"/>
    <w:rsid w:val="00C456F7"/>
    <w:rsid w:val="00C45A5F"/>
    <w:rsid w:val="00C45AF7"/>
    <w:rsid w:val="00C4619E"/>
    <w:rsid w:val="00C466A1"/>
    <w:rsid w:val="00C46B4C"/>
    <w:rsid w:val="00C47001"/>
    <w:rsid w:val="00C47671"/>
    <w:rsid w:val="00C47A03"/>
    <w:rsid w:val="00C47CB9"/>
    <w:rsid w:val="00C50017"/>
    <w:rsid w:val="00C51303"/>
    <w:rsid w:val="00C51416"/>
    <w:rsid w:val="00C51B16"/>
    <w:rsid w:val="00C52533"/>
    <w:rsid w:val="00C529B5"/>
    <w:rsid w:val="00C52F9F"/>
    <w:rsid w:val="00C52FFB"/>
    <w:rsid w:val="00C5339C"/>
    <w:rsid w:val="00C53682"/>
    <w:rsid w:val="00C53696"/>
    <w:rsid w:val="00C537E3"/>
    <w:rsid w:val="00C53B7C"/>
    <w:rsid w:val="00C54085"/>
    <w:rsid w:val="00C543F8"/>
    <w:rsid w:val="00C544B9"/>
    <w:rsid w:val="00C54873"/>
    <w:rsid w:val="00C54BD0"/>
    <w:rsid w:val="00C54D34"/>
    <w:rsid w:val="00C54D7B"/>
    <w:rsid w:val="00C54D8F"/>
    <w:rsid w:val="00C54E41"/>
    <w:rsid w:val="00C55F1F"/>
    <w:rsid w:val="00C56074"/>
    <w:rsid w:val="00C561E8"/>
    <w:rsid w:val="00C56430"/>
    <w:rsid w:val="00C564F3"/>
    <w:rsid w:val="00C565D9"/>
    <w:rsid w:val="00C565E7"/>
    <w:rsid w:val="00C5692D"/>
    <w:rsid w:val="00C572DA"/>
    <w:rsid w:val="00C57357"/>
    <w:rsid w:val="00C576B8"/>
    <w:rsid w:val="00C57EA7"/>
    <w:rsid w:val="00C607C4"/>
    <w:rsid w:val="00C607CB"/>
    <w:rsid w:val="00C60E5F"/>
    <w:rsid w:val="00C610F3"/>
    <w:rsid w:val="00C61DE2"/>
    <w:rsid w:val="00C629B2"/>
    <w:rsid w:val="00C62D8A"/>
    <w:rsid w:val="00C6318B"/>
    <w:rsid w:val="00C65197"/>
    <w:rsid w:val="00C65513"/>
    <w:rsid w:val="00C656B4"/>
    <w:rsid w:val="00C65A38"/>
    <w:rsid w:val="00C65AB9"/>
    <w:rsid w:val="00C6645A"/>
    <w:rsid w:val="00C66855"/>
    <w:rsid w:val="00C66A3D"/>
    <w:rsid w:val="00C66CF4"/>
    <w:rsid w:val="00C67FFC"/>
    <w:rsid w:val="00C70068"/>
    <w:rsid w:val="00C70692"/>
    <w:rsid w:val="00C7091D"/>
    <w:rsid w:val="00C709F1"/>
    <w:rsid w:val="00C7272B"/>
    <w:rsid w:val="00C72730"/>
    <w:rsid w:val="00C72C53"/>
    <w:rsid w:val="00C72DBA"/>
    <w:rsid w:val="00C73047"/>
    <w:rsid w:val="00C736CF"/>
    <w:rsid w:val="00C738D8"/>
    <w:rsid w:val="00C73A37"/>
    <w:rsid w:val="00C74E36"/>
    <w:rsid w:val="00C754D8"/>
    <w:rsid w:val="00C7592A"/>
    <w:rsid w:val="00C75B9F"/>
    <w:rsid w:val="00C76028"/>
    <w:rsid w:val="00C765D1"/>
    <w:rsid w:val="00C76908"/>
    <w:rsid w:val="00C77CDC"/>
    <w:rsid w:val="00C803F7"/>
    <w:rsid w:val="00C80D41"/>
    <w:rsid w:val="00C814B8"/>
    <w:rsid w:val="00C814FF"/>
    <w:rsid w:val="00C81ABE"/>
    <w:rsid w:val="00C82714"/>
    <w:rsid w:val="00C828ED"/>
    <w:rsid w:val="00C82F0F"/>
    <w:rsid w:val="00C8328E"/>
    <w:rsid w:val="00C83567"/>
    <w:rsid w:val="00C8426A"/>
    <w:rsid w:val="00C84514"/>
    <w:rsid w:val="00C848F0"/>
    <w:rsid w:val="00C8491F"/>
    <w:rsid w:val="00C84A06"/>
    <w:rsid w:val="00C84B0B"/>
    <w:rsid w:val="00C854CE"/>
    <w:rsid w:val="00C854FE"/>
    <w:rsid w:val="00C859D1"/>
    <w:rsid w:val="00C85CAA"/>
    <w:rsid w:val="00C864B6"/>
    <w:rsid w:val="00C86B09"/>
    <w:rsid w:val="00C86B69"/>
    <w:rsid w:val="00C86EC8"/>
    <w:rsid w:val="00C87274"/>
    <w:rsid w:val="00C873BF"/>
    <w:rsid w:val="00C877E5"/>
    <w:rsid w:val="00C87817"/>
    <w:rsid w:val="00C87CED"/>
    <w:rsid w:val="00C87D05"/>
    <w:rsid w:val="00C90134"/>
    <w:rsid w:val="00C904C0"/>
    <w:rsid w:val="00C90580"/>
    <w:rsid w:val="00C90A09"/>
    <w:rsid w:val="00C90D12"/>
    <w:rsid w:val="00C90E46"/>
    <w:rsid w:val="00C9106E"/>
    <w:rsid w:val="00C91410"/>
    <w:rsid w:val="00C91AA7"/>
    <w:rsid w:val="00C9248C"/>
    <w:rsid w:val="00C92FFD"/>
    <w:rsid w:val="00C930CE"/>
    <w:rsid w:val="00C93133"/>
    <w:rsid w:val="00C9438B"/>
    <w:rsid w:val="00C944D5"/>
    <w:rsid w:val="00C94723"/>
    <w:rsid w:val="00C948B2"/>
    <w:rsid w:val="00C959B4"/>
    <w:rsid w:val="00C95DEC"/>
    <w:rsid w:val="00C96274"/>
    <w:rsid w:val="00C96556"/>
    <w:rsid w:val="00C9663A"/>
    <w:rsid w:val="00C96F94"/>
    <w:rsid w:val="00C97B24"/>
    <w:rsid w:val="00CA11F1"/>
    <w:rsid w:val="00CA1684"/>
    <w:rsid w:val="00CA16BC"/>
    <w:rsid w:val="00CA1EBE"/>
    <w:rsid w:val="00CA21DD"/>
    <w:rsid w:val="00CA2235"/>
    <w:rsid w:val="00CA2426"/>
    <w:rsid w:val="00CA26CB"/>
    <w:rsid w:val="00CA2796"/>
    <w:rsid w:val="00CA2C15"/>
    <w:rsid w:val="00CA2D4D"/>
    <w:rsid w:val="00CA2DC7"/>
    <w:rsid w:val="00CA3408"/>
    <w:rsid w:val="00CA3BDC"/>
    <w:rsid w:val="00CA3C0F"/>
    <w:rsid w:val="00CA482E"/>
    <w:rsid w:val="00CA4AF0"/>
    <w:rsid w:val="00CA4B59"/>
    <w:rsid w:val="00CA4C55"/>
    <w:rsid w:val="00CA4F13"/>
    <w:rsid w:val="00CA505B"/>
    <w:rsid w:val="00CA51FD"/>
    <w:rsid w:val="00CA5611"/>
    <w:rsid w:val="00CA5D8F"/>
    <w:rsid w:val="00CA60D5"/>
    <w:rsid w:val="00CA6F52"/>
    <w:rsid w:val="00CA7032"/>
    <w:rsid w:val="00CA730C"/>
    <w:rsid w:val="00CA7786"/>
    <w:rsid w:val="00CA77CF"/>
    <w:rsid w:val="00CA7A44"/>
    <w:rsid w:val="00CA7F22"/>
    <w:rsid w:val="00CB0A69"/>
    <w:rsid w:val="00CB0B74"/>
    <w:rsid w:val="00CB0E77"/>
    <w:rsid w:val="00CB0F40"/>
    <w:rsid w:val="00CB1757"/>
    <w:rsid w:val="00CB25E9"/>
    <w:rsid w:val="00CB2F3D"/>
    <w:rsid w:val="00CB3B10"/>
    <w:rsid w:val="00CB3CD6"/>
    <w:rsid w:val="00CB4180"/>
    <w:rsid w:val="00CB43D7"/>
    <w:rsid w:val="00CB448B"/>
    <w:rsid w:val="00CB5210"/>
    <w:rsid w:val="00CB5437"/>
    <w:rsid w:val="00CB5472"/>
    <w:rsid w:val="00CB6440"/>
    <w:rsid w:val="00CB6D14"/>
    <w:rsid w:val="00CB741F"/>
    <w:rsid w:val="00CC00E9"/>
    <w:rsid w:val="00CC03F5"/>
    <w:rsid w:val="00CC0523"/>
    <w:rsid w:val="00CC0C37"/>
    <w:rsid w:val="00CC177E"/>
    <w:rsid w:val="00CC1B0E"/>
    <w:rsid w:val="00CC1D67"/>
    <w:rsid w:val="00CC2E36"/>
    <w:rsid w:val="00CC31D6"/>
    <w:rsid w:val="00CC3454"/>
    <w:rsid w:val="00CC3624"/>
    <w:rsid w:val="00CC3BB2"/>
    <w:rsid w:val="00CC41D7"/>
    <w:rsid w:val="00CC46A8"/>
    <w:rsid w:val="00CC4ECA"/>
    <w:rsid w:val="00CC53F4"/>
    <w:rsid w:val="00CC58C2"/>
    <w:rsid w:val="00CC5FD5"/>
    <w:rsid w:val="00CC6179"/>
    <w:rsid w:val="00CC713C"/>
    <w:rsid w:val="00CC7A35"/>
    <w:rsid w:val="00CC7ECD"/>
    <w:rsid w:val="00CD05EE"/>
    <w:rsid w:val="00CD0787"/>
    <w:rsid w:val="00CD146B"/>
    <w:rsid w:val="00CD1ED9"/>
    <w:rsid w:val="00CD1F94"/>
    <w:rsid w:val="00CD2886"/>
    <w:rsid w:val="00CD295F"/>
    <w:rsid w:val="00CD2AC8"/>
    <w:rsid w:val="00CD32C5"/>
    <w:rsid w:val="00CD33D0"/>
    <w:rsid w:val="00CD3A32"/>
    <w:rsid w:val="00CD3AC2"/>
    <w:rsid w:val="00CD3B17"/>
    <w:rsid w:val="00CD3C87"/>
    <w:rsid w:val="00CD4775"/>
    <w:rsid w:val="00CD51D4"/>
    <w:rsid w:val="00CD533E"/>
    <w:rsid w:val="00CD59F3"/>
    <w:rsid w:val="00CD6257"/>
    <w:rsid w:val="00CD643F"/>
    <w:rsid w:val="00CD64A0"/>
    <w:rsid w:val="00CD66CC"/>
    <w:rsid w:val="00CD6BA8"/>
    <w:rsid w:val="00CD6D96"/>
    <w:rsid w:val="00CD77F0"/>
    <w:rsid w:val="00CE0352"/>
    <w:rsid w:val="00CE07A9"/>
    <w:rsid w:val="00CE09A7"/>
    <w:rsid w:val="00CE0B69"/>
    <w:rsid w:val="00CE17F5"/>
    <w:rsid w:val="00CE25F8"/>
    <w:rsid w:val="00CE265C"/>
    <w:rsid w:val="00CE283E"/>
    <w:rsid w:val="00CE2A90"/>
    <w:rsid w:val="00CE2E6D"/>
    <w:rsid w:val="00CE303C"/>
    <w:rsid w:val="00CE3142"/>
    <w:rsid w:val="00CE3543"/>
    <w:rsid w:val="00CE36E4"/>
    <w:rsid w:val="00CE39F2"/>
    <w:rsid w:val="00CE3D6A"/>
    <w:rsid w:val="00CE4545"/>
    <w:rsid w:val="00CE476E"/>
    <w:rsid w:val="00CE4B9C"/>
    <w:rsid w:val="00CE5573"/>
    <w:rsid w:val="00CE559E"/>
    <w:rsid w:val="00CE5659"/>
    <w:rsid w:val="00CE661C"/>
    <w:rsid w:val="00CE66EE"/>
    <w:rsid w:val="00CE6AD1"/>
    <w:rsid w:val="00CE6E1B"/>
    <w:rsid w:val="00CE7CC1"/>
    <w:rsid w:val="00CE7D0B"/>
    <w:rsid w:val="00CF021C"/>
    <w:rsid w:val="00CF0E0E"/>
    <w:rsid w:val="00CF151C"/>
    <w:rsid w:val="00CF17DB"/>
    <w:rsid w:val="00CF391C"/>
    <w:rsid w:val="00CF412A"/>
    <w:rsid w:val="00CF4AA1"/>
    <w:rsid w:val="00CF665E"/>
    <w:rsid w:val="00CF67D9"/>
    <w:rsid w:val="00CF7A90"/>
    <w:rsid w:val="00CF7C4C"/>
    <w:rsid w:val="00D00164"/>
    <w:rsid w:val="00D00443"/>
    <w:rsid w:val="00D00944"/>
    <w:rsid w:val="00D009E1"/>
    <w:rsid w:val="00D00ADF"/>
    <w:rsid w:val="00D00B55"/>
    <w:rsid w:val="00D00F2B"/>
    <w:rsid w:val="00D01152"/>
    <w:rsid w:val="00D019C9"/>
    <w:rsid w:val="00D0202F"/>
    <w:rsid w:val="00D0220D"/>
    <w:rsid w:val="00D028C2"/>
    <w:rsid w:val="00D02E0E"/>
    <w:rsid w:val="00D0303C"/>
    <w:rsid w:val="00D03936"/>
    <w:rsid w:val="00D03ED3"/>
    <w:rsid w:val="00D04B8C"/>
    <w:rsid w:val="00D056EB"/>
    <w:rsid w:val="00D05A66"/>
    <w:rsid w:val="00D05E1E"/>
    <w:rsid w:val="00D05EBE"/>
    <w:rsid w:val="00D05F3F"/>
    <w:rsid w:val="00D06AFD"/>
    <w:rsid w:val="00D06BF4"/>
    <w:rsid w:val="00D0733B"/>
    <w:rsid w:val="00D07386"/>
    <w:rsid w:val="00D07495"/>
    <w:rsid w:val="00D07631"/>
    <w:rsid w:val="00D0764B"/>
    <w:rsid w:val="00D10741"/>
    <w:rsid w:val="00D10C2D"/>
    <w:rsid w:val="00D117B7"/>
    <w:rsid w:val="00D11841"/>
    <w:rsid w:val="00D11E8B"/>
    <w:rsid w:val="00D120E0"/>
    <w:rsid w:val="00D13C4E"/>
    <w:rsid w:val="00D14118"/>
    <w:rsid w:val="00D14CEA"/>
    <w:rsid w:val="00D14D37"/>
    <w:rsid w:val="00D14D64"/>
    <w:rsid w:val="00D1513F"/>
    <w:rsid w:val="00D1558E"/>
    <w:rsid w:val="00D158C6"/>
    <w:rsid w:val="00D158C9"/>
    <w:rsid w:val="00D15DD7"/>
    <w:rsid w:val="00D15EA9"/>
    <w:rsid w:val="00D16307"/>
    <w:rsid w:val="00D16CF0"/>
    <w:rsid w:val="00D16CFC"/>
    <w:rsid w:val="00D171C2"/>
    <w:rsid w:val="00D17D5B"/>
    <w:rsid w:val="00D20429"/>
    <w:rsid w:val="00D20DBD"/>
    <w:rsid w:val="00D213F7"/>
    <w:rsid w:val="00D21518"/>
    <w:rsid w:val="00D21C79"/>
    <w:rsid w:val="00D21DFA"/>
    <w:rsid w:val="00D222EC"/>
    <w:rsid w:val="00D224FA"/>
    <w:rsid w:val="00D2266A"/>
    <w:rsid w:val="00D23C14"/>
    <w:rsid w:val="00D23ED7"/>
    <w:rsid w:val="00D24885"/>
    <w:rsid w:val="00D24DD9"/>
    <w:rsid w:val="00D24E05"/>
    <w:rsid w:val="00D25359"/>
    <w:rsid w:val="00D254AD"/>
    <w:rsid w:val="00D25DC6"/>
    <w:rsid w:val="00D2630B"/>
    <w:rsid w:val="00D2695D"/>
    <w:rsid w:val="00D26AAE"/>
    <w:rsid w:val="00D270DA"/>
    <w:rsid w:val="00D27FA1"/>
    <w:rsid w:val="00D301C5"/>
    <w:rsid w:val="00D302E7"/>
    <w:rsid w:val="00D30BE7"/>
    <w:rsid w:val="00D30C15"/>
    <w:rsid w:val="00D30DEE"/>
    <w:rsid w:val="00D31751"/>
    <w:rsid w:val="00D317B9"/>
    <w:rsid w:val="00D3196B"/>
    <w:rsid w:val="00D31C40"/>
    <w:rsid w:val="00D326D0"/>
    <w:rsid w:val="00D327BB"/>
    <w:rsid w:val="00D32DB0"/>
    <w:rsid w:val="00D32E96"/>
    <w:rsid w:val="00D32EE0"/>
    <w:rsid w:val="00D33018"/>
    <w:rsid w:val="00D3355B"/>
    <w:rsid w:val="00D3466D"/>
    <w:rsid w:val="00D347F2"/>
    <w:rsid w:val="00D34856"/>
    <w:rsid w:val="00D34A89"/>
    <w:rsid w:val="00D34DC5"/>
    <w:rsid w:val="00D351C8"/>
    <w:rsid w:val="00D3525A"/>
    <w:rsid w:val="00D354E3"/>
    <w:rsid w:val="00D354FB"/>
    <w:rsid w:val="00D3671B"/>
    <w:rsid w:val="00D36771"/>
    <w:rsid w:val="00D36AAC"/>
    <w:rsid w:val="00D36C82"/>
    <w:rsid w:val="00D37162"/>
    <w:rsid w:val="00D3747A"/>
    <w:rsid w:val="00D37565"/>
    <w:rsid w:val="00D40BCB"/>
    <w:rsid w:val="00D40C20"/>
    <w:rsid w:val="00D40FEF"/>
    <w:rsid w:val="00D412BE"/>
    <w:rsid w:val="00D4161C"/>
    <w:rsid w:val="00D4203C"/>
    <w:rsid w:val="00D426D8"/>
    <w:rsid w:val="00D4281A"/>
    <w:rsid w:val="00D43C49"/>
    <w:rsid w:val="00D44E7B"/>
    <w:rsid w:val="00D45A12"/>
    <w:rsid w:val="00D45E46"/>
    <w:rsid w:val="00D45F4C"/>
    <w:rsid w:val="00D460A8"/>
    <w:rsid w:val="00D46190"/>
    <w:rsid w:val="00D4656E"/>
    <w:rsid w:val="00D47188"/>
    <w:rsid w:val="00D4756C"/>
    <w:rsid w:val="00D478C8"/>
    <w:rsid w:val="00D47926"/>
    <w:rsid w:val="00D47AE7"/>
    <w:rsid w:val="00D47B33"/>
    <w:rsid w:val="00D47DA1"/>
    <w:rsid w:val="00D5012F"/>
    <w:rsid w:val="00D50447"/>
    <w:rsid w:val="00D505F1"/>
    <w:rsid w:val="00D50842"/>
    <w:rsid w:val="00D50B3A"/>
    <w:rsid w:val="00D51749"/>
    <w:rsid w:val="00D519D8"/>
    <w:rsid w:val="00D51E47"/>
    <w:rsid w:val="00D51F6D"/>
    <w:rsid w:val="00D5238A"/>
    <w:rsid w:val="00D52887"/>
    <w:rsid w:val="00D528B4"/>
    <w:rsid w:val="00D52C50"/>
    <w:rsid w:val="00D52CBE"/>
    <w:rsid w:val="00D53C01"/>
    <w:rsid w:val="00D541A4"/>
    <w:rsid w:val="00D54991"/>
    <w:rsid w:val="00D54B2A"/>
    <w:rsid w:val="00D54F1B"/>
    <w:rsid w:val="00D54F83"/>
    <w:rsid w:val="00D55380"/>
    <w:rsid w:val="00D5591E"/>
    <w:rsid w:val="00D55A42"/>
    <w:rsid w:val="00D55F4C"/>
    <w:rsid w:val="00D5605D"/>
    <w:rsid w:val="00D561BF"/>
    <w:rsid w:val="00D56837"/>
    <w:rsid w:val="00D56882"/>
    <w:rsid w:val="00D5699C"/>
    <w:rsid w:val="00D56FCB"/>
    <w:rsid w:val="00D578C9"/>
    <w:rsid w:val="00D57B50"/>
    <w:rsid w:val="00D57BB4"/>
    <w:rsid w:val="00D60026"/>
    <w:rsid w:val="00D60177"/>
    <w:rsid w:val="00D604FC"/>
    <w:rsid w:val="00D60A71"/>
    <w:rsid w:val="00D61130"/>
    <w:rsid w:val="00D61BAF"/>
    <w:rsid w:val="00D6285E"/>
    <w:rsid w:val="00D6409A"/>
    <w:rsid w:val="00D645AF"/>
    <w:rsid w:val="00D64AD0"/>
    <w:rsid w:val="00D64E24"/>
    <w:rsid w:val="00D656D0"/>
    <w:rsid w:val="00D66A1F"/>
    <w:rsid w:val="00D66F00"/>
    <w:rsid w:val="00D6724B"/>
    <w:rsid w:val="00D67954"/>
    <w:rsid w:val="00D70051"/>
    <w:rsid w:val="00D7027A"/>
    <w:rsid w:val="00D70692"/>
    <w:rsid w:val="00D70E10"/>
    <w:rsid w:val="00D71809"/>
    <w:rsid w:val="00D71926"/>
    <w:rsid w:val="00D72163"/>
    <w:rsid w:val="00D72D03"/>
    <w:rsid w:val="00D72FAD"/>
    <w:rsid w:val="00D73E10"/>
    <w:rsid w:val="00D74A3E"/>
    <w:rsid w:val="00D74DEF"/>
    <w:rsid w:val="00D7534D"/>
    <w:rsid w:val="00D7622A"/>
    <w:rsid w:val="00D76C90"/>
    <w:rsid w:val="00D76E05"/>
    <w:rsid w:val="00D77E92"/>
    <w:rsid w:val="00D80BCE"/>
    <w:rsid w:val="00D80DA1"/>
    <w:rsid w:val="00D80E0C"/>
    <w:rsid w:val="00D80F7C"/>
    <w:rsid w:val="00D80FA6"/>
    <w:rsid w:val="00D8156D"/>
    <w:rsid w:val="00D81B9D"/>
    <w:rsid w:val="00D82CF6"/>
    <w:rsid w:val="00D836A3"/>
    <w:rsid w:val="00D842DA"/>
    <w:rsid w:val="00D84459"/>
    <w:rsid w:val="00D8451E"/>
    <w:rsid w:val="00D8455B"/>
    <w:rsid w:val="00D84917"/>
    <w:rsid w:val="00D84C27"/>
    <w:rsid w:val="00D84CAB"/>
    <w:rsid w:val="00D84DC9"/>
    <w:rsid w:val="00D851E4"/>
    <w:rsid w:val="00D85510"/>
    <w:rsid w:val="00D85E62"/>
    <w:rsid w:val="00D85EA2"/>
    <w:rsid w:val="00D85F52"/>
    <w:rsid w:val="00D85FFE"/>
    <w:rsid w:val="00D8645B"/>
    <w:rsid w:val="00D8735D"/>
    <w:rsid w:val="00D87C0C"/>
    <w:rsid w:val="00D9005D"/>
    <w:rsid w:val="00D905D5"/>
    <w:rsid w:val="00D908E6"/>
    <w:rsid w:val="00D9198C"/>
    <w:rsid w:val="00D91B0E"/>
    <w:rsid w:val="00D9252B"/>
    <w:rsid w:val="00D92A2B"/>
    <w:rsid w:val="00D92D24"/>
    <w:rsid w:val="00D92D8D"/>
    <w:rsid w:val="00D92DAD"/>
    <w:rsid w:val="00D92F03"/>
    <w:rsid w:val="00D9378F"/>
    <w:rsid w:val="00D94CA4"/>
    <w:rsid w:val="00D94EC6"/>
    <w:rsid w:val="00D9502A"/>
    <w:rsid w:val="00D95049"/>
    <w:rsid w:val="00D95BBA"/>
    <w:rsid w:val="00D964DC"/>
    <w:rsid w:val="00D966C0"/>
    <w:rsid w:val="00D96C7A"/>
    <w:rsid w:val="00D97AD1"/>
    <w:rsid w:val="00DA02FE"/>
    <w:rsid w:val="00DA07B4"/>
    <w:rsid w:val="00DA117F"/>
    <w:rsid w:val="00DA19E0"/>
    <w:rsid w:val="00DA1A33"/>
    <w:rsid w:val="00DA27F5"/>
    <w:rsid w:val="00DA2AB9"/>
    <w:rsid w:val="00DA2CA8"/>
    <w:rsid w:val="00DA30A4"/>
    <w:rsid w:val="00DA3BBD"/>
    <w:rsid w:val="00DA5020"/>
    <w:rsid w:val="00DA50BF"/>
    <w:rsid w:val="00DA5C09"/>
    <w:rsid w:val="00DA5CDF"/>
    <w:rsid w:val="00DA61A7"/>
    <w:rsid w:val="00DA640C"/>
    <w:rsid w:val="00DA6DA8"/>
    <w:rsid w:val="00DA7D61"/>
    <w:rsid w:val="00DB0068"/>
    <w:rsid w:val="00DB01D4"/>
    <w:rsid w:val="00DB0305"/>
    <w:rsid w:val="00DB04CB"/>
    <w:rsid w:val="00DB08AD"/>
    <w:rsid w:val="00DB0AF0"/>
    <w:rsid w:val="00DB0CCA"/>
    <w:rsid w:val="00DB0EB4"/>
    <w:rsid w:val="00DB1097"/>
    <w:rsid w:val="00DB1971"/>
    <w:rsid w:val="00DB1A5C"/>
    <w:rsid w:val="00DB1B6D"/>
    <w:rsid w:val="00DB1ECA"/>
    <w:rsid w:val="00DB2766"/>
    <w:rsid w:val="00DB28C2"/>
    <w:rsid w:val="00DB2ED2"/>
    <w:rsid w:val="00DB3247"/>
    <w:rsid w:val="00DB34E1"/>
    <w:rsid w:val="00DB39AC"/>
    <w:rsid w:val="00DB488E"/>
    <w:rsid w:val="00DB4C55"/>
    <w:rsid w:val="00DB56C7"/>
    <w:rsid w:val="00DB56FC"/>
    <w:rsid w:val="00DB5921"/>
    <w:rsid w:val="00DB5E8A"/>
    <w:rsid w:val="00DB5F27"/>
    <w:rsid w:val="00DB62EF"/>
    <w:rsid w:val="00DB6383"/>
    <w:rsid w:val="00DB65FD"/>
    <w:rsid w:val="00DB689A"/>
    <w:rsid w:val="00DB6ABD"/>
    <w:rsid w:val="00DB6C76"/>
    <w:rsid w:val="00DB758B"/>
    <w:rsid w:val="00DC06A1"/>
    <w:rsid w:val="00DC09FF"/>
    <w:rsid w:val="00DC0B6D"/>
    <w:rsid w:val="00DC1467"/>
    <w:rsid w:val="00DC1AD8"/>
    <w:rsid w:val="00DC1BD9"/>
    <w:rsid w:val="00DC21A5"/>
    <w:rsid w:val="00DC2563"/>
    <w:rsid w:val="00DC2BE1"/>
    <w:rsid w:val="00DC30CA"/>
    <w:rsid w:val="00DC34CD"/>
    <w:rsid w:val="00DC3627"/>
    <w:rsid w:val="00DC37C9"/>
    <w:rsid w:val="00DC3FB6"/>
    <w:rsid w:val="00DC411C"/>
    <w:rsid w:val="00DC4125"/>
    <w:rsid w:val="00DC42C7"/>
    <w:rsid w:val="00DC45EF"/>
    <w:rsid w:val="00DC4B30"/>
    <w:rsid w:val="00DC4F69"/>
    <w:rsid w:val="00DC4FC5"/>
    <w:rsid w:val="00DC54B4"/>
    <w:rsid w:val="00DC58A1"/>
    <w:rsid w:val="00DC5C61"/>
    <w:rsid w:val="00DC5D4C"/>
    <w:rsid w:val="00DC6371"/>
    <w:rsid w:val="00DC668D"/>
    <w:rsid w:val="00DC69B2"/>
    <w:rsid w:val="00DC6B8E"/>
    <w:rsid w:val="00DC6EBA"/>
    <w:rsid w:val="00DC6F6D"/>
    <w:rsid w:val="00DC7147"/>
    <w:rsid w:val="00DD04EB"/>
    <w:rsid w:val="00DD0C2E"/>
    <w:rsid w:val="00DD14D9"/>
    <w:rsid w:val="00DD1900"/>
    <w:rsid w:val="00DD1913"/>
    <w:rsid w:val="00DD1B52"/>
    <w:rsid w:val="00DD1FF4"/>
    <w:rsid w:val="00DD2271"/>
    <w:rsid w:val="00DD23CF"/>
    <w:rsid w:val="00DD3E8C"/>
    <w:rsid w:val="00DD454B"/>
    <w:rsid w:val="00DD55D0"/>
    <w:rsid w:val="00DD5CDE"/>
    <w:rsid w:val="00DD667B"/>
    <w:rsid w:val="00DD67C9"/>
    <w:rsid w:val="00DD697B"/>
    <w:rsid w:val="00DD6A8E"/>
    <w:rsid w:val="00DD6C9B"/>
    <w:rsid w:val="00DD711F"/>
    <w:rsid w:val="00DD7401"/>
    <w:rsid w:val="00DD7A53"/>
    <w:rsid w:val="00DD7D95"/>
    <w:rsid w:val="00DD7FA9"/>
    <w:rsid w:val="00DE12BC"/>
    <w:rsid w:val="00DE1EA9"/>
    <w:rsid w:val="00DE26E2"/>
    <w:rsid w:val="00DE300B"/>
    <w:rsid w:val="00DE311A"/>
    <w:rsid w:val="00DE33B2"/>
    <w:rsid w:val="00DE3A13"/>
    <w:rsid w:val="00DE3DBF"/>
    <w:rsid w:val="00DE43B2"/>
    <w:rsid w:val="00DE4572"/>
    <w:rsid w:val="00DE47F2"/>
    <w:rsid w:val="00DE4BAC"/>
    <w:rsid w:val="00DE4E83"/>
    <w:rsid w:val="00DE4FEF"/>
    <w:rsid w:val="00DE53AF"/>
    <w:rsid w:val="00DE56C6"/>
    <w:rsid w:val="00DE625E"/>
    <w:rsid w:val="00DE6372"/>
    <w:rsid w:val="00DE65A4"/>
    <w:rsid w:val="00DE664C"/>
    <w:rsid w:val="00DE6855"/>
    <w:rsid w:val="00DE6CA0"/>
    <w:rsid w:val="00DE7186"/>
    <w:rsid w:val="00DE734E"/>
    <w:rsid w:val="00DE79CE"/>
    <w:rsid w:val="00DE7B3B"/>
    <w:rsid w:val="00DF0FC7"/>
    <w:rsid w:val="00DF11B4"/>
    <w:rsid w:val="00DF1745"/>
    <w:rsid w:val="00DF2158"/>
    <w:rsid w:val="00DF234B"/>
    <w:rsid w:val="00DF24D3"/>
    <w:rsid w:val="00DF29E2"/>
    <w:rsid w:val="00DF2C65"/>
    <w:rsid w:val="00DF3603"/>
    <w:rsid w:val="00DF3918"/>
    <w:rsid w:val="00DF4DB7"/>
    <w:rsid w:val="00DF510D"/>
    <w:rsid w:val="00DF525C"/>
    <w:rsid w:val="00DF571F"/>
    <w:rsid w:val="00DF5927"/>
    <w:rsid w:val="00DF59B6"/>
    <w:rsid w:val="00DF5F14"/>
    <w:rsid w:val="00DF5F6F"/>
    <w:rsid w:val="00DF653E"/>
    <w:rsid w:val="00DF6648"/>
    <w:rsid w:val="00DF74E4"/>
    <w:rsid w:val="00DF7632"/>
    <w:rsid w:val="00E00383"/>
    <w:rsid w:val="00E004B2"/>
    <w:rsid w:val="00E00744"/>
    <w:rsid w:val="00E0147B"/>
    <w:rsid w:val="00E01707"/>
    <w:rsid w:val="00E01B44"/>
    <w:rsid w:val="00E02E93"/>
    <w:rsid w:val="00E02F2C"/>
    <w:rsid w:val="00E03230"/>
    <w:rsid w:val="00E0398D"/>
    <w:rsid w:val="00E04DBA"/>
    <w:rsid w:val="00E04F98"/>
    <w:rsid w:val="00E051D7"/>
    <w:rsid w:val="00E0540C"/>
    <w:rsid w:val="00E0578F"/>
    <w:rsid w:val="00E05C7A"/>
    <w:rsid w:val="00E05F9F"/>
    <w:rsid w:val="00E069CE"/>
    <w:rsid w:val="00E07346"/>
    <w:rsid w:val="00E074FB"/>
    <w:rsid w:val="00E075EA"/>
    <w:rsid w:val="00E075FD"/>
    <w:rsid w:val="00E07AEC"/>
    <w:rsid w:val="00E10024"/>
    <w:rsid w:val="00E10868"/>
    <w:rsid w:val="00E10D86"/>
    <w:rsid w:val="00E10F52"/>
    <w:rsid w:val="00E11731"/>
    <w:rsid w:val="00E11879"/>
    <w:rsid w:val="00E11D2A"/>
    <w:rsid w:val="00E12641"/>
    <w:rsid w:val="00E12F34"/>
    <w:rsid w:val="00E138AA"/>
    <w:rsid w:val="00E13AF5"/>
    <w:rsid w:val="00E1438C"/>
    <w:rsid w:val="00E145C5"/>
    <w:rsid w:val="00E147EF"/>
    <w:rsid w:val="00E14F58"/>
    <w:rsid w:val="00E15267"/>
    <w:rsid w:val="00E15355"/>
    <w:rsid w:val="00E1554C"/>
    <w:rsid w:val="00E155BA"/>
    <w:rsid w:val="00E15614"/>
    <w:rsid w:val="00E15912"/>
    <w:rsid w:val="00E1635E"/>
    <w:rsid w:val="00E164BE"/>
    <w:rsid w:val="00E17253"/>
    <w:rsid w:val="00E17554"/>
    <w:rsid w:val="00E17AA5"/>
    <w:rsid w:val="00E17CD1"/>
    <w:rsid w:val="00E203EF"/>
    <w:rsid w:val="00E20830"/>
    <w:rsid w:val="00E20DAC"/>
    <w:rsid w:val="00E210D1"/>
    <w:rsid w:val="00E21388"/>
    <w:rsid w:val="00E214D4"/>
    <w:rsid w:val="00E215A8"/>
    <w:rsid w:val="00E21AAD"/>
    <w:rsid w:val="00E21F8A"/>
    <w:rsid w:val="00E22696"/>
    <w:rsid w:val="00E22DF8"/>
    <w:rsid w:val="00E2346D"/>
    <w:rsid w:val="00E2355E"/>
    <w:rsid w:val="00E2365D"/>
    <w:rsid w:val="00E2393A"/>
    <w:rsid w:val="00E240F1"/>
    <w:rsid w:val="00E24E07"/>
    <w:rsid w:val="00E24FE2"/>
    <w:rsid w:val="00E25109"/>
    <w:rsid w:val="00E253E6"/>
    <w:rsid w:val="00E2596E"/>
    <w:rsid w:val="00E25DBE"/>
    <w:rsid w:val="00E26090"/>
    <w:rsid w:val="00E26C8D"/>
    <w:rsid w:val="00E26E02"/>
    <w:rsid w:val="00E27192"/>
    <w:rsid w:val="00E2730C"/>
    <w:rsid w:val="00E273BB"/>
    <w:rsid w:val="00E273C5"/>
    <w:rsid w:val="00E276DC"/>
    <w:rsid w:val="00E27733"/>
    <w:rsid w:val="00E27CEE"/>
    <w:rsid w:val="00E3016D"/>
    <w:rsid w:val="00E30A68"/>
    <w:rsid w:val="00E30B79"/>
    <w:rsid w:val="00E316B5"/>
    <w:rsid w:val="00E323BD"/>
    <w:rsid w:val="00E3253C"/>
    <w:rsid w:val="00E32592"/>
    <w:rsid w:val="00E32817"/>
    <w:rsid w:val="00E32965"/>
    <w:rsid w:val="00E32E09"/>
    <w:rsid w:val="00E333EC"/>
    <w:rsid w:val="00E33753"/>
    <w:rsid w:val="00E3383C"/>
    <w:rsid w:val="00E33C05"/>
    <w:rsid w:val="00E3468F"/>
    <w:rsid w:val="00E34942"/>
    <w:rsid w:val="00E34AFB"/>
    <w:rsid w:val="00E35FA7"/>
    <w:rsid w:val="00E36339"/>
    <w:rsid w:val="00E366EB"/>
    <w:rsid w:val="00E36FE2"/>
    <w:rsid w:val="00E403A0"/>
    <w:rsid w:val="00E405A6"/>
    <w:rsid w:val="00E4088F"/>
    <w:rsid w:val="00E40DF1"/>
    <w:rsid w:val="00E4187B"/>
    <w:rsid w:val="00E42055"/>
    <w:rsid w:val="00E424E4"/>
    <w:rsid w:val="00E428C6"/>
    <w:rsid w:val="00E42C3B"/>
    <w:rsid w:val="00E43216"/>
    <w:rsid w:val="00E4321A"/>
    <w:rsid w:val="00E43277"/>
    <w:rsid w:val="00E434AC"/>
    <w:rsid w:val="00E4395A"/>
    <w:rsid w:val="00E43965"/>
    <w:rsid w:val="00E44C1F"/>
    <w:rsid w:val="00E453E9"/>
    <w:rsid w:val="00E456B7"/>
    <w:rsid w:val="00E45851"/>
    <w:rsid w:val="00E45C9E"/>
    <w:rsid w:val="00E45DC0"/>
    <w:rsid w:val="00E45E1B"/>
    <w:rsid w:val="00E46558"/>
    <w:rsid w:val="00E475D5"/>
    <w:rsid w:val="00E477A2"/>
    <w:rsid w:val="00E47821"/>
    <w:rsid w:val="00E500D6"/>
    <w:rsid w:val="00E50888"/>
    <w:rsid w:val="00E5096B"/>
    <w:rsid w:val="00E50CEB"/>
    <w:rsid w:val="00E50F6F"/>
    <w:rsid w:val="00E51433"/>
    <w:rsid w:val="00E514C2"/>
    <w:rsid w:val="00E51F32"/>
    <w:rsid w:val="00E52C70"/>
    <w:rsid w:val="00E52E33"/>
    <w:rsid w:val="00E52FBB"/>
    <w:rsid w:val="00E5373A"/>
    <w:rsid w:val="00E539D8"/>
    <w:rsid w:val="00E547F4"/>
    <w:rsid w:val="00E54C73"/>
    <w:rsid w:val="00E54CE3"/>
    <w:rsid w:val="00E54D05"/>
    <w:rsid w:val="00E54EE7"/>
    <w:rsid w:val="00E54EE8"/>
    <w:rsid w:val="00E55012"/>
    <w:rsid w:val="00E5522A"/>
    <w:rsid w:val="00E5542A"/>
    <w:rsid w:val="00E5609C"/>
    <w:rsid w:val="00E56204"/>
    <w:rsid w:val="00E56A4D"/>
    <w:rsid w:val="00E570FC"/>
    <w:rsid w:val="00E574A3"/>
    <w:rsid w:val="00E57D0E"/>
    <w:rsid w:val="00E609EE"/>
    <w:rsid w:val="00E61579"/>
    <w:rsid w:val="00E617E0"/>
    <w:rsid w:val="00E618D6"/>
    <w:rsid w:val="00E61EA4"/>
    <w:rsid w:val="00E61F28"/>
    <w:rsid w:val="00E61F8A"/>
    <w:rsid w:val="00E62928"/>
    <w:rsid w:val="00E6371E"/>
    <w:rsid w:val="00E63E9C"/>
    <w:rsid w:val="00E64156"/>
    <w:rsid w:val="00E64756"/>
    <w:rsid w:val="00E64869"/>
    <w:rsid w:val="00E6488F"/>
    <w:rsid w:val="00E64B5A"/>
    <w:rsid w:val="00E650F5"/>
    <w:rsid w:val="00E65209"/>
    <w:rsid w:val="00E65CA2"/>
    <w:rsid w:val="00E66225"/>
    <w:rsid w:val="00E66750"/>
    <w:rsid w:val="00E66D07"/>
    <w:rsid w:val="00E67595"/>
    <w:rsid w:val="00E67847"/>
    <w:rsid w:val="00E7033C"/>
    <w:rsid w:val="00E7042D"/>
    <w:rsid w:val="00E70ABE"/>
    <w:rsid w:val="00E70BB1"/>
    <w:rsid w:val="00E70DFE"/>
    <w:rsid w:val="00E70FF1"/>
    <w:rsid w:val="00E71151"/>
    <w:rsid w:val="00E716B8"/>
    <w:rsid w:val="00E717D7"/>
    <w:rsid w:val="00E71874"/>
    <w:rsid w:val="00E71B4C"/>
    <w:rsid w:val="00E71C18"/>
    <w:rsid w:val="00E71CED"/>
    <w:rsid w:val="00E72016"/>
    <w:rsid w:val="00E72FB5"/>
    <w:rsid w:val="00E73553"/>
    <w:rsid w:val="00E736B9"/>
    <w:rsid w:val="00E73725"/>
    <w:rsid w:val="00E738C4"/>
    <w:rsid w:val="00E739E6"/>
    <w:rsid w:val="00E73ABF"/>
    <w:rsid w:val="00E74975"/>
    <w:rsid w:val="00E74A43"/>
    <w:rsid w:val="00E7585C"/>
    <w:rsid w:val="00E75D27"/>
    <w:rsid w:val="00E7659A"/>
    <w:rsid w:val="00E76901"/>
    <w:rsid w:val="00E76992"/>
    <w:rsid w:val="00E77114"/>
    <w:rsid w:val="00E77726"/>
    <w:rsid w:val="00E80127"/>
    <w:rsid w:val="00E80301"/>
    <w:rsid w:val="00E80955"/>
    <w:rsid w:val="00E81059"/>
    <w:rsid w:val="00E81A63"/>
    <w:rsid w:val="00E81FB6"/>
    <w:rsid w:val="00E822B0"/>
    <w:rsid w:val="00E8242E"/>
    <w:rsid w:val="00E82466"/>
    <w:rsid w:val="00E824D6"/>
    <w:rsid w:val="00E8259D"/>
    <w:rsid w:val="00E82BF0"/>
    <w:rsid w:val="00E8354C"/>
    <w:rsid w:val="00E83661"/>
    <w:rsid w:val="00E8394C"/>
    <w:rsid w:val="00E840F2"/>
    <w:rsid w:val="00E841B3"/>
    <w:rsid w:val="00E84C03"/>
    <w:rsid w:val="00E84F70"/>
    <w:rsid w:val="00E851C8"/>
    <w:rsid w:val="00E85207"/>
    <w:rsid w:val="00E853D7"/>
    <w:rsid w:val="00E85C8D"/>
    <w:rsid w:val="00E86CDE"/>
    <w:rsid w:val="00E86D61"/>
    <w:rsid w:val="00E86DF1"/>
    <w:rsid w:val="00E87633"/>
    <w:rsid w:val="00E876E1"/>
    <w:rsid w:val="00E87C85"/>
    <w:rsid w:val="00E903AA"/>
    <w:rsid w:val="00E90400"/>
    <w:rsid w:val="00E90643"/>
    <w:rsid w:val="00E90C6C"/>
    <w:rsid w:val="00E90E96"/>
    <w:rsid w:val="00E9138D"/>
    <w:rsid w:val="00E9149B"/>
    <w:rsid w:val="00E915B0"/>
    <w:rsid w:val="00E91935"/>
    <w:rsid w:val="00E91C57"/>
    <w:rsid w:val="00E91E33"/>
    <w:rsid w:val="00E91F79"/>
    <w:rsid w:val="00E92166"/>
    <w:rsid w:val="00E92978"/>
    <w:rsid w:val="00E93106"/>
    <w:rsid w:val="00E9382D"/>
    <w:rsid w:val="00E9388E"/>
    <w:rsid w:val="00E93AFC"/>
    <w:rsid w:val="00E947F0"/>
    <w:rsid w:val="00E94CC6"/>
    <w:rsid w:val="00E94D74"/>
    <w:rsid w:val="00E95593"/>
    <w:rsid w:val="00E95A76"/>
    <w:rsid w:val="00E95BC4"/>
    <w:rsid w:val="00E9676C"/>
    <w:rsid w:val="00E973D8"/>
    <w:rsid w:val="00E976C5"/>
    <w:rsid w:val="00EA08DB"/>
    <w:rsid w:val="00EA09A4"/>
    <w:rsid w:val="00EA0BC8"/>
    <w:rsid w:val="00EA14B6"/>
    <w:rsid w:val="00EA1FC6"/>
    <w:rsid w:val="00EA3475"/>
    <w:rsid w:val="00EA44B2"/>
    <w:rsid w:val="00EA4507"/>
    <w:rsid w:val="00EA4A10"/>
    <w:rsid w:val="00EA4B2F"/>
    <w:rsid w:val="00EA6DB8"/>
    <w:rsid w:val="00EA71D2"/>
    <w:rsid w:val="00EA7941"/>
    <w:rsid w:val="00EA7ABA"/>
    <w:rsid w:val="00EA7FEF"/>
    <w:rsid w:val="00EB0203"/>
    <w:rsid w:val="00EB189B"/>
    <w:rsid w:val="00EB1DA3"/>
    <w:rsid w:val="00EB25C0"/>
    <w:rsid w:val="00EB3DD0"/>
    <w:rsid w:val="00EB3DF0"/>
    <w:rsid w:val="00EB4A66"/>
    <w:rsid w:val="00EB6736"/>
    <w:rsid w:val="00EB7D1B"/>
    <w:rsid w:val="00EB7D5A"/>
    <w:rsid w:val="00EB7DCF"/>
    <w:rsid w:val="00EC02C4"/>
    <w:rsid w:val="00EC0449"/>
    <w:rsid w:val="00EC0464"/>
    <w:rsid w:val="00EC0501"/>
    <w:rsid w:val="00EC1415"/>
    <w:rsid w:val="00EC2253"/>
    <w:rsid w:val="00EC2A11"/>
    <w:rsid w:val="00EC2B55"/>
    <w:rsid w:val="00EC2BA0"/>
    <w:rsid w:val="00EC2ED4"/>
    <w:rsid w:val="00EC3580"/>
    <w:rsid w:val="00EC3630"/>
    <w:rsid w:val="00EC364C"/>
    <w:rsid w:val="00EC37A6"/>
    <w:rsid w:val="00EC396C"/>
    <w:rsid w:val="00EC3AEE"/>
    <w:rsid w:val="00EC3F16"/>
    <w:rsid w:val="00EC4CD9"/>
    <w:rsid w:val="00EC4ED4"/>
    <w:rsid w:val="00EC6A94"/>
    <w:rsid w:val="00EC6B8F"/>
    <w:rsid w:val="00EC720D"/>
    <w:rsid w:val="00EC7684"/>
    <w:rsid w:val="00EC7915"/>
    <w:rsid w:val="00EC7C3B"/>
    <w:rsid w:val="00EC7FBE"/>
    <w:rsid w:val="00ED0179"/>
    <w:rsid w:val="00ED01EB"/>
    <w:rsid w:val="00ED08DE"/>
    <w:rsid w:val="00ED090F"/>
    <w:rsid w:val="00ED0967"/>
    <w:rsid w:val="00ED0DB8"/>
    <w:rsid w:val="00ED11E5"/>
    <w:rsid w:val="00ED14F9"/>
    <w:rsid w:val="00ED2832"/>
    <w:rsid w:val="00ED28A8"/>
    <w:rsid w:val="00ED351A"/>
    <w:rsid w:val="00ED431E"/>
    <w:rsid w:val="00ED43E9"/>
    <w:rsid w:val="00ED4715"/>
    <w:rsid w:val="00ED4AAB"/>
    <w:rsid w:val="00ED5173"/>
    <w:rsid w:val="00ED5373"/>
    <w:rsid w:val="00ED5870"/>
    <w:rsid w:val="00ED5C08"/>
    <w:rsid w:val="00ED6547"/>
    <w:rsid w:val="00ED6DBD"/>
    <w:rsid w:val="00ED7168"/>
    <w:rsid w:val="00ED7457"/>
    <w:rsid w:val="00ED7646"/>
    <w:rsid w:val="00ED7BEA"/>
    <w:rsid w:val="00ED7ECD"/>
    <w:rsid w:val="00EE0998"/>
    <w:rsid w:val="00EE09A4"/>
    <w:rsid w:val="00EE0ADA"/>
    <w:rsid w:val="00EE1054"/>
    <w:rsid w:val="00EE1759"/>
    <w:rsid w:val="00EE178D"/>
    <w:rsid w:val="00EE24F7"/>
    <w:rsid w:val="00EE270D"/>
    <w:rsid w:val="00EE286C"/>
    <w:rsid w:val="00EE304C"/>
    <w:rsid w:val="00EE325B"/>
    <w:rsid w:val="00EE33C4"/>
    <w:rsid w:val="00EE366C"/>
    <w:rsid w:val="00EE3C68"/>
    <w:rsid w:val="00EE3D13"/>
    <w:rsid w:val="00EE5219"/>
    <w:rsid w:val="00EE56C9"/>
    <w:rsid w:val="00EE5A61"/>
    <w:rsid w:val="00EE5B72"/>
    <w:rsid w:val="00EE628F"/>
    <w:rsid w:val="00EE6543"/>
    <w:rsid w:val="00EE7933"/>
    <w:rsid w:val="00EE7AA8"/>
    <w:rsid w:val="00EE7AE1"/>
    <w:rsid w:val="00EF04B9"/>
    <w:rsid w:val="00EF0864"/>
    <w:rsid w:val="00EF0BB5"/>
    <w:rsid w:val="00EF2330"/>
    <w:rsid w:val="00EF24C1"/>
    <w:rsid w:val="00EF257F"/>
    <w:rsid w:val="00EF26B6"/>
    <w:rsid w:val="00EF2720"/>
    <w:rsid w:val="00EF2B0E"/>
    <w:rsid w:val="00EF2C37"/>
    <w:rsid w:val="00EF3675"/>
    <w:rsid w:val="00EF3D7E"/>
    <w:rsid w:val="00EF3DD9"/>
    <w:rsid w:val="00EF42D4"/>
    <w:rsid w:val="00EF47DD"/>
    <w:rsid w:val="00EF4CFC"/>
    <w:rsid w:val="00EF512A"/>
    <w:rsid w:val="00EF6A91"/>
    <w:rsid w:val="00EF7385"/>
    <w:rsid w:val="00EF7705"/>
    <w:rsid w:val="00EF78FB"/>
    <w:rsid w:val="00EF7D2A"/>
    <w:rsid w:val="00F001C9"/>
    <w:rsid w:val="00F00539"/>
    <w:rsid w:val="00F00B17"/>
    <w:rsid w:val="00F00E54"/>
    <w:rsid w:val="00F010FC"/>
    <w:rsid w:val="00F011E6"/>
    <w:rsid w:val="00F019E7"/>
    <w:rsid w:val="00F01D6E"/>
    <w:rsid w:val="00F01DCA"/>
    <w:rsid w:val="00F01F11"/>
    <w:rsid w:val="00F022CE"/>
    <w:rsid w:val="00F026BC"/>
    <w:rsid w:val="00F026FB"/>
    <w:rsid w:val="00F0294D"/>
    <w:rsid w:val="00F0296D"/>
    <w:rsid w:val="00F02B94"/>
    <w:rsid w:val="00F02F5C"/>
    <w:rsid w:val="00F02FE2"/>
    <w:rsid w:val="00F033D0"/>
    <w:rsid w:val="00F0399E"/>
    <w:rsid w:val="00F03A23"/>
    <w:rsid w:val="00F03A8B"/>
    <w:rsid w:val="00F03CC7"/>
    <w:rsid w:val="00F0457F"/>
    <w:rsid w:val="00F04DCE"/>
    <w:rsid w:val="00F051A3"/>
    <w:rsid w:val="00F0547C"/>
    <w:rsid w:val="00F058A3"/>
    <w:rsid w:val="00F063C2"/>
    <w:rsid w:val="00F069CE"/>
    <w:rsid w:val="00F06C15"/>
    <w:rsid w:val="00F070EE"/>
    <w:rsid w:val="00F07586"/>
    <w:rsid w:val="00F076AF"/>
    <w:rsid w:val="00F0793D"/>
    <w:rsid w:val="00F07B41"/>
    <w:rsid w:val="00F105DF"/>
    <w:rsid w:val="00F12037"/>
    <w:rsid w:val="00F122DE"/>
    <w:rsid w:val="00F125DE"/>
    <w:rsid w:val="00F129B5"/>
    <w:rsid w:val="00F1320E"/>
    <w:rsid w:val="00F13A4B"/>
    <w:rsid w:val="00F13D1A"/>
    <w:rsid w:val="00F14B0B"/>
    <w:rsid w:val="00F153FA"/>
    <w:rsid w:val="00F154AF"/>
    <w:rsid w:val="00F15607"/>
    <w:rsid w:val="00F15817"/>
    <w:rsid w:val="00F162E8"/>
    <w:rsid w:val="00F16773"/>
    <w:rsid w:val="00F171BF"/>
    <w:rsid w:val="00F171CD"/>
    <w:rsid w:val="00F176B7"/>
    <w:rsid w:val="00F17728"/>
    <w:rsid w:val="00F17DFF"/>
    <w:rsid w:val="00F20426"/>
    <w:rsid w:val="00F2044A"/>
    <w:rsid w:val="00F20819"/>
    <w:rsid w:val="00F20ACA"/>
    <w:rsid w:val="00F21C8F"/>
    <w:rsid w:val="00F2294E"/>
    <w:rsid w:val="00F229E9"/>
    <w:rsid w:val="00F22ABE"/>
    <w:rsid w:val="00F22FDD"/>
    <w:rsid w:val="00F23141"/>
    <w:rsid w:val="00F23603"/>
    <w:rsid w:val="00F23AB3"/>
    <w:rsid w:val="00F23BAF"/>
    <w:rsid w:val="00F23E8F"/>
    <w:rsid w:val="00F24C09"/>
    <w:rsid w:val="00F24D5E"/>
    <w:rsid w:val="00F24DD7"/>
    <w:rsid w:val="00F25206"/>
    <w:rsid w:val="00F2521D"/>
    <w:rsid w:val="00F25CD2"/>
    <w:rsid w:val="00F25FE3"/>
    <w:rsid w:val="00F262F1"/>
    <w:rsid w:val="00F265B3"/>
    <w:rsid w:val="00F267F2"/>
    <w:rsid w:val="00F2764B"/>
    <w:rsid w:val="00F277E5"/>
    <w:rsid w:val="00F27A9C"/>
    <w:rsid w:val="00F27F89"/>
    <w:rsid w:val="00F30F87"/>
    <w:rsid w:val="00F30F97"/>
    <w:rsid w:val="00F3172C"/>
    <w:rsid w:val="00F324FF"/>
    <w:rsid w:val="00F32C12"/>
    <w:rsid w:val="00F32DBF"/>
    <w:rsid w:val="00F32EAA"/>
    <w:rsid w:val="00F333A9"/>
    <w:rsid w:val="00F335F1"/>
    <w:rsid w:val="00F3372B"/>
    <w:rsid w:val="00F33A84"/>
    <w:rsid w:val="00F33B06"/>
    <w:rsid w:val="00F33CD8"/>
    <w:rsid w:val="00F33EE7"/>
    <w:rsid w:val="00F3431A"/>
    <w:rsid w:val="00F34593"/>
    <w:rsid w:val="00F34693"/>
    <w:rsid w:val="00F35182"/>
    <w:rsid w:val="00F35771"/>
    <w:rsid w:val="00F35879"/>
    <w:rsid w:val="00F35E30"/>
    <w:rsid w:val="00F36311"/>
    <w:rsid w:val="00F36CC4"/>
    <w:rsid w:val="00F36F7B"/>
    <w:rsid w:val="00F370F7"/>
    <w:rsid w:val="00F377E2"/>
    <w:rsid w:val="00F37C53"/>
    <w:rsid w:val="00F37DEB"/>
    <w:rsid w:val="00F402A3"/>
    <w:rsid w:val="00F4054E"/>
    <w:rsid w:val="00F40976"/>
    <w:rsid w:val="00F409C4"/>
    <w:rsid w:val="00F41997"/>
    <w:rsid w:val="00F41AFB"/>
    <w:rsid w:val="00F42878"/>
    <w:rsid w:val="00F428C1"/>
    <w:rsid w:val="00F42917"/>
    <w:rsid w:val="00F44199"/>
    <w:rsid w:val="00F441F9"/>
    <w:rsid w:val="00F446AF"/>
    <w:rsid w:val="00F448CF"/>
    <w:rsid w:val="00F44928"/>
    <w:rsid w:val="00F44E38"/>
    <w:rsid w:val="00F4523B"/>
    <w:rsid w:val="00F4535C"/>
    <w:rsid w:val="00F462D4"/>
    <w:rsid w:val="00F46D4D"/>
    <w:rsid w:val="00F46FB8"/>
    <w:rsid w:val="00F47282"/>
    <w:rsid w:val="00F477BA"/>
    <w:rsid w:val="00F47DF9"/>
    <w:rsid w:val="00F500B1"/>
    <w:rsid w:val="00F50E06"/>
    <w:rsid w:val="00F511BF"/>
    <w:rsid w:val="00F5149D"/>
    <w:rsid w:val="00F5171A"/>
    <w:rsid w:val="00F51954"/>
    <w:rsid w:val="00F51A80"/>
    <w:rsid w:val="00F525BB"/>
    <w:rsid w:val="00F52C75"/>
    <w:rsid w:val="00F53650"/>
    <w:rsid w:val="00F5378C"/>
    <w:rsid w:val="00F539EE"/>
    <w:rsid w:val="00F53DEB"/>
    <w:rsid w:val="00F54046"/>
    <w:rsid w:val="00F54422"/>
    <w:rsid w:val="00F5445A"/>
    <w:rsid w:val="00F54EEE"/>
    <w:rsid w:val="00F551DD"/>
    <w:rsid w:val="00F558E1"/>
    <w:rsid w:val="00F5594D"/>
    <w:rsid w:val="00F56284"/>
    <w:rsid w:val="00F56472"/>
    <w:rsid w:val="00F567FD"/>
    <w:rsid w:val="00F569A6"/>
    <w:rsid w:val="00F573EC"/>
    <w:rsid w:val="00F577EC"/>
    <w:rsid w:val="00F57D3C"/>
    <w:rsid w:val="00F57FDC"/>
    <w:rsid w:val="00F604ED"/>
    <w:rsid w:val="00F606BB"/>
    <w:rsid w:val="00F60C7C"/>
    <w:rsid w:val="00F60E11"/>
    <w:rsid w:val="00F60FBD"/>
    <w:rsid w:val="00F61D6A"/>
    <w:rsid w:val="00F61E9E"/>
    <w:rsid w:val="00F62140"/>
    <w:rsid w:val="00F62198"/>
    <w:rsid w:val="00F62417"/>
    <w:rsid w:val="00F62567"/>
    <w:rsid w:val="00F62746"/>
    <w:rsid w:val="00F62A35"/>
    <w:rsid w:val="00F62AE7"/>
    <w:rsid w:val="00F6315D"/>
    <w:rsid w:val="00F64047"/>
    <w:rsid w:val="00F64287"/>
    <w:rsid w:val="00F64D89"/>
    <w:rsid w:val="00F6566D"/>
    <w:rsid w:val="00F65849"/>
    <w:rsid w:val="00F6597E"/>
    <w:rsid w:val="00F6627D"/>
    <w:rsid w:val="00F66418"/>
    <w:rsid w:val="00F667EF"/>
    <w:rsid w:val="00F66B49"/>
    <w:rsid w:val="00F66DB9"/>
    <w:rsid w:val="00F66FFB"/>
    <w:rsid w:val="00F6729B"/>
    <w:rsid w:val="00F67E0C"/>
    <w:rsid w:val="00F67EB1"/>
    <w:rsid w:val="00F67ECD"/>
    <w:rsid w:val="00F70740"/>
    <w:rsid w:val="00F70C3F"/>
    <w:rsid w:val="00F70E00"/>
    <w:rsid w:val="00F70F0E"/>
    <w:rsid w:val="00F70F15"/>
    <w:rsid w:val="00F71046"/>
    <w:rsid w:val="00F71744"/>
    <w:rsid w:val="00F72777"/>
    <w:rsid w:val="00F7329B"/>
    <w:rsid w:val="00F739C5"/>
    <w:rsid w:val="00F73E67"/>
    <w:rsid w:val="00F73F71"/>
    <w:rsid w:val="00F7438D"/>
    <w:rsid w:val="00F74428"/>
    <w:rsid w:val="00F7506D"/>
    <w:rsid w:val="00F75336"/>
    <w:rsid w:val="00F7542D"/>
    <w:rsid w:val="00F76123"/>
    <w:rsid w:val="00F763B3"/>
    <w:rsid w:val="00F7645C"/>
    <w:rsid w:val="00F76B87"/>
    <w:rsid w:val="00F76E7E"/>
    <w:rsid w:val="00F76ECE"/>
    <w:rsid w:val="00F77716"/>
    <w:rsid w:val="00F778F9"/>
    <w:rsid w:val="00F77C9E"/>
    <w:rsid w:val="00F77EA8"/>
    <w:rsid w:val="00F80181"/>
    <w:rsid w:val="00F802EC"/>
    <w:rsid w:val="00F80EC8"/>
    <w:rsid w:val="00F81B3A"/>
    <w:rsid w:val="00F81B7C"/>
    <w:rsid w:val="00F82153"/>
    <w:rsid w:val="00F82242"/>
    <w:rsid w:val="00F82428"/>
    <w:rsid w:val="00F82731"/>
    <w:rsid w:val="00F82836"/>
    <w:rsid w:val="00F82AF4"/>
    <w:rsid w:val="00F82B1C"/>
    <w:rsid w:val="00F8302F"/>
    <w:rsid w:val="00F8440C"/>
    <w:rsid w:val="00F855F6"/>
    <w:rsid w:val="00F8585D"/>
    <w:rsid w:val="00F863FE"/>
    <w:rsid w:val="00F86794"/>
    <w:rsid w:val="00F8697A"/>
    <w:rsid w:val="00F86F59"/>
    <w:rsid w:val="00F87230"/>
    <w:rsid w:val="00F87875"/>
    <w:rsid w:val="00F87B77"/>
    <w:rsid w:val="00F87E4A"/>
    <w:rsid w:val="00F90CA8"/>
    <w:rsid w:val="00F91506"/>
    <w:rsid w:val="00F915FA"/>
    <w:rsid w:val="00F91799"/>
    <w:rsid w:val="00F91D5B"/>
    <w:rsid w:val="00F9205E"/>
    <w:rsid w:val="00F92273"/>
    <w:rsid w:val="00F922D2"/>
    <w:rsid w:val="00F92819"/>
    <w:rsid w:val="00F92888"/>
    <w:rsid w:val="00F92CDF"/>
    <w:rsid w:val="00F92DF7"/>
    <w:rsid w:val="00F93591"/>
    <w:rsid w:val="00F93CC8"/>
    <w:rsid w:val="00F93F8C"/>
    <w:rsid w:val="00F94653"/>
    <w:rsid w:val="00F94BE7"/>
    <w:rsid w:val="00F953BA"/>
    <w:rsid w:val="00F958D9"/>
    <w:rsid w:val="00F9612E"/>
    <w:rsid w:val="00F96429"/>
    <w:rsid w:val="00F966D6"/>
    <w:rsid w:val="00F968E8"/>
    <w:rsid w:val="00F971DA"/>
    <w:rsid w:val="00F976B8"/>
    <w:rsid w:val="00F976D1"/>
    <w:rsid w:val="00FA012D"/>
    <w:rsid w:val="00FA0219"/>
    <w:rsid w:val="00FA0C18"/>
    <w:rsid w:val="00FA0F1E"/>
    <w:rsid w:val="00FA11FA"/>
    <w:rsid w:val="00FA12B3"/>
    <w:rsid w:val="00FA1469"/>
    <w:rsid w:val="00FA1487"/>
    <w:rsid w:val="00FA151C"/>
    <w:rsid w:val="00FA1CCA"/>
    <w:rsid w:val="00FA1E93"/>
    <w:rsid w:val="00FA2815"/>
    <w:rsid w:val="00FA2EDF"/>
    <w:rsid w:val="00FA2F3D"/>
    <w:rsid w:val="00FA39FC"/>
    <w:rsid w:val="00FA46BB"/>
    <w:rsid w:val="00FA4732"/>
    <w:rsid w:val="00FA47B4"/>
    <w:rsid w:val="00FA4887"/>
    <w:rsid w:val="00FA4DF0"/>
    <w:rsid w:val="00FA4FE4"/>
    <w:rsid w:val="00FA5793"/>
    <w:rsid w:val="00FA6131"/>
    <w:rsid w:val="00FA640C"/>
    <w:rsid w:val="00FA6A2A"/>
    <w:rsid w:val="00FA6C56"/>
    <w:rsid w:val="00FA6C68"/>
    <w:rsid w:val="00FA701B"/>
    <w:rsid w:val="00FA7451"/>
    <w:rsid w:val="00FA75E6"/>
    <w:rsid w:val="00FA7AD7"/>
    <w:rsid w:val="00FB0673"/>
    <w:rsid w:val="00FB09DB"/>
    <w:rsid w:val="00FB0AA3"/>
    <w:rsid w:val="00FB1226"/>
    <w:rsid w:val="00FB151F"/>
    <w:rsid w:val="00FB1F5E"/>
    <w:rsid w:val="00FB2926"/>
    <w:rsid w:val="00FB2D18"/>
    <w:rsid w:val="00FB3213"/>
    <w:rsid w:val="00FB3A2B"/>
    <w:rsid w:val="00FB3BF7"/>
    <w:rsid w:val="00FB41BA"/>
    <w:rsid w:val="00FB4302"/>
    <w:rsid w:val="00FB470C"/>
    <w:rsid w:val="00FB4AE8"/>
    <w:rsid w:val="00FB513E"/>
    <w:rsid w:val="00FB5933"/>
    <w:rsid w:val="00FB6123"/>
    <w:rsid w:val="00FB66FB"/>
    <w:rsid w:val="00FB6997"/>
    <w:rsid w:val="00FB6C34"/>
    <w:rsid w:val="00FB707F"/>
    <w:rsid w:val="00FB7A96"/>
    <w:rsid w:val="00FB7F51"/>
    <w:rsid w:val="00FC154F"/>
    <w:rsid w:val="00FC1A03"/>
    <w:rsid w:val="00FC1C3C"/>
    <w:rsid w:val="00FC1EFF"/>
    <w:rsid w:val="00FC2387"/>
    <w:rsid w:val="00FC2FEC"/>
    <w:rsid w:val="00FC34AE"/>
    <w:rsid w:val="00FC38FB"/>
    <w:rsid w:val="00FC3971"/>
    <w:rsid w:val="00FC435C"/>
    <w:rsid w:val="00FC4476"/>
    <w:rsid w:val="00FC4845"/>
    <w:rsid w:val="00FC4EE1"/>
    <w:rsid w:val="00FC5451"/>
    <w:rsid w:val="00FC59DF"/>
    <w:rsid w:val="00FC5F54"/>
    <w:rsid w:val="00FC6541"/>
    <w:rsid w:val="00FC6C3F"/>
    <w:rsid w:val="00FC79A0"/>
    <w:rsid w:val="00FD0077"/>
    <w:rsid w:val="00FD0140"/>
    <w:rsid w:val="00FD01D6"/>
    <w:rsid w:val="00FD08A5"/>
    <w:rsid w:val="00FD10DD"/>
    <w:rsid w:val="00FD124C"/>
    <w:rsid w:val="00FD183A"/>
    <w:rsid w:val="00FD1DBE"/>
    <w:rsid w:val="00FD2F4F"/>
    <w:rsid w:val="00FD3D86"/>
    <w:rsid w:val="00FD42BA"/>
    <w:rsid w:val="00FD4BDD"/>
    <w:rsid w:val="00FD4E52"/>
    <w:rsid w:val="00FD4F09"/>
    <w:rsid w:val="00FD526B"/>
    <w:rsid w:val="00FD5326"/>
    <w:rsid w:val="00FD5455"/>
    <w:rsid w:val="00FD5507"/>
    <w:rsid w:val="00FD59F4"/>
    <w:rsid w:val="00FD6AEB"/>
    <w:rsid w:val="00FD6F79"/>
    <w:rsid w:val="00FD7115"/>
    <w:rsid w:val="00FD7518"/>
    <w:rsid w:val="00FD7A67"/>
    <w:rsid w:val="00FD7AAA"/>
    <w:rsid w:val="00FD7C2F"/>
    <w:rsid w:val="00FE062C"/>
    <w:rsid w:val="00FE0789"/>
    <w:rsid w:val="00FE124D"/>
    <w:rsid w:val="00FE1694"/>
    <w:rsid w:val="00FE18C5"/>
    <w:rsid w:val="00FE18D5"/>
    <w:rsid w:val="00FE1F1B"/>
    <w:rsid w:val="00FE210E"/>
    <w:rsid w:val="00FE223E"/>
    <w:rsid w:val="00FE2DC9"/>
    <w:rsid w:val="00FE316E"/>
    <w:rsid w:val="00FE3284"/>
    <w:rsid w:val="00FE34D0"/>
    <w:rsid w:val="00FE356A"/>
    <w:rsid w:val="00FE3957"/>
    <w:rsid w:val="00FE3A7E"/>
    <w:rsid w:val="00FE40CE"/>
    <w:rsid w:val="00FE4247"/>
    <w:rsid w:val="00FE525B"/>
    <w:rsid w:val="00FE5500"/>
    <w:rsid w:val="00FE583C"/>
    <w:rsid w:val="00FE6062"/>
    <w:rsid w:val="00FE6134"/>
    <w:rsid w:val="00FE618C"/>
    <w:rsid w:val="00FE6334"/>
    <w:rsid w:val="00FE6386"/>
    <w:rsid w:val="00FE7E26"/>
    <w:rsid w:val="00FF0182"/>
    <w:rsid w:val="00FF0498"/>
    <w:rsid w:val="00FF0B8B"/>
    <w:rsid w:val="00FF0BFF"/>
    <w:rsid w:val="00FF0E6C"/>
    <w:rsid w:val="00FF1188"/>
    <w:rsid w:val="00FF14FF"/>
    <w:rsid w:val="00FF1EC3"/>
    <w:rsid w:val="00FF2AC7"/>
    <w:rsid w:val="00FF303C"/>
    <w:rsid w:val="00FF3135"/>
    <w:rsid w:val="00FF33CC"/>
    <w:rsid w:val="00FF33F8"/>
    <w:rsid w:val="00FF3455"/>
    <w:rsid w:val="00FF3465"/>
    <w:rsid w:val="00FF34E0"/>
    <w:rsid w:val="00FF36E9"/>
    <w:rsid w:val="00FF3ACA"/>
    <w:rsid w:val="00FF41E8"/>
    <w:rsid w:val="00FF4940"/>
    <w:rsid w:val="00FF5208"/>
    <w:rsid w:val="00FF5857"/>
    <w:rsid w:val="00FF58EC"/>
    <w:rsid w:val="00FF5EF5"/>
    <w:rsid w:val="00FF6428"/>
    <w:rsid w:val="00FF6DFE"/>
    <w:rsid w:val="00FF77BF"/>
    <w:rsid w:val="00FF7A92"/>
    <w:rsid w:val="01EE27E9"/>
    <w:rsid w:val="0258382A"/>
    <w:rsid w:val="030E7D79"/>
    <w:rsid w:val="052DB80A"/>
    <w:rsid w:val="057370FE"/>
    <w:rsid w:val="05D3C7C3"/>
    <w:rsid w:val="061D9369"/>
    <w:rsid w:val="06332EA2"/>
    <w:rsid w:val="088040C1"/>
    <w:rsid w:val="0AED2F6C"/>
    <w:rsid w:val="0AF29C1C"/>
    <w:rsid w:val="0CEE7881"/>
    <w:rsid w:val="0D4F6870"/>
    <w:rsid w:val="0F562BF6"/>
    <w:rsid w:val="0F5AB4BA"/>
    <w:rsid w:val="0FFDCBF8"/>
    <w:rsid w:val="113131AD"/>
    <w:rsid w:val="11C7143F"/>
    <w:rsid w:val="173EBD29"/>
    <w:rsid w:val="175F9B38"/>
    <w:rsid w:val="17932615"/>
    <w:rsid w:val="1798ACE0"/>
    <w:rsid w:val="17C760BA"/>
    <w:rsid w:val="18C275DB"/>
    <w:rsid w:val="1A6F51F5"/>
    <w:rsid w:val="1B151A84"/>
    <w:rsid w:val="1B1FEE06"/>
    <w:rsid w:val="1B866746"/>
    <w:rsid w:val="1BF8D395"/>
    <w:rsid w:val="1D7CBB47"/>
    <w:rsid w:val="200E27E5"/>
    <w:rsid w:val="20F48A32"/>
    <w:rsid w:val="21277385"/>
    <w:rsid w:val="215835D3"/>
    <w:rsid w:val="216CE69E"/>
    <w:rsid w:val="244F8ACD"/>
    <w:rsid w:val="269C1FC2"/>
    <w:rsid w:val="271C8B91"/>
    <w:rsid w:val="272CB17E"/>
    <w:rsid w:val="28A1543D"/>
    <w:rsid w:val="2A14F581"/>
    <w:rsid w:val="2B9C3CB5"/>
    <w:rsid w:val="2C6DE4B4"/>
    <w:rsid w:val="2CAA11D2"/>
    <w:rsid w:val="2CB93A34"/>
    <w:rsid w:val="2CF52E48"/>
    <w:rsid w:val="331367A2"/>
    <w:rsid w:val="336308A4"/>
    <w:rsid w:val="3446BA6E"/>
    <w:rsid w:val="34CD421A"/>
    <w:rsid w:val="356A0C81"/>
    <w:rsid w:val="3775A68D"/>
    <w:rsid w:val="3779D68C"/>
    <w:rsid w:val="37F51094"/>
    <w:rsid w:val="38E64C1E"/>
    <w:rsid w:val="3B950A0E"/>
    <w:rsid w:val="3BBE52EF"/>
    <w:rsid w:val="3BC9E661"/>
    <w:rsid w:val="3CC7DDEA"/>
    <w:rsid w:val="3D303834"/>
    <w:rsid w:val="3D69FE11"/>
    <w:rsid w:val="3DC36659"/>
    <w:rsid w:val="405B19E8"/>
    <w:rsid w:val="40D71450"/>
    <w:rsid w:val="41FCE454"/>
    <w:rsid w:val="42F92D90"/>
    <w:rsid w:val="45B6780D"/>
    <w:rsid w:val="45C5BD51"/>
    <w:rsid w:val="46AC42A1"/>
    <w:rsid w:val="4748980A"/>
    <w:rsid w:val="47B79385"/>
    <w:rsid w:val="4AE2C702"/>
    <w:rsid w:val="4CF681D5"/>
    <w:rsid w:val="4D25561B"/>
    <w:rsid w:val="4DA247AB"/>
    <w:rsid w:val="4EEEBC02"/>
    <w:rsid w:val="4F2DD4AC"/>
    <w:rsid w:val="4F33D505"/>
    <w:rsid w:val="4F5B7347"/>
    <w:rsid w:val="4F811AC3"/>
    <w:rsid w:val="510F0CBF"/>
    <w:rsid w:val="517865E4"/>
    <w:rsid w:val="53576524"/>
    <w:rsid w:val="538CA861"/>
    <w:rsid w:val="54DA5ADE"/>
    <w:rsid w:val="55BA8A4F"/>
    <w:rsid w:val="5721CCED"/>
    <w:rsid w:val="57ABF11F"/>
    <w:rsid w:val="57B9AA18"/>
    <w:rsid w:val="584CEFDF"/>
    <w:rsid w:val="5B2BE258"/>
    <w:rsid w:val="5BB2BA49"/>
    <w:rsid w:val="5BD6B70A"/>
    <w:rsid w:val="5D6435F5"/>
    <w:rsid w:val="5D8C5F13"/>
    <w:rsid w:val="5F642E1A"/>
    <w:rsid w:val="600C5603"/>
    <w:rsid w:val="6219CC97"/>
    <w:rsid w:val="625A5573"/>
    <w:rsid w:val="63CC33DB"/>
    <w:rsid w:val="63CCD640"/>
    <w:rsid w:val="65643CF1"/>
    <w:rsid w:val="6718E78A"/>
    <w:rsid w:val="6A138194"/>
    <w:rsid w:val="6B2FEF0F"/>
    <w:rsid w:val="6BF94F50"/>
    <w:rsid w:val="6C5CBD59"/>
    <w:rsid w:val="6DEF29BD"/>
    <w:rsid w:val="6ECEF7C7"/>
    <w:rsid w:val="6F0C5EBE"/>
    <w:rsid w:val="707ACFF3"/>
    <w:rsid w:val="7140F9A5"/>
    <w:rsid w:val="714AF838"/>
    <w:rsid w:val="727B9921"/>
    <w:rsid w:val="72C704C0"/>
    <w:rsid w:val="750E80E3"/>
    <w:rsid w:val="75F34E21"/>
    <w:rsid w:val="765E8373"/>
    <w:rsid w:val="777FDFCE"/>
    <w:rsid w:val="78A407B6"/>
    <w:rsid w:val="790B24DF"/>
    <w:rsid w:val="790C0D63"/>
    <w:rsid w:val="79B23C04"/>
    <w:rsid w:val="7A4DCE47"/>
    <w:rsid w:val="7BA05F0F"/>
    <w:rsid w:val="7DF8850A"/>
    <w:rsid w:val="7EE33460"/>
    <w:rsid w:val="7F4405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NZTitle">
    <w:name w:val="DESNZ Title"/>
    <w:basedOn w:val="Normal"/>
    <w:next w:val="DESNZSub-title"/>
    <w:rsid w:val="00FB0673"/>
    <w:rPr>
      <w:color w:val="041E42"/>
      <w:sz w:val="76"/>
    </w:rPr>
  </w:style>
  <w:style w:type="paragraph" w:customStyle="1" w:styleId="DESNZSub-title">
    <w:name w:val="DESNZ Sub-title"/>
    <w:basedOn w:val="Normal"/>
    <w:next w:val="DESNZ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DESNZDate">
    <w:name w:val="DESNZ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OOTNOTES,fn,single space,footnote text,f,ft,Geneva 9,Font: Geneva 9,Boston 10,Текст сноски Знак1,Текст сноски Знак1 Char Char Char Char Char Char,Текст сноски Знак1 Char Char Char Char Char,Текст сноски Знак1 Char Char Char Char, Char5"/>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OOTNOTES Char,fn Char,single space Char,footnote text Char,f Char,ft Char,Geneva 9 Char,Font: Geneva 9 Char,Boston 10 Char,Текст сноски Знак1 Char,Текст сноски Знак1 Char Char Char Char Char Char Char, Char5 Char"/>
    <w:basedOn w:val="DefaultParagraphFont"/>
    <w:link w:val="FootnoteText"/>
    <w:uiPriority w:val="99"/>
    <w:semiHidden/>
    <w:rsid w:val="009B7940"/>
    <w:rPr>
      <w:rFonts w:ascii="Arial" w:hAnsi="Arial"/>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 Exposant 3 Point,BVI fnr,fr,number"/>
    <w:basedOn w:val="DefaultParagraphFont"/>
    <w:unhideWhenUsed/>
    <w:qFormat/>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DESNZbulletedlist">
    <w:name w:val="DESNZ bulleted list"/>
    <w:basedOn w:val="Normal"/>
    <w:uiPriority w:val="2"/>
    <w:qFormat/>
    <w:rsid w:val="009B7940"/>
    <w:pPr>
      <w:numPr>
        <w:numId w:val="4"/>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5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DESNZResearchNo">
    <w:name w:val="DESNZ Research No."/>
    <w:basedOn w:val="DESNZDate"/>
    <w:next w:val="Normal"/>
    <w:rsid w:val="00FC1A03"/>
  </w:style>
  <w:style w:type="character" w:styleId="CommentReference">
    <w:name w:val="annotation reference"/>
    <w:basedOn w:val="DefaultParagraphFont"/>
    <w:uiPriority w:val="99"/>
    <w:semiHidden/>
    <w:unhideWhenUsed/>
    <w:rsid w:val="008C1C8D"/>
    <w:rPr>
      <w:sz w:val="16"/>
      <w:szCs w:val="16"/>
    </w:rPr>
  </w:style>
  <w:style w:type="paragraph" w:styleId="CommentText">
    <w:name w:val="annotation text"/>
    <w:basedOn w:val="Normal"/>
    <w:link w:val="CommentTextChar"/>
    <w:uiPriority w:val="99"/>
    <w:unhideWhenUsed/>
    <w:rsid w:val="008C1C8D"/>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8C1C8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C1C8D"/>
    <w:pPr>
      <w:spacing w:after="240"/>
    </w:pPr>
    <w:rPr>
      <w:rFonts w:ascii="Arial" w:hAnsi="Arial"/>
      <w:b/>
      <w:bCs/>
      <w:kern w:val="0"/>
      <w14:ligatures w14:val="none"/>
    </w:rPr>
  </w:style>
  <w:style w:type="character" w:customStyle="1" w:styleId="CommentSubjectChar">
    <w:name w:val="Comment Subject Char"/>
    <w:basedOn w:val="CommentTextChar"/>
    <w:link w:val="CommentSubject"/>
    <w:uiPriority w:val="99"/>
    <w:semiHidden/>
    <w:rsid w:val="008C1C8D"/>
    <w:rPr>
      <w:rFonts w:ascii="Arial" w:hAnsi="Arial"/>
      <w:b/>
      <w:bCs/>
      <w:kern w:val="2"/>
      <w:sz w:val="20"/>
      <w:szCs w:val="20"/>
      <w14:ligatures w14:val="standardContextual"/>
    </w:rPr>
  </w:style>
  <w:style w:type="paragraph" w:styleId="NormalWeb">
    <w:name w:val="Normal (Web)"/>
    <w:basedOn w:val="Normal"/>
    <w:uiPriority w:val="99"/>
    <w:semiHidden/>
    <w:unhideWhenUsed/>
    <w:rsid w:val="003A253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locked/>
    <w:rsid w:val="000D00D9"/>
    <w:rPr>
      <w:i/>
      <w:iCs/>
    </w:rPr>
  </w:style>
  <w:style w:type="paragraph" w:styleId="Revision">
    <w:name w:val="Revision"/>
    <w:hidden/>
    <w:uiPriority w:val="99"/>
    <w:semiHidden/>
    <w:rsid w:val="001F653F"/>
    <w:pPr>
      <w:spacing w:after="0" w:line="240" w:lineRule="auto"/>
    </w:pPr>
    <w:rPr>
      <w:rFonts w:ascii="Arial" w:hAnsi="Arial"/>
      <w:sz w:val="24"/>
    </w:rPr>
  </w:style>
  <w:style w:type="character" w:styleId="Mention">
    <w:name w:val="Mention"/>
    <w:basedOn w:val="DefaultParagraphFont"/>
    <w:uiPriority w:val="99"/>
    <w:unhideWhenUsed/>
    <w:rsid w:val="00D352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104">
      <w:bodyDiv w:val="1"/>
      <w:marLeft w:val="0"/>
      <w:marRight w:val="0"/>
      <w:marTop w:val="0"/>
      <w:marBottom w:val="0"/>
      <w:divBdr>
        <w:top w:val="none" w:sz="0" w:space="0" w:color="auto"/>
        <w:left w:val="none" w:sz="0" w:space="0" w:color="auto"/>
        <w:bottom w:val="none" w:sz="0" w:space="0" w:color="auto"/>
        <w:right w:val="none" w:sz="0" w:space="0" w:color="auto"/>
      </w:divBdr>
    </w:div>
    <w:div w:id="155650668">
      <w:bodyDiv w:val="1"/>
      <w:marLeft w:val="0"/>
      <w:marRight w:val="0"/>
      <w:marTop w:val="0"/>
      <w:marBottom w:val="0"/>
      <w:divBdr>
        <w:top w:val="none" w:sz="0" w:space="0" w:color="auto"/>
        <w:left w:val="none" w:sz="0" w:space="0" w:color="auto"/>
        <w:bottom w:val="none" w:sz="0" w:space="0" w:color="auto"/>
        <w:right w:val="none" w:sz="0" w:space="0" w:color="auto"/>
      </w:divBdr>
      <w:divsChild>
        <w:div w:id="1293369851">
          <w:marLeft w:val="1109"/>
          <w:marRight w:val="0"/>
          <w:marTop w:val="80"/>
          <w:marBottom w:val="80"/>
          <w:divBdr>
            <w:top w:val="none" w:sz="0" w:space="0" w:color="auto"/>
            <w:left w:val="none" w:sz="0" w:space="0" w:color="auto"/>
            <w:bottom w:val="none" w:sz="0" w:space="0" w:color="auto"/>
            <w:right w:val="none" w:sz="0" w:space="0" w:color="auto"/>
          </w:divBdr>
        </w:div>
        <w:div w:id="1578975961">
          <w:marLeft w:val="1109"/>
          <w:marRight w:val="0"/>
          <w:marTop w:val="80"/>
          <w:marBottom w:val="80"/>
          <w:divBdr>
            <w:top w:val="none" w:sz="0" w:space="0" w:color="auto"/>
            <w:left w:val="none" w:sz="0" w:space="0" w:color="auto"/>
            <w:bottom w:val="none" w:sz="0" w:space="0" w:color="auto"/>
            <w:right w:val="none" w:sz="0" w:space="0" w:color="auto"/>
          </w:divBdr>
        </w:div>
      </w:divsChild>
    </w:div>
    <w:div w:id="155808325">
      <w:bodyDiv w:val="1"/>
      <w:marLeft w:val="0"/>
      <w:marRight w:val="0"/>
      <w:marTop w:val="0"/>
      <w:marBottom w:val="0"/>
      <w:divBdr>
        <w:top w:val="none" w:sz="0" w:space="0" w:color="auto"/>
        <w:left w:val="none" w:sz="0" w:space="0" w:color="auto"/>
        <w:bottom w:val="none" w:sz="0" w:space="0" w:color="auto"/>
        <w:right w:val="none" w:sz="0" w:space="0" w:color="auto"/>
      </w:divBdr>
      <w:divsChild>
        <w:div w:id="1365401804">
          <w:marLeft w:val="547"/>
          <w:marRight w:val="0"/>
          <w:marTop w:val="0"/>
          <w:marBottom w:val="0"/>
          <w:divBdr>
            <w:top w:val="none" w:sz="0" w:space="0" w:color="auto"/>
            <w:left w:val="none" w:sz="0" w:space="0" w:color="auto"/>
            <w:bottom w:val="none" w:sz="0" w:space="0" w:color="auto"/>
            <w:right w:val="none" w:sz="0" w:space="0" w:color="auto"/>
          </w:divBdr>
        </w:div>
      </w:divsChild>
    </w:div>
    <w:div w:id="287709114">
      <w:bodyDiv w:val="1"/>
      <w:marLeft w:val="0"/>
      <w:marRight w:val="0"/>
      <w:marTop w:val="0"/>
      <w:marBottom w:val="0"/>
      <w:divBdr>
        <w:top w:val="none" w:sz="0" w:space="0" w:color="auto"/>
        <w:left w:val="none" w:sz="0" w:space="0" w:color="auto"/>
        <w:bottom w:val="none" w:sz="0" w:space="0" w:color="auto"/>
        <w:right w:val="none" w:sz="0" w:space="0" w:color="auto"/>
      </w:divBdr>
    </w:div>
    <w:div w:id="289437910">
      <w:bodyDiv w:val="1"/>
      <w:marLeft w:val="0"/>
      <w:marRight w:val="0"/>
      <w:marTop w:val="0"/>
      <w:marBottom w:val="0"/>
      <w:divBdr>
        <w:top w:val="none" w:sz="0" w:space="0" w:color="auto"/>
        <w:left w:val="none" w:sz="0" w:space="0" w:color="auto"/>
        <w:bottom w:val="none" w:sz="0" w:space="0" w:color="auto"/>
        <w:right w:val="none" w:sz="0" w:space="0" w:color="auto"/>
      </w:divBdr>
    </w:div>
    <w:div w:id="298387115">
      <w:bodyDiv w:val="1"/>
      <w:marLeft w:val="0"/>
      <w:marRight w:val="0"/>
      <w:marTop w:val="0"/>
      <w:marBottom w:val="0"/>
      <w:divBdr>
        <w:top w:val="none" w:sz="0" w:space="0" w:color="auto"/>
        <w:left w:val="none" w:sz="0" w:space="0" w:color="auto"/>
        <w:bottom w:val="none" w:sz="0" w:space="0" w:color="auto"/>
        <w:right w:val="none" w:sz="0" w:space="0" w:color="auto"/>
      </w:divBdr>
      <w:divsChild>
        <w:div w:id="553002445">
          <w:marLeft w:val="547"/>
          <w:marRight w:val="0"/>
          <w:marTop w:val="0"/>
          <w:marBottom w:val="200"/>
          <w:divBdr>
            <w:top w:val="none" w:sz="0" w:space="0" w:color="auto"/>
            <w:left w:val="none" w:sz="0" w:space="0" w:color="auto"/>
            <w:bottom w:val="none" w:sz="0" w:space="0" w:color="auto"/>
            <w:right w:val="none" w:sz="0" w:space="0" w:color="auto"/>
          </w:divBdr>
        </w:div>
        <w:div w:id="827482936">
          <w:marLeft w:val="1267"/>
          <w:marRight w:val="0"/>
          <w:marTop w:val="0"/>
          <w:marBottom w:val="200"/>
          <w:divBdr>
            <w:top w:val="none" w:sz="0" w:space="0" w:color="auto"/>
            <w:left w:val="none" w:sz="0" w:space="0" w:color="auto"/>
            <w:bottom w:val="none" w:sz="0" w:space="0" w:color="auto"/>
            <w:right w:val="none" w:sz="0" w:space="0" w:color="auto"/>
          </w:divBdr>
        </w:div>
        <w:div w:id="1405638317">
          <w:marLeft w:val="1267"/>
          <w:marRight w:val="0"/>
          <w:marTop w:val="0"/>
          <w:marBottom w:val="200"/>
          <w:divBdr>
            <w:top w:val="none" w:sz="0" w:space="0" w:color="auto"/>
            <w:left w:val="none" w:sz="0" w:space="0" w:color="auto"/>
            <w:bottom w:val="none" w:sz="0" w:space="0" w:color="auto"/>
            <w:right w:val="none" w:sz="0" w:space="0" w:color="auto"/>
          </w:divBdr>
        </w:div>
        <w:div w:id="1713115820">
          <w:marLeft w:val="1267"/>
          <w:marRight w:val="0"/>
          <w:marTop w:val="0"/>
          <w:marBottom w:val="200"/>
          <w:divBdr>
            <w:top w:val="none" w:sz="0" w:space="0" w:color="auto"/>
            <w:left w:val="none" w:sz="0" w:space="0" w:color="auto"/>
            <w:bottom w:val="none" w:sz="0" w:space="0" w:color="auto"/>
            <w:right w:val="none" w:sz="0" w:space="0" w:color="auto"/>
          </w:divBdr>
        </w:div>
        <w:div w:id="2102216695">
          <w:marLeft w:val="547"/>
          <w:marRight w:val="0"/>
          <w:marTop w:val="0"/>
          <w:marBottom w:val="200"/>
          <w:divBdr>
            <w:top w:val="none" w:sz="0" w:space="0" w:color="auto"/>
            <w:left w:val="none" w:sz="0" w:space="0" w:color="auto"/>
            <w:bottom w:val="none" w:sz="0" w:space="0" w:color="auto"/>
            <w:right w:val="none" w:sz="0" w:space="0" w:color="auto"/>
          </w:divBdr>
        </w:div>
        <w:div w:id="2108765932">
          <w:marLeft w:val="547"/>
          <w:marRight w:val="0"/>
          <w:marTop w:val="0"/>
          <w:marBottom w:val="200"/>
          <w:divBdr>
            <w:top w:val="none" w:sz="0" w:space="0" w:color="auto"/>
            <w:left w:val="none" w:sz="0" w:space="0" w:color="auto"/>
            <w:bottom w:val="none" w:sz="0" w:space="0" w:color="auto"/>
            <w:right w:val="none" w:sz="0" w:space="0" w:color="auto"/>
          </w:divBdr>
        </w:div>
      </w:divsChild>
    </w:div>
    <w:div w:id="344139878">
      <w:bodyDiv w:val="1"/>
      <w:marLeft w:val="0"/>
      <w:marRight w:val="0"/>
      <w:marTop w:val="0"/>
      <w:marBottom w:val="0"/>
      <w:divBdr>
        <w:top w:val="none" w:sz="0" w:space="0" w:color="auto"/>
        <w:left w:val="none" w:sz="0" w:space="0" w:color="auto"/>
        <w:bottom w:val="none" w:sz="0" w:space="0" w:color="auto"/>
        <w:right w:val="none" w:sz="0" w:space="0" w:color="auto"/>
      </w:divBdr>
    </w:div>
    <w:div w:id="360129859">
      <w:bodyDiv w:val="1"/>
      <w:marLeft w:val="0"/>
      <w:marRight w:val="0"/>
      <w:marTop w:val="0"/>
      <w:marBottom w:val="0"/>
      <w:divBdr>
        <w:top w:val="none" w:sz="0" w:space="0" w:color="auto"/>
        <w:left w:val="none" w:sz="0" w:space="0" w:color="auto"/>
        <w:bottom w:val="none" w:sz="0" w:space="0" w:color="auto"/>
        <w:right w:val="none" w:sz="0" w:space="0" w:color="auto"/>
      </w:divBdr>
      <w:divsChild>
        <w:div w:id="958298371">
          <w:marLeft w:val="418"/>
          <w:marRight w:val="0"/>
          <w:marTop w:val="80"/>
          <w:marBottom w:val="80"/>
          <w:divBdr>
            <w:top w:val="none" w:sz="0" w:space="0" w:color="auto"/>
            <w:left w:val="none" w:sz="0" w:space="0" w:color="auto"/>
            <w:bottom w:val="none" w:sz="0" w:space="0" w:color="auto"/>
            <w:right w:val="none" w:sz="0" w:space="0" w:color="auto"/>
          </w:divBdr>
        </w:div>
      </w:divsChild>
    </w:div>
    <w:div w:id="452165570">
      <w:bodyDiv w:val="1"/>
      <w:marLeft w:val="0"/>
      <w:marRight w:val="0"/>
      <w:marTop w:val="0"/>
      <w:marBottom w:val="0"/>
      <w:divBdr>
        <w:top w:val="none" w:sz="0" w:space="0" w:color="auto"/>
        <w:left w:val="none" w:sz="0" w:space="0" w:color="auto"/>
        <w:bottom w:val="none" w:sz="0" w:space="0" w:color="auto"/>
        <w:right w:val="none" w:sz="0" w:space="0" w:color="auto"/>
      </w:divBdr>
    </w:div>
    <w:div w:id="507869087">
      <w:bodyDiv w:val="1"/>
      <w:marLeft w:val="0"/>
      <w:marRight w:val="0"/>
      <w:marTop w:val="0"/>
      <w:marBottom w:val="0"/>
      <w:divBdr>
        <w:top w:val="none" w:sz="0" w:space="0" w:color="auto"/>
        <w:left w:val="none" w:sz="0" w:space="0" w:color="auto"/>
        <w:bottom w:val="none" w:sz="0" w:space="0" w:color="auto"/>
        <w:right w:val="none" w:sz="0" w:space="0" w:color="auto"/>
      </w:divBdr>
    </w:div>
    <w:div w:id="515652427">
      <w:bodyDiv w:val="1"/>
      <w:marLeft w:val="0"/>
      <w:marRight w:val="0"/>
      <w:marTop w:val="0"/>
      <w:marBottom w:val="0"/>
      <w:divBdr>
        <w:top w:val="none" w:sz="0" w:space="0" w:color="auto"/>
        <w:left w:val="none" w:sz="0" w:space="0" w:color="auto"/>
        <w:bottom w:val="none" w:sz="0" w:space="0" w:color="auto"/>
        <w:right w:val="none" w:sz="0" w:space="0" w:color="auto"/>
      </w:divBdr>
      <w:divsChild>
        <w:div w:id="50621572">
          <w:marLeft w:val="418"/>
          <w:marRight w:val="0"/>
          <w:marTop w:val="80"/>
          <w:marBottom w:val="80"/>
          <w:divBdr>
            <w:top w:val="none" w:sz="0" w:space="0" w:color="auto"/>
            <w:left w:val="none" w:sz="0" w:space="0" w:color="auto"/>
            <w:bottom w:val="none" w:sz="0" w:space="0" w:color="auto"/>
            <w:right w:val="none" w:sz="0" w:space="0" w:color="auto"/>
          </w:divBdr>
        </w:div>
      </w:divsChild>
    </w:div>
    <w:div w:id="557015768">
      <w:bodyDiv w:val="1"/>
      <w:marLeft w:val="0"/>
      <w:marRight w:val="0"/>
      <w:marTop w:val="0"/>
      <w:marBottom w:val="0"/>
      <w:divBdr>
        <w:top w:val="none" w:sz="0" w:space="0" w:color="auto"/>
        <w:left w:val="none" w:sz="0" w:space="0" w:color="auto"/>
        <w:bottom w:val="none" w:sz="0" w:space="0" w:color="auto"/>
        <w:right w:val="none" w:sz="0" w:space="0" w:color="auto"/>
      </w:divBdr>
      <w:divsChild>
        <w:div w:id="906644830">
          <w:marLeft w:val="418"/>
          <w:marRight w:val="0"/>
          <w:marTop w:val="80"/>
          <w:marBottom w:val="80"/>
          <w:divBdr>
            <w:top w:val="none" w:sz="0" w:space="0" w:color="auto"/>
            <w:left w:val="none" w:sz="0" w:space="0" w:color="auto"/>
            <w:bottom w:val="none" w:sz="0" w:space="0" w:color="auto"/>
            <w:right w:val="none" w:sz="0" w:space="0" w:color="auto"/>
          </w:divBdr>
        </w:div>
      </w:divsChild>
    </w:div>
    <w:div w:id="560605899">
      <w:bodyDiv w:val="1"/>
      <w:marLeft w:val="0"/>
      <w:marRight w:val="0"/>
      <w:marTop w:val="0"/>
      <w:marBottom w:val="0"/>
      <w:divBdr>
        <w:top w:val="none" w:sz="0" w:space="0" w:color="auto"/>
        <w:left w:val="none" w:sz="0" w:space="0" w:color="auto"/>
        <w:bottom w:val="none" w:sz="0" w:space="0" w:color="auto"/>
        <w:right w:val="none" w:sz="0" w:space="0" w:color="auto"/>
      </w:divBdr>
    </w:div>
    <w:div w:id="627125780">
      <w:bodyDiv w:val="1"/>
      <w:marLeft w:val="0"/>
      <w:marRight w:val="0"/>
      <w:marTop w:val="0"/>
      <w:marBottom w:val="0"/>
      <w:divBdr>
        <w:top w:val="none" w:sz="0" w:space="0" w:color="auto"/>
        <w:left w:val="none" w:sz="0" w:space="0" w:color="auto"/>
        <w:bottom w:val="none" w:sz="0" w:space="0" w:color="auto"/>
        <w:right w:val="none" w:sz="0" w:space="0" w:color="auto"/>
      </w:divBdr>
      <w:divsChild>
        <w:div w:id="785350086">
          <w:marLeft w:val="965"/>
          <w:marRight w:val="0"/>
          <w:marTop w:val="80"/>
          <w:marBottom w:val="80"/>
          <w:divBdr>
            <w:top w:val="none" w:sz="0" w:space="0" w:color="auto"/>
            <w:left w:val="none" w:sz="0" w:space="0" w:color="auto"/>
            <w:bottom w:val="none" w:sz="0" w:space="0" w:color="auto"/>
            <w:right w:val="none" w:sz="0" w:space="0" w:color="auto"/>
          </w:divBdr>
        </w:div>
        <w:div w:id="1185557344">
          <w:marLeft w:val="965"/>
          <w:marRight w:val="0"/>
          <w:marTop w:val="80"/>
          <w:marBottom w:val="80"/>
          <w:divBdr>
            <w:top w:val="none" w:sz="0" w:space="0" w:color="auto"/>
            <w:left w:val="none" w:sz="0" w:space="0" w:color="auto"/>
            <w:bottom w:val="none" w:sz="0" w:space="0" w:color="auto"/>
            <w:right w:val="none" w:sz="0" w:space="0" w:color="auto"/>
          </w:divBdr>
        </w:div>
      </w:divsChild>
    </w:div>
    <w:div w:id="629480348">
      <w:bodyDiv w:val="1"/>
      <w:marLeft w:val="0"/>
      <w:marRight w:val="0"/>
      <w:marTop w:val="0"/>
      <w:marBottom w:val="0"/>
      <w:divBdr>
        <w:top w:val="none" w:sz="0" w:space="0" w:color="auto"/>
        <w:left w:val="none" w:sz="0" w:space="0" w:color="auto"/>
        <w:bottom w:val="none" w:sz="0" w:space="0" w:color="auto"/>
        <w:right w:val="none" w:sz="0" w:space="0" w:color="auto"/>
      </w:divBdr>
    </w:div>
    <w:div w:id="670453903">
      <w:bodyDiv w:val="1"/>
      <w:marLeft w:val="0"/>
      <w:marRight w:val="0"/>
      <w:marTop w:val="0"/>
      <w:marBottom w:val="0"/>
      <w:divBdr>
        <w:top w:val="none" w:sz="0" w:space="0" w:color="auto"/>
        <w:left w:val="none" w:sz="0" w:space="0" w:color="auto"/>
        <w:bottom w:val="none" w:sz="0" w:space="0" w:color="auto"/>
        <w:right w:val="none" w:sz="0" w:space="0" w:color="auto"/>
      </w:divBdr>
    </w:div>
    <w:div w:id="821968544">
      <w:bodyDiv w:val="1"/>
      <w:marLeft w:val="0"/>
      <w:marRight w:val="0"/>
      <w:marTop w:val="0"/>
      <w:marBottom w:val="0"/>
      <w:divBdr>
        <w:top w:val="none" w:sz="0" w:space="0" w:color="auto"/>
        <w:left w:val="none" w:sz="0" w:space="0" w:color="auto"/>
        <w:bottom w:val="none" w:sz="0" w:space="0" w:color="auto"/>
        <w:right w:val="none" w:sz="0" w:space="0" w:color="auto"/>
      </w:divBdr>
    </w:div>
    <w:div w:id="826749928">
      <w:bodyDiv w:val="1"/>
      <w:marLeft w:val="0"/>
      <w:marRight w:val="0"/>
      <w:marTop w:val="0"/>
      <w:marBottom w:val="0"/>
      <w:divBdr>
        <w:top w:val="none" w:sz="0" w:space="0" w:color="auto"/>
        <w:left w:val="none" w:sz="0" w:space="0" w:color="auto"/>
        <w:bottom w:val="none" w:sz="0" w:space="0" w:color="auto"/>
        <w:right w:val="none" w:sz="0" w:space="0" w:color="auto"/>
      </w:divBdr>
      <w:divsChild>
        <w:div w:id="676425873">
          <w:marLeft w:val="1886"/>
          <w:marRight w:val="0"/>
          <w:marTop w:val="0"/>
          <w:marBottom w:val="200"/>
          <w:divBdr>
            <w:top w:val="none" w:sz="0" w:space="0" w:color="auto"/>
            <w:left w:val="none" w:sz="0" w:space="0" w:color="auto"/>
            <w:bottom w:val="none" w:sz="0" w:space="0" w:color="auto"/>
            <w:right w:val="none" w:sz="0" w:space="0" w:color="auto"/>
          </w:divBdr>
        </w:div>
        <w:div w:id="1262374165">
          <w:marLeft w:val="446"/>
          <w:marRight w:val="0"/>
          <w:marTop w:val="0"/>
          <w:marBottom w:val="200"/>
          <w:divBdr>
            <w:top w:val="none" w:sz="0" w:space="0" w:color="auto"/>
            <w:left w:val="none" w:sz="0" w:space="0" w:color="auto"/>
            <w:bottom w:val="none" w:sz="0" w:space="0" w:color="auto"/>
            <w:right w:val="none" w:sz="0" w:space="0" w:color="auto"/>
          </w:divBdr>
        </w:div>
        <w:div w:id="1371416219">
          <w:marLeft w:val="1886"/>
          <w:marRight w:val="0"/>
          <w:marTop w:val="0"/>
          <w:marBottom w:val="200"/>
          <w:divBdr>
            <w:top w:val="none" w:sz="0" w:space="0" w:color="auto"/>
            <w:left w:val="none" w:sz="0" w:space="0" w:color="auto"/>
            <w:bottom w:val="none" w:sz="0" w:space="0" w:color="auto"/>
            <w:right w:val="none" w:sz="0" w:space="0" w:color="auto"/>
          </w:divBdr>
        </w:div>
        <w:div w:id="2018072299">
          <w:marLeft w:val="446"/>
          <w:marRight w:val="0"/>
          <w:marTop w:val="0"/>
          <w:marBottom w:val="200"/>
          <w:divBdr>
            <w:top w:val="none" w:sz="0" w:space="0" w:color="auto"/>
            <w:left w:val="none" w:sz="0" w:space="0" w:color="auto"/>
            <w:bottom w:val="none" w:sz="0" w:space="0" w:color="auto"/>
            <w:right w:val="none" w:sz="0" w:space="0" w:color="auto"/>
          </w:divBdr>
        </w:div>
      </w:divsChild>
    </w:div>
    <w:div w:id="853301893">
      <w:bodyDiv w:val="1"/>
      <w:marLeft w:val="0"/>
      <w:marRight w:val="0"/>
      <w:marTop w:val="0"/>
      <w:marBottom w:val="0"/>
      <w:divBdr>
        <w:top w:val="none" w:sz="0" w:space="0" w:color="auto"/>
        <w:left w:val="none" w:sz="0" w:space="0" w:color="auto"/>
        <w:bottom w:val="none" w:sz="0" w:space="0" w:color="auto"/>
        <w:right w:val="none" w:sz="0" w:space="0" w:color="auto"/>
      </w:divBdr>
      <w:divsChild>
        <w:div w:id="523204910">
          <w:marLeft w:val="418"/>
          <w:marRight w:val="0"/>
          <w:marTop w:val="80"/>
          <w:marBottom w:val="80"/>
          <w:divBdr>
            <w:top w:val="none" w:sz="0" w:space="0" w:color="auto"/>
            <w:left w:val="none" w:sz="0" w:space="0" w:color="auto"/>
            <w:bottom w:val="none" w:sz="0" w:space="0" w:color="auto"/>
            <w:right w:val="none" w:sz="0" w:space="0" w:color="auto"/>
          </w:divBdr>
        </w:div>
        <w:div w:id="1092355787">
          <w:marLeft w:val="418"/>
          <w:marRight w:val="0"/>
          <w:marTop w:val="80"/>
          <w:marBottom w:val="80"/>
          <w:divBdr>
            <w:top w:val="none" w:sz="0" w:space="0" w:color="auto"/>
            <w:left w:val="none" w:sz="0" w:space="0" w:color="auto"/>
            <w:bottom w:val="none" w:sz="0" w:space="0" w:color="auto"/>
            <w:right w:val="none" w:sz="0" w:space="0" w:color="auto"/>
          </w:divBdr>
        </w:div>
        <w:div w:id="2086030092">
          <w:marLeft w:val="418"/>
          <w:marRight w:val="0"/>
          <w:marTop w:val="80"/>
          <w:marBottom w:val="80"/>
          <w:divBdr>
            <w:top w:val="none" w:sz="0" w:space="0" w:color="auto"/>
            <w:left w:val="none" w:sz="0" w:space="0" w:color="auto"/>
            <w:bottom w:val="none" w:sz="0" w:space="0" w:color="auto"/>
            <w:right w:val="none" w:sz="0" w:space="0" w:color="auto"/>
          </w:divBdr>
        </w:div>
      </w:divsChild>
    </w:div>
    <w:div w:id="879123728">
      <w:bodyDiv w:val="1"/>
      <w:marLeft w:val="0"/>
      <w:marRight w:val="0"/>
      <w:marTop w:val="0"/>
      <w:marBottom w:val="0"/>
      <w:divBdr>
        <w:top w:val="none" w:sz="0" w:space="0" w:color="auto"/>
        <w:left w:val="none" w:sz="0" w:space="0" w:color="auto"/>
        <w:bottom w:val="none" w:sz="0" w:space="0" w:color="auto"/>
        <w:right w:val="none" w:sz="0" w:space="0" w:color="auto"/>
      </w:divBdr>
    </w:div>
    <w:div w:id="933394105">
      <w:bodyDiv w:val="1"/>
      <w:marLeft w:val="0"/>
      <w:marRight w:val="0"/>
      <w:marTop w:val="0"/>
      <w:marBottom w:val="0"/>
      <w:divBdr>
        <w:top w:val="none" w:sz="0" w:space="0" w:color="auto"/>
        <w:left w:val="none" w:sz="0" w:space="0" w:color="auto"/>
        <w:bottom w:val="none" w:sz="0" w:space="0" w:color="auto"/>
        <w:right w:val="none" w:sz="0" w:space="0" w:color="auto"/>
      </w:divBdr>
      <w:divsChild>
        <w:div w:id="346176335">
          <w:marLeft w:val="547"/>
          <w:marRight w:val="0"/>
          <w:marTop w:val="0"/>
          <w:marBottom w:val="0"/>
          <w:divBdr>
            <w:top w:val="none" w:sz="0" w:space="0" w:color="auto"/>
            <w:left w:val="none" w:sz="0" w:space="0" w:color="auto"/>
            <w:bottom w:val="none" w:sz="0" w:space="0" w:color="auto"/>
            <w:right w:val="none" w:sz="0" w:space="0" w:color="auto"/>
          </w:divBdr>
        </w:div>
        <w:div w:id="1717467119">
          <w:marLeft w:val="547"/>
          <w:marRight w:val="0"/>
          <w:marTop w:val="0"/>
          <w:marBottom w:val="0"/>
          <w:divBdr>
            <w:top w:val="none" w:sz="0" w:space="0" w:color="auto"/>
            <w:left w:val="none" w:sz="0" w:space="0" w:color="auto"/>
            <w:bottom w:val="none" w:sz="0" w:space="0" w:color="auto"/>
            <w:right w:val="none" w:sz="0" w:space="0" w:color="auto"/>
          </w:divBdr>
        </w:div>
        <w:div w:id="2145653599">
          <w:marLeft w:val="547"/>
          <w:marRight w:val="0"/>
          <w:marTop w:val="0"/>
          <w:marBottom w:val="0"/>
          <w:divBdr>
            <w:top w:val="none" w:sz="0" w:space="0" w:color="auto"/>
            <w:left w:val="none" w:sz="0" w:space="0" w:color="auto"/>
            <w:bottom w:val="none" w:sz="0" w:space="0" w:color="auto"/>
            <w:right w:val="none" w:sz="0" w:space="0" w:color="auto"/>
          </w:divBdr>
        </w:div>
      </w:divsChild>
    </w:div>
    <w:div w:id="953749023">
      <w:bodyDiv w:val="1"/>
      <w:marLeft w:val="0"/>
      <w:marRight w:val="0"/>
      <w:marTop w:val="0"/>
      <w:marBottom w:val="0"/>
      <w:divBdr>
        <w:top w:val="none" w:sz="0" w:space="0" w:color="auto"/>
        <w:left w:val="none" w:sz="0" w:space="0" w:color="auto"/>
        <w:bottom w:val="none" w:sz="0" w:space="0" w:color="auto"/>
        <w:right w:val="none" w:sz="0" w:space="0" w:color="auto"/>
      </w:divBdr>
    </w:div>
    <w:div w:id="957682286">
      <w:bodyDiv w:val="1"/>
      <w:marLeft w:val="0"/>
      <w:marRight w:val="0"/>
      <w:marTop w:val="0"/>
      <w:marBottom w:val="0"/>
      <w:divBdr>
        <w:top w:val="none" w:sz="0" w:space="0" w:color="auto"/>
        <w:left w:val="none" w:sz="0" w:space="0" w:color="auto"/>
        <w:bottom w:val="none" w:sz="0" w:space="0" w:color="auto"/>
        <w:right w:val="none" w:sz="0" w:space="0" w:color="auto"/>
      </w:divBdr>
      <w:divsChild>
        <w:div w:id="2018655491">
          <w:marLeft w:val="418"/>
          <w:marRight w:val="0"/>
          <w:marTop w:val="80"/>
          <w:marBottom w:val="80"/>
          <w:divBdr>
            <w:top w:val="none" w:sz="0" w:space="0" w:color="auto"/>
            <w:left w:val="none" w:sz="0" w:space="0" w:color="auto"/>
            <w:bottom w:val="none" w:sz="0" w:space="0" w:color="auto"/>
            <w:right w:val="none" w:sz="0" w:space="0" w:color="auto"/>
          </w:divBdr>
        </w:div>
      </w:divsChild>
    </w:div>
    <w:div w:id="981235532">
      <w:bodyDiv w:val="1"/>
      <w:marLeft w:val="0"/>
      <w:marRight w:val="0"/>
      <w:marTop w:val="0"/>
      <w:marBottom w:val="0"/>
      <w:divBdr>
        <w:top w:val="none" w:sz="0" w:space="0" w:color="auto"/>
        <w:left w:val="none" w:sz="0" w:space="0" w:color="auto"/>
        <w:bottom w:val="none" w:sz="0" w:space="0" w:color="auto"/>
        <w:right w:val="none" w:sz="0" w:space="0" w:color="auto"/>
      </w:divBdr>
      <w:divsChild>
        <w:div w:id="1360817498">
          <w:marLeft w:val="547"/>
          <w:marRight w:val="0"/>
          <w:marTop w:val="80"/>
          <w:marBottom w:val="80"/>
          <w:divBdr>
            <w:top w:val="none" w:sz="0" w:space="0" w:color="auto"/>
            <w:left w:val="none" w:sz="0" w:space="0" w:color="auto"/>
            <w:bottom w:val="none" w:sz="0" w:space="0" w:color="auto"/>
            <w:right w:val="none" w:sz="0" w:space="0" w:color="auto"/>
          </w:divBdr>
        </w:div>
        <w:div w:id="1461919022">
          <w:marLeft w:val="965"/>
          <w:marRight w:val="0"/>
          <w:marTop w:val="80"/>
          <w:marBottom w:val="80"/>
          <w:divBdr>
            <w:top w:val="none" w:sz="0" w:space="0" w:color="auto"/>
            <w:left w:val="none" w:sz="0" w:space="0" w:color="auto"/>
            <w:bottom w:val="none" w:sz="0" w:space="0" w:color="auto"/>
            <w:right w:val="none" w:sz="0" w:space="0" w:color="auto"/>
          </w:divBdr>
        </w:div>
        <w:div w:id="1535777191">
          <w:marLeft w:val="965"/>
          <w:marRight w:val="0"/>
          <w:marTop w:val="80"/>
          <w:marBottom w:val="80"/>
          <w:divBdr>
            <w:top w:val="none" w:sz="0" w:space="0" w:color="auto"/>
            <w:left w:val="none" w:sz="0" w:space="0" w:color="auto"/>
            <w:bottom w:val="none" w:sz="0" w:space="0" w:color="auto"/>
            <w:right w:val="none" w:sz="0" w:space="0" w:color="auto"/>
          </w:divBdr>
        </w:div>
      </w:divsChild>
    </w:div>
    <w:div w:id="1005471446">
      <w:bodyDiv w:val="1"/>
      <w:marLeft w:val="0"/>
      <w:marRight w:val="0"/>
      <w:marTop w:val="0"/>
      <w:marBottom w:val="0"/>
      <w:divBdr>
        <w:top w:val="none" w:sz="0" w:space="0" w:color="auto"/>
        <w:left w:val="none" w:sz="0" w:space="0" w:color="auto"/>
        <w:bottom w:val="none" w:sz="0" w:space="0" w:color="auto"/>
        <w:right w:val="none" w:sz="0" w:space="0" w:color="auto"/>
      </w:divBdr>
      <w:divsChild>
        <w:div w:id="721246069">
          <w:marLeft w:val="547"/>
          <w:marRight w:val="0"/>
          <w:marTop w:val="0"/>
          <w:marBottom w:val="0"/>
          <w:divBdr>
            <w:top w:val="none" w:sz="0" w:space="0" w:color="auto"/>
            <w:left w:val="none" w:sz="0" w:space="0" w:color="auto"/>
            <w:bottom w:val="none" w:sz="0" w:space="0" w:color="auto"/>
            <w:right w:val="none" w:sz="0" w:space="0" w:color="auto"/>
          </w:divBdr>
        </w:div>
        <w:div w:id="805119591">
          <w:marLeft w:val="547"/>
          <w:marRight w:val="0"/>
          <w:marTop w:val="0"/>
          <w:marBottom w:val="0"/>
          <w:divBdr>
            <w:top w:val="none" w:sz="0" w:space="0" w:color="auto"/>
            <w:left w:val="none" w:sz="0" w:space="0" w:color="auto"/>
            <w:bottom w:val="none" w:sz="0" w:space="0" w:color="auto"/>
            <w:right w:val="none" w:sz="0" w:space="0" w:color="auto"/>
          </w:divBdr>
        </w:div>
      </w:divsChild>
    </w:div>
    <w:div w:id="1040590972">
      <w:bodyDiv w:val="1"/>
      <w:marLeft w:val="0"/>
      <w:marRight w:val="0"/>
      <w:marTop w:val="0"/>
      <w:marBottom w:val="0"/>
      <w:divBdr>
        <w:top w:val="none" w:sz="0" w:space="0" w:color="auto"/>
        <w:left w:val="none" w:sz="0" w:space="0" w:color="auto"/>
        <w:bottom w:val="none" w:sz="0" w:space="0" w:color="auto"/>
        <w:right w:val="none" w:sz="0" w:space="0" w:color="auto"/>
      </w:divBdr>
    </w:div>
    <w:div w:id="1138835616">
      <w:bodyDiv w:val="1"/>
      <w:marLeft w:val="0"/>
      <w:marRight w:val="0"/>
      <w:marTop w:val="0"/>
      <w:marBottom w:val="0"/>
      <w:divBdr>
        <w:top w:val="none" w:sz="0" w:space="0" w:color="auto"/>
        <w:left w:val="none" w:sz="0" w:space="0" w:color="auto"/>
        <w:bottom w:val="none" w:sz="0" w:space="0" w:color="auto"/>
        <w:right w:val="none" w:sz="0" w:space="0" w:color="auto"/>
      </w:divBdr>
      <w:divsChild>
        <w:div w:id="1715420980">
          <w:marLeft w:val="418"/>
          <w:marRight w:val="0"/>
          <w:marTop w:val="80"/>
          <w:marBottom w:val="80"/>
          <w:divBdr>
            <w:top w:val="none" w:sz="0" w:space="0" w:color="auto"/>
            <w:left w:val="none" w:sz="0" w:space="0" w:color="auto"/>
            <w:bottom w:val="none" w:sz="0" w:space="0" w:color="auto"/>
            <w:right w:val="none" w:sz="0" w:space="0" w:color="auto"/>
          </w:divBdr>
        </w:div>
      </w:divsChild>
    </w:div>
    <w:div w:id="1166824920">
      <w:bodyDiv w:val="1"/>
      <w:marLeft w:val="0"/>
      <w:marRight w:val="0"/>
      <w:marTop w:val="0"/>
      <w:marBottom w:val="0"/>
      <w:divBdr>
        <w:top w:val="none" w:sz="0" w:space="0" w:color="auto"/>
        <w:left w:val="none" w:sz="0" w:space="0" w:color="auto"/>
        <w:bottom w:val="none" w:sz="0" w:space="0" w:color="auto"/>
        <w:right w:val="none" w:sz="0" w:space="0" w:color="auto"/>
      </w:divBdr>
    </w:div>
    <w:div w:id="1167942544">
      <w:bodyDiv w:val="1"/>
      <w:marLeft w:val="0"/>
      <w:marRight w:val="0"/>
      <w:marTop w:val="0"/>
      <w:marBottom w:val="0"/>
      <w:divBdr>
        <w:top w:val="none" w:sz="0" w:space="0" w:color="auto"/>
        <w:left w:val="none" w:sz="0" w:space="0" w:color="auto"/>
        <w:bottom w:val="none" w:sz="0" w:space="0" w:color="auto"/>
        <w:right w:val="none" w:sz="0" w:space="0" w:color="auto"/>
      </w:divBdr>
    </w:div>
    <w:div w:id="1246112923">
      <w:bodyDiv w:val="1"/>
      <w:marLeft w:val="0"/>
      <w:marRight w:val="0"/>
      <w:marTop w:val="0"/>
      <w:marBottom w:val="0"/>
      <w:divBdr>
        <w:top w:val="none" w:sz="0" w:space="0" w:color="auto"/>
        <w:left w:val="none" w:sz="0" w:space="0" w:color="auto"/>
        <w:bottom w:val="none" w:sz="0" w:space="0" w:color="auto"/>
        <w:right w:val="none" w:sz="0" w:space="0" w:color="auto"/>
      </w:divBdr>
    </w:div>
    <w:div w:id="1261182182">
      <w:bodyDiv w:val="1"/>
      <w:marLeft w:val="0"/>
      <w:marRight w:val="0"/>
      <w:marTop w:val="0"/>
      <w:marBottom w:val="0"/>
      <w:divBdr>
        <w:top w:val="none" w:sz="0" w:space="0" w:color="auto"/>
        <w:left w:val="none" w:sz="0" w:space="0" w:color="auto"/>
        <w:bottom w:val="none" w:sz="0" w:space="0" w:color="auto"/>
        <w:right w:val="none" w:sz="0" w:space="0" w:color="auto"/>
      </w:divBdr>
      <w:divsChild>
        <w:div w:id="197207401">
          <w:marLeft w:val="418"/>
          <w:marRight w:val="0"/>
          <w:marTop w:val="80"/>
          <w:marBottom w:val="80"/>
          <w:divBdr>
            <w:top w:val="none" w:sz="0" w:space="0" w:color="auto"/>
            <w:left w:val="none" w:sz="0" w:space="0" w:color="auto"/>
            <w:bottom w:val="none" w:sz="0" w:space="0" w:color="auto"/>
            <w:right w:val="none" w:sz="0" w:space="0" w:color="auto"/>
          </w:divBdr>
        </w:div>
      </w:divsChild>
    </w:div>
    <w:div w:id="1299726233">
      <w:bodyDiv w:val="1"/>
      <w:marLeft w:val="0"/>
      <w:marRight w:val="0"/>
      <w:marTop w:val="0"/>
      <w:marBottom w:val="0"/>
      <w:divBdr>
        <w:top w:val="none" w:sz="0" w:space="0" w:color="auto"/>
        <w:left w:val="none" w:sz="0" w:space="0" w:color="auto"/>
        <w:bottom w:val="none" w:sz="0" w:space="0" w:color="auto"/>
        <w:right w:val="none" w:sz="0" w:space="0" w:color="auto"/>
      </w:divBdr>
      <w:divsChild>
        <w:div w:id="1440032456">
          <w:marLeft w:val="547"/>
          <w:marRight w:val="0"/>
          <w:marTop w:val="0"/>
          <w:marBottom w:val="200"/>
          <w:divBdr>
            <w:top w:val="none" w:sz="0" w:space="0" w:color="auto"/>
            <w:left w:val="none" w:sz="0" w:space="0" w:color="auto"/>
            <w:bottom w:val="none" w:sz="0" w:space="0" w:color="auto"/>
            <w:right w:val="none" w:sz="0" w:space="0" w:color="auto"/>
          </w:divBdr>
        </w:div>
        <w:div w:id="2076585529">
          <w:marLeft w:val="547"/>
          <w:marRight w:val="0"/>
          <w:marTop w:val="0"/>
          <w:marBottom w:val="200"/>
          <w:divBdr>
            <w:top w:val="none" w:sz="0" w:space="0" w:color="auto"/>
            <w:left w:val="none" w:sz="0" w:space="0" w:color="auto"/>
            <w:bottom w:val="none" w:sz="0" w:space="0" w:color="auto"/>
            <w:right w:val="none" w:sz="0" w:space="0" w:color="auto"/>
          </w:divBdr>
        </w:div>
      </w:divsChild>
    </w:div>
    <w:div w:id="1341617008">
      <w:bodyDiv w:val="1"/>
      <w:marLeft w:val="0"/>
      <w:marRight w:val="0"/>
      <w:marTop w:val="0"/>
      <w:marBottom w:val="0"/>
      <w:divBdr>
        <w:top w:val="none" w:sz="0" w:space="0" w:color="auto"/>
        <w:left w:val="none" w:sz="0" w:space="0" w:color="auto"/>
        <w:bottom w:val="none" w:sz="0" w:space="0" w:color="auto"/>
        <w:right w:val="none" w:sz="0" w:space="0" w:color="auto"/>
      </w:divBdr>
    </w:div>
    <w:div w:id="1363434013">
      <w:bodyDiv w:val="1"/>
      <w:marLeft w:val="0"/>
      <w:marRight w:val="0"/>
      <w:marTop w:val="0"/>
      <w:marBottom w:val="0"/>
      <w:divBdr>
        <w:top w:val="none" w:sz="0" w:space="0" w:color="auto"/>
        <w:left w:val="none" w:sz="0" w:space="0" w:color="auto"/>
        <w:bottom w:val="none" w:sz="0" w:space="0" w:color="auto"/>
        <w:right w:val="none" w:sz="0" w:space="0" w:color="auto"/>
      </w:divBdr>
    </w:div>
    <w:div w:id="1431050371">
      <w:bodyDiv w:val="1"/>
      <w:marLeft w:val="0"/>
      <w:marRight w:val="0"/>
      <w:marTop w:val="0"/>
      <w:marBottom w:val="0"/>
      <w:divBdr>
        <w:top w:val="none" w:sz="0" w:space="0" w:color="auto"/>
        <w:left w:val="none" w:sz="0" w:space="0" w:color="auto"/>
        <w:bottom w:val="none" w:sz="0" w:space="0" w:color="auto"/>
        <w:right w:val="none" w:sz="0" w:space="0" w:color="auto"/>
      </w:divBdr>
      <w:divsChild>
        <w:div w:id="1954284817">
          <w:marLeft w:val="547"/>
          <w:marRight w:val="0"/>
          <w:marTop w:val="0"/>
          <w:marBottom w:val="200"/>
          <w:divBdr>
            <w:top w:val="none" w:sz="0" w:space="0" w:color="auto"/>
            <w:left w:val="none" w:sz="0" w:space="0" w:color="auto"/>
            <w:bottom w:val="none" w:sz="0" w:space="0" w:color="auto"/>
            <w:right w:val="none" w:sz="0" w:space="0" w:color="auto"/>
          </w:divBdr>
        </w:div>
      </w:divsChild>
    </w:div>
    <w:div w:id="1578633894">
      <w:bodyDiv w:val="1"/>
      <w:marLeft w:val="0"/>
      <w:marRight w:val="0"/>
      <w:marTop w:val="0"/>
      <w:marBottom w:val="0"/>
      <w:divBdr>
        <w:top w:val="none" w:sz="0" w:space="0" w:color="auto"/>
        <w:left w:val="none" w:sz="0" w:space="0" w:color="auto"/>
        <w:bottom w:val="none" w:sz="0" w:space="0" w:color="auto"/>
        <w:right w:val="none" w:sz="0" w:space="0" w:color="auto"/>
      </w:divBdr>
      <w:divsChild>
        <w:div w:id="313144773">
          <w:marLeft w:val="547"/>
          <w:marRight w:val="0"/>
          <w:marTop w:val="80"/>
          <w:marBottom w:val="80"/>
          <w:divBdr>
            <w:top w:val="none" w:sz="0" w:space="0" w:color="auto"/>
            <w:left w:val="none" w:sz="0" w:space="0" w:color="auto"/>
            <w:bottom w:val="none" w:sz="0" w:space="0" w:color="auto"/>
            <w:right w:val="none" w:sz="0" w:space="0" w:color="auto"/>
          </w:divBdr>
        </w:div>
        <w:div w:id="1005862145">
          <w:marLeft w:val="547"/>
          <w:marRight w:val="0"/>
          <w:marTop w:val="80"/>
          <w:marBottom w:val="80"/>
          <w:divBdr>
            <w:top w:val="none" w:sz="0" w:space="0" w:color="auto"/>
            <w:left w:val="none" w:sz="0" w:space="0" w:color="auto"/>
            <w:bottom w:val="none" w:sz="0" w:space="0" w:color="auto"/>
            <w:right w:val="none" w:sz="0" w:space="0" w:color="auto"/>
          </w:divBdr>
        </w:div>
        <w:div w:id="1323199507">
          <w:marLeft w:val="547"/>
          <w:marRight w:val="0"/>
          <w:marTop w:val="80"/>
          <w:marBottom w:val="80"/>
          <w:divBdr>
            <w:top w:val="none" w:sz="0" w:space="0" w:color="auto"/>
            <w:left w:val="none" w:sz="0" w:space="0" w:color="auto"/>
            <w:bottom w:val="none" w:sz="0" w:space="0" w:color="auto"/>
            <w:right w:val="none" w:sz="0" w:space="0" w:color="auto"/>
          </w:divBdr>
        </w:div>
      </w:divsChild>
    </w:div>
    <w:div w:id="1583835036">
      <w:bodyDiv w:val="1"/>
      <w:marLeft w:val="0"/>
      <w:marRight w:val="0"/>
      <w:marTop w:val="0"/>
      <w:marBottom w:val="0"/>
      <w:divBdr>
        <w:top w:val="none" w:sz="0" w:space="0" w:color="auto"/>
        <w:left w:val="none" w:sz="0" w:space="0" w:color="auto"/>
        <w:bottom w:val="none" w:sz="0" w:space="0" w:color="auto"/>
        <w:right w:val="none" w:sz="0" w:space="0" w:color="auto"/>
      </w:divBdr>
    </w:div>
    <w:div w:id="1649944259">
      <w:bodyDiv w:val="1"/>
      <w:marLeft w:val="0"/>
      <w:marRight w:val="0"/>
      <w:marTop w:val="0"/>
      <w:marBottom w:val="0"/>
      <w:divBdr>
        <w:top w:val="none" w:sz="0" w:space="0" w:color="auto"/>
        <w:left w:val="none" w:sz="0" w:space="0" w:color="auto"/>
        <w:bottom w:val="none" w:sz="0" w:space="0" w:color="auto"/>
        <w:right w:val="none" w:sz="0" w:space="0" w:color="auto"/>
      </w:divBdr>
    </w:div>
    <w:div w:id="1651862488">
      <w:bodyDiv w:val="1"/>
      <w:marLeft w:val="0"/>
      <w:marRight w:val="0"/>
      <w:marTop w:val="0"/>
      <w:marBottom w:val="0"/>
      <w:divBdr>
        <w:top w:val="none" w:sz="0" w:space="0" w:color="auto"/>
        <w:left w:val="none" w:sz="0" w:space="0" w:color="auto"/>
        <w:bottom w:val="none" w:sz="0" w:space="0" w:color="auto"/>
        <w:right w:val="none" w:sz="0" w:space="0" w:color="auto"/>
      </w:divBdr>
      <w:divsChild>
        <w:div w:id="84110730">
          <w:marLeft w:val="547"/>
          <w:marRight w:val="0"/>
          <w:marTop w:val="80"/>
          <w:marBottom w:val="120"/>
          <w:divBdr>
            <w:top w:val="none" w:sz="0" w:space="0" w:color="auto"/>
            <w:left w:val="none" w:sz="0" w:space="0" w:color="auto"/>
            <w:bottom w:val="none" w:sz="0" w:space="0" w:color="auto"/>
            <w:right w:val="none" w:sz="0" w:space="0" w:color="auto"/>
          </w:divBdr>
        </w:div>
        <w:div w:id="203754628">
          <w:marLeft w:val="547"/>
          <w:marRight w:val="0"/>
          <w:marTop w:val="80"/>
          <w:marBottom w:val="120"/>
          <w:divBdr>
            <w:top w:val="none" w:sz="0" w:space="0" w:color="auto"/>
            <w:left w:val="none" w:sz="0" w:space="0" w:color="auto"/>
            <w:bottom w:val="none" w:sz="0" w:space="0" w:color="auto"/>
            <w:right w:val="none" w:sz="0" w:space="0" w:color="auto"/>
          </w:divBdr>
        </w:div>
        <w:div w:id="1678382609">
          <w:marLeft w:val="547"/>
          <w:marRight w:val="0"/>
          <w:marTop w:val="80"/>
          <w:marBottom w:val="120"/>
          <w:divBdr>
            <w:top w:val="none" w:sz="0" w:space="0" w:color="auto"/>
            <w:left w:val="none" w:sz="0" w:space="0" w:color="auto"/>
            <w:bottom w:val="none" w:sz="0" w:space="0" w:color="auto"/>
            <w:right w:val="none" w:sz="0" w:space="0" w:color="auto"/>
          </w:divBdr>
        </w:div>
      </w:divsChild>
    </w:div>
    <w:div w:id="1661346521">
      <w:bodyDiv w:val="1"/>
      <w:marLeft w:val="0"/>
      <w:marRight w:val="0"/>
      <w:marTop w:val="0"/>
      <w:marBottom w:val="0"/>
      <w:divBdr>
        <w:top w:val="none" w:sz="0" w:space="0" w:color="auto"/>
        <w:left w:val="none" w:sz="0" w:space="0" w:color="auto"/>
        <w:bottom w:val="none" w:sz="0" w:space="0" w:color="auto"/>
        <w:right w:val="none" w:sz="0" w:space="0" w:color="auto"/>
      </w:divBdr>
    </w:div>
    <w:div w:id="1698773075">
      <w:bodyDiv w:val="1"/>
      <w:marLeft w:val="0"/>
      <w:marRight w:val="0"/>
      <w:marTop w:val="0"/>
      <w:marBottom w:val="0"/>
      <w:divBdr>
        <w:top w:val="none" w:sz="0" w:space="0" w:color="auto"/>
        <w:left w:val="none" w:sz="0" w:space="0" w:color="auto"/>
        <w:bottom w:val="none" w:sz="0" w:space="0" w:color="auto"/>
        <w:right w:val="none" w:sz="0" w:space="0" w:color="auto"/>
      </w:divBdr>
      <w:divsChild>
        <w:div w:id="1683631713">
          <w:marLeft w:val="418"/>
          <w:marRight w:val="0"/>
          <w:marTop w:val="80"/>
          <w:marBottom w:val="80"/>
          <w:divBdr>
            <w:top w:val="none" w:sz="0" w:space="0" w:color="auto"/>
            <w:left w:val="none" w:sz="0" w:space="0" w:color="auto"/>
            <w:bottom w:val="none" w:sz="0" w:space="0" w:color="auto"/>
            <w:right w:val="none" w:sz="0" w:space="0" w:color="auto"/>
          </w:divBdr>
        </w:div>
      </w:divsChild>
    </w:div>
    <w:div w:id="1722359871">
      <w:bodyDiv w:val="1"/>
      <w:marLeft w:val="0"/>
      <w:marRight w:val="0"/>
      <w:marTop w:val="0"/>
      <w:marBottom w:val="0"/>
      <w:divBdr>
        <w:top w:val="none" w:sz="0" w:space="0" w:color="auto"/>
        <w:left w:val="none" w:sz="0" w:space="0" w:color="auto"/>
        <w:bottom w:val="none" w:sz="0" w:space="0" w:color="auto"/>
        <w:right w:val="none" w:sz="0" w:space="0" w:color="auto"/>
      </w:divBdr>
    </w:div>
    <w:div w:id="1730959156">
      <w:bodyDiv w:val="1"/>
      <w:marLeft w:val="0"/>
      <w:marRight w:val="0"/>
      <w:marTop w:val="0"/>
      <w:marBottom w:val="0"/>
      <w:divBdr>
        <w:top w:val="none" w:sz="0" w:space="0" w:color="auto"/>
        <w:left w:val="none" w:sz="0" w:space="0" w:color="auto"/>
        <w:bottom w:val="none" w:sz="0" w:space="0" w:color="auto"/>
        <w:right w:val="none" w:sz="0" w:space="0" w:color="auto"/>
      </w:divBdr>
    </w:div>
    <w:div w:id="1809349991">
      <w:bodyDiv w:val="1"/>
      <w:marLeft w:val="0"/>
      <w:marRight w:val="0"/>
      <w:marTop w:val="0"/>
      <w:marBottom w:val="0"/>
      <w:divBdr>
        <w:top w:val="none" w:sz="0" w:space="0" w:color="auto"/>
        <w:left w:val="none" w:sz="0" w:space="0" w:color="auto"/>
        <w:bottom w:val="none" w:sz="0" w:space="0" w:color="auto"/>
        <w:right w:val="none" w:sz="0" w:space="0" w:color="auto"/>
      </w:divBdr>
      <w:divsChild>
        <w:div w:id="267200403">
          <w:marLeft w:val="994"/>
          <w:marRight w:val="0"/>
          <w:marTop w:val="80"/>
          <w:marBottom w:val="80"/>
          <w:divBdr>
            <w:top w:val="none" w:sz="0" w:space="0" w:color="auto"/>
            <w:left w:val="none" w:sz="0" w:space="0" w:color="auto"/>
            <w:bottom w:val="none" w:sz="0" w:space="0" w:color="auto"/>
            <w:right w:val="none" w:sz="0" w:space="0" w:color="auto"/>
          </w:divBdr>
        </w:div>
        <w:div w:id="596140280">
          <w:marLeft w:val="994"/>
          <w:marRight w:val="0"/>
          <w:marTop w:val="80"/>
          <w:marBottom w:val="80"/>
          <w:divBdr>
            <w:top w:val="none" w:sz="0" w:space="0" w:color="auto"/>
            <w:left w:val="none" w:sz="0" w:space="0" w:color="auto"/>
            <w:bottom w:val="none" w:sz="0" w:space="0" w:color="auto"/>
            <w:right w:val="none" w:sz="0" w:space="0" w:color="auto"/>
          </w:divBdr>
        </w:div>
        <w:div w:id="625896565">
          <w:marLeft w:val="994"/>
          <w:marRight w:val="0"/>
          <w:marTop w:val="80"/>
          <w:marBottom w:val="80"/>
          <w:divBdr>
            <w:top w:val="none" w:sz="0" w:space="0" w:color="auto"/>
            <w:left w:val="none" w:sz="0" w:space="0" w:color="auto"/>
            <w:bottom w:val="none" w:sz="0" w:space="0" w:color="auto"/>
            <w:right w:val="none" w:sz="0" w:space="0" w:color="auto"/>
          </w:divBdr>
        </w:div>
        <w:div w:id="1027025815">
          <w:marLeft w:val="418"/>
          <w:marRight w:val="0"/>
          <w:marTop w:val="80"/>
          <w:marBottom w:val="80"/>
          <w:divBdr>
            <w:top w:val="none" w:sz="0" w:space="0" w:color="auto"/>
            <w:left w:val="none" w:sz="0" w:space="0" w:color="auto"/>
            <w:bottom w:val="none" w:sz="0" w:space="0" w:color="auto"/>
            <w:right w:val="none" w:sz="0" w:space="0" w:color="auto"/>
          </w:divBdr>
        </w:div>
        <w:div w:id="1577012957">
          <w:marLeft w:val="994"/>
          <w:marRight w:val="0"/>
          <w:marTop w:val="80"/>
          <w:marBottom w:val="80"/>
          <w:divBdr>
            <w:top w:val="none" w:sz="0" w:space="0" w:color="auto"/>
            <w:left w:val="none" w:sz="0" w:space="0" w:color="auto"/>
            <w:bottom w:val="none" w:sz="0" w:space="0" w:color="auto"/>
            <w:right w:val="none" w:sz="0" w:space="0" w:color="auto"/>
          </w:divBdr>
        </w:div>
      </w:divsChild>
    </w:div>
    <w:div w:id="1896115566">
      <w:bodyDiv w:val="1"/>
      <w:marLeft w:val="0"/>
      <w:marRight w:val="0"/>
      <w:marTop w:val="0"/>
      <w:marBottom w:val="0"/>
      <w:divBdr>
        <w:top w:val="none" w:sz="0" w:space="0" w:color="auto"/>
        <w:left w:val="none" w:sz="0" w:space="0" w:color="auto"/>
        <w:bottom w:val="none" w:sz="0" w:space="0" w:color="auto"/>
        <w:right w:val="none" w:sz="0" w:space="0" w:color="auto"/>
      </w:divBdr>
    </w:div>
    <w:div w:id="1910381635">
      <w:bodyDiv w:val="1"/>
      <w:marLeft w:val="0"/>
      <w:marRight w:val="0"/>
      <w:marTop w:val="0"/>
      <w:marBottom w:val="0"/>
      <w:divBdr>
        <w:top w:val="none" w:sz="0" w:space="0" w:color="auto"/>
        <w:left w:val="none" w:sz="0" w:space="0" w:color="auto"/>
        <w:bottom w:val="none" w:sz="0" w:space="0" w:color="auto"/>
        <w:right w:val="none" w:sz="0" w:space="0" w:color="auto"/>
      </w:divBdr>
      <w:divsChild>
        <w:div w:id="2141221168">
          <w:marLeft w:val="547"/>
          <w:marRight w:val="0"/>
          <w:marTop w:val="0"/>
          <w:marBottom w:val="0"/>
          <w:divBdr>
            <w:top w:val="none" w:sz="0" w:space="0" w:color="auto"/>
            <w:left w:val="none" w:sz="0" w:space="0" w:color="auto"/>
            <w:bottom w:val="none" w:sz="0" w:space="0" w:color="auto"/>
            <w:right w:val="none" w:sz="0" w:space="0" w:color="auto"/>
          </w:divBdr>
        </w:div>
      </w:divsChild>
    </w:div>
    <w:div w:id="1928077881">
      <w:bodyDiv w:val="1"/>
      <w:marLeft w:val="0"/>
      <w:marRight w:val="0"/>
      <w:marTop w:val="0"/>
      <w:marBottom w:val="0"/>
      <w:divBdr>
        <w:top w:val="none" w:sz="0" w:space="0" w:color="auto"/>
        <w:left w:val="none" w:sz="0" w:space="0" w:color="auto"/>
        <w:bottom w:val="none" w:sz="0" w:space="0" w:color="auto"/>
        <w:right w:val="none" w:sz="0" w:space="0" w:color="auto"/>
      </w:divBdr>
    </w:div>
    <w:div w:id="1941449229">
      <w:bodyDiv w:val="1"/>
      <w:marLeft w:val="0"/>
      <w:marRight w:val="0"/>
      <w:marTop w:val="0"/>
      <w:marBottom w:val="0"/>
      <w:divBdr>
        <w:top w:val="none" w:sz="0" w:space="0" w:color="auto"/>
        <w:left w:val="none" w:sz="0" w:space="0" w:color="auto"/>
        <w:bottom w:val="none" w:sz="0" w:space="0" w:color="auto"/>
        <w:right w:val="none" w:sz="0" w:space="0" w:color="auto"/>
      </w:divBdr>
    </w:div>
    <w:div w:id="1947620349">
      <w:bodyDiv w:val="1"/>
      <w:marLeft w:val="0"/>
      <w:marRight w:val="0"/>
      <w:marTop w:val="0"/>
      <w:marBottom w:val="0"/>
      <w:divBdr>
        <w:top w:val="none" w:sz="0" w:space="0" w:color="auto"/>
        <w:left w:val="none" w:sz="0" w:space="0" w:color="auto"/>
        <w:bottom w:val="none" w:sz="0" w:space="0" w:color="auto"/>
        <w:right w:val="none" w:sz="0" w:space="0" w:color="auto"/>
      </w:divBdr>
      <w:divsChild>
        <w:div w:id="2093551283">
          <w:marLeft w:val="418"/>
          <w:marRight w:val="0"/>
          <w:marTop w:val="80"/>
          <w:marBottom w:val="80"/>
          <w:divBdr>
            <w:top w:val="none" w:sz="0" w:space="0" w:color="auto"/>
            <w:left w:val="none" w:sz="0" w:space="0" w:color="auto"/>
            <w:bottom w:val="none" w:sz="0" w:space="0" w:color="auto"/>
            <w:right w:val="none" w:sz="0" w:space="0" w:color="auto"/>
          </w:divBdr>
        </w:div>
      </w:divsChild>
    </w:div>
    <w:div w:id="1958095756">
      <w:bodyDiv w:val="1"/>
      <w:marLeft w:val="0"/>
      <w:marRight w:val="0"/>
      <w:marTop w:val="0"/>
      <w:marBottom w:val="0"/>
      <w:divBdr>
        <w:top w:val="none" w:sz="0" w:space="0" w:color="auto"/>
        <w:left w:val="none" w:sz="0" w:space="0" w:color="auto"/>
        <w:bottom w:val="none" w:sz="0" w:space="0" w:color="auto"/>
        <w:right w:val="none" w:sz="0" w:space="0" w:color="auto"/>
      </w:divBdr>
    </w:div>
    <w:div w:id="1964843350">
      <w:bodyDiv w:val="1"/>
      <w:marLeft w:val="0"/>
      <w:marRight w:val="0"/>
      <w:marTop w:val="0"/>
      <w:marBottom w:val="0"/>
      <w:divBdr>
        <w:top w:val="none" w:sz="0" w:space="0" w:color="auto"/>
        <w:left w:val="none" w:sz="0" w:space="0" w:color="auto"/>
        <w:bottom w:val="none" w:sz="0" w:space="0" w:color="auto"/>
        <w:right w:val="none" w:sz="0" w:space="0" w:color="auto"/>
      </w:divBdr>
      <w:divsChild>
        <w:div w:id="1089353794">
          <w:marLeft w:val="547"/>
          <w:marRight w:val="0"/>
          <w:marTop w:val="80"/>
          <w:marBottom w:val="80"/>
          <w:divBdr>
            <w:top w:val="none" w:sz="0" w:space="0" w:color="auto"/>
            <w:left w:val="none" w:sz="0" w:space="0" w:color="auto"/>
            <w:bottom w:val="none" w:sz="0" w:space="0" w:color="auto"/>
            <w:right w:val="none" w:sz="0" w:space="0" w:color="auto"/>
          </w:divBdr>
        </w:div>
        <w:div w:id="1224832868">
          <w:marLeft w:val="965"/>
          <w:marRight w:val="0"/>
          <w:marTop w:val="80"/>
          <w:marBottom w:val="80"/>
          <w:divBdr>
            <w:top w:val="none" w:sz="0" w:space="0" w:color="auto"/>
            <w:left w:val="none" w:sz="0" w:space="0" w:color="auto"/>
            <w:bottom w:val="none" w:sz="0" w:space="0" w:color="auto"/>
            <w:right w:val="none" w:sz="0" w:space="0" w:color="auto"/>
          </w:divBdr>
        </w:div>
        <w:div w:id="1629161062">
          <w:marLeft w:val="965"/>
          <w:marRight w:val="0"/>
          <w:marTop w:val="80"/>
          <w:marBottom w:val="80"/>
          <w:divBdr>
            <w:top w:val="none" w:sz="0" w:space="0" w:color="auto"/>
            <w:left w:val="none" w:sz="0" w:space="0" w:color="auto"/>
            <w:bottom w:val="none" w:sz="0" w:space="0" w:color="auto"/>
            <w:right w:val="none" w:sz="0" w:space="0" w:color="auto"/>
          </w:divBdr>
        </w:div>
      </w:divsChild>
    </w:div>
    <w:div w:id="1984003291">
      <w:bodyDiv w:val="1"/>
      <w:marLeft w:val="0"/>
      <w:marRight w:val="0"/>
      <w:marTop w:val="0"/>
      <w:marBottom w:val="0"/>
      <w:divBdr>
        <w:top w:val="none" w:sz="0" w:space="0" w:color="auto"/>
        <w:left w:val="none" w:sz="0" w:space="0" w:color="auto"/>
        <w:bottom w:val="none" w:sz="0" w:space="0" w:color="auto"/>
        <w:right w:val="none" w:sz="0" w:space="0" w:color="auto"/>
      </w:divBdr>
    </w:div>
    <w:div w:id="1990010386">
      <w:bodyDiv w:val="1"/>
      <w:marLeft w:val="0"/>
      <w:marRight w:val="0"/>
      <w:marTop w:val="0"/>
      <w:marBottom w:val="0"/>
      <w:divBdr>
        <w:top w:val="none" w:sz="0" w:space="0" w:color="auto"/>
        <w:left w:val="none" w:sz="0" w:space="0" w:color="auto"/>
        <w:bottom w:val="none" w:sz="0" w:space="0" w:color="auto"/>
        <w:right w:val="none" w:sz="0" w:space="0" w:color="auto"/>
      </w:divBdr>
    </w:div>
    <w:div w:id="20527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mailto:alt.formats@energysecurity.gov.uk"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si@nationalarchives.gsi.gov.uk" TargetMode="External"/><Relationship Id="rId17" Type="http://schemas.openxmlformats.org/officeDocument/2006/relationships/hyperlink" Target="https://www.gov.uk/government/organisations/department-for-energy-security-and-net-zero"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ionalarchives.gov.uk/doc/open-government-licence/version/3/"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fke-kenya.org/media-center/news/launch-kenya-2-equal-initiative-fke-and-ifc" TargetMode="External"/><Relationship Id="rId18" Type="http://schemas.openxmlformats.org/officeDocument/2006/relationships/hyperlink" Target="https://edgebuildings.com/certify/certifiers-pricing/edge-certification-pricing/" TargetMode="External"/><Relationship Id="rId26" Type="http://schemas.openxmlformats.org/officeDocument/2006/relationships/hyperlink" Target="https://edgebuildings.com/wp-content/uploads/2024/04/IFC-Green-Buildings-Vietnam-Stakeholder-Assessment-Report-2024-04-02-.pdf" TargetMode="External"/><Relationship Id="rId39" Type="http://schemas.openxmlformats.org/officeDocument/2006/relationships/hyperlink" Target="https://edgebuildings.com/wp-content/uploads/2023/11/IFC0077-2023-India-Green-Building-Market-Maturity-Sheet.pdf" TargetMode="External"/><Relationship Id="rId21" Type="http://schemas.openxmlformats.org/officeDocument/2006/relationships/hyperlink" Target="https://edgebuildings.com/wp-content/uploads/2024/04/IFC0077-2024-Egypt-Green-Building-Market-Maturity-Sheet_v3.pdf" TargetMode="External"/><Relationship Id="rId34" Type="http://schemas.openxmlformats.org/officeDocument/2006/relationships/hyperlink" Target="https://edgebuildings.com/wp-content/uploads/2023/11/IFC0077-2023-Mexico-Green-Building-Market-Maturity-Sheet.pdf" TargetMode="External"/><Relationship Id="rId42" Type="http://schemas.openxmlformats.org/officeDocument/2006/relationships/hyperlink" Target="https://edgebuildings.com/wp-content/uploads/2023/11/IFC0077-2023-Vietnam-Green-Building-Market-Maturity-Sheet.pdf" TargetMode="External"/><Relationship Id="rId47" Type="http://schemas.openxmlformats.org/officeDocument/2006/relationships/hyperlink" Target="https://edgebuildings.com/wp-content/uploads/2023/11/IFC0077-2023-India-Green-Building-Market-Maturity-Sheet.pdf" TargetMode="External"/><Relationship Id="rId50" Type="http://schemas.openxmlformats.org/officeDocument/2006/relationships/hyperlink" Target="https://science-and-innovation-network.s3.eu-west-2.amazonaws.com/BEIS+ICF/MAGC/MAGC+Business+Case.docx" TargetMode="External"/><Relationship Id="rId7" Type="http://schemas.openxmlformats.org/officeDocument/2006/relationships/hyperlink" Target="https://devtracker.fcdo.gov.uk/programme/GB-GOV-13-ICF-0032-MAGC/documents" TargetMode="External"/><Relationship Id="rId2" Type="http://schemas.openxmlformats.org/officeDocument/2006/relationships/hyperlink" Target="https://devtracker.fcdo.gov.uk/programme/GB-GOV-13-ICF-0032-MAGC/documents" TargetMode="External"/><Relationship Id="rId16" Type="http://schemas.openxmlformats.org/officeDocument/2006/relationships/hyperlink" Target="https://www.concejoenvigado.gov.co/wp-content/uploads/2023/02/ACUERDO-001-2023-ENERO-24-DE-2023.pdf" TargetMode="External"/><Relationship Id="rId29" Type="http://schemas.openxmlformats.org/officeDocument/2006/relationships/hyperlink" Target="https://edgebuildings.com/wp-content/uploads/2023/06/IFC-Green-Buildings-Colombia-Stakeholder-Assessment-Report-6-28-2023.pdf" TargetMode="External"/><Relationship Id="rId11" Type="http://schemas.openxmlformats.org/officeDocument/2006/relationships/hyperlink" Target="https://assets.publishing.service.gov.uk/government/uploads/system/uploads/attachment_data/file/1139441/international-climate-finance_KPI_15_Methodology_Note_Extent_to_which_ICF_intervention_is_likely_to_lead_to_transformational_change.pdf" TargetMode="External"/><Relationship Id="rId24" Type="http://schemas.openxmlformats.org/officeDocument/2006/relationships/hyperlink" Target="https://science-and-innovation-network.s3.eu-west-2.amazonaws.com/BEIS+ICF/MAGC/MAGC+Business+Case.docx" TargetMode="External"/><Relationship Id="rId32" Type="http://schemas.openxmlformats.org/officeDocument/2006/relationships/hyperlink" Target="https://edgebuildings.com/wp-content/uploads/2024/03/IFC0077-2024-Egypt-Green-Building-Market-Maturity-Sheet.pdf" TargetMode="External"/><Relationship Id="rId37" Type="http://schemas.openxmlformats.org/officeDocument/2006/relationships/hyperlink" Target="https://edgebuildings.com/wp-content/uploads/2023/11/IFC0077-2023-Kenya-Green-Building-Market-Maturity-Sheet.pdf" TargetMode="External"/><Relationship Id="rId40" Type="http://schemas.openxmlformats.org/officeDocument/2006/relationships/hyperlink" Target="https://edgebuildings.com/wp-content/uploads/2023/11/IFC0077-2023-Indonesia-Green-Building-Market-Maturity-Sheet_R3.pdf" TargetMode="External"/><Relationship Id="rId45" Type="http://schemas.openxmlformats.org/officeDocument/2006/relationships/hyperlink" Target="https://p4gpartnerships.org/pioneering-green-partnerships/all-p4g-partnerships/net-zero-energy-homes-initiative" TargetMode="External"/><Relationship Id="rId5" Type="http://schemas.openxmlformats.org/officeDocument/2006/relationships/hyperlink" Target="https://devtracker.fcdo.gov.uk/programme/GB-GOV-13-ICF-0032-MAGC/documents" TargetMode="External"/><Relationship Id="rId15" Type="http://schemas.openxmlformats.org/officeDocument/2006/relationships/hyperlink" Target="https://peruconstruye.net/2025/08/28/surquillo-tendra-su-primer-edificio-bajo-la-ordenanza-de-edificaciones-sostenibles/" TargetMode="External"/><Relationship Id="rId23" Type="http://schemas.openxmlformats.org/officeDocument/2006/relationships/hyperlink" Target="https://edgebuildings.com/wp-content/uploads/2023/11/IFC0077-2023-Kenya-Green-Building-Market-Maturity-Sheet.pdf" TargetMode="External"/><Relationship Id="rId28" Type="http://schemas.openxmlformats.org/officeDocument/2006/relationships/hyperlink" Target="https://edgebuildings.com/wp-content/uploads/2024/04/IFC-Green-Buildings-Mexico-Stakeholder-Assessment-Report-2024-04-02-.pdf" TargetMode="External"/><Relationship Id="rId36" Type="http://schemas.openxmlformats.org/officeDocument/2006/relationships/hyperlink" Target="https://edgebuildings.com/wp-content/uploads/2023/11/IFC0077-2023-Ghana-Green-Building-Market-Maturity-Sheet.pdf" TargetMode="External"/><Relationship Id="rId49" Type="http://schemas.openxmlformats.org/officeDocument/2006/relationships/hyperlink" Target="https://edgebuildings.com/wp-content/uploads/2023/11/IFC0077-2023-South-Africa-Green-Building-Market-Maturity-Sheet.pdf" TargetMode="External"/><Relationship Id="rId10" Type="http://schemas.openxmlformats.org/officeDocument/2006/relationships/hyperlink" Target="https://science-and-innovation-network.s3.eu-west-2.amazonaws.com/BEIS+ICF/MAGC/MAGC+Business+Case.docx" TargetMode="External"/><Relationship Id="rId19" Type="http://schemas.openxmlformats.org/officeDocument/2006/relationships/hyperlink" Target="https://www.usgbc.org/tools/leed-certification/fees" TargetMode="External"/><Relationship Id="rId31" Type="http://schemas.openxmlformats.org/officeDocument/2006/relationships/hyperlink" Target="https://edgebuildings.com/wp-content/uploads/2024/03/2024-03-01-IFC-Green-Buildings-Kenya-Stakeholder-Assessment-Report-Final.pdf" TargetMode="External"/><Relationship Id="rId44" Type="http://schemas.openxmlformats.org/officeDocument/2006/relationships/hyperlink" Target="https://www.cooperacionsuiza.pe/wp-content/uploads/2021/03/02.21-FACTSHEET-CEELA-ENG.pdf" TargetMode="External"/><Relationship Id="rId52" Type="http://schemas.openxmlformats.org/officeDocument/2006/relationships/hyperlink" Target="https://www.ifc.org/content/dam/ifc/doc/mgrt/ifc-blendedfinance-fin-092021.pdf" TargetMode="External"/><Relationship Id="rId4" Type="http://schemas.openxmlformats.org/officeDocument/2006/relationships/hyperlink" Target="https://assets.publishing.service.gov.uk/media/63fe28fb8fa8f527fb67caf8/international-climate-finance_KPI_15_Methodology_Note_Extent_to_which_ICF_intervention_is_likely_to_lead_to_transformational_change.pdf" TargetMode="External"/><Relationship Id="rId9" Type="http://schemas.openxmlformats.org/officeDocument/2006/relationships/hyperlink" Target="https://www.gov.uk/government/publications/the-magenta-book" TargetMode="External"/><Relationship Id="rId14" Type="http://schemas.openxmlformats.org/officeDocument/2006/relationships/hyperlink" Target="https://science-and-innovation-network.s3.eu-west-2.amazonaws.com/BEIS+ICF/MAGC/MAGC+Business+Case.docx" TargetMode="External"/><Relationship Id="rId22" Type="http://schemas.openxmlformats.org/officeDocument/2006/relationships/hyperlink" Target="https://edgebuildings.com/wp-content/uploads/2023/11/IFC0077-2023-Vietnam-Green-Building-Market-Maturity-Sheet.pdf" TargetMode="External"/><Relationship Id="rId27" Type="http://schemas.openxmlformats.org/officeDocument/2006/relationships/hyperlink" Target="chrome-extension://efaidnbmnnnibpcajpcglclefindmkaj/https:/edgebuildings.com/wp-content/uploads/2023/06/IFC-Green-Buildings-South-Africa-Stakeholder-Assessment-Report-6-28-2023.pdf" TargetMode="External"/><Relationship Id="rId30" Type="http://schemas.openxmlformats.org/officeDocument/2006/relationships/hyperlink" Target="https://edgebuildings.com/wp-content/uploads/2024/04/2024-04-02-IFC-Green-Buildings-Philippines-Stakeholder-Assessment-Report-Final-Revised-2.pdf" TargetMode="External"/><Relationship Id="rId35" Type="http://schemas.openxmlformats.org/officeDocument/2006/relationships/hyperlink" Target="https://edgebuildings.com/wp-content/uploads/2023/11/IFC0077-2023-Peru-Green-Building-Market-Maturity-Sheet.pdf" TargetMode="External"/><Relationship Id="rId43" Type="http://schemas.openxmlformats.org/officeDocument/2006/relationships/hyperlink" Target="https://edgebuildings.com/wp-content/uploads/2023/11/MAGC-Research-Market-Maturity-Snapshots-Baseline-Synthesis-Report.pdf" TargetMode="External"/><Relationship Id="rId48" Type="http://schemas.openxmlformats.org/officeDocument/2006/relationships/hyperlink" Target="https://www.reccessary.com/en/news/vn-market/green-certified-building-grows-30-vietnam" TargetMode="External"/><Relationship Id="rId8" Type="http://schemas.openxmlformats.org/officeDocument/2006/relationships/hyperlink" Target="https://devtracker.fcdo.gov.uk/programme/GB-GOV-13-ICF-0032-MAGC/documents" TargetMode="External"/><Relationship Id="rId51" Type="http://schemas.openxmlformats.org/officeDocument/2006/relationships/hyperlink" Target="https://devtracker.fcdo.gov.uk/programme/GB-GOV-13-ICF-0032-MAGC/documents" TargetMode="External"/><Relationship Id="rId3" Type="http://schemas.openxmlformats.org/officeDocument/2006/relationships/hyperlink" Target="https://science-and-innovation-network.s3.eu-west-2.amazonaws.com/BEIS+ICF/MAGC/MAGC+Business+Case.docx" TargetMode="External"/><Relationship Id="rId12" Type="http://schemas.openxmlformats.org/officeDocument/2006/relationships/hyperlink" Target="https://science-and-innovation-network.s3.eu-west-2.amazonaws.com/BEIS+ICF/MAGC/MAGC+Business+Case.docx" TargetMode="External"/><Relationship Id="rId17" Type="http://schemas.openxmlformats.org/officeDocument/2006/relationships/hyperlink" Target="https://ndcpartnership.org/knowledge-portal/good-practice-database/green-building-market-transformation-colombia" TargetMode="External"/><Relationship Id="rId25" Type="http://schemas.openxmlformats.org/officeDocument/2006/relationships/hyperlink" Target="https://edgebuildings.com/wp-content/uploads/2024/04/2024-04-02-IFC-Green-Buildings-Indonesia-Stakeholder-Assessment-Report-Final-Revised-2.pdf" TargetMode="External"/><Relationship Id="rId33" Type="http://schemas.openxmlformats.org/officeDocument/2006/relationships/hyperlink" Target="https://edgebuildings.com/wp-content/uploads/2023/11/IFC0074-2023-Colombia-Green-Building-Market-Maturity-Sheet.pdf" TargetMode="External"/><Relationship Id="rId38" Type="http://schemas.openxmlformats.org/officeDocument/2006/relationships/hyperlink" Target="https://edgebuildings.com/wp-content/uploads/2023/11/IFC0077-2023-South-Africa-Green-Building-Market-Maturity-Sheet.pdf" TargetMode="External"/><Relationship Id="rId46" Type="http://schemas.openxmlformats.org/officeDocument/2006/relationships/hyperlink" Target="https://unfccc.int/climate-action/momentum-for-change/financing-for-climate-friendly/mexico-financing-sustainable-housing" TargetMode="External"/><Relationship Id="rId20" Type="http://schemas.openxmlformats.org/officeDocument/2006/relationships/hyperlink" Target="https://edgebuildings.com/wp-content/uploads/2023/11/IFC0077-2023-Indonesia-Green-Building-Market-Maturity-Sheet_R3.pdf" TargetMode="External"/><Relationship Id="rId41" Type="http://schemas.openxmlformats.org/officeDocument/2006/relationships/hyperlink" Target="https://edgebuildings.com/wp-content/uploads/2023/11/IFC0077-2023-Philippines-Green-Building-Market-Maturity-Sheet.pdf" TargetMode="External"/><Relationship Id="rId1" Type="http://schemas.openxmlformats.org/officeDocument/2006/relationships/hyperlink" Target="https://devtracker.fcdo.gov.uk/programme/GB-GOV-13-ICF-0032-MAGC/documents" TargetMode="External"/><Relationship Id="rId6" Type="http://schemas.openxmlformats.org/officeDocument/2006/relationships/hyperlink" Target="https://devtracker.fcdo.gov.uk/programme/GB-GOV-13-ICF-0032-MAGC/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9d65af1-18fa-4dc7-9941-b26f165da588">SFTTVFQA44A4-567391438-148885</_dlc_DocId>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_ip_UnifiedCompliancePolicyUIAction xmlns="http://schemas.microsoft.com/sharepoint/v3" xsi:nil="true"/>
    <_dlc_DocIdUrl xmlns="b9d65af1-18fa-4dc7-9941-b26f165da588">
      <Url>https://beisgov.sharepoint.com/sites/GreenFinanceAndCapability-ALL/_layouts/15/DocIdRedir.aspx?ID=SFTTVFQA44A4-567391438-148885</Url>
      <Description>SFTTVFQA44A4-567391438-148885</Description>
    </_dlc_DocIdUrl>
    <_ip_UnifiedCompliancePolicyProperties xmlns="http://schemas.microsoft.com/sharepoint/v3" xsi:nil="true"/>
    <_ip_UnifiedCompliancePolicyUIAct xmlns="374ed4d6-b127-4161-a8d5-91d2d6d266bd"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cf76f155ced4ddcb4097134ff3c332f xmlns="374ed4d6-b127-4161-a8d5-91d2d6d266bd">
      <Terms xmlns="http://schemas.microsoft.com/office/infopath/2007/PartnerControls"/>
    </lcf76f155ced4ddcb4097134ff3c332f>
    <TaxCatchAll xmlns="b9d65af1-18fa-4dc7-9941-b26f165da588">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documentManagement>
</p:properties>
</file>

<file path=customXml/itemProps1.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2.xml><?xml version="1.0" encoding="utf-8"?>
<ds:datastoreItem xmlns:ds="http://schemas.openxmlformats.org/officeDocument/2006/customXml" ds:itemID="{F51CB55D-A697-4228-830E-53387472C4FC}"/>
</file>

<file path=customXml/itemProps3.xml><?xml version="1.0" encoding="utf-8"?>
<ds:datastoreItem xmlns:ds="http://schemas.openxmlformats.org/officeDocument/2006/customXml" ds:itemID="{3DFE9BA6-E61B-4F64-9F6B-565CA48FE9B1}"/>
</file>

<file path=customXml/itemProps4.xml><?xml version="1.0" encoding="utf-8"?>
<ds:datastoreItem xmlns:ds="http://schemas.openxmlformats.org/officeDocument/2006/customXml" ds:itemID="{01E479ED-232D-428C-8FBD-63762F989BA8}"/>
</file>

<file path=customXml/itemProps5.xml><?xml version="1.0" encoding="utf-8"?>
<ds:datastoreItem xmlns:ds="http://schemas.openxmlformats.org/officeDocument/2006/customXml" ds:itemID="{7271E9B9-5E1E-4CB7-BCA5-5A152273E625}"/>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22715</Words>
  <Characters>129479</Characters>
  <Application>Microsoft Office Word</Application>
  <DocSecurity>4</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2026-04-15T16:23:00Z</dcterms:created>
  <dcterms:modified xsi:type="dcterms:W3CDTF">2026-04-15T08:24:00Z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5;#Internal Communications|3633d5a3-731a-4af5-ab75-e2aba398c41c</vt:lpwstr>
  </property>
  <property fmtid="{D5CDD505-2E9C-101B-9397-08002B2CF9AE}" pid="3" name="MSIP_Label_ba62f585-b40f-4ab9-bafe-39150f03d124_SiteId">
    <vt:lpwstr>cbac7005-02c1-43eb-b497-e6492d1b2dd8</vt:lpwstr>
  </property>
  <property fmtid="{D5CDD505-2E9C-101B-9397-08002B2CF9AE}" pid="4" name="KIM_Activity">
    <vt:lpwstr>2;#International climate|5a595758-250c-1237-4802-ae3329732708</vt:lpwstr>
  </property>
  <property fmtid="{D5CDD505-2E9C-101B-9397-08002B2CF9AE}" pid="5" name="MSIP_Label_ba62f585-b40f-4ab9-bafe-39150f03d124_Method">
    <vt:lpwstr>Standard</vt:lpwstr>
  </property>
  <property fmtid="{D5CDD505-2E9C-101B-9397-08002B2CF9AE}" pid="6" name="MediaServiceImageTags">
    <vt:lpwstr/>
  </property>
  <property fmtid="{D5CDD505-2E9C-101B-9397-08002B2CF9AE}" pid="7" name="MSIP_Label_ba62f585-b40f-4ab9-bafe-39150f03d124_ContentBits">
    <vt:lpwstr>0</vt:lpwstr>
  </property>
  <property fmtid="{D5CDD505-2E9C-101B-9397-08002B2CF9AE}" pid="8" name="ContentTypeId">
    <vt:lpwstr>0x0101004691A8DE0991884F8E90AD6474FC73730100DF02EFE51CE9C84D92B4813DC0A3B57A</vt:lpwstr>
  </property>
  <property fmtid="{D5CDD505-2E9C-101B-9397-08002B2CF9AE}" pid="9" name="MSIP_Label_ba62f585-b40f-4ab9-bafe-39150f03d124_Name">
    <vt:lpwstr>OFFICIAL</vt:lpwstr>
  </property>
  <property fmtid="{D5CDD505-2E9C-101B-9397-08002B2CF9AE}" pid="10" name="AuthorIds_UIVersion_2">
    <vt:lpwstr>8301</vt:lpwstr>
  </property>
  <property fmtid="{D5CDD505-2E9C-101B-9397-08002B2CF9AE}" pid="11" name="docLang">
    <vt:lpwstr>en</vt:lpwstr>
  </property>
  <property fmtid="{D5CDD505-2E9C-101B-9397-08002B2CF9AE}" pid="12" name="KIM_GovernmentBody">
    <vt:lpwstr>3;#BEIS|b386cac2-c28c-4db4-8fca-43733d0e74ef</vt:lpwstr>
  </property>
  <property fmtid="{D5CDD505-2E9C-101B-9397-08002B2CF9AE}" pid="13" name="MSIP_Label_ba62f585-b40f-4ab9-bafe-39150f03d124_ActionId">
    <vt:lpwstr>b52d6e55-1fed-48e8-88a2-000013a69850</vt:lpwstr>
  </property>
  <property fmtid="{D5CDD505-2E9C-101B-9397-08002B2CF9AE}" pid="14" name="AuthorIds_UIVersion_3">
    <vt:lpwstr>8301</vt:lpwstr>
  </property>
  <property fmtid="{D5CDD505-2E9C-101B-9397-08002B2CF9AE}" pid="15" name="KIM_Function">
    <vt:lpwstr>1;#Climate and energy|98b2efea-a649-07e6-a104-07f256801c42</vt:lpwstr>
  </property>
  <property fmtid="{D5CDD505-2E9C-101B-9397-08002B2CF9AE}" pid="16" name="MSIP_Label_ba62f585-b40f-4ab9-bafe-39150f03d124_Enabled">
    <vt:lpwstr>true</vt:lpwstr>
  </property>
  <property fmtid="{D5CDD505-2E9C-101B-9397-08002B2CF9AE}" pid="17" name="_dlc_DocIdItemGuid">
    <vt:lpwstr>8818817b-6cee-4e36-9495-07f506ae04dd</vt:lpwstr>
  </property>
  <property fmtid="{D5CDD505-2E9C-101B-9397-08002B2CF9AE}" pid="18" name="MSIP_Label_ba62f585-b40f-4ab9-bafe-39150f03d124_SetDate">
    <vt:lpwstr>2020-01-16T10:35:31Z</vt:lpwstr>
  </property>
</Properties>
</file>