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7DF9" w:rsidR="00C67FEB" w:rsidP="003D222C" w:rsidRDefault="00C67FEB" w14:paraId="2B8EC0E8" w14:textId="77777777">
      <w:pPr>
        <w:rPr>
          <w:color w:val="212121"/>
          <w:sz w:val="22"/>
          <w:szCs w:val="22"/>
          <w:u w:val="single"/>
        </w:rPr>
      </w:pPr>
    </w:p>
    <w:p w:rsidRPr="00C97DF9" w:rsidR="00885BB9" w:rsidP="00885BB9" w:rsidRDefault="00885BB9" w14:paraId="38EC76C4" w14:textId="77777777">
      <w:pPr>
        <w:pStyle w:val="BEISTitle"/>
        <w:rPr>
          <w:color w:val="212121"/>
        </w:rPr>
      </w:pPr>
    </w:p>
    <w:p w:rsidRPr="00C97DF9" w:rsidR="00885BB9" w:rsidP="00885BB9" w:rsidRDefault="00885BB9" w14:paraId="0A34EE9B" w14:textId="77777777">
      <w:pPr>
        <w:pStyle w:val="BEISTitle"/>
        <w:rPr>
          <w:color w:val="212121"/>
        </w:rPr>
      </w:pPr>
    </w:p>
    <w:p w:rsidRPr="00C97DF9" w:rsidR="00885BB9" w:rsidP="00885BB9" w:rsidRDefault="00885BB9" w14:paraId="76C49B04" w14:textId="77777777">
      <w:pPr>
        <w:pStyle w:val="BEISTitle"/>
        <w:rPr>
          <w:color w:val="212121"/>
        </w:rPr>
      </w:pPr>
    </w:p>
    <w:p w:rsidRPr="00C97DF9" w:rsidR="00885BB9" w:rsidP="00885BB9" w:rsidRDefault="00885BB9" w14:paraId="7C7FEA78" w14:textId="77777777">
      <w:pPr>
        <w:pStyle w:val="BEISTitle"/>
        <w:rPr>
          <w:color w:val="212121"/>
        </w:rPr>
      </w:pPr>
    </w:p>
    <w:p w:rsidRPr="00C97DF9" w:rsidR="00D80C6C" w:rsidP="00885BB9" w:rsidRDefault="00D80C6C" w14:paraId="64C9A776" w14:textId="77777777">
      <w:pPr>
        <w:pStyle w:val="BEISTitle"/>
        <w:rPr>
          <w:color w:val="212121"/>
        </w:rPr>
      </w:pPr>
    </w:p>
    <w:p w:rsidRPr="00C97DF9" w:rsidR="00F32618" w:rsidP="00964968" w:rsidRDefault="31304A1B" w14:paraId="17F128D0" w14:textId="77777777">
      <w:pPr>
        <w:pStyle w:val="BEISTitle"/>
        <w:rPr>
          <w:color w:val="212121"/>
          <w:sz w:val="60"/>
          <w:szCs w:val="60"/>
        </w:rPr>
      </w:pPr>
      <w:r w:rsidRPr="00C97DF9">
        <w:rPr>
          <w:b/>
          <w:bCs/>
          <w:color w:val="212121"/>
          <w:sz w:val="60"/>
          <w:szCs w:val="60"/>
        </w:rPr>
        <w:t>Mobilising Finance for Forests</w:t>
      </w:r>
      <w:r w:rsidRPr="00C97DF9" w:rsidR="00964968">
        <w:rPr>
          <w:color w:val="212121"/>
          <w:sz w:val="60"/>
          <w:szCs w:val="60"/>
        </w:rPr>
        <w:t xml:space="preserve"> </w:t>
      </w:r>
      <w:r w:rsidRPr="00C97DF9" w:rsidR="00DC31D2">
        <w:rPr>
          <w:color w:val="212121"/>
          <w:sz w:val="60"/>
          <w:szCs w:val="60"/>
        </w:rPr>
        <w:t xml:space="preserve">(MFF) </w:t>
      </w:r>
      <w:r w:rsidRPr="00C97DF9" w:rsidR="00964968">
        <w:rPr>
          <w:color w:val="212121"/>
          <w:sz w:val="60"/>
          <w:szCs w:val="60"/>
        </w:rPr>
        <w:t xml:space="preserve">Annual Review </w:t>
      </w:r>
    </w:p>
    <w:p w:rsidRPr="00C97DF9" w:rsidR="00F32618" w:rsidP="00964968" w:rsidRDefault="00F32618" w14:paraId="2D0CAFE4" w14:textId="77777777">
      <w:pPr>
        <w:pStyle w:val="BEISTitle"/>
        <w:rPr>
          <w:color w:val="212121"/>
          <w:sz w:val="60"/>
          <w:szCs w:val="60"/>
        </w:rPr>
      </w:pPr>
    </w:p>
    <w:p w:rsidRPr="00C97DF9" w:rsidR="00964968" w:rsidP="00964968" w:rsidRDefault="00F32618" w14:paraId="6C63CC07" w14:textId="06DC6C88">
      <w:pPr>
        <w:pStyle w:val="BEISTitle"/>
        <w:rPr>
          <w:color w:val="212121"/>
          <w:sz w:val="60"/>
          <w:szCs w:val="60"/>
        </w:rPr>
      </w:pPr>
      <w:r w:rsidRPr="00C97DF9">
        <w:rPr>
          <w:color w:val="212121"/>
          <w:sz w:val="60"/>
          <w:szCs w:val="60"/>
        </w:rPr>
        <w:t xml:space="preserve">Year 5 - </w:t>
      </w:r>
      <w:r w:rsidRPr="00C97DF9" w:rsidR="737E11BA">
        <w:rPr>
          <w:color w:val="212121"/>
          <w:sz w:val="60"/>
          <w:szCs w:val="60"/>
        </w:rPr>
        <w:t>2025</w:t>
      </w:r>
    </w:p>
    <w:p w:rsidRPr="00C97DF9" w:rsidR="00C67FEB" w:rsidRDefault="00C67FEB" w14:paraId="624DAC73" w14:textId="3BC335B7">
      <w:pPr>
        <w:spacing w:after="160" w:line="259" w:lineRule="auto"/>
        <w:rPr>
          <w:color w:val="212121"/>
          <w:sz w:val="22"/>
          <w:szCs w:val="22"/>
          <w:u w:val="single"/>
        </w:rPr>
      </w:pPr>
    </w:p>
    <w:p w:rsidRPr="00C97DF9" w:rsidR="007D1D64" w:rsidRDefault="007D1D64" w14:paraId="4AF08E4A" w14:textId="20AFDEDA">
      <w:pPr>
        <w:spacing w:after="160" w:line="259" w:lineRule="auto"/>
        <w:rPr>
          <w:color w:val="212121"/>
          <w:sz w:val="22"/>
          <w:szCs w:val="22"/>
        </w:rPr>
      </w:pPr>
    </w:p>
    <w:p w:rsidRPr="00C97DF9" w:rsidR="007D1D64" w:rsidRDefault="007D1D64" w14:paraId="160505CC" w14:textId="77777777">
      <w:pPr>
        <w:spacing w:after="160" w:line="259" w:lineRule="auto"/>
        <w:rPr>
          <w:color w:val="212121"/>
          <w:sz w:val="22"/>
          <w:szCs w:val="22"/>
        </w:rPr>
      </w:pPr>
    </w:p>
    <w:p w:rsidRPr="00C97DF9" w:rsidR="00090217" w:rsidP="003D222C" w:rsidRDefault="00090217" w14:paraId="6ED798D0" w14:textId="77777777">
      <w:pPr>
        <w:rPr>
          <w:color w:val="212121"/>
          <w:sz w:val="22"/>
          <w:szCs w:val="22"/>
          <w:u w:val="single"/>
        </w:rPr>
      </w:pPr>
    </w:p>
    <w:p w:rsidRPr="00C97DF9" w:rsidR="007D1D64" w:rsidP="007D1D64" w:rsidRDefault="007D1D64" w14:paraId="1F841114" w14:textId="027A752E">
      <w:pPr>
        <w:spacing w:after="160" w:line="259" w:lineRule="auto"/>
        <w:rPr>
          <w:color w:val="212121"/>
          <w:sz w:val="22"/>
          <w:szCs w:val="22"/>
        </w:rPr>
      </w:pPr>
    </w:p>
    <w:p w:rsidRPr="00C97DF9" w:rsidR="007D1D64" w:rsidRDefault="007D1D64" w14:paraId="744BC35C" w14:textId="77777777">
      <w:pPr>
        <w:spacing w:after="160" w:line="259" w:lineRule="auto"/>
        <w:rPr>
          <w:color w:val="212121"/>
          <w:sz w:val="22"/>
          <w:szCs w:val="22"/>
        </w:rPr>
      </w:pPr>
    </w:p>
    <w:p w:rsidRPr="00C97DF9" w:rsidR="007D1D64" w:rsidRDefault="007D1D64" w14:paraId="2EEE1272" w14:textId="0FA2D180">
      <w:pPr>
        <w:spacing w:after="160" w:line="259" w:lineRule="auto"/>
        <w:rPr>
          <w:color w:val="212121"/>
          <w:sz w:val="22"/>
          <w:szCs w:val="22"/>
        </w:rPr>
      </w:pPr>
      <w:r w:rsidRPr="00C97DF9">
        <w:rPr>
          <w:color w:val="212121"/>
          <w:sz w:val="22"/>
          <w:szCs w:val="22"/>
        </w:rPr>
        <w:br w:type="page"/>
      </w:r>
    </w:p>
    <w:p w:rsidRPr="00C97DF9" w:rsidR="007D1D64" w:rsidP="007D1D64" w:rsidRDefault="007D1D64" w14:paraId="1FB1C90B" w14:textId="21AF7FBD">
      <w:pPr>
        <w:spacing w:after="160" w:line="259" w:lineRule="auto"/>
        <w:rPr>
          <w:color w:val="212121"/>
          <w:sz w:val="22"/>
          <w:szCs w:val="22"/>
        </w:rPr>
      </w:pPr>
    </w:p>
    <w:p w:rsidRPr="00C97DF9" w:rsidR="007D1D64" w:rsidP="007D1D64" w:rsidRDefault="007D1D64" w14:paraId="6FC09FA9" w14:textId="77777777">
      <w:pPr>
        <w:spacing w:after="160" w:line="259" w:lineRule="auto"/>
        <w:rPr>
          <w:color w:val="212121"/>
          <w:sz w:val="22"/>
          <w:szCs w:val="22"/>
        </w:rPr>
      </w:pPr>
    </w:p>
    <w:p w:rsidRPr="00C97DF9" w:rsidR="00112E33" w:rsidP="007D1D64" w:rsidRDefault="00112E33" w14:paraId="40B4FF2C" w14:textId="77777777">
      <w:pPr>
        <w:spacing w:after="160" w:line="259" w:lineRule="auto"/>
        <w:rPr>
          <w:color w:val="212121"/>
          <w:sz w:val="22"/>
          <w:szCs w:val="22"/>
        </w:rPr>
      </w:pPr>
    </w:p>
    <w:p w:rsidRPr="00C97DF9" w:rsidR="00112E33" w:rsidP="007D1D64" w:rsidRDefault="00112E33" w14:paraId="01A42860" w14:textId="77777777">
      <w:pPr>
        <w:spacing w:after="160" w:line="259" w:lineRule="auto"/>
        <w:rPr>
          <w:color w:val="212121"/>
          <w:sz w:val="22"/>
          <w:szCs w:val="22"/>
        </w:rPr>
      </w:pPr>
    </w:p>
    <w:p w:rsidRPr="00C97DF9" w:rsidR="00112E33" w:rsidP="007D1D64" w:rsidRDefault="00112E33" w14:paraId="4A8FCC2A" w14:textId="77777777">
      <w:pPr>
        <w:spacing w:after="160" w:line="259" w:lineRule="auto"/>
        <w:rPr>
          <w:color w:val="212121"/>
          <w:sz w:val="22"/>
          <w:szCs w:val="22"/>
        </w:rPr>
      </w:pPr>
    </w:p>
    <w:p w:rsidRPr="00C97DF9" w:rsidR="00112E33" w:rsidP="007D1D64" w:rsidRDefault="00112E33" w14:paraId="31553A3C" w14:textId="77777777">
      <w:pPr>
        <w:spacing w:after="160" w:line="259" w:lineRule="auto"/>
        <w:rPr>
          <w:color w:val="212121"/>
          <w:sz w:val="22"/>
          <w:szCs w:val="22"/>
        </w:rPr>
      </w:pPr>
    </w:p>
    <w:p w:rsidRPr="00C97DF9" w:rsidR="00112E33" w:rsidP="007D1D64" w:rsidRDefault="00112E33" w14:paraId="1E72DB9D" w14:textId="77777777">
      <w:pPr>
        <w:spacing w:after="160" w:line="259" w:lineRule="auto"/>
        <w:rPr>
          <w:color w:val="212121"/>
          <w:sz w:val="22"/>
          <w:szCs w:val="22"/>
        </w:rPr>
      </w:pPr>
    </w:p>
    <w:p w:rsidRPr="00C97DF9" w:rsidR="00112E33" w:rsidP="007D1D64" w:rsidRDefault="00112E33" w14:paraId="716930C2" w14:textId="77777777">
      <w:pPr>
        <w:spacing w:after="160" w:line="259" w:lineRule="auto"/>
        <w:rPr>
          <w:color w:val="212121"/>
          <w:sz w:val="22"/>
          <w:szCs w:val="22"/>
        </w:rPr>
      </w:pPr>
    </w:p>
    <w:p w:rsidRPr="00C97DF9" w:rsidR="00112E33" w:rsidP="007D1D64" w:rsidRDefault="00112E33" w14:paraId="3ABDAEFF" w14:textId="77777777">
      <w:pPr>
        <w:spacing w:after="160" w:line="259" w:lineRule="auto"/>
        <w:rPr>
          <w:color w:val="212121"/>
          <w:sz w:val="22"/>
          <w:szCs w:val="22"/>
        </w:rPr>
      </w:pPr>
    </w:p>
    <w:p w:rsidRPr="00C97DF9" w:rsidR="00112E33" w:rsidP="007D1D64" w:rsidRDefault="00112E33" w14:paraId="0884299F" w14:textId="77777777">
      <w:pPr>
        <w:spacing w:after="160" w:line="259" w:lineRule="auto"/>
        <w:rPr>
          <w:color w:val="212121"/>
          <w:sz w:val="22"/>
          <w:szCs w:val="22"/>
        </w:rPr>
      </w:pPr>
    </w:p>
    <w:p w:rsidRPr="00C97DF9" w:rsidR="00112E33" w:rsidP="007D1D64" w:rsidRDefault="00112E33" w14:paraId="3BF57744" w14:textId="77777777">
      <w:pPr>
        <w:spacing w:after="160" w:line="259" w:lineRule="auto"/>
        <w:rPr>
          <w:color w:val="212121"/>
          <w:sz w:val="22"/>
          <w:szCs w:val="22"/>
        </w:rPr>
      </w:pPr>
    </w:p>
    <w:p w:rsidRPr="00C97DF9" w:rsidR="00112E33" w:rsidP="007D1D64" w:rsidRDefault="00112E33" w14:paraId="70B1D846" w14:textId="77777777">
      <w:pPr>
        <w:spacing w:after="160" w:line="259" w:lineRule="auto"/>
        <w:rPr>
          <w:color w:val="212121"/>
          <w:sz w:val="22"/>
          <w:szCs w:val="22"/>
        </w:rPr>
      </w:pPr>
    </w:p>
    <w:p w:rsidRPr="00C97DF9" w:rsidR="00112E33" w:rsidP="007D1D64" w:rsidRDefault="00112E33" w14:paraId="5C64FB7B" w14:textId="77777777">
      <w:pPr>
        <w:spacing w:after="160" w:line="259" w:lineRule="auto"/>
        <w:rPr>
          <w:color w:val="212121"/>
          <w:sz w:val="22"/>
          <w:szCs w:val="22"/>
        </w:rPr>
      </w:pPr>
    </w:p>
    <w:p w:rsidRPr="00C97DF9" w:rsidR="00112E33" w:rsidP="007D1D64" w:rsidRDefault="00112E33" w14:paraId="7997CC66" w14:textId="77777777">
      <w:pPr>
        <w:spacing w:after="160" w:line="259" w:lineRule="auto"/>
        <w:rPr>
          <w:color w:val="212121"/>
          <w:sz w:val="22"/>
          <w:szCs w:val="22"/>
        </w:rPr>
      </w:pPr>
    </w:p>
    <w:p w:rsidRPr="00C97DF9" w:rsidR="00112E33" w:rsidP="007D1D64" w:rsidRDefault="00112E33" w14:paraId="629D0223" w14:textId="77777777">
      <w:pPr>
        <w:spacing w:after="160" w:line="259" w:lineRule="auto"/>
        <w:rPr>
          <w:color w:val="212121"/>
          <w:sz w:val="22"/>
          <w:szCs w:val="22"/>
        </w:rPr>
      </w:pPr>
    </w:p>
    <w:p w:rsidRPr="00C97DF9" w:rsidR="00112E33" w:rsidP="007D1D64" w:rsidRDefault="00112E33" w14:paraId="7B71C4CA" w14:textId="77777777">
      <w:pPr>
        <w:spacing w:after="160" w:line="259" w:lineRule="auto"/>
        <w:rPr>
          <w:color w:val="212121"/>
          <w:sz w:val="22"/>
          <w:szCs w:val="22"/>
        </w:rPr>
      </w:pPr>
    </w:p>
    <w:p w:rsidRPr="00C97DF9" w:rsidR="00112E33" w:rsidP="007D1D64" w:rsidRDefault="00112E33" w14:paraId="0CB89A50" w14:textId="77777777">
      <w:pPr>
        <w:spacing w:after="160" w:line="259" w:lineRule="auto"/>
        <w:rPr>
          <w:color w:val="212121"/>
          <w:sz w:val="22"/>
          <w:szCs w:val="22"/>
        </w:rPr>
      </w:pPr>
    </w:p>
    <w:p w:rsidRPr="00C97DF9" w:rsidR="00112E33" w:rsidP="007D1D64" w:rsidRDefault="00112E33" w14:paraId="4B8E6647" w14:textId="77777777">
      <w:pPr>
        <w:spacing w:after="160" w:line="259" w:lineRule="auto"/>
        <w:rPr>
          <w:color w:val="212121"/>
          <w:sz w:val="22"/>
          <w:szCs w:val="22"/>
        </w:rPr>
      </w:pPr>
    </w:p>
    <w:p w:rsidRPr="00C97DF9" w:rsidR="00112E33" w:rsidP="007D1D64" w:rsidRDefault="00112E33" w14:paraId="7C0186E9" w14:textId="77777777">
      <w:pPr>
        <w:spacing w:after="160" w:line="259" w:lineRule="auto"/>
        <w:rPr>
          <w:color w:val="212121"/>
          <w:sz w:val="22"/>
          <w:szCs w:val="22"/>
        </w:rPr>
      </w:pPr>
    </w:p>
    <w:p w:rsidRPr="00C97DF9" w:rsidR="00112E33" w:rsidP="007D1D64" w:rsidRDefault="00112E33" w14:paraId="0E213DCA" w14:textId="77777777">
      <w:pPr>
        <w:spacing w:after="160" w:line="259" w:lineRule="auto"/>
        <w:rPr>
          <w:color w:val="212121"/>
          <w:sz w:val="22"/>
          <w:szCs w:val="22"/>
        </w:rPr>
      </w:pPr>
    </w:p>
    <w:p w:rsidRPr="00C97DF9" w:rsidR="00112E33" w:rsidP="007D1D64" w:rsidRDefault="00112E33" w14:paraId="7F45EBE4" w14:textId="77777777">
      <w:pPr>
        <w:spacing w:after="160" w:line="259" w:lineRule="auto"/>
        <w:rPr>
          <w:color w:val="212121"/>
          <w:sz w:val="22"/>
          <w:szCs w:val="22"/>
        </w:rPr>
      </w:pPr>
    </w:p>
    <w:p w:rsidRPr="00C97DF9" w:rsidR="00112E33" w:rsidP="007D1D64" w:rsidRDefault="00112E33" w14:paraId="5F38EC95" w14:textId="77777777">
      <w:pPr>
        <w:spacing w:after="160" w:line="259" w:lineRule="auto"/>
        <w:rPr>
          <w:color w:val="212121"/>
          <w:sz w:val="22"/>
          <w:szCs w:val="22"/>
        </w:rPr>
      </w:pPr>
    </w:p>
    <w:p w:rsidRPr="00C97DF9" w:rsidR="00112E33" w:rsidP="007D1D64" w:rsidRDefault="00112E33" w14:paraId="0FDC2684" w14:textId="77777777">
      <w:pPr>
        <w:spacing w:after="160" w:line="259" w:lineRule="auto"/>
        <w:rPr>
          <w:color w:val="212121"/>
          <w:sz w:val="22"/>
          <w:szCs w:val="22"/>
        </w:rPr>
      </w:pPr>
    </w:p>
    <w:p w:rsidRPr="00C97DF9" w:rsidR="00112E33" w:rsidP="007D1D64" w:rsidRDefault="00112E33" w14:paraId="1E5D0624" w14:textId="77777777">
      <w:pPr>
        <w:spacing w:after="160" w:line="259" w:lineRule="auto"/>
        <w:rPr>
          <w:color w:val="212121"/>
          <w:sz w:val="22"/>
          <w:szCs w:val="22"/>
        </w:rPr>
      </w:pPr>
    </w:p>
    <w:p w:rsidRPr="00664E0D" w:rsidR="00112E33" w:rsidP="007D1D64" w:rsidRDefault="00112E33" w14:paraId="59AFB796" w14:textId="6367C0D1">
      <w:pPr>
        <w:spacing w:after="160" w:line="259" w:lineRule="auto"/>
        <w:rPr>
          <w:color w:val="212121"/>
          <w:sz w:val="22"/>
          <w:szCs w:val="22"/>
        </w:rPr>
      </w:pPr>
      <w:r w:rsidRPr="00664E0D">
        <w:rPr>
          <w:noProof/>
          <w:color w:val="212121"/>
        </w:rPr>
        <w:drawing>
          <wp:inline distT="0" distB="0" distL="0" distR="0" wp14:anchorId="6721D763" wp14:editId="1850EFF9">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rsidRPr="00664E0D" w:rsidR="007D1D64" w:rsidP="007D1D64" w:rsidRDefault="007D1D64" w14:paraId="4BBA0357" w14:textId="5255D752">
      <w:pPr>
        <w:spacing w:after="160" w:line="259" w:lineRule="auto"/>
        <w:rPr>
          <w:color w:val="212121"/>
          <w:sz w:val="22"/>
          <w:szCs w:val="22"/>
        </w:rPr>
      </w:pPr>
      <w:r w:rsidRPr="00664E0D">
        <w:rPr>
          <w:color w:val="212121"/>
          <w:sz w:val="22"/>
          <w:szCs w:val="22"/>
        </w:rPr>
        <w:t>© Crown copyright 20</w:t>
      </w:r>
      <w:r w:rsidRPr="00664E0D" w:rsidR="5F91D42B">
        <w:rPr>
          <w:color w:val="212121"/>
          <w:sz w:val="22"/>
          <w:szCs w:val="22"/>
        </w:rPr>
        <w:t>26</w:t>
      </w:r>
    </w:p>
    <w:p w:rsidRPr="00664E0D" w:rsidR="007D1D64" w:rsidP="007D1D64" w:rsidRDefault="007D1D64" w14:paraId="3A1EFEA4" w14:textId="779BDFEB">
      <w:pPr>
        <w:spacing w:after="160" w:line="259" w:lineRule="auto"/>
        <w:rPr>
          <w:color w:val="212121"/>
          <w:sz w:val="22"/>
          <w:szCs w:val="22"/>
        </w:rPr>
      </w:pPr>
      <w:r w:rsidRPr="00664E0D">
        <w:rPr>
          <w:color w:val="212121"/>
          <w:sz w:val="22"/>
          <w:szCs w:val="22"/>
        </w:rPr>
        <w:t xml:space="preserve">This publication is licensed under the terms of the Open Government Licence v3.0 except where otherwise stated. To view this licence, visit </w:t>
      </w:r>
      <w:hyperlink w:history="1" r:id="rId13">
        <w:r w:rsidRPr="00664E0D">
          <w:rPr>
            <w:rStyle w:val="Hyperlink"/>
            <w:color w:val="212121"/>
            <w:sz w:val="22"/>
            <w:szCs w:val="22"/>
          </w:rPr>
          <w:t>nationalarchives.gov.uk/doc/open-government-licence/version/3</w:t>
        </w:r>
      </w:hyperlink>
      <w:r w:rsidRPr="00664E0D">
        <w:rPr>
          <w:color w:val="212121"/>
          <w:sz w:val="22"/>
          <w:szCs w:val="22"/>
        </w:rPr>
        <w:t xml:space="preserve"> or write to the Information Policy Team, The National Archives, Kew, London TW9 4DU, or email: </w:t>
      </w:r>
      <w:hyperlink w:history="1" r:id="rId14">
        <w:r w:rsidRPr="00664E0D" w:rsidR="009E1EAF">
          <w:rPr>
            <w:rStyle w:val="Hyperlink"/>
            <w:color w:val="212121"/>
            <w:sz w:val="22"/>
            <w:szCs w:val="22"/>
          </w:rPr>
          <w:t>psi@nationalarchives.gsi.gov.uk</w:t>
        </w:r>
      </w:hyperlink>
      <w:r w:rsidRPr="00664E0D">
        <w:rPr>
          <w:color w:val="212121"/>
          <w:sz w:val="22"/>
          <w:szCs w:val="22"/>
        </w:rPr>
        <w:t>.</w:t>
      </w:r>
      <w:r w:rsidRPr="00664E0D" w:rsidR="009E1EAF">
        <w:rPr>
          <w:color w:val="212121"/>
          <w:sz w:val="22"/>
          <w:szCs w:val="22"/>
        </w:rPr>
        <w:t xml:space="preserve"> </w:t>
      </w:r>
    </w:p>
    <w:p w:rsidRPr="00664E0D" w:rsidR="007D1D64" w:rsidP="007D1D64" w:rsidRDefault="007D1D64" w14:paraId="521BB1D8" w14:textId="77777777">
      <w:pPr>
        <w:spacing w:after="160" w:line="259" w:lineRule="auto"/>
        <w:rPr>
          <w:color w:val="212121"/>
          <w:sz w:val="22"/>
          <w:szCs w:val="22"/>
        </w:rPr>
      </w:pPr>
      <w:r w:rsidRPr="00664E0D">
        <w:rPr>
          <w:color w:val="212121"/>
          <w:sz w:val="22"/>
          <w:szCs w:val="22"/>
        </w:rPr>
        <w:t>Where we have identified any third-party copyright information you will need to obtain permission from the copyright holders concerned.</w:t>
      </w:r>
    </w:p>
    <w:p w:rsidRPr="00664E0D" w:rsidR="007D1D64" w:rsidP="007D1D64" w:rsidRDefault="007D1D64" w14:paraId="0B828443" w14:textId="77777777">
      <w:pPr>
        <w:spacing w:after="160" w:line="259" w:lineRule="auto"/>
        <w:rPr>
          <w:color w:val="212121"/>
          <w:sz w:val="22"/>
          <w:szCs w:val="22"/>
        </w:rPr>
      </w:pPr>
      <w:r w:rsidRPr="00664E0D">
        <w:rPr>
          <w:color w:val="212121"/>
          <w:sz w:val="22"/>
          <w:szCs w:val="22"/>
        </w:rPr>
        <w:t xml:space="preserve">Any enquiries regarding this publication should be sent to us at: </w:t>
      </w:r>
    </w:p>
    <w:p w:rsidRPr="00664E0D" w:rsidR="007D1D64" w:rsidRDefault="00A62D44" w14:paraId="5F0B07D2" w14:textId="0E9D6D15">
      <w:pPr>
        <w:spacing w:after="160" w:line="259" w:lineRule="auto"/>
        <w:rPr>
          <w:color w:val="212121"/>
          <w:sz w:val="22"/>
          <w:szCs w:val="22"/>
        </w:rPr>
      </w:pPr>
      <w:hyperlink w:history="1" r:id="rId15">
        <w:r w:rsidRPr="00664E0D">
          <w:rPr>
            <w:rStyle w:val="Hyperlink"/>
            <w:color w:val="212121"/>
            <w:sz w:val="22"/>
            <w:szCs w:val="22"/>
          </w:rPr>
          <w:t>ODA-Transparency@beis.gov.uk</w:t>
        </w:r>
      </w:hyperlink>
      <w:r w:rsidRPr="00664E0D">
        <w:rPr>
          <w:color w:val="212121"/>
          <w:sz w:val="22"/>
          <w:szCs w:val="22"/>
        </w:rPr>
        <w:t xml:space="preserve"> </w:t>
      </w:r>
      <w:r w:rsidRPr="00664E0D" w:rsidR="007D1D64">
        <w:rPr>
          <w:color w:val="212121"/>
          <w:sz w:val="22"/>
          <w:szCs w:val="22"/>
        </w:rPr>
        <w:br w:type="page"/>
      </w:r>
    </w:p>
    <w:sdt>
      <w:sdtPr>
        <w:rPr>
          <w:rFonts w:ascii="Arial" w:hAnsi="Arial" w:eastAsia="Times New Roman" w:cs="Times New Roman"/>
          <w:color w:val="212121"/>
          <w:sz w:val="24"/>
          <w:szCs w:val="24"/>
          <w:lang w:val="en-GB"/>
        </w:rPr>
        <w:id w:val="744424984"/>
        <w:docPartObj>
          <w:docPartGallery w:val="Table of Contents"/>
          <w:docPartUnique/>
        </w:docPartObj>
      </w:sdtPr>
      <w:sdtContent>
        <w:p w:rsidRPr="00664E0D" w:rsidR="001B14BA" w:rsidRDefault="001B14BA" w14:paraId="52C8021F" w14:textId="7479CA6B">
          <w:pPr>
            <w:pStyle w:val="TOCHeading"/>
            <w:rPr>
              <w:rFonts w:ascii="Arial" w:hAnsi="Arial" w:cs="Arial"/>
              <w:color w:val="212121"/>
              <w:sz w:val="76"/>
              <w:szCs w:val="76"/>
            </w:rPr>
          </w:pPr>
          <w:r w:rsidRPr="00664E0D">
            <w:rPr>
              <w:rFonts w:ascii="Arial" w:hAnsi="Arial" w:cs="Arial"/>
              <w:color w:val="212121"/>
              <w:sz w:val="76"/>
              <w:szCs w:val="76"/>
            </w:rPr>
            <w:t>Contents</w:t>
          </w:r>
        </w:p>
        <w:p w:rsidRPr="00664E0D" w:rsidR="0030176F" w:rsidP="0030176F" w:rsidRDefault="0030176F" w14:paraId="7F576620" w14:textId="77777777">
          <w:pPr>
            <w:rPr>
              <w:color w:val="212121"/>
              <w:lang w:val="en-US"/>
            </w:rPr>
          </w:pPr>
        </w:p>
        <w:p w:rsidRPr="00664E0D" w:rsidR="159F08A2" w:rsidP="159F08A2" w:rsidRDefault="159F08A2" w14:paraId="4A531AFB" w14:textId="7964F4C0">
          <w:pPr>
            <w:pStyle w:val="TOC1"/>
            <w:tabs>
              <w:tab w:val="right" w:leader="dot" w:pos="9016"/>
            </w:tabs>
            <w:rPr>
              <w:rFonts w:cs="Arial"/>
              <w:b/>
              <w:bCs/>
              <w:noProof/>
              <w:color w:val="212121"/>
              <w:lang w:eastAsia="en-GB"/>
            </w:rPr>
          </w:pPr>
        </w:p>
        <w:p w:rsidRPr="00664E0D" w:rsidR="00975C43" w:rsidRDefault="00023069" w14:paraId="0BE28525" w14:textId="0AF316A7">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r w:rsidRPr="00664E0D">
            <w:rPr>
              <w:color w:val="212121"/>
            </w:rPr>
            <w:fldChar w:fldCharType="begin"/>
          </w:r>
          <w:r w:rsidRPr="00664E0D" w:rsidR="001B14BA">
            <w:rPr>
              <w:color w:val="212121"/>
            </w:rPr>
            <w:instrText>TOC \o "1-3" \z \u \h</w:instrText>
          </w:r>
          <w:r w:rsidRPr="00664E0D">
            <w:rPr>
              <w:color w:val="212121"/>
            </w:rPr>
            <w:fldChar w:fldCharType="separate"/>
          </w:r>
          <w:hyperlink w:history="1" w:anchor="_Toc227234236">
            <w:r w:rsidRPr="00664E0D" w:rsidR="00975C43">
              <w:rPr>
                <w:rStyle w:val="Hyperlink"/>
                <w:rFonts w:eastAsia="Arial" w:cs="Arial"/>
                <w:b/>
                <w:bCs/>
                <w:noProof/>
                <w:color w:val="212121"/>
              </w:rPr>
              <w:t>Glossary</w:t>
            </w:r>
            <w:r w:rsidRPr="00664E0D" w:rsidR="00975C43">
              <w:rPr>
                <w:noProof/>
                <w:webHidden/>
                <w:color w:val="212121"/>
              </w:rPr>
              <w:tab/>
            </w:r>
            <w:r w:rsidRPr="00664E0D" w:rsidR="00975C43">
              <w:rPr>
                <w:noProof/>
                <w:webHidden/>
                <w:color w:val="212121"/>
              </w:rPr>
              <w:fldChar w:fldCharType="begin"/>
            </w:r>
            <w:r w:rsidRPr="00664E0D" w:rsidR="00975C43">
              <w:rPr>
                <w:noProof/>
                <w:webHidden/>
                <w:color w:val="212121"/>
              </w:rPr>
              <w:instrText xml:space="preserve"> PAGEREF _Toc227234236 \h </w:instrText>
            </w:r>
            <w:r w:rsidRPr="00664E0D" w:rsidR="00975C43">
              <w:rPr>
                <w:noProof/>
                <w:webHidden/>
                <w:color w:val="212121"/>
              </w:rPr>
            </w:r>
            <w:r w:rsidRPr="00664E0D" w:rsidR="00975C43">
              <w:rPr>
                <w:noProof/>
                <w:webHidden/>
                <w:color w:val="212121"/>
              </w:rPr>
              <w:fldChar w:fldCharType="separate"/>
            </w:r>
            <w:r w:rsidRPr="00664E0D" w:rsidR="00975C43">
              <w:rPr>
                <w:noProof/>
                <w:webHidden/>
                <w:color w:val="212121"/>
              </w:rPr>
              <w:t>4</w:t>
            </w:r>
            <w:r w:rsidRPr="00664E0D" w:rsidR="00975C43">
              <w:rPr>
                <w:noProof/>
                <w:webHidden/>
                <w:color w:val="212121"/>
              </w:rPr>
              <w:fldChar w:fldCharType="end"/>
            </w:r>
          </w:hyperlink>
        </w:p>
        <w:p w:rsidRPr="00664E0D" w:rsidR="00975C43" w:rsidRDefault="00975C43" w14:paraId="0C1A9AC9" w14:textId="0A15E548">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37">
            <w:r w:rsidRPr="00664E0D">
              <w:rPr>
                <w:rStyle w:val="Hyperlink"/>
                <w:rFonts w:cs="Arial"/>
                <w:b/>
                <w:bCs/>
                <w:noProof/>
                <w:color w:val="212121"/>
                <w:lang w:eastAsia="en-GB"/>
              </w:rPr>
              <w:t>Section A: Summary and overview</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_Toc227234237 \h </w:instrText>
            </w:r>
            <w:r w:rsidRPr="00664E0D">
              <w:rPr>
                <w:noProof/>
                <w:webHidden/>
                <w:color w:val="212121"/>
              </w:rPr>
            </w:r>
            <w:r w:rsidRPr="00664E0D">
              <w:rPr>
                <w:noProof/>
                <w:webHidden/>
                <w:color w:val="212121"/>
              </w:rPr>
              <w:fldChar w:fldCharType="separate"/>
            </w:r>
            <w:r w:rsidRPr="00664E0D">
              <w:rPr>
                <w:noProof/>
                <w:webHidden/>
                <w:color w:val="212121"/>
              </w:rPr>
              <w:t>4</w:t>
            </w:r>
            <w:r w:rsidRPr="00664E0D">
              <w:rPr>
                <w:noProof/>
                <w:webHidden/>
                <w:color w:val="212121"/>
              </w:rPr>
              <w:fldChar w:fldCharType="end"/>
            </w:r>
          </w:hyperlink>
        </w:p>
        <w:p w:rsidRPr="00664E0D" w:rsidR="00975C43" w:rsidRDefault="00975C43" w14:paraId="73B0C94A" w14:textId="61E192FA">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38">
            <w:r w:rsidRPr="00664E0D">
              <w:rPr>
                <w:rStyle w:val="Hyperlink"/>
                <w:noProof/>
                <w:color w:val="212121"/>
              </w:rPr>
              <w:t>Description of programme</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_Toc227234238 \h </w:instrText>
            </w:r>
            <w:r w:rsidRPr="00664E0D">
              <w:rPr>
                <w:noProof/>
                <w:webHidden/>
                <w:color w:val="212121"/>
              </w:rPr>
            </w:r>
            <w:r w:rsidRPr="00664E0D">
              <w:rPr>
                <w:noProof/>
                <w:webHidden/>
                <w:color w:val="212121"/>
              </w:rPr>
              <w:fldChar w:fldCharType="separate"/>
            </w:r>
            <w:r w:rsidRPr="00664E0D">
              <w:rPr>
                <w:noProof/>
                <w:webHidden/>
                <w:color w:val="212121"/>
              </w:rPr>
              <w:t>4</w:t>
            </w:r>
            <w:r w:rsidRPr="00664E0D">
              <w:rPr>
                <w:noProof/>
                <w:webHidden/>
                <w:color w:val="212121"/>
              </w:rPr>
              <w:fldChar w:fldCharType="end"/>
            </w:r>
          </w:hyperlink>
        </w:p>
        <w:p w:rsidRPr="00664E0D" w:rsidR="00975C43" w:rsidRDefault="00975C43" w14:paraId="60270588" w14:textId="45D0EFF4">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39">
            <w:r w:rsidRPr="00664E0D">
              <w:rPr>
                <w:rStyle w:val="Hyperlink"/>
                <w:noProof/>
                <w:color w:val="212121"/>
              </w:rPr>
              <w:t>Summary of progress and supporting narrative for the overall score</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_Toc227234239 \h </w:instrText>
            </w:r>
            <w:r w:rsidRPr="00664E0D">
              <w:rPr>
                <w:noProof/>
                <w:webHidden/>
                <w:color w:val="212121"/>
              </w:rPr>
            </w:r>
            <w:r w:rsidRPr="00664E0D">
              <w:rPr>
                <w:noProof/>
                <w:webHidden/>
                <w:color w:val="212121"/>
              </w:rPr>
              <w:fldChar w:fldCharType="separate"/>
            </w:r>
            <w:r w:rsidRPr="00664E0D">
              <w:rPr>
                <w:noProof/>
                <w:webHidden/>
                <w:color w:val="212121"/>
              </w:rPr>
              <w:t>5</w:t>
            </w:r>
            <w:r w:rsidRPr="00664E0D">
              <w:rPr>
                <w:noProof/>
                <w:webHidden/>
                <w:color w:val="212121"/>
              </w:rPr>
              <w:fldChar w:fldCharType="end"/>
            </w:r>
          </w:hyperlink>
        </w:p>
        <w:p w:rsidRPr="00664E0D" w:rsidR="00975C43" w:rsidRDefault="00975C43" w14:paraId="540C10BD" w14:textId="34C3440E">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0">
            <w:r w:rsidRPr="00664E0D">
              <w:rPr>
                <w:rStyle w:val="Hyperlink"/>
                <w:noProof/>
                <w:color w:val="212121"/>
              </w:rPr>
              <w:t>Progress against recommendations from the last review</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_Toc227234240 \h </w:instrText>
            </w:r>
            <w:r w:rsidRPr="00664E0D">
              <w:rPr>
                <w:noProof/>
                <w:webHidden/>
                <w:color w:val="212121"/>
              </w:rPr>
            </w:r>
            <w:r w:rsidRPr="00664E0D">
              <w:rPr>
                <w:noProof/>
                <w:webHidden/>
                <w:color w:val="212121"/>
              </w:rPr>
              <w:fldChar w:fldCharType="separate"/>
            </w:r>
            <w:r w:rsidRPr="00664E0D">
              <w:rPr>
                <w:noProof/>
                <w:webHidden/>
                <w:color w:val="212121"/>
              </w:rPr>
              <w:t>6</w:t>
            </w:r>
            <w:r w:rsidRPr="00664E0D">
              <w:rPr>
                <w:noProof/>
                <w:webHidden/>
                <w:color w:val="212121"/>
              </w:rPr>
              <w:fldChar w:fldCharType="end"/>
            </w:r>
          </w:hyperlink>
        </w:p>
        <w:p w:rsidRPr="00664E0D" w:rsidR="00975C43" w:rsidRDefault="00975C43" w14:paraId="6DEB16CC" w14:textId="77AD3F2F">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1">
            <w:r w:rsidRPr="00664E0D">
              <w:rPr>
                <w:rStyle w:val="Hyperlink"/>
                <w:noProof/>
                <w:color w:val="212121"/>
              </w:rPr>
              <w:t>Major lessons and recommendations for the year ahead</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_Toc227234241 \h </w:instrText>
            </w:r>
            <w:r w:rsidRPr="00664E0D">
              <w:rPr>
                <w:noProof/>
                <w:webHidden/>
                <w:color w:val="212121"/>
              </w:rPr>
            </w:r>
            <w:r w:rsidRPr="00664E0D">
              <w:rPr>
                <w:noProof/>
                <w:webHidden/>
                <w:color w:val="212121"/>
              </w:rPr>
              <w:fldChar w:fldCharType="separate"/>
            </w:r>
            <w:r w:rsidRPr="00664E0D">
              <w:rPr>
                <w:noProof/>
                <w:webHidden/>
                <w:color w:val="212121"/>
              </w:rPr>
              <w:t>8</w:t>
            </w:r>
            <w:r w:rsidRPr="00664E0D">
              <w:rPr>
                <w:noProof/>
                <w:webHidden/>
                <w:color w:val="212121"/>
              </w:rPr>
              <w:fldChar w:fldCharType="end"/>
            </w:r>
          </w:hyperlink>
        </w:p>
        <w:p w:rsidRPr="00664E0D" w:rsidR="00975C43" w:rsidRDefault="00975C43" w14:paraId="6ED67EC7" w14:textId="492C3B51">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2">
            <w:r w:rsidRPr="00664E0D">
              <w:rPr>
                <w:rStyle w:val="Hyperlink"/>
                <w:rFonts w:cs="Arial"/>
                <w:b/>
                <w:bCs/>
                <w:noProof/>
                <w:color w:val="212121"/>
                <w:lang w:eastAsia="en-GB"/>
              </w:rPr>
              <w:t>Section B: Theory of change and progress towards outcomes</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_Toc227234242 \h </w:instrText>
            </w:r>
            <w:r w:rsidRPr="00664E0D">
              <w:rPr>
                <w:noProof/>
                <w:webHidden/>
                <w:color w:val="212121"/>
              </w:rPr>
            </w:r>
            <w:r w:rsidRPr="00664E0D">
              <w:rPr>
                <w:noProof/>
                <w:webHidden/>
                <w:color w:val="212121"/>
              </w:rPr>
              <w:fldChar w:fldCharType="separate"/>
            </w:r>
            <w:r w:rsidRPr="00664E0D">
              <w:rPr>
                <w:noProof/>
                <w:webHidden/>
                <w:color w:val="212121"/>
              </w:rPr>
              <w:t>9</w:t>
            </w:r>
            <w:r w:rsidRPr="00664E0D">
              <w:rPr>
                <w:noProof/>
                <w:webHidden/>
                <w:color w:val="212121"/>
              </w:rPr>
              <w:fldChar w:fldCharType="end"/>
            </w:r>
          </w:hyperlink>
        </w:p>
        <w:p w:rsidRPr="00664E0D" w:rsidR="00975C43" w:rsidRDefault="00975C43" w14:paraId="35CA7D13" w14:textId="4A978C24">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3">
            <w:r w:rsidRPr="00664E0D">
              <w:rPr>
                <w:rStyle w:val="Hyperlink"/>
                <w:noProof/>
                <w:color w:val="212121"/>
              </w:rPr>
              <w:t>Summary of the programme’s theory of change, including any changes to outcome and impact indicators from the original business case</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_Toc227234243 \h </w:instrText>
            </w:r>
            <w:r w:rsidRPr="00664E0D">
              <w:rPr>
                <w:noProof/>
                <w:webHidden/>
                <w:color w:val="212121"/>
              </w:rPr>
            </w:r>
            <w:r w:rsidRPr="00664E0D">
              <w:rPr>
                <w:noProof/>
                <w:webHidden/>
                <w:color w:val="212121"/>
              </w:rPr>
              <w:fldChar w:fldCharType="separate"/>
            </w:r>
            <w:r w:rsidRPr="00664E0D">
              <w:rPr>
                <w:noProof/>
                <w:webHidden/>
                <w:color w:val="212121"/>
              </w:rPr>
              <w:t>9</w:t>
            </w:r>
            <w:r w:rsidRPr="00664E0D">
              <w:rPr>
                <w:noProof/>
                <w:webHidden/>
                <w:color w:val="212121"/>
              </w:rPr>
              <w:fldChar w:fldCharType="end"/>
            </w:r>
          </w:hyperlink>
        </w:p>
        <w:p w:rsidR="00784BC2" w:rsidRDefault="00784BC2" w14:paraId="6AFB6469" w14:textId="77777777">
          <w:pPr>
            <w:pStyle w:val="TOC2"/>
            <w:rPr>
              <w:kern w:val="2"/>
              <w:lang w:eastAsia="en-GB"/>
              <w14:ligatures w14:val="standardContextual"/>
            </w:rPr>
          </w:pPr>
          <w:hyperlink w:history="1" w:anchor="_Toc227234244">
            <w:r>
              <w:rPr>
                <w:rStyle w:val="Hyperlink"/>
                <w:color w:val="212121"/>
              </w:rPr>
              <w:t>Progress against the expected outcomes and impact, and actions planned for the year ahead</w:t>
            </w:r>
            <w:r>
              <w:rPr>
                <w:rStyle w:val="Hyperlink"/>
                <w:color w:val="212121"/>
                <w:u w:val="none"/>
              </w:rPr>
              <w:t>. 10</w:t>
            </w:r>
          </w:hyperlink>
        </w:p>
        <w:p w:rsidRPr="00664E0D" w:rsidR="00975C43" w:rsidRDefault="00975C43" w14:paraId="3D94877A" w14:textId="5248F9C4">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5">
            <w:r w:rsidRPr="00664E0D">
              <w:rPr>
                <w:rStyle w:val="Hyperlink"/>
                <w:noProof/>
                <w:color w:val="212121"/>
              </w:rPr>
              <w:t>Logframe updates since the last review</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_Toc227234245 \h </w:instrText>
            </w:r>
            <w:r w:rsidRPr="00664E0D">
              <w:rPr>
                <w:noProof/>
                <w:webHidden/>
                <w:color w:val="212121"/>
              </w:rPr>
            </w:r>
            <w:r w:rsidRPr="00664E0D">
              <w:rPr>
                <w:noProof/>
                <w:webHidden/>
                <w:color w:val="212121"/>
              </w:rPr>
              <w:fldChar w:fldCharType="separate"/>
            </w:r>
            <w:r w:rsidRPr="00664E0D">
              <w:rPr>
                <w:noProof/>
                <w:webHidden/>
                <w:color w:val="212121"/>
              </w:rPr>
              <w:t>11</w:t>
            </w:r>
            <w:r w:rsidRPr="00664E0D">
              <w:rPr>
                <w:noProof/>
                <w:webHidden/>
                <w:color w:val="212121"/>
              </w:rPr>
              <w:fldChar w:fldCharType="end"/>
            </w:r>
          </w:hyperlink>
        </w:p>
        <w:p w:rsidRPr="00664E0D" w:rsidR="00975C43" w:rsidRDefault="00975C43" w14:paraId="061E2DC3" w14:textId="00632904">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6">
            <w:r w:rsidRPr="00664E0D">
              <w:rPr>
                <w:rStyle w:val="Hyperlink"/>
                <w:rFonts w:cs="Arial"/>
                <w:b/>
                <w:bCs/>
                <w:noProof/>
                <w:color w:val="212121"/>
                <w:lang w:eastAsia="en-GB"/>
              </w:rPr>
              <w:t>Section C: Output scoring</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_Toc227234246 \h </w:instrText>
            </w:r>
            <w:r w:rsidRPr="00664E0D">
              <w:rPr>
                <w:noProof/>
                <w:webHidden/>
                <w:color w:val="212121"/>
              </w:rPr>
            </w:r>
            <w:r w:rsidRPr="00664E0D">
              <w:rPr>
                <w:noProof/>
                <w:webHidden/>
                <w:color w:val="212121"/>
              </w:rPr>
              <w:fldChar w:fldCharType="separate"/>
            </w:r>
            <w:r w:rsidRPr="00664E0D">
              <w:rPr>
                <w:noProof/>
                <w:webHidden/>
                <w:color w:val="212121"/>
              </w:rPr>
              <w:t>12</w:t>
            </w:r>
            <w:r w:rsidRPr="00664E0D">
              <w:rPr>
                <w:noProof/>
                <w:webHidden/>
                <w:color w:val="212121"/>
              </w:rPr>
              <w:fldChar w:fldCharType="end"/>
            </w:r>
          </w:hyperlink>
        </w:p>
        <w:p w:rsidRPr="00664E0D" w:rsidR="00975C43" w:rsidRDefault="00975C43" w14:paraId="4ECE4E88" w14:textId="031F811F">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7">
            <w:r w:rsidRPr="00664E0D">
              <w:rPr>
                <w:rStyle w:val="Hyperlink"/>
                <w:noProof/>
                <w:color w:val="212121"/>
              </w:rPr>
              <w:t>Output 1: Development Contributions</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_Toc227234247 \h </w:instrText>
            </w:r>
            <w:r w:rsidRPr="00664E0D">
              <w:rPr>
                <w:noProof/>
                <w:webHidden/>
                <w:color w:val="212121"/>
              </w:rPr>
            </w:r>
            <w:r w:rsidRPr="00664E0D">
              <w:rPr>
                <w:noProof/>
                <w:webHidden/>
                <w:color w:val="212121"/>
              </w:rPr>
              <w:fldChar w:fldCharType="separate"/>
            </w:r>
            <w:r w:rsidRPr="00664E0D">
              <w:rPr>
                <w:noProof/>
                <w:webHidden/>
                <w:color w:val="212121"/>
              </w:rPr>
              <w:t>12</w:t>
            </w:r>
            <w:r w:rsidRPr="00664E0D">
              <w:rPr>
                <w:noProof/>
                <w:webHidden/>
                <w:color w:val="212121"/>
              </w:rPr>
              <w:fldChar w:fldCharType="end"/>
            </w:r>
          </w:hyperlink>
        </w:p>
        <w:p w:rsidRPr="00664E0D" w:rsidR="00975C43" w:rsidRDefault="00975C43" w14:paraId="5BA79630" w14:textId="76CA78FD">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8">
            <w:r w:rsidRPr="00664E0D">
              <w:rPr>
                <w:rStyle w:val="Hyperlink"/>
                <w:noProof/>
                <w:color w:val="212121"/>
              </w:rPr>
              <w:t>Output 2: Capital Investment</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_Toc227234248 \h </w:instrText>
            </w:r>
            <w:r w:rsidRPr="00664E0D">
              <w:rPr>
                <w:noProof/>
                <w:webHidden/>
                <w:color w:val="212121"/>
              </w:rPr>
            </w:r>
            <w:r w:rsidRPr="00664E0D">
              <w:rPr>
                <w:noProof/>
                <w:webHidden/>
                <w:color w:val="212121"/>
              </w:rPr>
              <w:fldChar w:fldCharType="separate"/>
            </w:r>
            <w:r w:rsidRPr="00664E0D">
              <w:rPr>
                <w:noProof/>
                <w:webHidden/>
                <w:color w:val="212121"/>
              </w:rPr>
              <w:t>15</w:t>
            </w:r>
            <w:r w:rsidRPr="00664E0D">
              <w:rPr>
                <w:noProof/>
                <w:webHidden/>
                <w:color w:val="212121"/>
              </w:rPr>
              <w:fldChar w:fldCharType="end"/>
            </w:r>
          </w:hyperlink>
        </w:p>
        <w:p w:rsidRPr="00664E0D" w:rsidR="00975C43" w:rsidRDefault="00975C43" w14:paraId="4739A706" w14:textId="5260C9C4">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49">
            <w:r w:rsidRPr="00664E0D">
              <w:rPr>
                <w:rStyle w:val="Hyperlink"/>
                <w:noProof/>
                <w:color w:val="212121"/>
              </w:rPr>
              <w:t>Output 3: Technical Assistance Facility</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_Toc227234249 \h </w:instrText>
            </w:r>
            <w:r w:rsidRPr="00664E0D">
              <w:rPr>
                <w:noProof/>
                <w:webHidden/>
                <w:color w:val="212121"/>
              </w:rPr>
            </w:r>
            <w:r w:rsidRPr="00664E0D">
              <w:rPr>
                <w:noProof/>
                <w:webHidden/>
                <w:color w:val="212121"/>
              </w:rPr>
              <w:fldChar w:fldCharType="separate"/>
            </w:r>
            <w:r w:rsidRPr="00664E0D">
              <w:rPr>
                <w:noProof/>
                <w:webHidden/>
                <w:color w:val="212121"/>
              </w:rPr>
              <w:t>17</w:t>
            </w:r>
            <w:r w:rsidRPr="00664E0D">
              <w:rPr>
                <w:noProof/>
                <w:webHidden/>
                <w:color w:val="212121"/>
              </w:rPr>
              <w:fldChar w:fldCharType="end"/>
            </w:r>
          </w:hyperlink>
        </w:p>
        <w:p w:rsidRPr="00664E0D" w:rsidR="00975C43" w:rsidRDefault="00975C43" w14:paraId="09C96720" w14:textId="5ABBF572">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0">
            <w:r w:rsidRPr="00664E0D">
              <w:rPr>
                <w:rStyle w:val="Hyperlink"/>
                <w:rFonts w:cs="Arial"/>
                <w:b/>
                <w:bCs/>
                <w:noProof/>
                <w:color w:val="212121"/>
                <w:lang w:eastAsia="en-GB"/>
              </w:rPr>
              <w:t>Section D: Programme performance not captured by outputs</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_Toc227234250 \h </w:instrText>
            </w:r>
            <w:r w:rsidRPr="00664E0D">
              <w:rPr>
                <w:noProof/>
                <w:webHidden/>
                <w:color w:val="212121"/>
              </w:rPr>
            </w:r>
            <w:r w:rsidRPr="00664E0D">
              <w:rPr>
                <w:noProof/>
                <w:webHidden/>
                <w:color w:val="212121"/>
              </w:rPr>
              <w:fldChar w:fldCharType="separate"/>
            </w:r>
            <w:r w:rsidRPr="00664E0D">
              <w:rPr>
                <w:noProof/>
                <w:webHidden/>
                <w:color w:val="212121"/>
              </w:rPr>
              <w:t>19</w:t>
            </w:r>
            <w:r w:rsidRPr="00664E0D">
              <w:rPr>
                <w:noProof/>
                <w:webHidden/>
                <w:color w:val="212121"/>
              </w:rPr>
              <w:fldChar w:fldCharType="end"/>
            </w:r>
          </w:hyperlink>
        </w:p>
        <w:p w:rsidRPr="00664E0D" w:rsidR="00975C43" w:rsidRDefault="00975C43" w14:paraId="0E85F737" w14:textId="363A78E0">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1">
            <w:r w:rsidRPr="00664E0D">
              <w:rPr>
                <w:rStyle w:val="Hyperlink"/>
                <w:rFonts w:cs="Arial"/>
                <w:b/>
                <w:bCs/>
                <w:noProof/>
                <w:color w:val="212121"/>
                <w:lang w:eastAsia="en-GB"/>
              </w:rPr>
              <w:t>Section E: Risk</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_Toc227234251 \h </w:instrText>
            </w:r>
            <w:r w:rsidRPr="00664E0D">
              <w:rPr>
                <w:noProof/>
                <w:webHidden/>
                <w:color w:val="212121"/>
              </w:rPr>
            </w:r>
            <w:r w:rsidRPr="00664E0D">
              <w:rPr>
                <w:noProof/>
                <w:webHidden/>
                <w:color w:val="212121"/>
              </w:rPr>
              <w:fldChar w:fldCharType="separate"/>
            </w:r>
            <w:r w:rsidRPr="00664E0D">
              <w:rPr>
                <w:noProof/>
                <w:webHidden/>
                <w:color w:val="212121"/>
              </w:rPr>
              <w:t>20</w:t>
            </w:r>
            <w:r w:rsidRPr="00664E0D">
              <w:rPr>
                <w:noProof/>
                <w:webHidden/>
                <w:color w:val="212121"/>
              </w:rPr>
              <w:fldChar w:fldCharType="end"/>
            </w:r>
          </w:hyperlink>
        </w:p>
        <w:p w:rsidRPr="00664E0D" w:rsidR="00975C43" w:rsidRDefault="00975C43" w14:paraId="4469C27C" w14:textId="25D2A0F7">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2">
            <w:r w:rsidRPr="00664E0D">
              <w:rPr>
                <w:rStyle w:val="Hyperlink"/>
                <w:noProof/>
                <w:color w:val="212121"/>
              </w:rPr>
              <w:t>Overall risk rating</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_Toc227234252 \h </w:instrText>
            </w:r>
            <w:r w:rsidRPr="00664E0D">
              <w:rPr>
                <w:noProof/>
                <w:webHidden/>
                <w:color w:val="212121"/>
              </w:rPr>
            </w:r>
            <w:r w:rsidRPr="00664E0D">
              <w:rPr>
                <w:noProof/>
                <w:webHidden/>
                <w:color w:val="212121"/>
              </w:rPr>
              <w:fldChar w:fldCharType="separate"/>
            </w:r>
            <w:r w:rsidRPr="00664E0D">
              <w:rPr>
                <w:noProof/>
                <w:webHidden/>
                <w:color w:val="212121"/>
              </w:rPr>
              <w:t>20</w:t>
            </w:r>
            <w:r w:rsidRPr="00664E0D">
              <w:rPr>
                <w:noProof/>
                <w:webHidden/>
                <w:color w:val="212121"/>
              </w:rPr>
              <w:fldChar w:fldCharType="end"/>
            </w:r>
          </w:hyperlink>
        </w:p>
        <w:p w:rsidRPr="00664E0D" w:rsidR="00975C43" w:rsidRDefault="00975C43" w14:paraId="2856F028" w14:textId="7154CC56">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3">
            <w:r w:rsidRPr="00664E0D">
              <w:rPr>
                <w:rStyle w:val="Hyperlink"/>
                <w:noProof/>
                <w:color w:val="212121"/>
              </w:rPr>
              <w:t>Overview of risk management</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_Toc227234253 \h </w:instrText>
            </w:r>
            <w:r w:rsidRPr="00664E0D">
              <w:rPr>
                <w:noProof/>
                <w:webHidden/>
                <w:color w:val="212121"/>
              </w:rPr>
            </w:r>
            <w:r w:rsidRPr="00664E0D">
              <w:rPr>
                <w:noProof/>
                <w:webHidden/>
                <w:color w:val="212121"/>
              </w:rPr>
              <w:fldChar w:fldCharType="separate"/>
            </w:r>
            <w:r w:rsidRPr="00664E0D">
              <w:rPr>
                <w:noProof/>
                <w:webHidden/>
                <w:color w:val="212121"/>
              </w:rPr>
              <w:t>20</w:t>
            </w:r>
            <w:r w:rsidRPr="00664E0D">
              <w:rPr>
                <w:noProof/>
                <w:webHidden/>
                <w:color w:val="212121"/>
              </w:rPr>
              <w:fldChar w:fldCharType="end"/>
            </w:r>
          </w:hyperlink>
        </w:p>
        <w:p w:rsidRPr="00664E0D" w:rsidR="00975C43" w:rsidRDefault="00975C43" w14:paraId="2A47F198" w14:textId="11D5734A">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4">
            <w:r w:rsidRPr="00664E0D">
              <w:rPr>
                <w:rStyle w:val="Hyperlink"/>
                <w:noProof/>
                <w:color w:val="212121"/>
              </w:rPr>
              <w:t>Current risks</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_Toc227234254 \h </w:instrText>
            </w:r>
            <w:r w:rsidRPr="00664E0D">
              <w:rPr>
                <w:noProof/>
                <w:webHidden/>
                <w:color w:val="212121"/>
              </w:rPr>
            </w:r>
            <w:r w:rsidRPr="00664E0D">
              <w:rPr>
                <w:noProof/>
                <w:webHidden/>
                <w:color w:val="212121"/>
              </w:rPr>
              <w:fldChar w:fldCharType="separate"/>
            </w:r>
            <w:r w:rsidRPr="00664E0D">
              <w:rPr>
                <w:noProof/>
                <w:webHidden/>
                <w:color w:val="212121"/>
              </w:rPr>
              <w:t>20</w:t>
            </w:r>
            <w:r w:rsidRPr="00664E0D">
              <w:rPr>
                <w:noProof/>
                <w:webHidden/>
                <w:color w:val="212121"/>
              </w:rPr>
              <w:fldChar w:fldCharType="end"/>
            </w:r>
          </w:hyperlink>
        </w:p>
        <w:p w:rsidRPr="00664E0D" w:rsidR="00975C43" w:rsidRDefault="00975C43" w14:paraId="250C1D80" w14:textId="601F123C">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5">
            <w:r w:rsidRPr="00664E0D">
              <w:rPr>
                <w:rStyle w:val="Hyperlink"/>
                <w:noProof/>
                <w:color w:val="212121"/>
              </w:rPr>
              <w:t>Outstanding actions from risk assessment</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_Toc227234255 \h </w:instrText>
            </w:r>
            <w:r w:rsidRPr="00664E0D">
              <w:rPr>
                <w:noProof/>
                <w:webHidden/>
                <w:color w:val="212121"/>
              </w:rPr>
            </w:r>
            <w:r w:rsidRPr="00664E0D">
              <w:rPr>
                <w:noProof/>
                <w:webHidden/>
                <w:color w:val="212121"/>
              </w:rPr>
              <w:fldChar w:fldCharType="separate"/>
            </w:r>
            <w:r w:rsidRPr="00664E0D">
              <w:rPr>
                <w:noProof/>
                <w:webHidden/>
                <w:color w:val="212121"/>
              </w:rPr>
              <w:t>22</w:t>
            </w:r>
            <w:r w:rsidRPr="00664E0D">
              <w:rPr>
                <w:noProof/>
                <w:webHidden/>
                <w:color w:val="212121"/>
              </w:rPr>
              <w:fldChar w:fldCharType="end"/>
            </w:r>
          </w:hyperlink>
        </w:p>
        <w:p w:rsidRPr="00664E0D" w:rsidR="00975C43" w:rsidRDefault="00975C43" w14:paraId="5CD483B3" w14:textId="0B78E4AB">
          <w:pPr>
            <w:pStyle w:val="TOC1"/>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6">
            <w:r w:rsidRPr="00664E0D">
              <w:rPr>
                <w:rStyle w:val="Hyperlink"/>
                <w:rFonts w:cs="Arial"/>
                <w:b/>
                <w:bCs/>
                <w:noProof/>
                <w:color w:val="212121"/>
                <w:lang w:eastAsia="en-GB"/>
              </w:rPr>
              <w:t>Section F: Programme management: delivery, VfM, commercial and financial performance</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_Toc227234256 \h </w:instrText>
            </w:r>
            <w:r w:rsidRPr="00664E0D">
              <w:rPr>
                <w:noProof/>
                <w:webHidden/>
                <w:color w:val="212121"/>
              </w:rPr>
            </w:r>
            <w:r w:rsidRPr="00664E0D">
              <w:rPr>
                <w:noProof/>
                <w:webHidden/>
                <w:color w:val="212121"/>
              </w:rPr>
              <w:fldChar w:fldCharType="separate"/>
            </w:r>
            <w:r w:rsidRPr="00664E0D">
              <w:rPr>
                <w:noProof/>
                <w:webHidden/>
                <w:color w:val="212121"/>
              </w:rPr>
              <w:t>22</w:t>
            </w:r>
            <w:r w:rsidRPr="00664E0D">
              <w:rPr>
                <w:noProof/>
                <w:webHidden/>
                <w:color w:val="212121"/>
              </w:rPr>
              <w:fldChar w:fldCharType="end"/>
            </w:r>
          </w:hyperlink>
        </w:p>
        <w:p w:rsidRPr="00664E0D" w:rsidR="00975C43" w:rsidRDefault="00975C43" w14:paraId="5FCD5FD0" w14:textId="0750425E">
          <w:pPr>
            <w:pStyle w:val="TOC2"/>
            <w:tabs>
              <w:tab w:val="right" w:leader="dot" w:pos="9016"/>
            </w:tabs>
            <w:rPr>
              <w:rFonts w:asciiTheme="minorHAnsi" w:hAnsiTheme="minorHAnsi" w:eastAsiaTheme="minorEastAsia" w:cstheme="minorBidi"/>
              <w:noProof/>
              <w:color w:val="212121"/>
              <w:kern w:val="2"/>
              <w:lang w:eastAsia="en-GB"/>
              <w14:ligatures w14:val="standardContextual"/>
            </w:rPr>
          </w:pPr>
          <w:hyperlink w:history="1" w:anchor="_Toc227234257">
            <w:r w:rsidRPr="00664E0D">
              <w:rPr>
                <w:rStyle w:val="Hyperlink"/>
                <w:noProof/>
                <w:color w:val="212121"/>
              </w:rPr>
              <w:t>Summary of the performance of partners and DESNZ, notably on commercial and financial issues, and including consideration of VfM.</w:t>
            </w:r>
            <w:r w:rsidRPr="00664E0D">
              <w:rPr>
                <w:noProof/>
                <w:webHidden/>
                <w:color w:val="212121"/>
              </w:rPr>
              <w:tab/>
            </w:r>
            <w:r w:rsidRPr="00664E0D">
              <w:rPr>
                <w:noProof/>
                <w:webHidden/>
                <w:color w:val="212121"/>
              </w:rPr>
              <w:fldChar w:fldCharType="begin"/>
            </w:r>
            <w:r w:rsidRPr="00664E0D">
              <w:rPr>
                <w:noProof/>
                <w:webHidden/>
                <w:color w:val="212121"/>
              </w:rPr>
              <w:instrText xml:space="preserve"> PAGEREF _Toc227234257 \h </w:instrText>
            </w:r>
            <w:r w:rsidRPr="00664E0D">
              <w:rPr>
                <w:noProof/>
                <w:webHidden/>
                <w:color w:val="212121"/>
              </w:rPr>
            </w:r>
            <w:r w:rsidRPr="00664E0D">
              <w:rPr>
                <w:noProof/>
                <w:webHidden/>
                <w:color w:val="212121"/>
              </w:rPr>
              <w:fldChar w:fldCharType="separate"/>
            </w:r>
            <w:r w:rsidRPr="00664E0D">
              <w:rPr>
                <w:noProof/>
                <w:webHidden/>
                <w:color w:val="212121"/>
              </w:rPr>
              <w:t>22</w:t>
            </w:r>
            <w:r w:rsidRPr="00664E0D">
              <w:rPr>
                <w:noProof/>
                <w:webHidden/>
                <w:color w:val="212121"/>
              </w:rPr>
              <w:fldChar w:fldCharType="end"/>
            </w:r>
          </w:hyperlink>
        </w:p>
        <w:p w:rsidRPr="00664E0D" w:rsidR="00DB4AAF" w:rsidP="527A8EFF" w:rsidRDefault="00023069" w14:paraId="2412FD0E" w14:textId="20FCE053">
          <w:pPr>
            <w:pStyle w:val="TOC2"/>
            <w:tabs>
              <w:tab w:val="right" w:leader="dot" w:pos="9015"/>
            </w:tabs>
            <w:rPr>
              <w:rStyle w:val="Hyperlink"/>
              <w:noProof/>
              <w:color w:val="212121"/>
              <w:kern w:val="2"/>
              <w:lang w:eastAsia="en-GB"/>
              <w14:ligatures w14:val="standardContextual"/>
            </w:rPr>
          </w:pPr>
          <w:r w:rsidRPr="00664E0D">
            <w:rPr>
              <w:color w:val="212121"/>
            </w:rPr>
            <w:fldChar w:fldCharType="end"/>
          </w:r>
        </w:p>
      </w:sdtContent>
      <w:sdtEndPr>
        <w:rPr>
          <w:rFonts w:ascii="Arial" w:hAnsi="Arial" w:eastAsia="Times New Roman" w:cs="Times New Roman"/>
          <w:color w:val="212121"/>
          <w:sz w:val="24"/>
          <w:szCs w:val="24"/>
          <w:lang w:val="en-GB"/>
        </w:rPr>
      </w:sdtEndPr>
    </w:sdt>
    <w:p w:rsidRPr="00664E0D" w:rsidR="001B14BA" w:rsidP="00276517" w:rsidRDefault="001B14BA" w14:paraId="5E063C9F" w14:textId="0782D2F0">
      <w:pPr>
        <w:spacing w:line="276" w:lineRule="auto"/>
        <w:rPr>
          <w:color w:val="212121"/>
        </w:rPr>
      </w:pPr>
    </w:p>
    <w:p w:rsidRPr="00664E0D" w:rsidR="008D3049" w:rsidRDefault="008D3049" w14:paraId="5329C57B" w14:textId="77E53EDE">
      <w:pPr>
        <w:spacing w:after="160" w:line="259" w:lineRule="auto"/>
        <w:rPr>
          <w:color w:val="212121"/>
          <w:sz w:val="22"/>
          <w:szCs w:val="22"/>
        </w:rPr>
      </w:pPr>
    </w:p>
    <w:p w:rsidRPr="00664E0D" w:rsidR="008D3049" w:rsidRDefault="00B06671" w14:paraId="07D3ACBE" w14:textId="4A5589FD">
      <w:pPr>
        <w:spacing w:after="160" w:line="259" w:lineRule="auto"/>
        <w:rPr>
          <w:color w:val="212121"/>
          <w:sz w:val="22"/>
          <w:szCs w:val="22"/>
        </w:rPr>
      </w:pPr>
      <w:r w:rsidRPr="00664E0D">
        <w:rPr>
          <w:color w:val="212121"/>
          <w:sz w:val="22"/>
          <w:szCs w:val="22"/>
        </w:rPr>
        <w:t xml:space="preserve">DO NOT delete the current contents list. To update the list right click on it and select </w:t>
      </w:r>
      <w:r w:rsidRPr="00664E0D" w:rsidR="00D0183B">
        <w:rPr>
          <w:color w:val="212121"/>
          <w:sz w:val="22"/>
          <w:szCs w:val="22"/>
        </w:rPr>
        <w:t>‘</w:t>
      </w:r>
      <w:r w:rsidRPr="00664E0D">
        <w:rPr>
          <w:color w:val="212121"/>
          <w:sz w:val="22"/>
          <w:szCs w:val="22"/>
        </w:rPr>
        <w:t>Update entire table’.</w:t>
      </w:r>
      <w:r w:rsidRPr="00664E0D" w:rsidR="008D3049">
        <w:rPr>
          <w:color w:val="212121"/>
          <w:sz w:val="22"/>
          <w:szCs w:val="22"/>
        </w:rPr>
        <w:br w:type="page"/>
      </w:r>
    </w:p>
    <w:p w:rsidRPr="00664E0D" w:rsidR="00A70853" w:rsidP="00A70853" w:rsidRDefault="00A70853" w14:paraId="7CE599A7" w14:textId="77777777">
      <w:pPr>
        <w:pStyle w:val="Heading1"/>
        <w:jc w:val="both"/>
        <w:rPr>
          <w:rFonts w:ascii="Arial" w:hAnsi="Arial" w:eastAsia="Arial" w:cs="Arial"/>
          <w:color w:val="212121"/>
        </w:rPr>
      </w:pPr>
      <w:bookmarkStart w:name="_Toc197680339" w:id="0"/>
      <w:bookmarkStart w:name="_Toc227234236" w:id="1"/>
      <w:r w:rsidRPr="00664E0D">
        <w:rPr>
          <w:rFonts w:ascii="Arial" w:hAnsi="Arial" w:eastAsia="Arial" w:cs="Arial"/>
          <w:b/>
          <w:bCs/>
          <w:color w:val="212121"/>
          <w:sz w:val="24"/>
          <w:szCs w:val="24"/>
        </w:rPr>
        <w:t>Glossary</w:t>
      </w:r>
      <w:bookmarkEnd w:id="0"/>
      <w:bookmarkEnd w:id="1"/>
    </w:p>
    <w:p w:rsidRPr="00664E0D" w:rsidR="00A70853" w:rsidP="39F6F154" w:rsidRDefault="00A70853" w14:paraId="71AFB5FD" w14:textId="77777777">
      <w:pPr>
        <w:jc w:val="center"/>
        <w:rPr>
          <w:rFonts w:cs="Arial"/>
          <w:b/>
          <w:bCs/>
          <w:i/>
          <w:iCs/>
          <w:color w:val="212121"/>
          <w:highlight w:val="yellow"/>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95"/>
        <w:gridCol w:w="7320"/>
      </w:tblGrid>
      <w:tr w:rsidRPr="001B0614" w:rsidR="002B1760" w14:paraId="517F8A08" w14:textId="77777777">
        <w:trPr>
          <w:trHeight w:val="300"/>
        </w:trPr>
        <w:tc>
          <w:tcPr>
            <w:tcW w:w="1695" w:type="dxa"/>
            <w:tcMar>
              <w:left w:w="105" w:type="dxa"/>
              <w:right w:w="105" w:type="dxa"/>
            </w:tcMar>
          </w:tcPr>
          <w:p w:rsidRPr="00664E0D" w:rsidR="002B1760" w:rsidRDefault="002B1760" w14:paraId="2F6C10E0" w14:textId="77777777">
            <w:pPr>
              <w:jc w:val="center"/>
              <w:rPr>
                <w:rFonts w:eastAsia="Arial" w:cs="Arial"/>
                <w:color w:val="212121"/>
                <w:sz w:val="22"/>
                <w:szCs w:val="22"/>
              </w:rPr>
            </w:pPr>
            <w:r w:rsidRPr="00664E0D">
              <w:rPr>
                <w:rFonts w:eastAsia="Arial" w:cs="Arial"/>
                <w:b/>
                <w:bCs/>
                <w:color w:val="212121"/>
                <w:sz w:val="22"/>
                <w:szCs w:val="22"/>
              </w:rPr>
              <w:t>Acronym</w:t>
            </w:r>
          </w:p>
        </w:tc>
        <w:tc>
          <w:tcPr>
            <w:tcW w:w="7320" w:type="dxa"/>
            <w:tcMar>
              <w:left w:w="105" w:type="dxa"/>
              <w:right w:w="105" w:type="dxa"/>
            </w:tcMar>
          </w:tcPr>
          <w:p w:rsidRPr="00664E0D" w:rsidR="002B1760" w:rsidRDefault="002B1760" w14:paraId="5FD0349E" w14:textId="77777777">
            <w:pPr>
              <w:jc w:val="center"/>
              <w:rPr>
                <w:rFonts w:eastAsia="Arial" w:cs="Arial"/>
                <w:color w:val="212121"/>
                <w:sz w:val="22"/>
                <w:szCs w:val="22"/>
              </w:rPr>
            </w:pPr>
            <w:r w:rsidRPr="00664E0D">
              <w:rPr>
                <w:rFonts w:eastAsia="Arial" w:cs="Arial"/>
                <w:b/>
                <w:bCs/>
                <w:color w:val="212121"/>
                <w:sz w:val="22"/>
                <w:szCs w:val="22"/>
              </w:rPr>
              <w:t>Term</w:t>
            </w:r>
          </w:p>
        </w:tc>
      </w:tr>
      <w:tr w:rsidRPr="001B0614" w:rsidR="002B1760" w14:paraId="043DBF22" w14:textId="77777777">
        <w:trPr>
          <w:trHeight w:val="300"/>
        </w:trPr>
        <w:tc>
          <w:tcPr>
            <w:tcW w:w="1695" w:type="dxa"/>
            <w:tcMar>
              <w:left w:w="105" w:type="dxa"/>
              <w:right w:w="105" w:type="dxa"/>
            </w:tcMar>
          </w:tcPr>
          <w:p w:rsidRPr="00664E0D" w:rsidR="002B1760" w:rsidRDefault="002B1760" w14:paraId="24DF3FAE" w14:textId="3F610702">
            <w:pPr>
              <w:rPr>
                <w:rFonts w:eastAsia="Arial" w:cs="Arial"/>
                <w:color w:val="212121"/>
                <w:sz w:val="22"/>
                <w:szCs w:val="22"/>
              </w:rPr>
            </w:pPr>
            <w:r w:rsidRPr="00664E0D">
              <w:rPr>
                <w:rFonts w:eastAsia="Arial" w:cs="Arial"/>
                <w:color w:val="212121"/>
                <w:sz w:val="22"/>
                <w:szCs w:val="22"/>
              </w:rPr>
              <w:t>AR2</w:t>
            </w:r>
            <w:r w:rsidRPr="00664E0D" w:rsidR="00A70853">
              <w:rPr>
                <w:rFonts w:eastAsia="Arial" w:cs="Arial"/>
                <w:color w:val="212121"/>
                <w:sz w:val="22"/>
                <w:szCs w:val="22"/>
              </w:rPr>
              <w:t>4</w:t>
            </w:r>
          </w:p>
        </w:tc>
        <w:tc>
          <w:tcPr>
            <w:tcW w:w="7320" w:type="dxa"/>
            <w:tcMar>
              <w:left w:w="105" w:type="dxa"/>
              <w:right w:w="105" w:type="dxa"/>
            </w:tcMar>
          </w:tcPr>
          <w:p w:rsidRPr="00664E0D" w:rsidR="002B1760" w:rsidRDefault="002B1760" w14:paraId="239AC9D5" w14:textId="0080FE66">
            <w:pPr>
              <w:jc w:val="both"/>
              <w:rPr>
                <w:rFonts w:eastAsia="Arial" w:cs="Arial"/>
                <w:color w:val="212121"/>
                <w:sz w:val="22"/>
                <w:szCs w:val="22"/>
              </w:rPr>
            </w:pPr>
            <w:r w:rsidRPr="00664E0D">
              <w:rPr>
                <w:rFonts w:eastAsia="Arial" w:cs="Arial"/>
                <w:color w:val="212121"/>
                <w:sz w:val="22"/>
                <w:szCs w:val="22"/>
              </w:rPr>
              <w:t>Annual Review 202</w:t>
            </w:r>
            <w:r w:rsidRPr="00664E0D" w:rsidR="00A70853">
              <w:rPr>
                <w:rFonts w:eastAsia="Arial" w:cs="Arial"/>
                <w:color w:val="212121"/>
                <w:sz w:val="22"/>
                <w:szCs w:val="22"/>
              </w:rPr>
              <w:t>4</w:t>
            </w:r>
          </w:p>
        </w:tc>
      </w:tr>
      <w:tr w:rsidRPr="001B0614" w:rsidR="002B1760" w14:paraId="156790B0" w14:textId="77777777">
        <w:trPr>
          <w:trHeight w:val="300"/>
        </w:trPr>
        <w:tc>
          <w:tcPr>
            <w:tcW w:w="1695" w:type="dxa"/>
            <w:tcMar>
              <w:left w:w="105" w:type="dxa"/>
              <w:right w:w="105" w:type="dxa"/>
            </w:tcMar>
          </w:tcPr>
          <w:p w:rsidRPr="00664E0D" w:rsidR="002B1760" w:rsidRDefault="002B1760" w14:paraId="4FDA2B28" w14:textId="77777777">
            <w:pPr>
              <w:rPr>
                <w:rFonts w:eastAsia="Arial" w:cs="Arial"/>
                <w:color w:val="212121"/>
                <w:sz w:val="22"/>
                <w:szCs w:val="22"/>
              </w:rPr>
            </w:pPr>
            <w:r w:rsidRPr="00664E0D">
              <w:rPr>
                <w:rFonts w:eastAsia="Arial" w:cs="Arial"/>
                <w:color w:val="212121"/>
                <w:sz w:val="22"/>
                <w:szCs w:val="22"/>
              </w:rPr>
              <w:t>BII</w:t>
            </w:r>
          </w:p>
        </w:tc>
        <w:tc>
          <w:tcPr>
            <w:tcW w:w="7320" w:type="dxa"/>
            <w:tcMar>
              <w:left w:w="105" w:type="dxa"/>
              <w:right w:w="105" w:type="dxa"/>
            </w:tcMar>
          </w:tcPr>
          <w:p w:rsidRPr="00664E0D" w:rsidR="002B1760" w:rsidRDefault="002B1760" w14:paraId="7FB67305" w14:textId="77777777">
            <w:pPr>
              <w:jc w:val="both"/>
              <w:rPr>
                <w:rFonts w:eastAsia="Arial" w:cs="Arial"/>
                <w:color w:val="212121"/>
                <w:sz w:val="22"/>
                <w:szCs w:val="22"/>
              </w:rPr>
            </w:pPr>
            <w:r w:rsidRPr="00664E0D">
              <w:rPr>
                <w:rFonts w:eastAsia="Arial" w:cs="Arial"/>
                <w:color w:val="212121"/>
                <w:sz w:val="22"/>
                <w:szCs w:val="22"/>
              </w:rPr>
              <w:t>British International Investment</w:t>
            </w:r>
          </w:p>
        </w:tc>
      </w:tr>
      <w:tr w:rsidRPr="001B0614" w:rsidR="002B1760" w14:paraId="514230DB" w14:textId="77777777">
        <w:trPr>
          <w:trHeight w:val="300"/>
        </w:trPr>
        <w:tc>
          <w:tcPr>
            <w:tcW w:w="1695" w:type="dxa"/>
            <w:tcMar>
              <w:left w:w="105" w:type="dxa"/>
              <w:right w:w="105" w:type="dxa"/>
            </w:tcMar>
          </w:tcPr>
          <w:p w:rsidRPr="00664E0D" w:rsidR="002B1760" w:rsidRDefault="002B1760" w14:paraId="41266BCE" w14:textId="77777777">
            <w:pPr>
              <w:rPr>
                <w:rFonts w:eastAsia="Arial" w:cs="Arial"/>
                <w:color w:val="212121"/>
                <w:sz w:val="22"/>
                <w:szCs w:val="22"/>
              </w:rPr>
            </w:pPr>
            <w:r w:rsidRPr="00664E0D">
              <w:rPr>
                <w:rFonts w:eastAsia="Arial" w:cs="Arial"/>
                <w:color w:val="212121"/>
                <w:sz w:val="22"/>
                <w:szCs w:val="22"/>
              </w:rPr>
              <w:t>CoP</w:t>
            </w:r>
          </w:p>
        </w:tc>
        <w:tc>
          <w:tcPr>
            <w:tcW w:w="7320" w:type="dxa"/>
            <w:tcMar>
              <w:left w:w="105" w:type="dxa"/>
              <w:right w:w="105" w:type="dxa"/>
            </w:tcMar>
          </w:tcPr>
          <w:p w:rsidRPr="00664E0D" w:rsidR="002B1760" w:rsidRDefault="002B1760" w14:paraId="7A029CB1" w14:textId="77777777">
            <w:pPr>
              <w:jc w:val="both"/>
              <w:rPr>
                <w:rFonts w:eastAsia="Arial" w:cs="Arial"/>
                <w:color w:val="212121"/>
                <w:sz w:val="22"/>
                <w:szCs w:val="22"/>
              </w:rPr>
            </w:pPr>
            <w:r w:rsidRPr="00664E0D">
              <w:rPr>
                <w:rFonts w:eastAsia="Arial" w:cs="Arial"/>
                <w:color w:val="212121"/>
                <w:sz w:val="22"/>
                <w:szCs w:val="22"/>
              </w:rPr>
              <w:t>Community of Practice</w:t>
            </w:r>
          </w:p>
        </w:tc>
      </w:tr>
      <w:tr w:rsidRPr="001B0614" w:rsidR="002B1760" w14:paraId="75F7858C" w14:textId="77777777">
        <w:trPr>
          <w:trHeight w:val="300"/>
        </w:trPr>
        <w:tc>
          <w:tcPr>
            <w:tcW w:w="1695" w:type="dxa"/>
            <w:tcMar>
              <w:left w:w="105" w:type="dxa"/>
              <w:right w:w="105" w:type="dxa"/>
            </w:tcMar>
          </w:tcPr>
          <w:p w:rsidRPr="00664E0D" w:rsidR="002B1760" w:rsidRDefault="002B1760" w14:paraId="73591374" w14:textId="77777777">
            <w:pPr>
              <w:rPr>
                <w:rFonts w:eastAsia="Arial" w:cs="Arial"/>
                <w:color w:val="212121"/>
                <w:sz w:val="22"/>
                <w:szCs w:val="22"/>
              </w:rPr>
            </w:pPr>
            <w:r w:rsidRPr="00664E0D">
              <w:rPr>
                <w:rFonts w:eastAsia="Arial" w:cs="Arial"/>
                <w:color w:val="212121"/>
                <w:sz w:val="22"/>
                <w:szCs w:val="22"/>
              </w:rPr>
              <w:t>DC</w:t>
            </w:r>
          </w:p>
        </w:tc>
        <w:tc>
          <w:tcPr>
            <w:tcW w:w="7320" w:type="dxa"/>
            <w:tcMar>
              <w:left w:w="105" w:type="dxa"/>
              <w:right w:w="105" w:type="dxa"/>
            </w:tcMar>
          </w:tcPr>
          <w:p w:rsidRPr="00664E0D" w:rsidR="002B1760" w:rsidRDefault="002B1760" w14:paraId="3B4C3770" w14:textId="77777777">
            <w:pPr>
              <w:jc w:val="both"/>
              <w:rPr>
                <w:rFonts w:eastAsia="Arial" w:cs="Arial"/>
                <w:color w:val="212121"/>
                <w:sz w:val="22"/>
                <w:szCs w:val="22"/>
              </w:rPr>
            </w:pPr>
            <w:r w:rsidRPr="00664E0D">
              <w:rPr>
                <w:rFonts w:eastAsia="Arial" w:cs="Arial"/>
                <w:color w:val="212121"/>
                <w:sz w:val="22"/>
                <w:szCs w:val="22"/>
              </w:rPr>
              <w:t>Development Contribution</w:t>
            </w:r>
          </w:p>
        </w:tc>
      </w:tr>
      <w:tr w:rsidRPr="001B0614" w:rsidR="002B1760" w14:paraId="21FB4618" w14:textId="77777777">
        <w:trPr>
          <w:trHeight w:val="300"/>
        </w:trPr>
        <w:tc>
          <w:tcPr>
            <w:tcW w:w="1695" w:type="dxa"/>
            <w:tcMar>
              <w:left w:w="105" w:type="dxa"/>
              <w:right w:w="105" w:type="dxa"/>
            </w:tcMar>
          </w:tcPr>
          <w:p w:rsidRPr="00664E0D" w:rsidR="002B1760" w:rsidRDefault="002B1760" w14:paraId="33CB3F1A" w14:textId="77777777">
            <w:pPr>
              <w:rPr>
                <w:rFonts w:eastAsia="Arial" w:cs="Arial"/>
                <w:color w:val="212121"/>
                <w:sz w:val="22"/>
                <w:szCs w:val="22"/>
              </w:rPr>
            </w:pPr>
            <w:r w:rsidRPr="00664E0D">
              <w:rPr>
                <w:rFonts w:eastAsia="Arial" w:cs="Arial"/>
                <w:color w:val="212121"/>
                <w:sz w:val="22"/>
                <w:szCs w:val="22"/>
              </w:rPr>
              <w:t>DD</w:t>
            </w:r>
          </w:p>
        </w:tc>
        <w:tc>
          <w:tcPr>
            <w:tcW w:w="7320" w:type="dxa"/>
            <w:tcMar>
              <w:left w:w="105" w:type="dxa"/>
              <w:right w:w="105" w:type="dxa"/>
            </w:tcMar>
          </w:tcPr>
          <w:p w:rsidRPr="00664E0D" w:rsidR="002B1760" w:rsidRDefault="002B1760" w14:paraId="17408A03" w14:textId="77777777">
            <w:pPr>
              <w:jc w:val="both"/>
              <w:rPr>
                <w:rFonts w:eastAsia="Arial" w:cs="Arial"/>
                <w:color w:val="212121"/>
                <w:sz w:val="22"/>
                <w:szCs w:val="22"/>
              </w:rPr>
            </w:pPr>
            <w:r w:rsidRPr="00664E0D">
              <w:rPr>
                <w:rFonts w:eastAsia="Arial" w:cs="Arial"/>
                <w:color w:val="212121"/>
                <w:sz w:val="22"/>
                <w:szCs w:val="22"/>
              </w:rPr>
              <w:t>Due Diligence</w:t>
            </w:r>
          </w:p>
        </w:tc>
      </w:tr>
      <w:tr w:rsidRPr="001B0614" w:rsidR="002B1760" w14:paraId="7F7397BD" w14:textId="77777777">
        <w:trPr>
          <w:trHeight w:val="300"/>
        </w:trPr>
        <w:tc>
          <w:tcPr>
            <w:tcW w:w="1695" w:type="dxa"/>
            <w:tcMar>
              <w:left w:w="105" w:type="dxa"/>
              <w:right w:w="105" w:type="dxa"/>
            </w:tcMar>
          </w:tcPr>
          <w:p w:rsidRPr="00664E0D" w:rsidR="002B1760" w:rsidRDefault="002B1760" w14:paraId="3FBCD89E" w14:textId="77777777">
            <w:pPr>
              <w:rPr>
                <w:rFonts w:eastAsia="Arial" w:cs="Arial"/>
                <w:color w:val="212121"/>
                <w:sz w:val="22"/>
                <w:szCs w:val="22"/>
              </w:rPr>
            </w:pPr>
            <w:r w:rsidRPr="00664E0D">
              <w:rPr>
                <w:rFonts w:eastAsia="Arial" w:cs="Arial"/>
                <w:color w:val="212121"/>
                <w:sz w:val="22"/>
                <w:szCs w:val="22"/>
              </w:rPr>
              <w:t>DFI</w:t>
            </w:r>
          </w:p>
        </w:tc>
        <w:tc>
          <w:tcPr>
            <w:tcW w:w="7320" w:type="dxa"/>
            <w:tcMar>
              <w:left w:w="105" w:type="dxa"/>
              <w:right w:w="105" w:type="dxa"/>
            </w:tcMar>
          </w:tcPr>
          <w:p w:rsidRPr="00664E0D" w:rsidR="002B1760" w:rsidRDefault="002B1760" w14:paraId="4ACEED54" w14:textId="77777777">
            <w:pPr>
              <w:jc w:val="both"/>
              <w:rPr>
                <w:rFonts w:eastAsia="Arial" w:cs="Arial"/>
                <w:color w:val="212121"/>
                <w:sz w:val="22"/>
                <w:szCs w:val="22"/>
              </w:rPr>
            </w:pPr>
            <w:r w:rsidRPr="00664E0D">
              <w:rPr>
                <w:rFonts w:eastAsia="Arial" w:cs="Arial"/>
                <w:color w:val="212121"/>
                <w:sz w:val="22"/>
                <w:szCs w:val="22"/>
              </w:rPr>
              <w:t>Development Finance Institution</w:t>
            </w:r>
          </w:p>
        </w:tc>
      </w:tr>
      <w:tr w:rsidRPr="001B0614" w:rsidR="002B1760" w14:paraId="0A00E90E" w14:textId="77777777">
        <w:trPr>
          <w:trHeight w:val="300"/>
        </w:trPr>
        <w:tc>
          <w:tcPr>
            <w:tcW w:w="1695" w:type="dxa"/>
            <w:tcMar>
              <w:left w:w="105" w:type="dxa"/>
              <w:right w:w="105" w:type="dxa"/>
            </w:tcMar>
          </w:tcPr>
          <w:p w:rsidRPr="00664E0D" w:rsidR="002B1760" w:rsidRDefault="002B1760" w14:paraId="109120E7" w14:textId="77777777">
            <w:pPr>
              <w:rPr>
                <w:rFonts w:eastAsia="Arial" w:cs="Arial"/>
                <w:color w:val="212121"/>
                <w:sz w:val="22"/>
                <w:szCs w:val="22"/>
              </w:rPr>
            </w:pPr>
            <w:r w:rsidRPr="00664E0D">
              <w:rPr>
                <w:rFonts w:eastAsia="Arial" w:cs="Arial"/>
                <w:color w:val="212121"/>
                <w:sz w:val="22"/>
                <w:szCs w:val="22"/>
              </w:rPr>
              <w:t>DESNZ</w:t>
            </w:r>
          </w:p>
        </w:tc>
        <w:tc>
          <w:tcPr>
            <w:tcW w:w="7320" w:type="dxa"/>
            <w:tcMar>
              <w:left w:w="105" w:type="dxa"/>
              <w:right w:w="105" w:type="dxa"/>
            </w:tcMar>
          </w:tcPr>
          <w:p w:rsidRPr="00664E0D" w:rsidR="002B1760" w:rsidRDefault="002B1760" w14:paraId="2AA7FF7B" w14:textId="77777777">
            <w:pPr>
              <w:jc w:val="both"/>
              <w:rPr>
                <w:rFonts w:eastAsia="Arial" w:cs="Arial"/>
                <w:color w:val="212121"/>
                <w:sz w:val="22"/>
                <w:szCs w:val="22"/>
              </w:rPr>
            </w:pPr>
            <w:r w:rsidRPr="00664E0D">
              <w:rPr>
                <w:rFonts w:eastAsia="Arial" w:cs="Arial"/>
                <w:color w:val="212121"/>
                <w:sz w:val="22"/>
                <w:szCs w:val="22"/>
              </w:rPr>
              <w:t>Department for Energy Security and Net Zero</w:t>
            </w:r>
          </w:p>
        </w:tc>
      </w:tr>
      <w:tr w:rsidRPr="001B0614" w:rsidR="002B1760" w14:paraId="3ACE2E87" w14:textId="77777777">
        <w:trPr>
          <w:trHeight w:val="300"/>
        </w:trPr>
        <w:tc>
          <w:tcPr>
            <w:tcW w:w="1695" w:type="dxa"/>
            <w:tcMar>
              <w:left w:w="105" w:type="dxa"/>
              <w:right w:w="105" w:type="dxa"/>
            </w:tcMar>
          </w:tcPr>
          <w:p w:rsidRPr="00664E0D" w:rsidR="002B1760" w:rsidRDefault="002B1760" w14:paraId="5FF9699E" w14:textId="77777777">
            <w:pPr>
              <w:rPr>
                <w:rFonts w:eastAsia="Arial" w:cs="Arial"/>
                <w:color w:val="212121"/>
                <w:sz w:val="22"/>
                <w:szCs w:val="22"/>
              </w:rPr>
            </w:pPr>
            <w:r w:rsidRPr="00664E0D">
              <w:rPr>
                <w:rFonts w:eastAsia="Arial" w:cs="Arial"/>
                <w:color w:val="212121"/>
                <w:sz w:val="22"/>
                <w:szCs w:val="22"/>
              </w:rPr>
              <w:t>E&amp;S</w:t>
            </w:r>
          </w:p>
        </w:tc>
        <w:tc>
          <w:tcPr>
            <w:tcW w:w="7320" w:type="dxa"/>
            <w:tcMar>
              <w:left w:w="105" w:type="dxa"/>
              <w:right w:w="105" w:type="dxa"/>
            </w:tcMar>
          </w:tcPr>
          <w:p w:rsidRPr="00664E0D" w:rsidR="002B1760" w:rsidRDefault="002B1760" w14:paraId="7E55C0B0" w14:textId="77777777">
            <w:pPr>
              <w:jc w:val="both"/>
              <w:rPr>
                <w:rFonts w:eastAsia="Arial" w:cs="Arial"/>
                <w:color w:val="212121"/>
                <w:sz w:val="22"/>
                <w:szCs w:val="22"/>
              </w:rPr>
            </w:pPr>
            <w:r w:rsidRPr="00664E0D">
              <w:rPr>
                <w:rFonts w:eastAsia="Arial" w:cs="Arial"/>
                <w:color w:val="212121"/>
                <w:sz w:val="22"/>
                <w:szCs w:val="22"/>
              </w:rPr>
              <w:t>Environmental &amp; Social</w:t>
            </w:r>
          </w:p>
        </w:tc>
      </w:tr>
      <w:tr w:rsidRPr="001B0614" w:rsidR="002B1760" w14:paraId="1A7E8D21" w14:textId="77777777">
        <w:trPr>
          <w:trHeight w:val="300"/>
        </w:trPr>
        <w:tc>
          <w:tcPr>
            <w:tcW w:w="1695" w:type="dxa"/>
            <w:tcMar>
              <w:left w:w="105" w:type="dxa"/>
              <w:right w:w="105" w:type="dxa"/>
            </w:tcMar>
          </w:tcPr>
          <w:p w:rsidRPr="00664E0D" w:rsidR="002B1760" w:rsidRDefault="002B1760" w14:paraId="12DBBDFF" w14:textId="77777777">
            <w:pPr>
              <w:rPr>
                <w:rFonts w:eastAsia="Arial" w:cs="Arial"/>
                <w:color w:val="212121"/>
                <w:sz w:val="22"/>
                <w:szCs w:val="22"/>
              </w:rPr>
            </w:pPr>
            <w:r w:rsidRPr="00664E0D">
              <w:rPr>
                <w:rFonts w:eastAsia="Arial" w:cs="Arial"/>
                <w:color w:val="212121"/>
                <w:sz w:val="22"/>
                <w:szCs w:val="22"/>
              </w:rPr>
              <w:t>GCF</w:t>
            </w:r>
          </w:p>
        </w:tc>
        <w:tc>
          <w:tcPr>
            <w:tcW w:w="7320" w:type="dxa"/>
            <w:tcMar>
              <w:left w:w="105" w:type="dxa"/>
              <w:right w:w="105" w:type="dxa"/>
            </w:tcMar>
          </w:tcPr>
          <w:p w:rsidRPr="00664E0D" w:rsidR="002B1760" w:rsidRDefault="002B1760" w14:paraId="1314A805" w14:textId="77777777">
            <w:pPr>
              <w:jc w:val="both"/>
              <w:rPr>
                <w:rFonts w:eastAsia="Arial" w:cs="Arial"/>
                <w:color w:val="212121"/>
                <w:sz w:val="22"/>
                <w:szCs w:val="22"/>
              </w:rPr>
            </w:pPr>
            <w:r w:rsidRPr="00664E0D">
              <w:rPr>
                <w:rFonts w:eastAsia="Arial" w:cs="Arial"/>
                <w:color w:val="212121"/>
                <w:sz w:val="22"/>
                <w:szCs w:val="22"/>
              </w:rPr>
              <w:t>Green Climate Fund</w:t>
            </w:r>
          </w:p>
        </w:tc>
      </w:tr>
      <w:tr w:rsidRPr="001B0614" w:rsidR="002B1760" w14:paraId="5EBBCC52" w14:textId="77777777">
        <w:trPr>
          <w:trHeight w:val="300"/>
        </w:trPr>
        <w:tc>
          <w:tcPr>
            <w:tcW w:w="1695" w:type="dxa"/>
            <w:tcMar>
              <w:left w:w="105" w:type="dxa"/>
              <w:right w:w="105" w:type="dxa"/>
            </w:tcMar>
          </w:tcPr>
          <w:p w:rsidRPr="00664E0D" w:rsidR="002B1760" w:rsidRDefault="002B1760" w14:paraId="03F8DF24" w14:textId="77777777">
            <w:pPr>
              <w:rPr>
                <w:rFonts w:eastAsia="Arial" w:cs="Arial"/>
                <w:color w:val="212121"/>
                <w:sz w:val="22"/>
                <w:szCs w:val="22"/>
              </w:rPr>
            </w:pPr>
            <w:r w:rsidRPr="00664E0D">
              <w:rPr>
                <w:rFonts w:eastAsia="Arial" w:cs="Arial"/>
                <w:color w:val="212121"/>
                <w:sz w:val="22"/>
                <w:szCs w:val="22"/>
              </w:rPr>
              <w:t>FCDO</w:t>
            </w:r>
          </w:p>
        </w:tc>
        <w:tc>
          <w:tcPr>
            <w:tcW w:w="7320" w:type="dxa"/>
            <w:tcMar>
              <w:left w:w="105" w:type="dxa"/>
              <w:right w:w="105" w:type="dxa"/>
            </w:tcMar>
          </w:tcPr>
          <w:p w:rsidRPr="00664E0D" w:rsidR="002B1760" w:rsidRDefault="002B1760" w14:paraId="7D952BBC" w14:textId="77777777">
            <w:pPr>
              <w:jc w:val="both"/>
              <w:rPr>
                <w:rFonts w:eastAsia="Arial" w:cs="Arial"/>
                <w:color w:val="212121"/>
                <w:sz w:val="22"/>
                <w:szCs w:val="22"/>
              </w:rPr>
            </w:pPr>
            <w:r w:rsidRPr="00664E0D">
              <w:rPr>
                <w:rFonts w:eastAsia="Arial" w:cs="Arial"/>
                <w:color w:val="212121"/>
                <w:sz w:val="22"/>
                <w:szCs w:val="22"/>
              </w:rPr>
              <w:t>Foreign Commonwealth and Development Office</w:t>
            </w:r>
          </w:p>
        </w:tc>
      </w:tr>
      <w:tr w:rsidRPr="001B0614" w:rsidR="002B1760" w14:paraId="22287B1D" w14:textId="77777777">
        <w:trPr>
          <w:trHeight w:val="300"/>
        </w:trPr>
        <w:tc>
          <w:tcPr>
            <w:tcW w:w="1695" w:type="dxa"/>
            <w:tcMar>
              <w:left w:w="105" w:type="dxa"/>
              <w:right w:w="105" w:type="dxa"/>
            </w:tcMar>
          </w:tcPr>
          <w:p w:rsidRPr="00664E0D" w:rsidR="002B1760" w:rsidRDefault="002B1760" w14:paraId="659A5DE6" w14:textId="77777777">
            <w:pPr>
              <w:rPr>
                <w:rFonts w:eastAsia="Arial" w:cs="Arial"/>
                <w:color w:val="212121"/>
                <w:sz w:val="22"/>
                <w:szCs w:val="22"/>
              </w:rPr>
            </w:pPr>
            <w:r w:rsidRPr="00664E0D">
              <w:rPr>
                <w:rFonts w:eastAsia="Arial" w:cs="Arial"/>
                <w:color w:val="212121"/>
                <w:sz w:val="22"/>
                <w:szCs w:val="22"/>
              </w:rPr>
              <w:t>FMO</w:t>
            </w:r>
          </w:p>
        </w:tc>
        <w:tc>
          <w:tcPr>
            <w:tcW w:w="7320" w:type="dxa"/>
            <w:tcMar>
              <w:left w:w="105" w:type="dxa"/>
              <w:right w:w="105" w:type="dxa"/>
            </w:tcMar>
          </w:tcPr>
          <w:p w:rsidRPr="00664E0D" w:rsidR="002B1760" w:rsidRDefault="002B1760" w14:paraId="6E1120E9" w14:textId="77777777">
            <w:pPr>
              <w:jc w:val="both"/>
              <w:rPr>
                <w:rFonts w:eastAsia="Arial" w:cs="Arial"/>
                <w:color w:val="212121"/>
                <w:sz w:val="22"/>
                <w:szCs w:val="22"/>
              </w:rPr>
            </w:pPr>
            <w:r w:rsidRPr="00664E0D">
              <w:rPr>
                <w:rFonts w:eastAsia="Arial" w:cs="Arial"/>
                <w:color w:val="212121"/>
                <w:sz w:val="22"/>
                <w:szCs w:val="22"/>
              </w:rPr>
              <w:t>Dutch Entrepreneurial Development Bank</w:t>
            </w:r>
          </w:p>
        </w:tc>
      </w:tr>
      <w:tr w:rsidRPr="001B0614" w:rsidR="002B1760" w14:paraId="03F91927" w14:textId="77777777">
        <w:trPr>
          <w:trHeight w:val="300"/>
        </w:trPr>
        <w:tc>
          <w:tcPr>
            <w:tcW w:w="1695" w:type="dxa"/>
            <w:tcMar>
              <w:left w:w="105" w:type="dxa"/>
              <w:right w:w="105" w:type="dxa"/>
            </w:tcMar>
          </w:tcPr>
          <w:p w:rsidRPr="00664E0D" w:rsidR="002B1760" w:rsidRDefault="002B1760" w14:paraId="0607D3BE" w14:textId="77777777">
            <w:pPr>
              <w:rPr>
                <w:rFonts w:eastAsia="Arial" w:cs="Arial"/>
                <w:color w:val="212121"/>
                <w:sz w:val="22"/>
                <w:szCs w:val="22"/>
              </w:rPr>
            </w:pPr>
            <w:r w:rsidRPr="00664E0D">
              <w:rPr>
                <w:rFonts w:eastAsia="Arial" w:cs="Arial"/>
                <w:color w:val="212121"/>
                <w:sz w:val="22"/>
                <w:szCs w:val="22"/>
              </w:rPr>
              <w:t>HMG</w:t>
            </w:r>
          </w:p>
        </w:tc>
        <w:tc>
          <w:tcPr>
            <w:tcW w:w="7320" w:type="dxa"/>
            <w:tcMar>
              <w:left w:w="105" w:type="dxa"/>
              <w:right w:w="105" w:type="dxa"/>
            </w:tcMar>
          </w:tcPr>
          <w:p w:rsidRPr="00664E0D" w:rsidR="002B1760" w:rsidRDefault="002B1760" w14:paraId="7552C915" w14:textId="77777777">
            <w:pPr>
              <w:jc w:val="both"/>
              <w:rPr>
                <w:rFonts w:eastAsia="Arial" w:cs="Arial"/>
                <w:color w:val="212121"/>
                <w:sz w:val="22"/>
                <w:szCs w:val="22"/>
              </w:rPr>
            </w:pPr>
            <w:r w:rsidRPr="00664E0D">
              <w:rPr>
                <w:rFonts w:eastAsia="Arial" w:cs="Arial"/>
                <w:color w:val="212121"/>
                <w:sz w:val="22"/>
                <w:szCs w:val="22"/>
              </w:rPr>
              <w:t>His Majesty’s Government</w:t>
            </w:r>
          </w:p>
        </w:tc>
      </w:tr>
      <w:tr w:rsidRPr="001B0614" w:rsidR="002B1760" w14:paraId="40FCF3CC" w14:textId="77777777">
        <w:trPr>
          <w:trHeight w:val="300"/>
        </w:trPr>
        <w:tc>
          <w:tcPr>
            <w:tcW w:w="1695" w:type="dxa"/>
            <w:tcMar>
              <w:left w:w="105" w:type="dxa"/>
              <w:right w:w="105" w:type="dxa"/>
            </w:tcMar>
          </w:tcPr>
          <w:p w:rsidRPr="00664E0D" w:rsidR="002B1760" w:rsidRDefault="002B1760" w14:paraId="06469DA7" w14:textId="77777777">
            <w:pPr>
              <w:rPr>
                <w:rFonts w:eastAsia="Arial" w:cs="Arial"/>
                <w:color w:val="212121"/>
                <w:sz w:val="22"/>
                <w:szCs w:val="22"/>
              </w:rPr>
            </w:pPr>
            <w:r w:rsidRPr="00664E0D">
              <w:rPr>
                <w:rFonts w:eastAsia="Arial" w:cs="Arial"/>
                <w:color w:val="212121"/>
                <w:sz w:val="22"/>
                <w:szCs w:val="22"/>
              </w:rPr>
              <w:t>ICF</w:t>
            </w:r>
          </w:p>
        </w:tc>
        <w:tc>
          <w:tcPr>
            <w:tcW w:w="7320" w:type="dxa"/>
            <w:tcMar>
              <w:left w:w="105" w:type="dxa"/>
              <w:right w:w="105" w:type="dxa"/>
            </w:tcMar>
          </w:tcPr>
          <w:p w:rsidRPr="00664E0D" w:rsidR="002B1760" w:rsidRDefault="002B1760" w14:paraId="5E1AB0C9" w14:textId="77777777">
            <w:pPr>
              <w:jc w:val="both"/>
              <w:rPr>
                <w:rFonts w:eastAsia="Arial" w:cs="Arial"/>
                <w:color w:val="212121"/>
                <w:sz w:val="22"/>
                <w:szCs w:val="22"/>
              </w:rPr>
            </w:pPr>
            <w:r w:rsidRPr="00664E0D">
              <w:rPr>
                <w:rFonts w:eastAsia="Arial" w:cs="Arial"/>
                <w:color w:val="212121"/>
                <w:sz w:val="22"/>
                <w:szCs w:val="22"/>
              </w:rPr>
              <w:t>International Climate Finance</w:t>
            </w:r>
          </w:p>
        </w:tc>
      </w:tr>
      <w:tr w:rsidRPr="001B0614" w:rsidR="002B1760" w14:paraId="4FE36580" w14:textId="77777777">
        <w:trPr>
          <w:trHeight w:val="300"/>
        </w:trPr>
        <w:tc>
          <w:tcPr>
            <w:tcW w:w="1695" w:type="dxa"/>
            <w:tcMar>
              <w:left w:w="105" w:type="dxa"/>
              <w:right w:w="105" w:type="dxa"/>
            </w:tcMar>
          </w:tcPr>
          <w:p w:rsidRPr="00664E0D" w:rsidR="002B1760" w:rsidRDefault="002B1760" w14:paraId="4321BEB6" w14:textId="77777777">
            <w:pPr>
              <w:rPr>
                <w:rFonts w:eastAsia="Arial" w:cs="Arial"/>
                <w:color w:val="212121"/>
                <w:sz w:val="22"/>
                <w:szCs w:val="22"/>
              </w:rPr>
            </w:pPr>
            <w:r w:rsidRPr="00664E0D">
              <w:rPr>
                <w:rFonts w:eastAsia="Arial" w:cs="Arial"/>
                <w:color w:val="212121"/>
                <w:sz w:val="22"/>
                <w:szCs w:val="22"/>
              </w:rPr>
              <w:t>IFC PS</w:t>
            </w:r>
          </w:p>
        </w:tc>
        <w:tc>
          <w:tcPr>
            <w:tcW w:w="7320" w:type="dxa"/>
            <w:tcMar>
              <w:left w:w="105" w:type="dxa"/>
              <w:right w:w="105" w:type="dxa"/>
            </w:tcMar>
          </w:tcPr>
          <w:p w:rsidRPr="00664E0D" w:rsidR="002B1760" w:rsidRDefault="002B1760" w14:paraId="009E31A6" w14:textId="77777777">
            <w:pPr>
              <w:jc w:val="both"/>
              <w:rPr>
                <w:rFonts w:eastAsia="Arial" w:cs="Arial"/>
                <w:color w:val="212121"/>
                <w:sz w:val="22"/>
                <w:szCs w:val="22"/>
              </w:rPr>
            </w:pPr>
            <w:r w:rsidRPr="00664E0D">
              <w:rPr>
                <w:rFonts w:eastAsia="Arial" w:cs="Arial"/>
                <w:color w:val="212121"/>
                <w:sz w:val="22"/>
                <w:szCs w:val="22"/>
              </w:rPr>
              <w:t>International Finance Corporation Performance Standards</w:t>
            </w:r>
          </w:p>
        </w:tc>
      </w:tr>
      <w:tr w:rsidRPr="001B0614" w:rsidR="002B1760" w14:paraId="7F91E87E" w14:textId="77777777">
        <w:trPr>
          <w:trHeight w:val="300"/>
        </w:trPr>
        <w:tc>
          <w:tcPr>
            <w:tcW w:w="1695" w:type="dxa"/>
            <w:tcMar>
              <w:left w:w="105" w:type="dxa"/>
              <w:right w:w="105" w:type="dxa"/>
            </w:tcMar>
          </w:tcPr>
          <w:p w:rsidRPr="00664E0D" w:rsidR="002B1760" w:rsidRDefault="002B1760" w14:paraId="61B9C22E" w14:textId="77777777">
            <w:pPr>
              <w:rPr>
                <w:rFonts w:eastAsia="Arial" w:cs="Arial"/>
                <w:color w:val="212121"/>
                <w:sz w:val="22"/>
                <w:szCs w:val="22"/>
              </w:rPr>
            </w:pPr>
            <w:r w:rsidRPr="00664E0D">
              <w:rPr>
                <w:rFonts w:eastAsia="Arial" w:cs="Arial"/>
                <w:color w:val="212121"/>
                <w:sz w:val="22"/>
                <w:szCs w:val="22"/>
              </w:rPr>
              <w:t>IFU</w:t>
            </w:r>
          </w:p>
        </w:tc>
        <w:tc>
          <w:tcPr>
            <w:tcW w:w="7320" w:type="dxa"/>
            <w:tcMar>
              <w:left w:w="105" w:type="dxa"/>
              <w:right w:w="105" w:type="dxa"/>
            </w:tcMar>
          </w:tcPr>
          <w:p w:rsidRPr="00664E0D" w:rsidR="002B1760" w:rsidRDefault="002B1760" w14:paraId="2E5B4C7B" w14:textId="77777777">
            <w:pPr>
              <w:jc w:val="both"/>
              <w:rPr>
                <w:rFonts w:eastAsia="Arial" w:cs="Arial"/>
                <w:color w:val="212121"/>
                <w:sz w:val="22"/>
                <w:szCs w:val="22"/>
              </w:rPr>
            </w:pPr>
            <w:r w:rsidRPr="00664E0D">
              <w:rPr>
                <w:rFonts w:eastAsia="Arial" w:cs="Arial"/>
                <w:color w:val="212121"/>
                <w:sz w:val="22"/>
                <w:szCs w:val="22"/>
              </w:rPr>
              <w:t>International Forests Unit</w:t>
            </w:r>
          </w:p>
        </w:tc>
      </w:tr>
      <w:tr w:rsidRPr="001B0614" w:rsidR="002B1760" w14:paraId="1FD0DCD6" w14:textId="77777777">
        <w:trPr>
          <w:trHeight w:val="300"/>
        </w:trPr>
        <w:tc>
          <w:tcPr>
            <w:tcW w:w="1695" w:type="dxa"/>
            <w:tcMar>
              <w:left w:w="105" w:type="dxa"/>
              <w:right w:w="105" w:type="dxa"/>
            </w:tcMar>
          </w:tcPr>
          <w:p w:rsidRPr="00664E0D" w:rsidR="002B1760" w:rsidRDefault="002B1760" w14:paraId="1B911380" w14:textId="77777777">
            <w:pPr>
              <w:rPr>
                <w:rFonts w:eastAsia="Arial" w:cs="Arial"/>
                <w:color w:val="212121"/>
                <w:sz w:val="22"/>
                <w:szCs w:val="22"/>
              </w:rPr>
            </w:pPr>
            <w:r w:rsidRPr="00664E0D">
              <w:rPr>
                <w:rFonts w:eastAsia="Arial" w:cs="Arial"/>
                <w:color w:val="212121"/>
                <w:sz w:val="22"/>
                <w:szCs w:val="22"/>
              </w:rPr>
              <w:t>LCIP</w:t>
            </w:r>
          </w:p>
        </w:tc>
        <w:tc>
          <w:tcPr>
            <w:tcW w:w="7320" w:type="dxa"/>
            <w:tcMar>
              <w:left w:w="105" w:type="dxa"/>
              <w:right w:w="105" w:type="dxa"/>
            </w:tcMar>
          </w:tcPr>
          <w:p w:rsidRPr="00664E0D" w:rsidR="002B1760" w:rsidRDefault="002B1760" w14:paraId="27A5D45E" w14:textId="77777777">
            <w:pPr>
              <w:jc w:val="both"/>
              <w:rPr>
                <w:rFonts w:eastAsia="Arial" w:cs="Arial"/>
                <w:color w:val="212121"/>
                <w:sz w:val="22"/>
                <w:szCs w:val="22"/>
              </w:rPr>
            </w:pPr>
            <w:r w:rsidRPr="00664E0D">
              <w:rPr>
                <w:rFonts w:eastAsia="Arial" w:cs="Arial"/>
                <w:color w:val="212121"/>
                <w:sz w:val="22"/>
                <w:szCs w:val="22"/>
              </w:rPr>
              <w:t>Learning, Convening and Influencing Platform</w:t>
            </w:r>
          </w:p>
        </w:tc>
      </w:tr>
      <w:tr w:rsidRPr="001B0614" w:rsidR="002B1760" w14:paraId="2E49D8E3" w14:textId="77777777">
        <w:trPr>
          <w:trHeight w:val="300"/>
        </w:trPr>
        <w:tc>
          <w:tcPr>
            <w:tcW w:w="1695" w:type="dxa"/>
            <w:tcMar>
              <w:left w:w="105" w:type="dxa"/>
              <w:right w:w="105" w:type="dxa"/>
            </w:tcMar>
          </w:tcPr>
          <w:p w:rsidRPr="00664E0D" w:rsidR="002B1760" w:rsidRDefault="002B1760" w14:paraId="2AB4CA8C" w14:textId="77777777">
            <w:pPr>
              <w:rPr>
                <w:rFonts w:eastAsia="Arial" w:cs="Arial"/>
                <w:color w:val="212121"/>
                <w:sz w:val="22"/>
                <w:szCs w:val="22"/>
              </w:rPr>
            </w:pPr>
            <w:r w:rsidRPr="00664E0D">
              <w:rPr>
                <w:rFonts w:eastAsia="Arial" w:cs="Arial"/>
                <w:color w:val="212121"/>
                <w:sz w:val="22"/>
                <w:szCs w:val="22"/>
              </w:rPr>
              <w:t>NFM</w:t>
            </w:r>
          </w:p>
        </w:tc>
        <w:tc>
          <w:tcPr>
            <w:tcW w:w="7320" w:type="dxa"/>
            <w:tcMar>
              <w:left w:w="105" w:type="dxa"/>
              <w:right w:w="105" w:type="dxa"/>
            </w:tcMar>
          </w:tcPr>
          <w:p w:rsidRPr="00664E0D" w:rsidR="002B1760" w:rsidRDefault="002B1760" w14:paraId="74CB174D" w14:textId="77777777">
            <w:pPr>
              <w:jc w:val="both"/>
              <w:rPr>
                <w:rFonts w:eastAsia="Arial" w:cs="Arial"/>
                <w:color w:val="212121"/>
                <w:sz w:val="22"/>
                <w:szCs w:val="22"/>
              </w:rPr>
            </w:pPr>
            <w:r w:rsidRPr="00664E0D">
              <w:rPr>
                <w:rFonts w:eastAsia="Arial" w:cs="Arial"/>
                <w:color w:val="212121"/>
                <w:sz w:val="22"/>
                <w:szCs w:val="22"/>
              </w:rPr>
              <w:t>Natural Forest Management</w:t>
            </w:r>
          </w:p>
        </w:tc>
      </w:tr>
      <w:tr w:rsidRPr="001B0614" w:rsidR="002B1760" w14:paraId="4A23E61E" w14:textId="77777777">
        <w:trPr>
          <w:trHeight w:val="300"/>
        </w:trPr>
        <w:tc>
          <w:tcPr>
            <w:tcW w:w="1695" w:type="dxa"/>
            <w:tcMar>
              <w:left w:w="105" w:type="dxa"/>
              <w:right w:w="105" w:type="dxa"/>
            </w:tcMar>
          </w:tcPr>
          <w:p w:rsidRPr="00664E0D" w:rsidR="002B1760" w:rsidRDefault="002B1760" w14:paraId="6212564D" w14:textId="77777777">
            <w:pPr>
              <w:rPr>
                <w:rFonts w:eastAsia="Arial" w:cs="Arial"/>
                <w:color w:val="212121"/>
                <w:sz w:val="22"/>
                <w:szCs w:val="22"/>
              </w:rPr>
            </w:pPr>
            <w:r w:rsidRPr="00664E0D">
              <w:rPr>
                <w:rFonts w:eastAsia="Arial" w:cs="Arial"/>
                <w:color w:val="212121"/>
                <w:sz w:val="22"/>
                <w:szCs w:val="22"/>
              </w:rPr>
              <w:t>ODA</w:t>
            </w:r>
          </w:p>
        </w:tc>
        <w:tc>
          <w:tcPr>
            <w:tcW w:w="7320" w:type="dxa"/>
            <w:tcMar>
              <w:left w:w="105" w:type="dxa"/>
              <w:right w:w="105" w:type="dxa"/>
            </w:tcMar>
          </w:tcPr>
          <w:p w:rsidRPr="00664E0D" w:rsidR="002B1760" w:rsidRDefault="002B1760" w14:paraId="7485C001" w14:textId="77777777">
            <w:pPr>
              <w:jc w:val="both"/>
              <w:rPr>
                <w:rFonts w:eastAsia="Arial" w:cs="Arial"/>
                <w:color w:val="212121"/>
                <w:sz w:val="22"/>
                <w:szCs w:val="22"/>
              </w:rPr>
            </w:pPr>
            <w:r w:rsidRPr="00664E0D">
              <w:rPr>
                <w:rFonts w:eastAsia="Arial" w:cs="Arial"/>
                <w:color w:val="212121"/>
                <w:sz w:val="22"/>
                <w:szCs w:val="22"/>
              </w:rPr>
              <w:t>Official Development Assistance</w:t>
            </w:r>
          </w:p>
        </w:tc>
      </w:tr>
      <w:tr w:rsidRPr="001B0614" w:rsidR="002B1760" w14:paraId="05018D1C" w14:textId="77777777">
        <w:trPr>
          <w:trHeight w:val="300"/>
        </w:trPr>
        <w:tc>
          <w:tcPr>
            <w:tcW w:w="1695" w:type="dxa"/>
            <w:tcMar>
              <w:left w:w="105" w:type="dxa"/>
              <w:right w:w="105" w:type="dxa"/>
            </w:tcMar>
          </w:tcPr>
          <w:p w:rsidRPr="00664E0D" w:rsidR="002B1760" w:rsidRDefault="002B1760" w14:paraId="5E3FDB32" w14:textId="77777777">
            <w:pPr>
              <w:rPr>
                <w:rFonts w:eastAsia="Arial" w:cs="Arial"/>
                <w:color w:val="212121"/>
                <w:sz w:val="22"/>
                <w:szCs w:val="22"/>
              </w:rPr>
            </w:pPr>
            <w:r w:rsidRPr="00664E0D">
              <w:rPr>
                <w:rFonts w:eastAsia="Arial" w:cs="Arial"/>
                <w:color w:val="212121"/>
                <w:sz w:val="22"/>
                <w:szCs w:val="22"/>
              </w:rPr>
              <w:t>P4F</w:t>
            </w:r>
          </w:p>
        </w:tc>
        <w:tc>
          <w:tcPr>
            <w:tcW w:w="7320" w:type="dxa"/>
            <w:tcMar>
              <w:left w:w="105" w:type="dxa"/>
              <w:right w:w="105" w:type="dxa"/>
            </w:tcMar>
          </w:tcPr>
          <w:p w:rsidRPr="00664E0D" w:rsidR="002B1760" w:rsidRDefault="002B1760" w14:paraId="52C9063F" w14:textId="77777777">
            <w:pPr>
              <w:jc w:val="both"/>
              <w:rPr>
                <w:rFonts w:eastAsia="Arial" w:cs="Arial"/>
                <w:color w:val="212121"/>
                <w:sz w:val="22"/>
                <w:szCs w:val="22"/>
              </w:rPr>
            </w:pPr>
            <w:r w:rsidRPr="00664E0D">
              <w:rPr>
                <w:rFonts w:eastAsia="Arial" w:cs="Arial"/>
                <w:color w:val="212121"/>
                <w:sz w:val="22"/>
                <w:szCs w:val="22"/>
              </w:rPr>
              <w:t>Partnership For Forests</w:t>
            </w:r>
          </w:p>
        </w:tc>
      </w:tr>
      <w:tr w:rsidRPr="001B0614" w:rsidR="002B1760" w14:paraId="4FE91E63" w14:textId="77777777">
        <w:trPr>
          <w:trHeight w:val="300"/>
        </w:trPr>
        <w:tc>
          <w:tcPr>
            <w:tcW w:w="1695" w:type="dxa"/>
            <w:tcMar>
              <w:left w:w="105" w:type="dxa"/>
              <w:right w:w="105" w:type="dxa"/>
            </w:tcMar>
          </w:tcPr>
          <w:p w:rsidRPr="00664E0D" w:rsidR="002B1760" w:rsidRDefault="002B1760" w14:paraId="278F2611" w14:textId="77777777">
            <w:pPr>
              <w:rPr>
                <w:rFonts w:eastAsia="Arial" w:cs="Arial"/>
                <w:color w:val="212121"/>
                <w:sz w:val="22"/>
                <w:szCs w:val="22"/>
              </w:rPr>
            </w:pPr>
            <w:r w:rsidRPr="00664E0D">
              <w:rPr>
                <w:rFonts w:eastAsia="Arial" w:cs="Arial"/>
                <w:color w:val="212121"/>
                <w:sz w:val="22"/>
                <w:szCs w:val="22"/>
              </w:rPr>
              <w:t>TAF</w:t>
            </w:r>
          </w:p>
        </w:tc>
        <w:tc>
          <w:tcPr>
            <w:tcW w:w="7320" w:type="dxa"/>
            <w:tcMar>
              <w:left w:w="105" w:type="dxa"/>
              <w:right w:w="105" w:type="dxa"/>
            </w:tcMar>
          </w:tcPr>
          <w:p w:rsidRPr="00664E0D" w:rsidR="002B1760" w:rsidRDefault="002B1760" w14:paraId="39B42B2D" w14:textId="77777777">
            <w:pPr>
              <w:jc w:val="both"/>
              <w:rPr>
                <w:rFonts w:eastAsia="Arial" w:cs="Arial"/>
                <w:color w:val="212121"/>
                <w:sz w:val="22"/>
                <w:szCs w:val="22"/>
              </w:rPr>
            </w:pPr>
            <w:r w:rsidRPr="00664E0D">
              <w:rPr>
                <w:rFonts w:eastAsia="Arial" w:cs="Arial"/>
                <w:color w:val="212121"/>
                <w:sz w:val="22"/>
                <w:szCs w:val="22"/>
              </w:rPr>
              <w:t>Technical Assistance Facility</w:t>
            </w:r>
          </w:p>
        </w:tc>
      </w:tr>
      <w:tr w:rsidRPr="001B0614" w:rsidR="002B1760" w14:paraId="11BD1C6D" w14:textId="77777777">
        <w:trPr>
          <w:trHeight w:val="300"/>
        </w:trPr>
        <w:tc>
          <w:tcPr>
            <w:tcW w:w="1695" w:type="dxa"/>
            <w:tcMar>
              <w:left w:w="105" w:type="dxa"/>
              <w:right w:w="105" w:type="dxa"/>
            </w:tcMar>
          </w:tcPr>
          <w:p w:rsidRPr="00664E0D" w:rsidR="002B1760" w:rsidRDefault="002B1760" w14:paraId="3D3F88EB" w14:textId="77777777">
            <w:pPr>
              <w:jc w:val="both"/>
              <w:rPr>
                <w:rFonts w:eastAsia="Arial" w:cs="Arial"/>
                <w:color w:val="212121"/>
                <w:sz w:val="22"/>
                <w:szCs w:val="22"/>
              </w:rPr>
            </w:pPr>
            <w:proofErr w:type="spellStart"/>
            <w:r w:rsidRPr="00664E0D">
              <w:rPr>
                <w:rFonts w:eastAsia="Arial" w:cs="Arial"/>
                <w:color w:val="212121"/>
                <w:sz w:val="22"/>
                <w:szCs w:val="22"/>
              </w:rPr>
              <w:t>VfM</w:t>
            </w:r>
            <w:proofErr w:type="spellEnd"/>
          </w:p>
        </w:tc>
        <w:tc>
          <w:tcPr>
            <w:tcW w:w="7320" w:type="dxa"/>
            <w:tcMar>
              <w:left w:w="105" w:type="dxa"/>
              <w:right w:w="105" w:type="dxa"/>
            </w:tcMar>
          </w:tcPr>
          <w:p w:rsidRPr="00664E0D" w:rsidR="002B1760" w:rsidRDefault="002B1760" w14:paraId="497467C0" w14:textId="77777777">
            <w:pPr>
              <w:jc w:val="both"/>
              <w:rPr>
                <w:rFonts w:eastAsia="Arial" w:cs="Arial"/>
                <w:color w:val="212121"/>
                <w:sz w:val="22"/>
                <w:szCs w:val="22"/>
              </w:rPr>
            </w:pPr>
            <w:r w:rsidRPr="00664E0D">
              <w:rPr>
                <w:rFonts w:eastAsia="Arial" w:cs="Arial"/>
                <w:color w:val="212121"/>
                <w:sz w:val="22"/>
                <w:szCs w:val="22"/>
              </w:rPr>
              <w:t>Value for Money</w:t>
            </w:r>
          </w:p>
        </w:tc>
      </w:tr>
    </w:tbl>
    <w:p w:rsidRPr="00664E0D" w:rsidR="002B1760" w:rsidP="39F6F154" w:rsidRDefault="002B1760" w14:paraId="5DFC3437" w14:textId="77777777">
      <w:pPr>
        <w:jc w:val="center"/>
        <w:rPr>
          <w:rFonts w:cs="Arial"/>
          <w:b/>
          <w:bCs/>
          <w:i/>
          <w:iCs/>
          <w:color w:val="212121"/>
          <w:highlight w:val="yellow"/>
        </w:rPr>
      </w:pPr>
    </w:p>
    <w:p w:rsidRPr="00664E0D" w:rsidR="00BB4FF2" w:rsidP="2CEA8746" w:rsidRDefault="00BB4FF2" w14:paraId="24564F6C" w14:textId="0BF2A1C3">
      <w:pPr>
        <w:jc w:val="center"/>
        <w:rPr>
          <w:rFonts w:cs="Arial"/>
          <w:b/>
          <w:bCs/>
          <w:i/>
          <w:iCs/>
          <w:color w:val="212121"/>
        </w:rPr>
      </w:pPr>
    </w:p>
    <w:p w:rsidRPr="00664E0D" w:rsidR="004D2FC0" w:rsidP="006C516E" w:rsidRDefault="004D2FC0" w14:paraId="32718D3E" w14:textId="4C4B50DF">
      <w:pPr>
        <w:rPr>
          <w:color w:val="212121"/>
        </w:rPr>
      </w:pPr>
    </w:p>
    <w:tbl>
      <w:tblPr>
        <w:tblStyle w:val="TableGrid"/>
        <w:tblW w:w="0" w:type="auto"/>
        <w:tblLook w:val="04A0" w:firstRow="1" w:lastRow="0" w:firstColumn="1" w:lastColumn="0" w:noHBand="0" w:noVBand="1"/>
      </w:tblPr>
      <w:tblGrid>
        <w:gridCol w:w="9016"/>
      </w:tblGrid>
      <w:tr w:rsidRPr="001B0614" w:rsidR="008A5FEA" w:rsidTr="527A8EFF" w14:paraId="65DE13A0" w14:textId="77777777">
        <w:tc>
          <w:tcPr>
            <w:tcW w:w="9016" w:type="dxa"/>
            <w:shd w:val="clear" w:color="auto" w:fill="DEEAF6" w:themeFill="accent5" w:themeFillTint="33"/>
          </w:tcPr>
          <w:p w:rsidRPr="00664E0D" w:rsidR="00495286" w:rsidP="006C516E" w:rsidRDefault="789BD016" w14:paraId="7DC76797" w14:textId="5D9F4D91">
            <w:pPr>
              <w:rPr>
                <w:color w:val="212121"/>
              </w:rPr>
            </w:pPr>
            <w:bookmarkStart w:name="_Toc227234237" w:id="2"/>
            <w:r w:rsidRPr="00664E0D">
              <w:rPr>
                <w:rStyle w:val="Heading1Char"/>
                <w:rFonts w:ascii="Arial" w:hAnsi="Arial" w:cs="Arial"/>
                <w:b/>
                <w:bCs/>
                <w:color w:val="212121"/>
              </w:rPr>
              <w:t>Section A: Summary and overview</w:t>
            </w:r>
            <w:bookmarkEnd w:id="2"/>
            <w:r w:rsidRPr="00664E0D">
              <w:rPr>
                <w:color w:val="212121"/>
              </w:rPr>
              <w:t xml:space="preserve"> [</w:t>
            </w:r>
            <w:r w:rsidRPr="00664E0D" w:rsidR="12CAE514">
              <w:rPr>
                <w:color w:val="212121"/>
              </w:rPr>
              <w:t>2-3</w:t>
            </w:r>
            <w:r w:rsidRPr="00664E0D">
              <w:rPr>
                <w:color w:val="212121"/>
              </w:rPr>
              <w:t xml:space="preserve"> pages]</w:t>
            </w:r>
          </w:p>
        </w:tc>
      </w:tr>
    </w:tbl>
    <w:p w:rsidRPr="00664E0D" w:rsidR="00495286" w:rsidP="006C516E" w:rsidRDefault="00495286" w14:paraId="006A5D19" w14:textId="77777777">
      <w:pPr>
        <w:rPr>
          <w:color w:val="212121"/>
        </w:rPr>
      </w:pPr>
    </w:p>
    <w:tbl>
      <w:tblPr>
        <w:tblStyle w:val="TableGrid"/>
        <w:tblW w:w="0" w:type="auto"/>
        <w:tblLook w:val="04A0" w:firstRow="1" w:lastRow="0" w:firstColumn="1" w:lastColumn="0" w:noHBand="0" w:noVBand="1"/>
      </w:tblPr>
      <w:tblGrid>
        <w:gridCol w:w="3397"/>
        <w:gridCol w:w="2410"/>
        <w:gridCol w:w="3209"/>
      </w:tblGrid>
      <w:tr w:rsidRPr="001B0614" w:rsidR="006100E3" w:rsidTr="60FFCBD4" w14:paraId="2869ADA5" w14:textId="77777777">
        <w:trPr>
          <w:trHeight w:val="407"/>
        </w:trPr>
        <w:tc>
          <w:tcPr>
            <w:tcW w:w="9016" w:type="dxa"/>
            <w:gridSpan w:val="3"/>
            <w:tcBorders>
              <w:top w:val="single" w:color="auto" w:sz="4" w:space="0"/>
              <w:left w:val="single" w:color="auto" w:sz="4" w:space="0"/>
              <w:bottom w:val="dotted" w:color="000000" w:themeColor="text1" w:sz="2" w:space="0"/>
              <w:right w:val="single" w:color="auto" w:sz="4" w:space="0"/>
            </w:tcBorders>
          </w:tcPr>
          <w:p w:rsidRPr="00664E0D" w:rsidR="004D2FC0" w:rsidP="2CEA8746" w:rsidRDefault="004D2FC0" w14:paraId="346F2EF8" w14:textId="7354F907">
            <w:pPr>
              <w:rPr>
                <w:rFonts w:cs="Arial"/>
                <w:b/>
                <w:bCs/>
                <w:color w:val="212121"/>
                <w:sz w:val="22"/>
                <w:szCs w:val="22"/>
              </w:rPr>
            </w:pPr>
            <w:r w:rsidRPr="00664E0D">
              <w:rPr>
                <w:rFonts w:cs="Arial"/>
                <w:b/>
                <w:bCs/>
                <w:color w:val="212121"/>
                <w:sz w:val="22"/>
                <w:szCs w:val="22"/>
              </w:rPr>
              <w:t xml:space="preserve">Title: </w:t>
            </w:r>
            <w:r w:rsidRPr="00664E0D" w:rsidR="6E69F488">
              <w:rPr>
                <w:rFonts w:cs="Arial"/>
                <w:b/>
                <w:bCs/>
                <w:color w:val="212121"/>
                <w:sz w:val="22"/>
                <w:szCs w:val="22"/>
              </w:rPr>
              <w:t>Mobilising Finance for Forests</w:t>
            </w:r>
          </w:p>
        </w:tc>
      </w:tr>
      <w:tr w:rsidRPr="001B0614" w:rsidR="00A969F9" w:rsidTr="60FFCBD4" w14:paraId="109A3418" w14:textId="77777777">
        <w:trPr>
          <w:trHeight w:val="413"/>
        </w:trPr>
        <w:tc>
          <w:tcPr>
            <w:tcW w:w="5807" w:type="dxa"/>
            <w:gridSpan w:val="2"/>
            <w:tcBorders>
              <w:top w:val="dotted" w:color="000000" w:themeColor="text1" w:sz="2" w:space="0"/>
              <w:left w:val="single" w:color="000000" w:themeColor="text1" w:sz="4" w:space="0"/>
              <w:bottom w:val="dotted" w:color="000000" w:themeColor="text1" w:sz="2" w:space="0"/>
              <w:right w:val="dotted" w:color="000000" w:themeColor="text1" w:sz="2" w:space="0"/>
            </w:tcBorders>
            <w:hideMark/>
          </w:tcPr>
          <w:p w:rsidR="00784BC2" w:rsidRDefault="00784BC2" w14:paraId="2A331F89" w14:textId="77777777">
            <w:r w:rsidRPr="60FFCBD4">
              <w:rPr>
                <w:b/>
                <w:bCs/>
                <w:color w:val="212121"/>
                <w:sz w:val="22"/>
                <w:szCs w:val="22"/>
              </w:rPr>
              <w:t xml:space="preserve">Programme Value £ (full life): </w:t>
            </w:r>
            <w:r w:rsidRPr="60FFCBD4">
              <w:rPr>
                <w:color w:val="212121"/>
                <w:sz w:val="22"/>
                <w:szCs w:val="22"/>
              </w:rPr>
              <w:t>up to £200 million (UK funding); approx. £25 million (Dutch government funding)</w:t>
            </w:r>
          </w:p>
          <w:p w:rsidRPr="00664E0D" w:rsidR="004D2FC0" w:rsidP="60FFCBD4" w:rsidRDefault="004D2FC0" w14:paraId="79376CB4" w14:textId="6712242F">
            <w:pPr>
              <w:rPr>
                <w:rFonts w:cs="Arial"/>
                <w:color w:val="212121"/>
                <w:sz w:val="22"/>
                <w:szCs w:val="22"/>
              </w:rPr>
            </w:pPr>
          </w:p>
        </w:tc>
        <w:tc>
          <w:tcPr>
            <w:tcW w:w="3209" w:type="dxa"/>
            <w:tcBorders>
              <w:top w:val="dotted" w:color="000000" w:themeColor="text1" w:sz="2" w:space="0"/>
              <w:left w:val="dotted" w:color="000000" w:themeColor="text1" w:sz="2" w:space="0"/>
              <w:bottom w:val="dotted" w:color="000000" w:themeColor="text1" w:sz="2" w:space="0"/>
              <w:right w:val="single" w:color="000000" w:themeColor="text1" w:sz="4" w:space="0"/>
            </w:tcBorders>
            <w:hideMark/>
          </w:tcPr>
          <w:p w:rsidRPr="00664E0D" w:rsidR="004D2FC0" w:rsidP="00FC16A6" w:rsidRDefault="004D2FC0" w14:paraId="5E522675" w14:textId="38DB0C7B">
            <w:pPr>
              <w:rPr>
                <w:rFonts w:cs="Arial"/>
                <w:b/>
                <w:color w:val="212121"/>
                <w:sz w:val="22"/>
                <w:szCs w:val="22"/>
              </w:rPr>
            </w:pPr>
            <w:r w:rsidRPr="00664E0D">
              <w:rPr>
                <w:rFonts w:cs="Arial"/>
                <w:b/>
                <w:color w:val="212121"/>
                <w:sz w:val="22"/>
                <w:szCs w:val="22"/>
              </w:rPr>
              <w:t xml:space="preserve">Review date: </w:t>
            </w:r>
            <w:r w:rsidRPr="00664E0D" w:rsidR="00056DD5">
              <w:rPr>
                <w:rFonts w:cs="Arial"/>
                <w:bCs/>
                <w:color w:val="212121"/>
                <w:sz w:val="22"/>
                <w:szCs w:val="22"/>
              </w:rPr>
              <w:t>January to December 2025</w:t>
            </w:r>
          </w:p>
        </w:tc>
      </w:tr>
      <w:tr w:rsidRPr="001B0614" w:rsidR="00C223EA" w:rsidTr="60FFCBD4" w14:paraId="4F6467CB" w14:textId="77777777">
        <w:trPr>
          <w:trHeight w:val="300"/>
        </w:trPr>
        <w:tc>
          <w:tcPr>
            <w:tcW w:w="3397" w:type="dxa"/>
            <w:tcBorders>
              <w:top w:val="dotted" w:color="000000" w:themeColor="text1" w:sz="2" w:space="0"/>
              <w:left w:val="single" w:color="auto" w:sz="4" w:space="0"/>
              <w:bottom w:val="single" w:color="auto" w:sz="4" w:space="0"/>
              <w:right w:val="dotted" w:color="000000" w:themeColor="text1" w:sz="2" w:space="0"/>
            </w:tcBorders>
          </w:tcPr>
          <w:p w:rsidRPr="00664E0D" w:rsidR="004D2FC0" w:rsidP="00FC16A6" w:rsidRDefault="3713721B" w14:paraId="07FE2881" w14:textId="63930B4E">
            <w:pPr>
              <w:rPr>
                <w:rFonts w:cs="Arial"/>
                <w:color w:val="212121"/>
                <w:sz w:val="22"/>
                <w:szCs w:val="22"/>
              </w:rPr>
            </w:pPr>
            <w:r w:rsidRPr="00664E0D">
              <w:rPr>
                <w:rFonts w:cs="Arial"/>
                <w:b/>
                <w:bCs/>
                <w:color w:val="212121"/>
                <w:sz w:val="22"/>
                <w:szCs w:val="22"/>
              </w:rPr>
              <w:t>Programme</w:t>
            </w:r>
            <w:r w:rsidRPr="00664E0D" w:rsidR="004D2FC0">
              <w:rPr>
                <w:rFonts w:cs="Arial"/>
                <w:b/>
                <w:bCs/>
                <w:color w:val="212121"/>
                <w:sz w:val="22"/>
                <w:szCs w:val="22"/>
              </w:rPr>
              <w:t xml:space="preserve"> Code: </w:t>
            </w:r>
            <w:r w:rsidRPr="00664E0D" w:rsidR="00E03F11">
              <w:rPr>
                <w:rFonts w:eastAsia="Calibri" w:cs="Arial"/>
                <w:color w:val="212121"/>
                <w:sz w:val="22"/>
                <w:szCs w:val="22"/>
              </w:rPr>
              <w:t>GB-GOV-13-ICF-0040-MFF</w:t>
            </w:r>
          </w:p>
        </w:tc>
        <w:tc>
          <w:tcPr>
            <w:tcW w:w="2410" w:type="dxa"/>
            <w:tcBorders>
              <w:top w:val="dotted" w:color="000000" w:themeColor="text1" w:sz="2" w:space="0"/>
              <w:left w:val="dotted" w:color="000000" w:themeColor="text1" w:sz="2" w:space="0"/>
              <w:bottom w:val="single" w:color="000000" w:themeColor="text1" w:sz="4" w:space="0"/>
              <w:right w:val="dotted" w:color="000000" w:themeColor="text1" w:sz="2" w:space="0"/>
            </w:tcBorders>
            <w:hideMark/>
          </w:tcPr>
          <w:p w:rsidRPr="00664E0D" w:rsidR="004D2FC0" w:rsidP="2CEA8746" w:rsidRDefault="3713721B" w14:paraId="3C649775" w14:textId="22D156CC">
            <w:pPr>
              <w:rPr>
                <w:rFonts w:cs="Arial"/>
                <w:b/>
                <w:bCs/>
                <w:color w:val="212121"/>
                <w:sz w:val="22"/>
                <w:szCs w:val="22"/>
              </w:rPr>
            </w:pPr>
            <w:r w:rsidRPr="00664E0D">
              <w:rPr>
                <w:rFonts w:cs="Arial"/>
                <w:b/>
                <w:bCs/>
                <w:color w:val="212121"/>
                <w:sz w:val="22"/>
                <w:szCs w:val="22"/>
              </w:rPr>
              <w:t>Programme</w:t>
            </w:r>
            <w:r w:rsidRPr="00664E0D" w:rsidR="004D2FC0">
              <w:rPr>
                <w:rFonts w:cs="Arial"/>
                <w:b/>
                <w:bCs/>
                <w:color w:val="212121"/>
                <w:sz w:val="22"/>
                <w:szCs w:val="22"/>
              </w:rPr>
              <w:t xml:space="preserve"> start date:</w:t>
            </w:r>
            <w:r w:rsidRPr="00664E0D" w:rsidR="004D2FC0">
              <w:rPr>
                <w:rFonts w:cs="Arial"/>
                <w:color w:val="212121"/>
                <w:sz w:val="22"/>
                <w:szCs w:val="22"/>
              </w:rPr>
              <w:t xml:space="preserve"> </w:t>
            </w:r>
            <w:r w:rsidRPr="00664E0D" w:rsidR="000035B3">
              <w:rPr>
                <w:rFonts w:cs="Arial"/>
                <w:color w:val="212121"/>
                <w:sz w:val="22"/>
                <w:szCs w:val="22"/>
              </w:rPr>
              <w:t xml:space="preserve">15 Feb </w:t>
            </w:r>
            <w:r w:rsidRPr="00664E0D" w:rsidR="67DE49A4">
              <w:rPr>
                <w:rFonts w:cs="Arial"/>
                <w:color w:val="212121"/>
                <w:sz w:val="22"/>
                <w:szCs w:val="22"/>
              </w:rPr>
              <w:t>2021</w:t>
            </w:r>
          </w:p>
        </w:tc>
        <w:tc>
          <w:tcPr>
            <w:tcW w:w="3209" w:type="dxa"/>
            <w:tcBorders>
              <w:top w:val="dotted" w:color="000000" w:themeColor="text1" w:sz="2" w:space="0"/>
              <w:left w:val="dotted" w:color="000000" w:themeColor="text1" w:sz="2" w:space="0"/>
              <w:bottom w:val="single" w:color="auto" w:sz="4" w:space="0"/>
              <w:right w:val="single" w:color="auto" w:sz="4" w:space="0"/>
            </w:tcBorders>
            <w:hideMark/>
          </w:tcPr>
          <w:p w:rsidRPr="00664E0D" w:rsidR="004D2FC0" w:rsidP="6B9681DD" w:rsidRDefault="3713721B" w14:paraId="5C7CF8AA" w14:textId="0A71ACA0">
            <w:pPr>
              <w:rPr>
                <w:rFonts w:cs="Arial"/>
                <w:b/>
                <w:bCs/>
                <w:color w:val="212121"/>
                <w:sz w:val="22"/>
                <w:szCs w:val="22"/>
              </w:rPr>
            </w:pPr>
            <w:r w:rsidRPr="00664E0D">
              <w:rPr>
                <w:rFonts w:cs="Arial"/>
                <w:b/>
                <w:bCs/>
                <w:color w:val="212121"/>
                <w:sz w:val="22"/>
                <w:szCs w:val="22"/>
              </w:rPr>
              <w:t>Programme</w:t>
            </w:r>
            <w:r w:rsidRPr="00664E0D" w:rsidR="004D2FC0">
              <w:rPr>
                <w:rFonts w:cs="Arial"/>
                <w:b/>
                <w:bCs/>
                <w:color w:val="212121"/>
                <w:sz w:val="22"/>
                <w:szCs w:val="22"/>
              </w:rPr>
              <w:t xml:space="preserve"> end date:</w:t>
            </w:r>
            <w:r w:rsidRPr="00664E0D" w:rsidR="004D2FC0">
              <w:rPr>
                <w:rFonts w:cs="Arial"/>
                <w:color w:val="212121"/>
                <w:sz w:val="22"/>
                <w:szCs w:val="22"/>
              </w:rPr>
              <w:t xml:space="preserve"> </w:t>
            </w:r>
          </w:p>
          <w:p w:rsidRPr="00664E0D" w:rsidR="004D2FC0" w:rsidP="6B9681DD" w:rsidRDefault="46C9B80D" w14:paraId="7A133EFD" w14:textId="0FF84003">
            <w:pPr>
              <w:rPr>
                <w:rFonts w:cs="Arial"/>
                <w:color w:val="212121"/>
                <w:sz w:val="22"/>
                <w:szCs w:val="22"/>
              </w:rPr>
            </w:pPr>
            <w:r w:rsidRPr="00664E0D">
              <w:rPr>
                <w:rFonts w:cs="Arial"/>
                <w:color w:val="212121"/>
                <w:sz w:val="22"/>
                <w:szCs w:val="22"/>
              </w:rPr>
              <w:t>2038</w:t>
            </w:r>
          </w:p>
        </w:tc>
      </w:tr>
    </w:tbl>
    <w:p w:rsidRPr="00664E0D" w:rsidR="004D2FC0" w:rsidP="004D2FC0" w:rsidRDefault="004D2FC0" w14:paraId="44D21F6A" w14:textId="77777777">
      <w:pPr>
        <w:rPr>
          <w:rFonts w:cs="Arial"/>
          <w:b/>
          <w:color w:val="212121"/>
          <w:sz w:val="22"/>
          <w:szCs w:val="22"/>
        </w:rPr>
      </w:pPr>
    </w:p>
    <w:tbl>
      <w:tblPr>
        <w:tblStyle w:val="TableGrid"/>
        <w:tblW w:w="9326" w:type="dxa"/>
        <w:tblLook w:val="04A0" w:firstRow="1" w:lastRow="0" w:firstColumn="1" w:lastColumn="0" w:noHBand="0" w:noVBand="1"/>
      </w:tblPr>
      <w:tblGrid>
        <w:gridCol w:w="2547"/>
        <w:gridCol w:w="847"/>
        <w:gridCol w:w="847"/>
        <w:gridCol w:w="847"/>
        <w:gridCol w:w="847"/>
        <w:gridCol w:w="847"/>
        <w:gridCol w:w="848"/>
        <w:gridCol w:w="848"/>
        <w:gridCol w:w="848"/>
      </w:tblGrid>
      <w:tr w:rsidRPr="001B0614" w:rsidR="006D5C9E" w:rsidTr="00A66609" w14:paraId="397F49F6" w14:textId="77777777">
        <w:tc>
          <w:tcPr>
            <w:tcW w:w="254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664E0D" w:rsidR="00A66609" w:rsidP="00A66609" w:rsidRDefault="00A66609" w14:paraId="4C0C093D" w14:textId="77777777">
            <w:pPr>
              <w:rPr>
                <w:rFonts w:cs="Arial"/>
                <w:b/>
                <w:bCs/>
                <w:color w:val="212121"/>
                <w:sz w:val="22"/>
                <w:szCs w:val="22"/>
              </w:rPr>
            </w:pPr>
            <w:r w:rsidRPr="00664E0D">
              <w:rPr>
                <w:rFonts w:cs="Arial"/>
                <w:b/>
                <w:bCs/>
                <w:color w:val="212121"/>
                <w:sz w:val="22"/>
                <w:szCs w:val="22"/>
              </w:rPr>
              <w:t>Year</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6B111FCA" w14:textId="1BC9D14F">
            <w:pPr>
              <w:rPr>
                <w:rFonts w:cs="Arial"/>
                <w:b/>
                <w:color w:val="212121"/>
                <w:sz w:val="22"/>
                <w:szCs w:val="22"/>
              </w:rPr>
            </w:pPr>
            <w:r w:rsidRPr="00664E0D">
              <w:rPr>
                <w:rFonts w:eastAsia="Arial" w:cs="Arial"/>
                <w:b/>
                <w:bCs/>
                <w:color w:val="212121"/>
                <w:sz w:val="22"/>
                <w:szCs w:val="22"/>
              </w:rPr>
              <w:t>2021</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0AFD8272" w14:textId="286F7B39">
            <w:pPr>
              <w:rPr>
                <w:rFonts w:cs="Arial"/>
                <w:b/>
                <w:color w:val="212121"/>
                <w:sz w:val="22"/>
                <w:szCs w:val="22"/>
              </w:rPr>
            </w:pPr>
            <w:r w:rsidRPr="00664E0D">
              <w:rPr>
                <w:rFonts w:eastAsia="Arial" w:cs="Arial"/>
                <w:b/>
                <w:bCs/>
                <w:color w:val="212121"/>
                <w:sz w:val="22"/>
                <w:szCs w:val="22"/>
              </w:rPr>
              <w:t>2022</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3A81FED8" w14:textId="57D70409">
            <w:pPr>
              <w:rPr>
                <w:rFonts w:cs="Arial"/>
                <w:b/>
                <w:color w:val="212121"/>
                <w:sz w:val="22"/>
                <w:szCs w:val="22"/>
              </w:rPr>
            </w:pPr>
            <w:r w:rsidRPr="00664E0D">
              <w:rPr>
                <w:rFonts w:eastAsia="Arial" w:cs="Arial"/>
                <w:b/>
                <w:bCs/>
                <w:color w:val="212121"/>
                <w:sz w:val="22"/>
                <w:szCs w:val="22"/>
              </w:rPr>
              <w:t>2023</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281A7D7C" w14:textId="6EC2AE4D">
            <w:pPr>
              <w:rPr>
                <w:rFonts w:cs="Arial"/>
                <w:b/>
                <w:color w:val="212121"/>
                <w:sz w:val="22"/>
                <w:szCs w:val="22"/>
              </w:rPr>
            </w:pPr>
            <w:r w:rsidRPr="00664E0D">
              <w:rPr>
                <w:rFonts w:cs="Arial"/>
                <w:b/>
                <w:bCs/>
                <w:color w:val="212121"/>
                <w:sz w:val="22"/>
                <w:szCs w:val="22"/>
              </w:rPr>
              <w:t>2024</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1035360D"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64675C53"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6C4DC08E"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7DE0F0B5" w14:textId="77777777">
            <w:pPr>
              <w:rPr>
                <w:rFonts w:cs="Arial"/>
                <w:b/>
                <w:color w:val="212121"/>
                <w:sz w:val="22"/>
                <w:szCs w:val="22"/>
              </w:rPr>
            </w:pPr>
          </w:p>
        </w:tc>
      </w:tr>
      <w:tr w:rsidRPr="001B0614" w:rsidR="006D5C9E" w:rsidTr="00A66609" w14:paraId="461D6177" w14:textId="77777777">
        <w:tc>
          <w:tcPr>
            <w:tcW w:w="254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664E0D" w:rsidR="00A66609" w:rsidP="00A66609" w:rsidRDefault="00A66609" w14:paraId="63454618" w14:textId="77777777">
            <w:pPr>
              <w:rPr>
                <w:rFonts w:cs="Arial"/>
                <w:b/>
                <w:bCs/>
                <w:color w:val="212121"/>
                <w:sz w:val="22"/>
                <w:szCs w:val="22"/>
              </w:rPr>
            </w:pPr>
            <w:r w:rsidRPr="00664E0D">
              <w:rPr>
                <w:rFonts w:cs="Arial"/>
                <w:b/>
                <w:bCs/>
                <w:color w:val="212121"/>
                <w:sz w:val="22"/>
                <w:szCs w:val="22"/>
              </w:rPr>
              <w:t>Overall Output Score</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173DF536" w14:textId="3DA5A26E">
            <w:pPr>
              <w:rPr>
                <w:rFonts w:cs="Arial"/>
                <w:b/>
                <w:color w:val="212121"/>
                <w:sz w:val="22"/>
                <w:szCs w:val="22"/>
              </w:rPr>
            </w:pPr>
            <w:r w:rsidRPr="00664E0D">
              <w:rPr>
                <w:rFonts w:eastAsia="Arial" w:cs="Arial"/>
                <w:b/>
                <w:bCs/>
                <w:color w:val="212121"/>
                <w:sz w:val="22"/>
                <w:szCs w:val="22"/>
              </w:rPr>
              <w:t>A</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3EF4E81E" w14:textId="16552384">
            <w:pPr>
              <w:rPr>
                <w:rFonts w:cs="Arial"/>
                <w:b/>
                <w:color w:val="212121"/>
                <w:sz w:val="22"/>
                <w:szCs w:val="22"/>
              </w:rPr>
            </w:pPr>
            <w:r w:rsidRPr="00664E0D">
              <w:rPr>
                <w:rFonts w:eastAsia="Arial" w:cs="Arial"/>
                <w:b/>
                <w:bCs/>
                <w:color w:val="212121"/>
                <w:sz w:val="22"/>
                <w:szCs w:val="22"/>
              </w:rPr>
              <w:t>A</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54799606" w14:textId="5B40325A">
            <w:pPr>
              <w:rPr>
                <w:rFonts w:cs="Arial"/>
                <w:b/>
                <w:color w:val="212121"/>
                <w:sz w:val="22"/>
                <w:szCs w:val="22"/>
              </w:rPr>
            </w:pPr>
            <w:r w:rsidRPr="00664E0D">
              <w:rPr>
                <w:rFonts w:eastAsia="Arial" w:cs="Arial"/>
                <w:b/>
                <w:bCs/>
                <w:color w:val="212121"/>
                <w:sz w:val="22"/>
                <w:szCs w:val="22"/>
              </w:rPr>
              <w:t>A</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577D36D3" w14:textId="48D897C3">
            <w:pPr>
              <w:rPr>
                <w:rFonts w:cs="Arial"/>
                <w:b/>
                <w:color w:val="212121"/>
                <w:sz w:val="22"/>
                <w:szCs w:val="22"/>
              </w:rPr>
            </w:pPr>
            <w:r w:rsidRPr="00664E0D">
              <w:rPr>
                <w:rFonts w:eastAsia="Malgun Gothic" w:cs="Arial"/>
                <w:b/>
                <w:bCs/>
                <w:color w:val="212121"/>
                <w:sz w:val="22"/>
                <w:szCs w:val="22"/>
                <w:lang w:eastAsia="ko-KR"/>
              </w:rPr>
              <w:t>A</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40B2879D"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1C095E04"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2E6879F9"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791C19F9" w14:textId="77777777">
            <w:pPr>
              <w:rPr>
                <w:rFonts w:cs="Arial"/>
                <w:b/>
                <w:color w:val="212121"/>
                <w:sz w:val="22"/>
                <w:szCs w:val="22"/>
              </w:rPr>
            </w:pPr>
          </w:p>
        </w:tc>
      </w:tr>
      <w:tr w:rsidRPr="001B0614" w:rsidR="006D5C9E" w:rsidTr="00A66609" w14:paraId="58491621" w14:textId="77777777">
        <w:trPr>
          <w:trHeight w:val="309"/>
        </w:trPr>
        <w:tc>
          <w:tcPr>
            <w:tcW w:w="254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664E0D" w:rsidR="00A66609" w:rsidP="00A66609" w:rsidRDefault="00A66609" w14:paraId="7030DD62" w14:textId="77777777">
            <w:pPr>
              <w:rPr>
                <w:rFonts w:cs="Arial"/>
                <w:b/>
                <w:bCs/>
                <w:color w:val="212121"/>
                <w:sz w:val="22"/>
                <w:szCs w:val="22"/>
              </w:rPr>
            </w:pPr>
            <w:r w:rsidRPr="00664E0D">
              <w:rPr>
                <w:rFonts w:cs="Arial"/>
                <w:b/>
                <w:bCs/>
                <w:color w:val="212121"/>
                <w:sz w:val="22"/>
                <w:szCs w:val="22"/>
              </w:rPr>
              <w:t xml:space="preserve">Risk Rating </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305A103B" w14:textId="3842F15A">
            <w:pPr>
              <w:rPr>
                <w:rFonts w:cs="Arial"/>
                <w:b/>
                <w:color w:val="212121"/>
                <w:sz w:val="22"/>
                <w:szCs w:val="22"/>
              </w:rPr>
            </w:pPr>
            <w:r w:rsidRPr="00664E0D">
              <w:rPr>
                <w:rFonts w:eastAsia="Arial" w:cs="Arial"/>
                <w:b/>
                <w:bCs/>
                <w:color w:val="212121"/>
                <w:sz w:val="22"/>
                <w:szCs w:val="22"/>
              </w:rPr>
              <w:t>Major</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0A2D7582" w14:textId="7B31D78B">
            <w:pPr>
              <w:rPr>
                <w:rFonts w:cs="Arial"/>
                <w:b/>
                <w:color w:val="212121"/>
                <w:sz w:val="22"/>
                <w:szCs w:val="22"/>
              </w:rPr>
            </w:pPr>
            <w:r w:rsidRPr="00664E0D">
              <w:rPr>
                <w:rFonts w:eastAsia="Arial" w:cs="Arial"/>
                <w:b/>
                <w:bCs/>
                <w:color w:val="212121"/>
                <w:sz w:val="22"/>
                <w:szCs w:val="22"/>
              </w:rPr>
              <w:t>Major</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0D01A6E7" w14:textId="4226E522">
            <w:pPr>
              <w:rPr>
                <w:rFonts w:cs="Arial"/>
                <w:b/>
                <w:color w:val="212121"/>
                <w:sz w:val="22"/>
                <w:szCs w:val="22"/>
              </w:rPr>
            </w:pPr>
            <w:r w:rsidRPr="00664E0D">
              <w:rPr>
                <w:rFonts w:eastAsia="Arial" w:cs="Arial"/>
                <w:b/>
                <w:bCs/>
                <w:color w:val="212121"/>
                <w:sz w:val="22"/>
                <w:szCs w:val="22"/>
              </w:rPr>
              <w:t>Major</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136C9D43" w14:textId="69312A15">
            <w:pPr>
              <w:rPr>
                <w:rFonts w:cs="Arial"/>
                <w:b/>
                <w:color w:val="212121"/>
                <w:sz w:val="22"/>
                <w:szCs w:val="22"/>
              </w:rPr>
            </w:pPr>
            <w:r w:rsidRPr="00664E0D">
              <w:rPr>
                <w:rFonts w:eastAsia="Malgun Gothic" w:cs="Arial"/>
                <w:b/>
                <w:bCs/>
                <w:color w:val="212121"/>
                <w:sz w:val="22"/>
                <w:szCs w:val="22"/>
                <w:lang w:eastAsia="ko-KR"/>
              </w:rPr>
              <w:t>Major</w:t>
            </w:r>
          </w:p>
        </w:tc>
        <w:tc>
          <w:tcPr>
            <w:tcW w:w="847"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468D2069"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2F214678"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2A9939C5" w14:textId="77777777">
            <w:pPr>
              <w:rPr>
                <w:rFonts w:cs="Arial"/>
                <w:b/>
                <w:color w:val="212121"/>
                <w:sz w:val="22"/>
                <w:szCs w:val="22"/>
              </w:rPr>
            </w:pPr>
          </w:p>
        </w:tc>
        <w:tc>
          <w:tcPr>
            <w:tcW w:w="848" w:type="dxa"/>
            <w:tcBorders>
              <w:top w:val="single" w:color="auto" w:sz="4" w:space="0"/>
              <w:left w:val="single" w:color="auto" w:sz="4" w:space="0"/>
              <w:bottom w:val="single" w:color="auto" w:sz="4" w:space="0"/>
              <w:right w:val="single" w:color="auto" w:sz="4" w:space="0"/>
            </w:tcBorders>
          </w:tcPr>
          <w:p w:rsidRPr="00664E0D" w:rsidR="00A66609" w:rsidP="00A66609" w:rsidRDefault="00A66609" w14:paraId="5349FBAE" w14:textId="77777777">
            <w:pPr>
              <w:rPr>
                <w:rFonts w:cs="Arial"/>
                <w:b/>
                <w:color w:val="212121"/>
                <w:sz w:val="22"/>
                <w:szCs w:val="22"/>
              </w:rPr>
            </w:pPr>
          </w:p>
        </w:tc>
      </w:tr>
    </w:tbl>
    <w:p w:rsidRPr="00664E0D" w:rsidR="004D2FC0" w:rsidP="004D2FC0" w:rsidRDefault="004D2FC0" w14:paraId="06E2DA9D" w14:textId="77777777">
      <w:pPr>
        <w:rPr>
          <w:rFonts w:cs="Arial"/>
          <w:b/>
          <w:color w:val="212121"/>
          <w:sz w:val="22"/>
          <w:szCs w:val="22"/>
        </w:rPr>
      </w:pPr>
    </w:p>
    <w:tbl>
      <w:tblPr>
        <w:tblStyle w:val="TableGrid"/>
        <w:tblW w:w="0" w:type="auto"/>
        <w:tblInd w:w="-5" w:type="dxa"/>
        <w:tblLook w:val="04A0" w:firstRow="1" w:lastRow="0" w:firstColumn="1" w:lastColumn="0" w:noHBand="0" w:noVBand="1"/>
      </w:tblPr>
      <w:tblGrid>
        <w:gridCol w:w="3969"/>
        <w:gridCol w:w="5052"/>
      </w:tblGrid>
      <w:tr w:rsidRPr="001B0614" w:rsidR="0074379B" w:rsidTr="00495286" w14:paraId="4FEBD36E" w14:textId="77777777">
        <w:trPr>
          <w:trHeight w:val="355"/>
        </w:trPr>
        <w:tc>
          <w:tcPr>
            <w:tcW w:w="3969" w:type="dxa"/>
            <w:shd w:val="clear" w:color="auto" w:fill="DEEAF6" w:themeFill="accent5" w:themeFillTint="33"/>
            <w:hideMark/>
          </w:tcPr>
          <w:p w:rsidRPr="00664E0D" w:rsidR="00B95736" w:rsidP="00B95736" w:rsidRDefault="00B95736" w14:paraId="47E97EB8" w14:textId="77777777">
            <w:pPr>
              <w:rPr>
                <w:rFonts w:cs="Arial"/>
                <w:b/>
                <w:color w:val="212121"/>
                <w:sz w:val="22"/>
                <w:szCs w:val="22"/>
              </w:rPr>
            </w:pPr>
            <w:r w:rsidRPr="00664E0D">
              <w:rPr>
                <w:rFonts w:cs="Arial"/>
                <w:b/>
                <w:color w:val="212121"/>
                <w:sz w:val="22"/>
                <w:szCs w:val="22"/>
              </w:rPr>
              <w:t xml:space="preserve">Link to Business Case: </w:t>
            </w:r>
          </w:p>
        </w:tc>
        <w:tc>
          <w:tcPr>
            <w:tcW w:w="5052" w:type="dxa"/>
          </w:tcPr>
          <w:p w:rsidRPr="00664E0D" w:rsidR="00B95736" w:rsidP="00B95736" w:rsidRDefault="00B95736" w14:paraId="52CAFA29" w14:textId="6697F94C">
            <w:pPr>
              <w:rPr>
                <w:rFonts w:cs="Arial"/>
                <w:bCs/>
                <w:i/>
                <w:iCs/>
                <w:color w:val="212121"/>
                <w:sz w:val="22"/>
                <w:szCs w:val="22"/>
              </w:rPr>
            </w:pPr>
            <w:hyperlink r:id="rId16">
              <w:r w:rsidRPr="00664E0D">
                <w:rPr>
                  <w:rStyle w:val="Hyperlink"/>
                  <w:rFonts w:eastAsia="Arial" w:cs="Arial"/>
                  <w:i/>
                  <w:iCs/>
                  <w:color w:val="212121"/>
                  <w:sz w:val="22"/>
                  <w:szCs w:val="22"/>
                </w:rPr>
                <w:t>Business case</w:t>
              </w:r>
            </w:hyperlink>
            <w:r w:rsidRPr="00664E0D">
              <w:rPr>
                <w:rFonts w:eastAsia="Arial" w:cs="Arial"/>
                <w:i/>
                <w:iCs/>
                <w:color w:val="212121"/>
                <w:sz w:val="22"/>
                <w:szCs w:val="22"/>
              </w:rPr>
              <w:t xml:space="preserve"> </w:t>
            </w:r>
          </w:p>
        </w:tc>
      </w:tr>
      <w:tr w:rsidRPr="001B0614" w:rsidR="0074379B" w:rsidTr="00495286" w14:paraId="728A7692" w14:textId="77777777">
        <w:trPr>
          <w:trHeight w:val="403"/>
        </w:trPr>
        <w:tc>
          <w:tcPr>
            <w:tcW w:w="3969" w:type="dxa"/>
            <w:shd w:val="clear" w:color="auto" w:fill="DEEAF6" w:themeFill="accent5" w:themeFillTint="33"/>
            <w:hideMark/>
          </w:tcPr>
          <w:p w:rsidRPr="00664E0D" w:rsidR="00B95736" w:rsidP="00B95736" w:rsidRDefault="00B95736" w14:paraId="251B0951" w14:textId="77777777">
            <w:pPr>
              <w:rPr>
                <w:rFonts w:cs="Arial"/>
                <w:b/>
                <w:i/>
                <w:color w:val="212121"/>
                <w:sz w:val="22"/>
                <w:szCs w:val="22"/>
              </w:rPr>
            </w:pPr>
            <w:r w:rsidRPr="00664E0D">
              <w:rPr>
                <w:rFonts w:cs="Arial"/>
                <w:b/>
                <w:color w:val="212121"/>
                <w:sz w:val="22"/>
                <w:szCs w:val="22"/>
              </w:rPr>
              <w:t xml:space="preserve">Link to </w:t>
            </w:r>
            <w:proofErr w:type="spellStart"/>
            <w:r w:rsidRPr="00664E0D">
              <w:rPr>
                <w:rFonts w:cs="Arial"/>
                <w:b/>
                <w:color w:val="212121"/>
                <w:sz w:val="22"/>
                <w:szCs w:val="22"/>
              </w:rPr>
              <w:t>Logframe</w:t>
            </w:r>
            <w:proofErr w:type="spellEnd"/>
            <w:r w:rsidRPr="00664E0D">
              <w:rPr>
                <w:rFonts w:cs="Arial"/>
                <w:b/>
                <w:color w:val="212121"/>
                <w:sz w:val="22"/>
                <w:szCs w:val="22"/>
              </w:rPr>
              <w:t xml:space="preserve">: </w:t>
            </w:r>
          </w:p>
        </w:tc>
        <w:tc>
          <w:tcPr>
            <w:tcW w:w="5052" w:type="dxa"/>
          </w:tcPr>
          <w:p w:rsidRPr="00664E0D" w:rsidR="00B95736" w:rsidP="00B95736" w:rsidRDefault="00B95736" w14:paraId="6F43C793" w14:textId="77777777">
            <w:pPr>
              <w:rPr>
                <w:rFonts w:eastAsia="Arial" w:cs="Arial"/>
                <w:color w:val="212121"/>
                <w:sz w:val="22"/>
                <w:szCs w:val="22"/>
              </w:rPr>
            </w:pPr>
            <w:hyperlink r:id="rId17">
              <w:proofErr w:type="spellStart"/>
              <w:r w:rsidRPr="00664E0D">
                <w:rPr>
                  <w:rStyle w:val="Hyperlink"/>
                  <w:rFonts w:eastAsia="Arial" w:cs="Arial"/>
                  <w:i/>
                  <w:iCs/>
                  <w:color w:val="212121"/>
                  <w:sz w:val="22"/>
                  <w:szCs w:val="22"/>
                </w:rPr>
                <w:t>Logframe</w:t>
              </w:r>
              <w:proofErr w:type="spellEnd"/>
            </w:hyperlink>
          </w:p>
          <w:p w:rsidRPr="00664E0D" w:rsidR="00B95736" w:rsidP="00B95736" w:rsidRDefault="00B95736" w14:paraId="1941208D" w14:textId="294A8040">
            <w:pPr>
              <w:rPr>
                <w:rFonts w:cs="Arial"/>
                <w:bCs/>
                <w:i/>
                <w:iCs/>
                <w:color w:val="212121"/>
                <w:sz w:val="22"/>
                <w:szCs w:val="22"/>
              </w:rPr>
            </w:pPr>
          </w:p>
        </w:tc>
      </w:tr>
      <w:tr w:rsidRPr="001B0614" w:rsidR="0074379B" w:rsidTr="00495286" w14:paraId="240D100A" w14:textId="77777777">
        <w:trPr>
          <w:trHeight w:val="403"/>
        </w:trPr>
        <w:tc>
          <w:tcPr>
            <w:tcW w:w="3969" w:type="dxa"/>
            <w:shd w:val="clear" w:color="auto" w:fill="DEEAF6" w:themeFill="accent5" w:themeFillTint="33"/>
          </w:tcPr>
          <w:p w:rsidRPr="00664E0D" w:rsidR="00B95736" w:rsidP="00B95736" w:rsidRDefault="00B95736" w14:paraId="44F3A577" w14:textId="77777777">
            <w:pPr>
              <w:rPr>
                <w:rFonts w:cs="Arial"/>
                <w:b/>
                <w:color w:val="212121"/>
                <w:sz w:val="22"/>
                <w:szCs w:val="22"/>
              </w:rPr>
            </w:pPr>
            <w:r w:rsidRPr="00664E0D">
              <w:rPr>
                <w:rFonts w:cs="Arial"/>
                <w:b/>
                <w:color w:val="212121"/>
                <w:sz w:val="22"/>
                <w:szCs w:val="22"/>
              </w:rPr>
              <w:t xml:space="preserve">Link to previous Annual Review </w:t>
            </w:r>
            <w:r w:rsidRPr="00664E0D">
              <w:rPr>
                <w:rFonts w:cs="Arial"/>
                <w:bCs/>
                <w:color w:val="212121"/>
                <w:sz w:val="22"/>
                <w:szCs w:val="22"/>
              </w:rPr>
              <w:t>(if appropriate)</w:t>
            </w:r>
          </w:p>
        </w:tc>
        <w:tc>
          <w:tcPr>
            <w:tcW w:w="5052" w:type="dxa"/>
          </w:tcPr>
          <w:p w:rsidRPr="00664E0D" w:rsidR="00B95736" w:rsidP="00B95736" w:rsidRDefault="00C92A1D" w14:paraId="521FABC2" w14:textId="7CA215C7">
            <w:pPr>
              <w:rPr>
                <w:rFonts w:cs="Arial"/>
                <w:bCs/>
                <w:i/>
                <w:iCs/>
                <w:color w:val="212121"/>
                <w:sz w:val="22"/>
                <w:szCs w:val="22"/>
              </w:rPr>
            </w:pPr>
            <w:hyperlink w:history="1" r:id="rId18">
              <w:r w:rsidRPr="00664E0D">
                <w:rPr>
                  <w:rStyle w:val="Hyperlink"/>
                  <w:rFonts w:cs="Arial"/>
                  <w:bCs/>
                  <w:i/>
                  <w:iCs/>
                  <w:color w:val="212121"/>
                  <w:sz w:val="22"/>
                  <w:szCs w:val="22"/>
                </w:rPr>
                <w:t>MFF Annual Review 2024</w:t>
              </w:r>
            </w:hyperlink>
          </w:p>
        </w:tc>
      </w:tr>
    </w:tbl>
    <w:p w:rsidRPr="00664E0D" w:rsidR="004D2FC0" w:rsidP="006C516E" w:rsidRDefault="004D2FC0" w14:paraId="5A54EF7F" w14:textId="77777777">
      <w:pPr>
        <w:rPr>
          <w:color w:val="212121"/>
        </w:rPr>
      </w:pPr>
    </w:p>
    <w:p w:rsidRPr="00664E0D" w:rsidR="003D222C" w:rsidP="004D5FD5" w:rsidRDefault="003D222C" w14:paraId="7A642962" w14:textId="64BADAA8">
      <w:pPr>
        <w:jc w:val="both"/>
        <w:rPr>
          <w:color w:val="212121"/>
        </w:rPr>
      </w:pPr>
      <w:bookmarkStart w:name="_Toc227234238" w:id="3"/>
      <w:r w:rsidRPr="00664E0D">
        <w:rPr>
          <w:rStyle w:val="Heading2Char"/>
          <w:color w:val="212121"/>
        </w:rPr>
        <w:t xml:space="preserve">Description of </w:t>
      </w:r>
      <w:r w:rsidRPr="00664E0D" w:rsidR="3713721B">
        <w:rPr>
          <w:rStyle w:val="Heading2Char"/>
          <w:color w:val="212121"/>
        </w:rPr>
        <w:t>programme</w:t>
      </w:r>
      <w:bookmarkEnd w:id="3"/>
      <w:r w:rsidRPr="00664E0D">
        <w:rPr>
          <w:color w:val="212121"/>
        </w:rPr>
        <w:t xml:space="preserve"> </w:t>
      </w:r>
    </w:p>
    <w:p w:rsidRPr="00664E0D" w:rsidR="003D222C" w:rsidP="004D5FD5" w:rsidRDefault="003D222C" w14:paraId="6F9482AB" w14:textId="77777777">
      <w:pPr>
        <w:jc w:val="both"/>
        <w:rPr>
          <w:rFonts w:cs="Arial"/>
          <w:b/>
          <w:color w:val="212121"/>
          <w:sz w:val="22"/>
          <w:szCs w:val="22"/>
        </w:rPr>
      </w:pPr>
    </w:p>
    <w:p w:rsidRPr="00664E0D" w:rsidR="00A15325" w:rsidP="00A15325" w:rsidRDefault="00A15325" w14:paraId="0E1F0202" w14:textId="1285BE6E">
      <w:pPr>
        <w:jc w:val="both"/>
        <w:rPr>
          <w:rFonts w:eastAsia="Arial" w:cs="Arial"/>
          <w:color w:val="212121"/>
          <w:sz w:val="22"/>
          <w:szCs w:val="22"/>
        </w:rPr>
      </w:pPr>
      <w:r w:rsidRPr="00664E0D">
        <w:rPr>
          <w:rFonts w:eastAsia="Arial" w:cs="Arial"/>
          <w:color w:val="212121"/>
          <w:sz w:val="22"/>
          <w:szCs w:val="22"/>
        </w:rPr>
        <w:t xml:space="preserve">Mobilising Finance for Forests (MFF) aims to increase private investment in activities which combat deforestation and reduce environmentally unsustainable land use practices in tropical forest regions that contribute to global climate change. It is the UK’s first large-scale blended finance ICF </w:t>
      </w:r>
      <w:r w:rsidRPr="00664E0D" w:rsidR="3713721B">
        <w:rPr>
          <w:rFonts w:eastAsia="Arial" w:cs="Arial"/>
          <w:color w:val="212121"/>
          <w:sz w:val="22"/>
          <w:szCs w:val="22"/>
        </w:rPr>
        <w:t>programme</w:t>
      </w:r>
      <w:r w:rsidRPr="00664E0D">
        <w:rPr>
          <w:rFonts w:eastAsia="Arial" w:cs="Arial"/>
          <w:color w:val="212121"/>
          <w:sz w:val="22"/>
          <w:szCs w:val="22"/>
        </w:rPr>
        <w:t xml:space="preserve"> in this sector. MFF invests in projects that create value from standing forests and/or incorporate forest protection and restoration into sustainable forms of agricultural production to demonstrate their commercial viability. </w:t>
      </w:r>
    </w:p>
    <w:p w:rsidRPr="00664E0D" w:rsidR="00A15325" w:rsidP="00A15325" w:rsidRDefault="00A15325" w14:paraId="569CBDCC" w14:textId="77777777">
      <w:pPr>
        <w:jc w:val="both"/>
        <w:rPr>
          <w:rFonts w:eastAsia="Arial" w:cs="Arial"/>
          <w:color w:val="212121"/>
          <w:sz w:val="22"/>
          <w:szCs w:val="22"/>
        </w:rPr>
      </w:pPr>
    </w:p>
    <w:p w:rsidRPr="00664E0D" w:rsidR="00A15325" w:rsidP="00A15325" w:rsidRDefault="00A15325" w14:paraId="562A285B" w14:textId="77777777">
      <w:pPr>
        <w:jc w:val="both"/>
        <w:rPr>
          <w:rFonts w:eastAsia="Arial" w:cs="Arial"/>
          <w:color w:val="212121"/>
          <w:sz w:val="22"/>
          <w:szCs w:val="22"/>
        </w:rPr>
      </w:pPr>
      <w:r w:rsidRPr="00664E0D">
        <w:rPr>
          <w:rFonts w:eastAsia="Arial" w:cs="Arial"/>
          <w:color w:val="212121"/>
          <w:sz w:val="22"/>
          <w:szCs w:val="22"/>
        </w:rPr>
        <w:t xml:space="preserve">FMO, the Dutch Development Finance Institution (DFI), is the delivery partner. They will invest most of the capital into investment funds which meet the geographical and sectoral mandate, but they will also build a portfolio of direct investments. FMO will invest three types of funding: </w:t>
      </w:r>
    </w:p>
    <w:p w:rsidRPr="00664E0D" w:rsidR="00A15325" w:rsidP="00A15325" w:rsidRDefault="00A15325" w14:paraId="2A5AFE75" w14:textId="77777777">
      <w:pPr>
        <w:jc w:val="both"/>
        <w:rPr>
          <w:rFonts w:eastAsia="Arial" w:cs="Arial"/>
          <w:color w:val="212121"/>
          <w:sz w:val="22"/>
          <w:szCs w:val="22"/>
        </w:rPr>
      </w:pPr>
    </w:p>
    <w:p w:rsidRPr="00664E0D" w:rsidR="00A15325" w:rsidP="00A15325" w:rsidRDefault="00A15325" w14:paraId="7FE08858" w14:textId="77777777">
      <w:pPr>
        <w:pStyle w:val="ListParagraph"/>
        <w:numPr>
          <w:ilvl w:val="0"/>
          <w:numId w:val="21"/>
        </w:numPr>
        <w:jc w:val="both"/>
        <w:rPr>
          <w:rFonts w:eastAsia="Arial" w:cs="Arial"/>
          <w:color w:val="212121"/>
          <w:sz w:val="22"/>
          <w:szCs w:val="22"/>
        </w:rPr>
      </w:pPr>
      <w:r w:rsidRPr="00664E0D">
        <w:rPr>
          <w:rFonts w:eastAsia="Arial" w:cs="Arial"/>
          <w:b/>
          <w:bCs/>
          <w:color w:val="212121"/>
          <w:sz w:val="22"/>
          <w:szCs w:val="22"/>
        </w:rPr>
        <w:t>Capital investment</w:t>
      </w:r>
      <w:r w:rsidRPr="00664E0D">
        <w:rPr>
          <w:rFonts w:eastAsia="Arial" w:cs="Arial"/>
          <w:color w:val="212121"/>
          <w:sz w:val="22"/>
          <w:szCs w:val="22"/>
        </w:rPr>
        <w:t>: At least 75% of spend will be concessional capital provided via concessional equity or debt to de-risk funding structures and mobilise additional DFI or private sector investment. Funds selected will invest in underlying investee projects, through equity, debt, or other financial instruments, and demonstrate that those projects are commercially viable at scale. For direct investments, FMO will invest equity, debt or other financial instruments directly into projects.</w:t>
      </w:r>
    </w:p>
    <w:p w:rsidRPr="00664E0D" w:rsidR="00A15325" w:rsidP="00A15325" w:rsidRDefault="00A15325" w14:paraId="4A2F95F7" w14:textId="77777777">
      <w:pPr>
        <w:pStyle w:val="ListParagraph"/>
        <w:numPr>
          <w:ilvl w:val="0"/>
          <w:numId w:val="21"/>
        </w:numPr>
        <w:jc w:val="both"/>
        <w:rPr>
          <w:rFonts w:eastAsia="Arial" w:cs="Arial"/>
          <w:color w:val="212121"/>
          <w:sz w:val="22"/>
          <w:szCs w:val="22"/>
        </w:rPr>
      </w:pPr>
      <w:r w:rsidRPr="00664E0D">
        <w:rPr>
          <w:rFonts w:eastAsia="Arial" w:cs="Arial"/>
          <w:b/>
          <w:bCs/>
          <w:color w:val="212121"/>
          <w:sz w:val="22"/>
          <w:szCs w:val="22"/>
        </w:rPr>
        <w:t>Development Contributions</w:t>
      </w:r>
      <w:r w:rsidRPr="00664E0D">
        <w:rPr>
          <w:rFonts w:eastAsia="Arial" w:cs="Arial"/>
          <w:color w:val="212121"/>
          <w:sz w:val="22"/>
          <w:szCs w:val="22"/>
        </w:rPr>
        <w:t xml:space="preserve">: Fund Managers, including FMO, will be able to use up to 20% of MFF capital as Development Contributions to help convert marginally commercially unviable investee projects into viable projects by developing them from the stage of pre-feasibility to bankability. This will directly improve the quality of their investment pipeline and increase the number of viable projects in which they can invest. Contributions will be fully repayable if projects successfully reach financial close or other agreed milestones such as becoming cashflow positive. </w:t>
      </w:r>
    </w:p>
    <w:p w:rsidRPr="00664E0D" w:rsidR="00A15325" w:rsidP="00A15325" w:rsidRDefault="00A15325" w14:paraId="7BB712BA" w14:textId="77777777">
      <w:pPr>
        <w:pStyle w:val="ListParagraph"/>
        <w:numPr>
          <w:ilvl w:val="0"/>
          <w:numId w:val="21"/>
        </w:numPr>
        <w:jc w:val="both"/>
        <w:rPr>
          <w:rFonts w:eastAsia="Arial" w:cs="Arial"/>
          <w:color w:val="212121"/>
          <w:sz w:val="22"/>
          <w:szCs w:val="22"/>
        </w:rPr>
      </w:pPr>
      <w:r w:rsidRPr="00664E0D">
        <w:rPr>
          <w:rFonts w:eastAsia="Arial" w:cs="Arial"/>
          <w:b/>
          <w:bCs/>
          <w:color w:val="212121"/>
          <w:sz w:val="22"/>
          <w:szCs w:val="22"/>
        </w:rPr>
        <w:t>Technical Assistance</w:t>
      </w:r>
      <w:r w:rsidRPr="00664E0D">
        <w:rPr>
          <w:rFonts w:eastAsia="Arial" w:cs="Arial"/>
          <w:color w:val="212121"/>
          <w:sz w:val="22"/>
          <w:szCs w:val="22"/>
        </w:rPr>
        <w:t>: Up to 5% of the total budget will be available as a grant for the Technical Assistance Facility to 1) support the replication and commercial scale-up of investments and 2) to convene key stakeholders to share knowledge, lessons, data and blueprints with the wider investment community operating in this space. MFF has contracts with two service providers to deliver technical assistance activities.</w:t>
      </w:r>
    </w:p>
    <w:p w:rsidRPr="00664E0D" w:rsidR="002108CD" w:rsidRDefault="002108CD" w14:paraId="5BCD8453" w14:textId="77777777">
      <w:pPr>
        <w:jc w:val="both"/>
        <w:rPr>
          <w:color w:val="212121"/>
          <w:kern w:val="2"/>
          <w:lang w:eastAsia="en-GB"/>
          <w14:ligatures w14:val="standardContextual"/>
        </w:rPr>
      </w:pPr>
      <w:r w:rsidRPr="00664E0D">
        <w:rPr>
          <w:color w:val="212121"/>
          <w:sz w:val="22"/>
          <w:szCs w:val="22"/>
        </w:rPr>
        <w:t>MFF targets countries with high stocks of tropical forests and has a strong focus on the largest remaining primary tropical forests (the Amazon, Indonesian and Congo basins). Tier 1 countries include Brazil, Colombia, Peru, Ghana, Ivory Coast, Republic of Congo, Democratic Republic of Congo, Gabon, Indonesia and Malaysia, which collectively will receive at least 50% of the funding. Tier 2 countries include Ethiopia, Kenya, Tanzania, Mozambique, Zambia, South Africa, India, Myanmar, Thailand, Laos, Cambodia, Vietnam, Philippines. While not included in the original Business Case, we approved in 2025 an investment in Madagascar, which should now be included in the list of Tier 2 countries, as we track % allocation between the two tiers.</w:t>
      </w:r>
    </w:p>
    <w:p w:rsidRPr="00664E0D" w:rsidR="009E3F6E" w:rsidP="004D5FD5" w:rsidRDefault="009E3F6E" w14:paraId="58574625" w14:textId="77777777">
      <w:pPr>
        <w:jc w:val="both"/>
        <w:rPr>
          <w:color w:val="212121"/>
        </w:rPr>
      </w:pPr>
    </w:p>
    <w:p w:rsidRPr="00664E0D" w:rsidR="003D222C" w:rsidP="004D5FD5" w:rsidRDefault="003D222C" w14:paraId="5276E7EE" w14:textId="10318F68">
      <w:pPr>
        <w:jc w:val="both"/>
        <w:rPr>
          <w:color w:val="212121"/>
        </w:rPr>
      </w:pPr>
      <w:bookmarkStart w:name="_Toc227234239" w:id="4"/>
      <w:r w:rsidRPr="00664E0D">
        <w:rPr>
          <w:rStyle w:val="Heading2Char"/>
          <w:color w:val="212121"/>
        </w:rPr>
        <w:t>Summary of progress and supporting narrative for the overall score</w:t>
      </w:r>
      <w:bookmarkEnd w:id="4"/>
      <w:r w:rsidRPr="00664E0D" w:rsidR="00A86616">
        <w:rPr>
          <w:color w:val="212121"/>
        </w:rPr>
        <w:t xml:space="preserve"> </w:t>
      </w:r>
      <w:r w:rsidRPr="00664E0D">
        <w:rPr>
          <w:color w:val="212121"/>
        </w:rPr>
        <w:t>[1/2 page]</w:t>
      </w:r>
    </w:p>
    <w:p w:rsidRPr="00664E0D" w:rsidR="0052479C" w:rsidP="004D5FD5" w:rsidRDefault="0052479C" w14:paraId="3CCDFD43" w14:textId="77777777">
      <w:pPr>
        <w:contextualSpacing/>
        <w:jc w:val="both"/>
        <w:rPr>
          <w:rFonts w:cs="Arial"/>
          <w:color w:val="212121"/>
          <w:sz w:val="22"/>
          <w:szCs w:val="22"/>
        </w:rPr>
      </w:pPr>
    </w:p>
    <w:p w:rsidRPr="00664E0D" w:rsidR="00D73319" w:rsidP="006B4D5C" w:rsidRDefault="0052479C" w14:paraId="38911C39" w14:textId="2432532D">
      <w:pPr>
        <w:contextualSpacing/>
        <w:jc w:val="both"/>
        <w:rPr>
          <w:rFonts w:cs="Arial"/>
          <w:color w:val="212121"/>
          <w:sz w:val="22"/>
          <w:szCs w:val="22"/>
        </w:rPr>
      </w:pPr>
      <w:r w:rsidRPr="00664E0D">
        <w:rPr>
          <w:rFonts w:cs="Arial"/>
          <w:color w:val="212121"/>
          <w:sz w:val="22"/>
          <w:szCs w:val="22"/>
        </w:rPr>
        <w:t xml:space="preserve">MFF is awarded </w:t>
      </w:r>
      <w:r w:rsidRPr="00664E0D" w:rsidR="006735F6">
        <w:rPr>
          <w:rFonts w:cs="Arial"/>
          <w:color w:val="212121"/>
          <w:sz w:val="22"/>
          <w:szCs w:val="22"/>
        </w:rPr>
        <w:t>a</w:t>
      </w:r>
      <w:r w:rsidRPr="00664E0D" w:rsidR="00EE7F46">
        <w:rPr>
          <w:rFonts w:cs="Arial"/>
          <w:color w:val="212121"/>
          <w:sz w:val="22"/>
          <w:szCs w:val="22"/>
        </w:rPr>
        <w:t>n</w:t>
      </w:r>
      <w:r w:rsidRPr="00664E0D" w:rsidR="00362234">
        <w:rPr>
          <w:rFonts w:cs="Arial"/>
          <w:color w:val="212121"/>
          <w:sz w:val="22"/>
          <w:szCs w:val="22"/>
        </w:rPr>
        <w:t xml:space="preserve"> </w:t>
      </w:r>
      <w:r w:rsidRPr="00664E0D" w:rsidR="006D0E6C">
        <w:rPr>
          <w:rFonts w:cs="Arial"/>
          <w:color w:val="212121"/>
          <w:sz w:val="22"/>
          <w:szCs w:val="22"/>
        </w:rPr>
        <w:t>A score. In its fifth year of operation, the programme has continued to deliver strongly across all three outputs</w:t>
      </w:r>
      <w:r w:rsidRPr="00664E0D" w:rsidR="00A87E3E">
        <w:rPr>
          <w:rFonts w:cs="Arial"/>
          <w:color w:val="212121"/>
          <w:sz w:val="22"/>
          <w:szCs w:val="22"/>
        </w:rPr>
        <w:t>, with several indicators exceeding their 2025 cumulative targets</w:t>
      </w:r>
      <w:r w:rsidRPr="00664E0D" w:rsidR="006B4D5C">
        <w:rPr>
          <w:rFonts w:cs="Arial"/>
          <w:color w:val="212121"/>
          <w:sz w:val="22"/>
          <w:szCs w:val="22"/>
        </w:rPr>
        <w:t>. The programme has</w:t>
      </w:r>
      <w:r w:rsidRPr="00664E0D" w:rsidR="00D73319">
        <w:rPr>
          <w:rFonts w:cs="Arial"/>
          <w:color w:val="212121"/>
          <w:sz w:val="22"/>
          <w:szCs w:val="22"/>
        </w:rPr>
        <w:t xml:space="preserve"> now </w:t>
      </w:r>
      <w:r w:rsidRPr="00664E0D" w:rsidR="00D73319">
        <w:rPr>
          <w:rFonts w:cs="Arial"/>
          <w:b/>
          <w:bCs/>
          <w:color w:val="212121"/>
          <w:sz w:val="22"/>
          <w:szCs w:val="22"/>
        </w:rPr>
        <w:t>deployed over USD 100 million</w:t>
      </w:r>
      <w:r w:rsidRPr="00664E0D" w:rsidR="00D53B18">
        <w:rPr>
          <w:rFonts w:cs="Arial"/>
          <w:b/>
          <w:bCs/>
          <w:color w:val="212121"/>
          <w:sz w:val="22"/>
          <w:szCs w:val="22"/>
        </w:rPr>
        <w:t xml:space="preserve"> </w:t>
      </w:r>
      <w:r w:rsidRPr="00664E0D" w:rsidR="00D53B18">
        <w:rPr>
          <w:rFonts w:cs="Arial"/>
          <w:color w:val="212121"/>
          <w:sz w:val="22"/>
          <w:szCs w:val="22"/>
        </w:rPr>
        <w:t xml:space="preserve">in concessional capital, crossing a significant milestone. </w:t>
      </w:r>
      <w:r w:rsidRPr="00664E0D" w:rsidR="00110EE8">
        <w:rPr>
          <w:rFonts w:cs="Arial"/>
          <w:color w:val="212121"/>
          <w:sz w:val="22"/>
          <w:szCs w:val="22"/>
        </w:rPr>
        <w:t xml:space="preserve">During </w:t>
      </w:r>
      <w:r w:rsidRPr="00664E0D" w:rsidR="00D73319">
        <w:rPr>
          <w:rFonts w:cs="Arial"/>
          <w:color w:val="212121"/>
          <w:sz w:val="22"/>
          <w:szCs w:val="22"/>
        </w:rPr>
        <w:t xml:space="preserve">the year, </w:t>
      </w:r>
      <w:r w:rsidRPr="00664E0D" w:rsidR="00F336AD">
        <w:rPr>
          <w:rFonts w:cs="Arial"/>
          <w:color w:val="212121"/>
          <w:sz w:val="22"/>
          <w:szCs w:val="22"/>
        </w:rPr>
        <w:t>three</w:t>
      </w:r>
      <w:r w:rsidRPr="00664E0D" w:rsidR="00D73319">
        <w:rPr>
          <w:rFonts w:cs="Arial"/>
          <w:color w:val="212121"/>
          <w:sz w:val="22"/>
          <w:szCs w:val="22"/>
        </w:rPr>
        <w:t xml:space="preserve"> new investments were formally closed: </w:t>
      </w:r>
      <w:proofErr w:type="spellStart"/>
      <w:r w:rsidRPr="00664E0D" w:rsidR="00D73319">
        <w:rPr>
          <w:rFonts w:cs="Arial"/>
          <w:b/>
          <w:bCs/>
          <w:color w:val="212121"/>
          <w:sz w:val="22"/>
          <w:szCs w:val="22"/>
        </w:rPr>
        <w:t>EcoEnterprises</w:t>
      </w:r>
      <w:proofErr w:type="spellEnd"/>
      <w:r w:rsidRPr="00664E0D" w:rsidR="00D73319">
        <w:rPr>
          <w:rFonts w:cs="Arial"/>
          <w:b/>
          <w:bCs/>
          <w:color w:val="212121"/>
          <w:sz w:val="22"/>
          <w:szCs w:val="22"/>
        </w:rPr>
        <w:t xml:space="preserve"> Fund IV (USD 15m)</w:t>
      </w:r>
      <w:r w:rsidRPr="00664E0D" w:rsidR="00D73319">
        <w:rPr>
          <w:rFonts w:cs="Arial"/>
          <w:color w:val="212121"/>
          <w:sz w:val="22"/>
          <w:szCs w:val="22"/>
        </w:rPr>
        <w:t xml:space="preserve">; the </w:t>
      </w:r>
      <w:r w:rsidRPr="00664E0D" w:rsidR="00D73319">
        <w:rPr>
          <w:rFonts w:cs="Arial"/>
          <w:b/>
          <w:bCs/>
          <w:color w:val="212121"/>
          <w:sz w:val="22"/>
          <w:szCs w:val="22"/>
        </w:rPr>
        <w:t>Responsible Commodities Facility – Brazil (USD 10m)</w:t>
      </w:r>
      <w:r w:rsidRPr="00664E0D" w:rsidR="00D73319">
        <w:rPr>
          <w:rFonts w:cs="Arial"/>
          <w:color w:val="212121"/>
          <w:sz w:val="22"/>
          <w:szCs w:val="22"/>
        </w:rPr>
        <w:t xml:space="preserve">; and the </w:t>
      </w:r>
      <w:r w:rsidRPr="00664E0D" w:rsidR="00D73319">
        <w:rPr>
          <w:rFonts w:cs="Arial"/>
          <w:b/>
          <w:bCs/>
          <w:color w:val="212121"/>
          <w:sz w:val="22"/>
          <w:szCs w:val="22"/>
        </w:rPr>
        <w:t xml:space="preserve">USD 0.85m Development Contribution to launch the </w:t>
      </w:r>
      <w:proofErr w:type="spellStart"/>
      <w:r w:rsidRPr="00664E0D" w:rsidR="00D73319">
        <w:rPr>
          <w:rFonts w:cs="Arial"/>
          <w:b/>
          <w:bCs/>
          <w:color w:val="212121"/>
          <w:sz w:val="22"/>
          <w:szCs w:val="22"/>
        </w:rPr>
        <w:t>CrossBoundary</w:t>
      </w:r>
      <w:proofErr w:type="spellEnd"/>
      <w:r w:rsidRPr="00664E0D" w:rsidR="00D73319">
        <w:rPr>
          <w:rFonts w:cs="Arial"/>
          <w:b/>
          <w:bCs/>
          <w:color w:val="212121"/>
          <w:sz w:val="22"/>
          <w:szCs w:val="22"/>
        </w:rPr>
        <w:t xml:space="preserve"> Fund for Nature</w:t>
      </w:r>
      <w:r w:rsidRPr="00664E0D" w:rsidR="00D73319">
        <w:rPr>
          <w:rFonts w:cs="Arial"/>
          <w:color w:val="212121"/>
          <w:sz w:val="22"/>
          <w:szCs w:val="22"/>
        </w:rPr>
        <w:t xml:space="preserve">. Together, these additions strengthen MFF’s blend of fund and direct investments, each combining commercial structures with measurable climate, biodiversity and social outcomes. </w:t>
      </w:r>
    </w:p>
    <w:p w:rsidRPr="00664E0D" w:rsidR="0008249F" w:rsidP="00D73319" w:rsidRDefault="0008249F" w14:paraId="71A3BBA7" w14:textId="77777777">
      <w:pPr>
        <w:contextualSpacing/>
        <w:jc w:val="both"/>
        <w:rPr>
          <w:rFonts w:cs="Arial"/>
          <w:color w:val="212121"/>
          <w:sz w:val="22"/>
          <w:szCs w:val="22"/>
        </w:rPr>
      </w:pPr>
    </w:p>
    <w:p w:rsidR="00784BC2" w:rsidRDefault="00784BC2" w14:paraId="0942E3D2" w14:textId="77777777">
      <w:pPr>
        <w:jc w:val="both"/>
        <w:rPr>
          <w:kern w:val="2"/>
          <w:lang w:eastAsia="en-GB"/>
          <w14:ligatures w14:val="standardContextual"/>
        </w:rPr>
      </w:pPr>
      <w:r w:rsidRPr="60FFCBD4">
        <w:rPr>
          <w:color w:val="212121"/>
          <w:sz w:val="22"/>
          <w:szCs w:val="22"/>
        </w:rPr>
        <w:t xml:space="preserve">The portfolio has now mobilised </w:t>
      </w:r>
      <w:r w:rsidRPr="60FFCBD4">
        <w:rPr>
          <w:b/>
          <w:bCs/>
          <w:color w:val="212121"/>
          <w:sz w:val="22"/>
          <w:szCs w:val="22"/>
        </w:rPr>
        <w:t xml:space="preserve">USD 536.94m in private finance </w:t>
      </w:r>
      <w:r w:rsidRPr="60FFCBD4">
        <w:rPr>
          <w:color w:val="212121"/>
          <w:sz w:val="22"/>
          <w:szCs w:val="22"/>
        </w:rPr>
        <w:t xml:space="preserve">(USD 472.6m via TRF, USD 28.44m via </w:t>
      </w:r>
      <w:proofErr w:type="spellStart"/>
      <w:r w:rsidRPr="60FFCBD4">
        <w:rPr>
          <w:color w:val="212121"/>
          <w:sz w:val="22"/>
          <w:szCs w:val="22"/>
        </w:rPr>
        <w:t>EcoEnterprises</w:t>
      </w:r>
      <w:proofErr w:type="spellEnd"/>
      <w:r w:rsidRPr="60FFCBD4">
        <w:rPr>
          <w:color w:val="212121"/>
          <w:sz w:val="22"/>
          <w:szCs w:val="22"/>
        </w:rPr>
        <w:t xml:space="preserve"> Fund IV, USD 25.3m via RCF, USD 10.60m via &amp;Green) </w:t>
      </w:r>
      <w:r w:rsidRPr="60FFCBD4">
        <w:rPr>
          <w:b/>
          <w:bCs/>
          <w:color w:val="212121"/>
          <w:sz w:val="22"/>
          <w:szCs w:val="22"/>
        </w:rPr>
        <w:t>and has raised USD 409.55m in co</w:t>
      </w:r>
      <w:r>
        <w:noBreakHyphen/>
      </w:r>
      <w:r w:rsidRPr="60FFCBD4">
        <w:rPr>
          <w:b/>
          <w:bCs/>
          <w:color w:val="212121"/>
          <w:sz w:val="22"/>
          <w:szCs w:val="22"/>
        </w:rPr>
        <w:t>financing and mobilised USD 169.20m at the fund level</w:t>
      </w:r>
      <w:r w:rsidRPr="60FFCBD4">
        <w:rPr>
          <w:color w:val="212121"/>
          <w:sz w:val="22"/>
          <w:szCs w:val="22"/>
        </w:rPr>
        <w:t>, a strong signal that blended finance is starting to work effectively in this sector. Direct</w:t>
      </w:r>
      <w:r>
        <w:noBreakHyphen/>
      </w:r>
      <w:r w:rsidRPr="60FFCBD4">
        <w:rPr>
          <w:color w:val="212121"/>
          <w:sz w:val="22"/>
          <w:szCs w:val="22"/>
        </w:rPr>
        <w:t>level mobilisation is below the 2025 target (USD 3.5m vs USD 15m). This reflects a portfolio emphasis to date on fund vehicles over direct company investments.</w:t>
      </w:r>
    </w:p>
    <w:p w:rsidRPr="00664E0D" w:rsidR="007236D3" w:rsidP="60FFCBD4" w:rsidRDefault="007236D3" w14:paraId="01FFE971" w14:textId="67FD6E86">
      <w:pPr>
        <w:contextualSpacing/>
        <w:jc w:val="both"/>
        <w:rPr>
          <w:rFonts w:cs="Arial"/>
          <w:color w:val="212121"/>
          <w:sz w:val="22"/>
          <w:szCs w:val="22"/>
        </w:rPr>
      </w:pPr>
    </w:p>
    <w:p w:rsidRPr="00664E0D" w:rsidR="007E2D4A" w:rsidP="00D73319" w:rsidRDefault="00D73319" w14:paraId="07330E18" w14:textId="4434CE77">
      <w:pPr>
        <w:contextualSpacing/>
        <w:jc w:val="both"/>
        <w:rPr>
          <w:rFonts w:cs="Arial"/>
          <w:color w:val="212121"/>
          <w:sz w:val="22"/>
          <w:szCs w:val="22"/>
        </w:rPr>
      </w:pPr>
      <w:r w:rsidRPr="00664E0D">
        <w:rPr>
          <w:rFonts w:cs="Arial"/>
          <w:color w:val="212121"/>
          <w:sz w:val="22"/>
          <w:szCs w:val="22"/>
        </w:rPr>
        <w:t xml:space="preserve">The </w:t>
      </w:r>
      <w:r w:rsidRPr="00664E0D">
        <w:rPr>
          <w:rFonts w:cs="Arial"/>
          <w:b/>
          <w:bCs/>
          <w:color w:val="212121"/>
          <w:sz w:val="22"/>
          <w:szCs w:val="22"/>
        </w:rPr>
        <w:t>Learning, Convening and Influencing Platform (LCIP)</w:t>
      </w:r>
      <w:r w:rsidRPr="00664E0D">
        <w:rPr>
          <w:rFonts w:cs="Arial"/>
          <w:color w:val="212121"/>
          <w:sz w:val="22"/>
          <w:szCs w:val="22"/>
        </w:rPr>
        <w:t xml:space="preserve"> gained significant traction, especially through widely used knowledge products such as the </w:t>
      </w:r>
      <w:r w:rsidRPr="00664E0D">
        <w:rPr>
          <w:rFonts w:cs="Arial"/>
          <w:b/>
          <w:bCs/>
          <w:color w:val="212121"/>
          <w:sz w:val="22"/>
          <w:szCs w:val="22"/>
        </w:rPr>
        <w:t>ESG Guide for Forestry Investments</w:t>
      </w:r>
      <w:r w:rsidRPr="00664E0D">
        <w:rPr>
          <w:rFonts w:cs="Arial"/>
          <w:color w:val="212121"/>
          <w:sz w:val="22"/>
          <w:szCs w:val="22"/>
        </w:rPr>
        <w:t xml:space="preserve">, and work on </w:t>
      </w:r>
      <w:r w:rsidRPr="00664E0D">
        <w:rPr>
          <w:rFonts w:cs="Arial"/>
          <w:b/>
          <w:bCs/>
          <w:color w:val="212121"/>
          <w:sz w:val="22"/>
          <w:szCs w:val="22"/>
        </w:rPr>
        <w:t>deforestation</w:t>
      </w:r>
      <w:r w:rsidRPr="00664E0D">
        <w:rPr>
          <w:rFonts w:cs="Arial"/>
          <w:b/>
          <w:bCs/>
          <w:color w:val="212121"/>
          <w:sz w:val="22"/>
          <w:szCs w:val="22"/>
        </w:rPr>
        <w:noBreakHyphen/>
      </w:r>
      <w:r w:rsidRPr="00664E0D">
        <w:rPr>
          <w:rFonts w:cs="Arial"/>
          <w:b/>
          <w:bCs/>
          <w:color w:val="212121"/>
          <w:sz w:val="22"/>
          <w:szCs w:val="22"/>
        </w:rPr>
        <w:t>free supply chains</w:t>
      </w:r>
      <w:r w:rsidRPr="00664E0D">
        <w:rPr>
          <w:rFonts w:cs="Arial"/>
          <w:color w:val="212121"/>
          <w:sz w:val="22"/>
          <w:szCs w:val="22"/>
        </w:rPr>
        <w:t xml:space="preserve">. Convening efforts brought together investors, corporates, and governments, culminating in promising developments such as the </w:t>
      </w:r>
      <w:r w:rsidRPr="00664E0D">
        <w:rPr>
          <w:rFonts w:cs="Arial"/>
          <w:b/>
          <w:bCs/>
          <w:color w:val="212121"/>
          <w:sz w:val="22"/>
          <w:szCs w:val="22"/>
        </w:rPr>
        <w:t>Palladium–</w:t>
      </w:r>
      <w:r w:rsidRPr="00664E0D" w:rsidR="00476185">
        <w:rPr>
          <w:rFonts w:cs="Arial"/>
          <w:b/>
          <w:bCs/>
          <w:color w:val="212121"/>
          <w:sz w:val="22"/>
          <w:szCs w:val="22"/>
        </w:rPr>
        <w:t>Investors</w:t>
      </w:r>
      <w:r w:rsidRPr="00664E0D">
        <w:rPr>
          <w:rFonts w:cs="Arial"/>
          <w:b/>
          <w:bCs/>
          <w:color w:val="212121"/>
          <w:sz w:val="22"/>
          <w:szCs w:val="22"/>
        </w:rPr>
        <w:t xml:space="preserve"> for Purpose partnership</w:t>
      </w:r>
      <w:r w:rsidRPr="00664E0D" w:rsidR="00476185">
        <w:rPr>
          <w:rFonts w:cs="Arial"/>
          <w:color w:val="212121"/>
          <w:sz w:val="22"/>
          <w:szCs w:val="22"/>
        </w:rPr>
        <w:t xml:space="preserve">. </w:t>
      </w:r>
    </w:p>
    <w:p w:rsidRPr="00664E0D" w:rsidR="007E2D4A" w:rsidP="00D73319" w:rsidRDefault="007E2D4A" w14:paraId="24E7D305" w14:textId="77777777">
      <w:pPr>
        <w:contextualSpacing/>
        <w:jc w:val="both"/>
        <w:rPr>
          <w:rFonts w:cs="Arial"/>
          <w:color w:val="212121"/>
          <w:sz w:val="22"/>
          <w:szCs w:val="22"/>
        </w:rPr>
      </w:pPr>
    </w:p>
    <w:p w:rsidRPr="00664E0D" w:rsidR="00D73319" w:rsidP="00D73319" w:rsidRDefault="00D73319" w14:paraId="7037B95B" w14:textId="3504133C">
      <w:pPr>
        <w:contextualSpacing/>
        <w:jc w:val="both"/>
        <w:rPr>
          <w:rFonts w:cs="Arial"/>
          <w:color w:val="212121"/>
          <w:sz w:val="22"/>
          <w:szCs w:val="22"/>
        </w:rPr>
      </w:pPr>
      <w:r w:rsidRPr="00664E0D">
        <w:rPr>
          <w:rFonts w:cs="Arial"/>
          <w:color w:val="212121"/>
          <w:sz w:val="22"/>
          <w:szCs w:val="22"/>
        </w:rPr>
        <w:t xml:space="preserve">Partnership with the Dutch government also deepened: the </w:t>
      </w:r>
      <w:r w:rsidRPr="00664E0D">
        <w:rPr>
          <w:rFonts w:cs="Arial"/>
          <w:b/>
          <w:bCs/>
          <w:color w:val="212121"/>
          <w:sz w:val="22"/>
          <w:szCs w:val="22"/>
        </w:rPr>
        <w:t>USD 33.5m Dutch contribution</w:t>
      </w:r>
      <w:r w:rsidRPr="00664E0D">
        <w:rPr>
          <w:rFonts w:cs="Arial"/>
          <w:color w:val="212121"/>
          <w:sz w:val="22"/>
          <w:szCs w:val="22"/>
        </w:rPr>
        <w:t xml:space="preserve"> is now fully operational under a new MoU, strengthening MFF’s multi</w:t>
      </w:r>
      <w:r w:rsidRPr="00664E0D">
        <w:rPr>
          <w:rFonts w:cs="Arial"/>
          <w:color w:val="212121"/>
          <w:sz w:val="22"/>
          <w:szCs w:val="22"/>
        </w:rPr>
        <w:noBreakHyphen/>
      </w:r>
      <w:r w:rsidRPr="00664E0D">
        <w:rPr>
          <w:rFonts w:cs="Arial"/>
          <w:color w:val="212121"/>
          <w:sz w:val="22"/>
          <w:szCs w:val="22"/>
        </w:rPr>
        <w:t xml:space="preserve">donor platform and positioning it for future expansion to </w:t>
      </w:r>
      <w:r w:rsidRPr="00664E0D" w:rsidR="007E2D4A">
        <w:rPr>
          <w:rFonts w:cs="Arial"/>
          <w:color w:val="212121"/>
          <w:sz w:val="22"/>
          <w:szCs w:val="22"/>
        </w:rPr>
        <w:t>future donors</w:t>
      </w:r>
      <w:r w:rsidRPr="00664E0D">
        <w:rPr>
          <w:rFonts w:cs="Arial"/>
          <w:color w:val="212121"/>
          <w:sz w:val="22"/>
          <w:szCs w:val="22"/>
        </w:rPr>
        <w:t xml:space="preserve">. Progress within FMO has also been notable, with enhanced capacity and the ambition articulated in its </w:t>
      </w:r>
      <w:r w:rsidRPr="00664E0D">
        <w:rPr>
          <w:rFonts w:cs="Arial"/>
          <w:b/>
          <w:bCs/>
          <w:color w:val="212121"/>
          <w:sz w:val="22"/>
          <w:szCs w:val="22"/>
        </w:rPr>
        <w:t>2030 Forestry Strategy</w:t>
      </w:r>
      <w:r w:rsidRPr="00664E0D">
        <w:rPr>
          <w:rFonts w:cs="Arial"/>
          <w:color w:val="212121"/>
          <w:sz w:val="22"/>
          <w:szCs w:val="22"/>
        </w:rPr>
        <w:t xml:space="preserve"> (</w:t>
      </w:r>
      <w:r w:rsidRPr="00664E0D" w:rsidR="00495B2F">
        <w:rPr>
          <w:rFonts w:cs="Arial"/>
          <w:color w:val="212121"/>
          <w:sz w:val="22"/>
          <w:szCs w:val="22"/>
        </w:rPr>
        <w:t xml:space="preserve">up to </w:t>
      </w:r>
      <w:r w:rsidRPr="00664E0D">
        <w:rPr>
          <w:rFonts w:cs="Arial"/>
          <w:color w:val="212121"/>
          <w:sz w:val="22"/>
          <w:szCs w:val="22"/>
        </w:rPr>
        <w:t>EUR 1bn commitment to FSLU by 2030), providing confidence in long</w:t>
      </w:r>
      <w:r w:rsidRPr="00664E0D">
        <w:rPr>
          <w:rFonts w:cs="Arial"/>
          <w:color w:val="212121"/>
          <w:sz w:val="22"/>
          <w:szCs w:val="22"/>
        </w:rPr>
        <w:noBreakHyphen/>
      </w:r>
      <w:r w:rsidRPr="00664E0D">
        <w:rPr>
          <w:rFonts w:cs="Arial"/>
          <w:color w:val="212121"/>
          <w:sz w:val="22"/>
          <w:szCs w:val="22"/>
        </w:rPr>
        <w:t>term delivery capabilities.</w:t>
      </w:r>
    </w:p>
    <w:p w:rsidRPr="00664E0D" w:rsidR="00337CC5" w:rsidP="00D73319" w:rsidRDefault="00337CC5" w14:paraId="60DD8CE5" w14:textId="77777777">
      <w:pPr>
        <w:contextualSpacing/>
        <w:jc w:val="both"/>
        <w:rPr>
          <w:rFonts w:cs="Arial"/>
          <w:color w:val="212121"/>
          <w:sz w:val="22"/>
          <w:szCs w:val="22"/>
        </w:rPr>
      </w:pPr>
    </w:p>
    <w:p w:rsidRPr="00664E0D" w:rsidR="006D5C9E" w:rsidP="5B37A4F7" w:rsidRDefault="00C768CB" w14:paraId="74A5561A" w14:textId="105E6664">
      <w:pPr>
        <w:contextualSpacing/>
        <w:jc w:val="both"/>
        <w:rPr>
          <w:rFonts w:cs="Arial"/>
          <w:color w:val="212121"/>
          <w:sz w:val="22"/>
          <w:szCs w:val="22"/>
        </w:rPr>
      </w:pPr>
      <w:r w:rsidRPr="00664E0D">
        <w:rPr>
          <w:rFonts w:cs="Arial"/>
          <w:color w:val="212121"/>
          <w:sz w:val="22"/>
          <w:szCs w:val="22"/>
        </w:rPr>
        <w:t xml:space="preserve">An initial </w:t>
      </w:r>
      <w:r w:rsidRPr="00664E0D" w:rsidR="3713721B">
        <w:rPr>
          <w:rFonts w:cs="Arial"/>
          <w:color w:val="212121"/>
          <w:sz w:val="22"/>
          <w:szCs w:val="22"/>
        </w:rPr>
        <w:t>programme</w:t>
      </w:r>
      <w:r w:rsidRPr="00664E0D" w:rsidR="0026385F">
        <w:rPr>
          <w:rFonts w:cs="Arial"/>
          <w:color w:val="212121"/>
          <w:sz w:val="22"/>
          <w:szCs w:val="22"/>
        </w:rPr>
        <w:t xml:space="preserve"> evaluation </w:t>
      </w:r>
      <w:r w:rsidRPr="00664E0D">
        <w:rPr>
          <w:rFonts w:cs="Arial"/>
          <w:color w:val="212121"/>
          <w:sz w:val="22"/>
          <w:szCs w:val="22"/>
        </w:rPr>
        <w:t xml:space="preserve">and biodiversity report were </w:t>
      </w:r>
      <w:r w:rsidRPr="00664E0D" w:rsidR="0026385F">
        <w:rPr>
          <w:rFonts w:cs="Arial"/>
          <w:color w:val="212121"/>
          <w:sz w:val="22"/>
          <w:szCs w:val="22"/>
        </w:rPr>
        <w:t xml:space="preserve">published </w:t>
      </w:r>
      <w:r w:rsidRPr="00664E0D" w:rsidR="002F4F91">
        <w:rPr>
          <w:rFonts w:cs="Arial"/>
          <w:color w:val="212121"/>
          <w:sz w:val="22"/>
          <w:szCs w:val="22"/>
        </w:rPr>
        <w:t>in Q</w:t>
      </w:r>
      <w:r w:rsidRPr="00664E0D" w:rsidR="00476185">
        <w:rPr>
          <w:rFonts w:cs="Arial"/>
          <w:color w:val="212121"/>
          <w:sz w:val="22"/>
          <w:szCs w:val="22"/>
        </w:rPr>
        <w:t>2</w:t>
      </w:r>
      <w:r w:rsidRPr="00664E0D" w:rsidR="002F4F91">
        <w:rPr>
          <w:rFonts w:cs="Arial"/>
          <w:color w:val="212121"/>
          <w:sz w:val="22"/>
          <w:szCs w:val="22"/>
        </w:rPr>
        <w:t xml:space="preserve"> 2025.</w:t>
      </w:r>
      <w:r w:rsidRPr="00664E0D" w:rsidR="006D5C9E">
        <w:rPr>
          <w:color w:val="212121"/>
          <w:sz w:val="21"/>
          <w:szCs w:val="21"/>
          <w:lang w:eastAsia="ko-KR"/>
        </w:rPr>
        <w:t xml:space="preserve"> </w:t>
      </w:r>
      <w:r w:rsidRPr="00664E0D" w:rsidR="006D5C9E">
        <w:rPr>
          <w:rFonts w:cs="Arial"/>
          <w:color w:val="212121"/>
          <w:sz w:val="22"/>
          <w:szCs w:val="22"/>
        </w:rPr>
        <w:t xml:space="preserve">The </w:t>
      </w:r>
      <w:r w:rsidRPr="00664E0D" w:rsidR="006D5C9E">
        <w:rPr>
          <w:rFonts w:cs="Arial"/>
          <w:b/>
          <w:bCs/>
          <w:color w:val="212121"/>
          <w:sz w:val="22"/>
          <w:szCs w:val="22"/>
        </w:rPr>
        <w:t xml:space="preserve">Initial </w:t>
      </w:r>
      <w:r w:rsidRPr="00664E0D" w:rsidR="3713721B">
        <w:rPr>
          <w:rFonts w:cs="Arial"/>
          <w:b/>
          <w:bCs/>
          <w:color w:val="212121"/>
          <w:sz w:val="22"/>
          <w:szCs w:val="22"/>
        </w:rPr>
        <w:t>Programme</w:t>
      </w:r>
      <w:r w:rsidRPr="00664E0D" w:rsidR="006D5C9E">
        <w:rPr>
          <w:rFonts w:cs="Arial"/>
          <w:b/>
          <w:bCs/>
          <w:color w:val="212121"/>
          <w:sz w:val="22"/>
          <w:szCs w:val="22"/>
        </w:rPr>
        <w:t xml:space="preserve"> Evaluation</w:t>
      </w:r>
      <w:r w:rsidRPr="00664E0D" w:rsidR="006D5C9E">
        <w:rPr>
          <w:rFonts w:cs="Arial"/>
          <w:color w:val="212121"/>
          <w:sz w:val="22"/>
          <w:szCs w:val="22"/>
        </w:rPr>
        <w:t xml:space="preserve"> concluded that MFF is broadly </w:t>
      </w:r>
      <w:r w:rsidRPr="00664E0D" w:rsidR="006D5C9E">
        <w:rPr>
          <w:rFonts w:cs="Arial"/>
          <w:b/>
          <w:bCs/>
          <w:color w:val="212121"/>
          <w:sz w:val="22"/>
          <w:szCs w:val="22"/>
        </w:rPr>
        <w:t>aligned with its strategic objectives</w:t>
      </w:r>
      <w:r w:rsidRPr="00664E0D" w:rsidR="006D5C9E">
        <w:rPr>
          <w:rFonts w:cs="Arial"/>
          <w:color w:val="212121"/>
          <w:sz w:val="22"/>
          <w:szCs w:val="22"/>
        </w:rPr>
        <w:t>, with a portfolio that is relevant to the Forests and Sustainable Land Use (FSLU) context and well</w:t>
      </w:r>
      <w:r w:rsidRPr="00664E0D" w:rsidR="00F86CE2">
        <w:rPr>
          <w:rFonts w:cs="Arial"/>
          <w:color w:val="212121"/>
          <w:sz w:val="22"/>
          <w:szCs w:val="22"/>
        </w:rPr>
        <w:t xml:space="preserve"> </w:t>
      </w:r>
      <w:r w:rsidRPr="00664E0D" w:rsidR="006D5C9E">
        <w:rPr>
          <w:rFonts w:cs="Arial"/>
          <w:color w:val="212121"/>
          <w:sz w:val="22"/>
          <w:szCs w:val="22"/>
        </w:rPr>
        <w:t>designed to deliver additionality through concessional capital. The evaluation highlight</w:t>
      </w:r>
      <w:r w:rsidRPr="00664E0D" w:rsidR="00466203">
        <w:rPr>
          <w:rFonts w:cs="Arial"/>
          <w:color w:val="212121"/>
          <w:sz w:val="22"/>
          <w:szCs w:val="22"/>
        </w:rPr>
        <w:t>ed</w:t>
      </w:r>
      <w:r w:rsidRPr="00664E0D" w:rsidR="006D5C9E">
        <w:rPr>
          <w:rFonts w:cs="Arial"/>
          <w:color w:val="212121"/>
          <w:sz w:val="22"/>
          <w:szCs w:val="22"/>
        </w:rPr>
        <w:t xml:space="preserve"> generally effective </w:t>
      </w:r>
      <w:r w:rsidRPr="00664E0D" w:rsidR="3713721B">
        <w:rPr>
          <w:rFonts w:cs="Arial"/>
          <w:color w:val="212121"/>
          <w:sz w:val="22"/>
          <w:szCs w:val="22"/>
        </w:rPr>
        <w:t>programme</w:t>
      </w:r>
      <w:r w:rsidRPr="00664E0D" w:rsidR="006D5C9E">
        <w:rPr>
          <w:rFonts w:cs="Arial"/>
          <w:color w:val="212121"/>
          <w:sz w:val="22"/>
          <w:szCs w:val="22"/>
        </w:rPr>
        <w:t xml:space="preserve"> management by FMO, while recommending improvements in </w:t>
      </w:r>
      <w:r w:rsidRPr="00664E0D" w:rsidR="006D5C9E">
        <w:rPr>
          <w:rFonts w:cs="Arial"/>
          <w:b/>
          <w:bCs/>
          <w:color w:val="212121"/>
          <w:sz w:val="22"/>
          <w:szCs w:val="22"/>
        </w:rPr>
        <w:t>pipeline diversification</w:t>
      </w:r>
      <w:r w:rsidRPr="00664E0D" w:rsidR="006D5C9E">
        <w:rPr>
          <w:rFonts w:cs="Arial"/>
          <w:color w:val="212121"/>
          <w:sz w:val="22"/>
          <w:szCs w:val="22"/>
        </w:rPr>
        <w:t>, more proactive early</w:t>
      </w:r>
      <w:r w:rsidRPr="00664E0D" w:rsidR="00F86CE2">
        <w:rPr>
          <w:rFonts w:cs="Arial"/>
          <w:color w:val="212121"/>
          <w:sz w:val="22"/>
          <w:szCs w:val="22"/>
        </w:rPr>
        <w:t xml:space="preserve"> </w:t>
      </w:r>
      <w:r w:rsidRPr="00664E0D" w:rsidR="006D5C9E">
        <w:rPr>
          <w:rFonts w:cs="Arial"/>
          <w:color w:val="212121"/>
          <w:sz w:val="22"/>
          <w:szCs w:val="22"/>
        </w:rPr>
        <w:t>stage engagement between FMO and the UK team, and stronger integration of learning into strategic decisions. It emphasise</w:t>
      </w:r>
      <w:r w:rsidRPr="00664E0D" w:rsidR="00466203">
        <w:rPr>
          <w:rFonts w:cs="Arial"/>
          <w:color w:val="212121"/>
          <w:sz w:val="22"/>
          <w:szCs w:val="22"/>
        </w:rPr>
        <w:t>d</w:t>
      </w:r>
      <w:r w:rsidRPr="00664E0D" w:rsidR="006D5C9E">
        <w:rPr>
          <w:rFonts w:cs="Arial"/>
          <w:color w:val="212121"/>
          <w:sz w:val="22"/>
          <w:szCs w:val="22"/>
        </w:rPr>
        <w:t xml:space="preserve"> a need to refine processes, strengthen monitoring systems, and ensure that the </w:t>
      </w:r>
      <w:r w:rsidRPr="00664E0D" w:rsidR="3713721B">
        <w:rPr>
          <w:rFonts w:cs="Arial"/>
          <w:color w:val="212121"/>
          <w:sz w:val="22"/>
          <w:szCs w:val="22"/>
        </w:rPr>
        <w:t>programme</w:t>
      </w:r>
      <w:r w:rsidRPr="00664E0D" w:rsidR="006D5C9E">
        <w:rPr>
          <w:rFonts w:cs="Arial"/>
          <w:color w:val="212121"/>
          <w:sz w:val="22"/>
          <w:szCs w:val="22"/>
        </w:rPr>
        <w:t xml:space="preserve"> remains coherent with UK objectives as the portfolio grows</w:t>
      </w:r>
      <w:r w:rsidRPr="00664E0D" w:rsidR="00A969F9">
        <w:rPr>
          <w:rFonts w:cs="Arial"/>
          <w:color w:val="212121"/>
          <w:sz w:val="22"/>
          <w:szCs w:val="22"/>
        </w:rPr>
        <w:t xml:space="preserve"> which were taken into account in the AR2025 recommendations. </w:t>
      </w:r>
    </w:p>
    <w:p w:rsidRPr="00664E0D" w:rsidR="00A969F9" w:rsidP="006D5C9E" w:rsidRDefault="00A969F9" w14:paraId="6FBA30FF" w14:textId="77777777">
      <w:pPr>
        <w:contextualSpacing/>
        <w:jc w:val="both"/>
        <w:rPr>
          <w:rFonts w:cs="Arial"/>
          <w:color w:val="212121"/>
          <w:sz w:val="22"/>
          <w:szCs w:val="22"/>
        </w:rPr>
      </w:pPr>
    </w:p>
    <w:p w:rsidRPr="00664E0D" w:rsidR="00337CC5" w:rsidP="5B37A4F7" w:rsidRDefault="006D5C9E" w14:paraId="0E490AED" w14:textId="0F23BEF3">
      <w:pPr>
        <w:contextualSpacing/>
        <w:jc w:val="both"/>
        <w:rPr>
          <w:rFonts w:cs="Arial"/>
          <w:color w:val="212121"/>
          <w:sz w:val="22"/>
          <w:szCs w:val="22"/>
        </w:rPr>
      </w:pPr>
      <w:r w:rsidRPr="00664E0D">
        <w:rPr>
          <w:rFonts w:cs="Arial"/>
          <w:color w:val="212121"/>
          <w:sz w:val="22"/>
          <w:szCs w:val="22"/>
        </w:rPr>
        <w:t xml:space="preserve">The </w:t>
      </w:r>
      <w:r w:rsidRPr="00664E0D">
        <w:rPr>
          <w:rFonts w:cs="Arial"/>
          <w:b/>
          <w:bCs/>
          <w:color w:val="212121"/>
          <w:sz w:val="22"/>
          <w:szCs w:val="22"/>
        </w:rPr>
        <w:t>Biodiversity Positive Impact Study</w:t>
      </w:r>
      <w:r w:rsidRPr="00664E0D">
        <w:rPr>
          <w:rFonts w:cs="Arial"/>
          <w:color w:val="212121"/>
          <w:sz w:val="22"/>
          <w:szCs w:val="22"/>
        </w:rPr>
        <w:t xml:space="preserve"> conclude</w:t>
      </w:r>
      <w:r w:rsidRPr="00664E0D" w:rsidR="00A969F9">
        <w:rPr>
          <w:rFonts w:cs="Arial"/>
          <w:color w:val="212121"/>
          <w:sz w:val="22"/>
          <w:szCs w:val="22"/>
        </w:rPr>
        <w:t>d</w:t>
      </w:r>
      <w:r w:rsidRPr="00664E0D">
        <w:rPr>
          <w:rFonts w:cs="Arial"/>
          <w:color w:val="212121"/>
          <w:sz w:val="22"/>
          <w:szCs w:val="22"/>
        </w:rPr>
        <w:t xml:space="preserve"> that credible biodiversity impact requires georeferenced data, baselines, counterfactuals, and long</w:t>
      </w:r>
      <w:r w:rsidRPr="00664E0D" w:rsidR="00685302">
        <w:rPr>
          <w:rFonts w:cs="Arial"/>
          <w:color w:val="212121"/>
          <w:sz w:val="22"/>
          <w:szCs w:val="22"/>
        </w:rPr>
        <w:t>-</w:t>
      </w:r>
      <w:r w:rsidRPr="00664E0D">
        <w:rPr>
          <w:rFonts w:cs="Arial"/>
          <w:color w:val="212121"/>
          <w:sz w:val="22"/>
          <w:szCs w:val="22"/>
        </w:rPr>
        <w:t>term monitoring, all of which are often absent or inconsistently applied across the sector. Funds and projects typically treat biodiversity as a co</w:t>
      </w:r>
      <w:r w:rsidRPr="00664E0D" w:rsidR="00F86CE2">
        <w:rPr>
          <w:rFonts w:cs="Arial"/>
          <w:color w:val="212121"/>
          <w:sz w:val="22"/>
          <w:szCs w:val="22"/>
        </w:rPr>
        <w:t>-</w:t>
      </w:r>
      <w:r w:rsidRPr="00664E0D">
        <w:rPr>
          <w:rFonts w:cs="Arial"/>
          <w:color w:val="212121"/>
          <w:sz w:val="22"/>
          <w:szCs w:val="22"/>
        </w:rPr>
        <w:t>benefit rather than a revenue driver, meaning impact is undermeasured unless supported by dedicated technical assistance. The study recommend</w:t>
      </w:r>
      <w:r w:rsidRPr="00664E0D" w:rsidR="00A969F9">
        <w:rPr>
          <w:rFonts w:cs="Arial"/>
          <w:color w:val="212121"/>
          <w:sz w:val="22"/>
          <w:szCs w:val="22"/>
        </w:rPr>
        <w:t>ed</w:t>
      </w:r>
      <w:r w:rsidRPr="00664E0D">
        <w:rPr>
          <w:rFonts w:cs="Arial"/>
          <w:color w:val="212121"/>
          <w:sz w:val="22"/>
          <w:szCs w:val="22"/>
        </w:rPr>
        <w:t xml:space="preserve"> that MFF adopt clearer biodiversity frameworks, strengthen verification through standards such as FSC/CCB/Plan Vivo, and invest in TA for geospatial analysis and monitoring systems so that biodiversity shifts from being a risk</w:t>
      </w:r>
      <w:r w:rsidRPr="00664E0D" w:rsidR="00685302">
        <w:rPr>
          <w:rFonts w:cs="Arial"/>
          <w:color w:val="212121"/>
          <w:sz w:val="22"/>
          <w:szCs w:val="22"/>
        </w:rPr>
        <w:t xml:space="preserve"> </w:t>
      </w:r>
      <w:r w:rsidRPr="00664E0D">
        <w:rPr>
          <w:rFonts w:cs="Arial"/>
          <w:color w:val="212121"/>
          <w:sz w:val="22"/>
          <w:szCs w:val="22"/>
        </w:rPr>
        <w:t>screening exercise to a positive impact objective within MFF investments.</w:t>
      </w:r>
      <w:r w:rsidRPr="00664E0D" w:rsidR="00A969F9">
        <w:rPr>
          <w:rFonts w:cs="Arial"/>
          <w:color w:val="212121"/>
          <w:sz w:val="22"/>
          <w:szCs w:val="22"/>
        </w:rPr>
        <w:t xml:space="preserve"> The MFF </w:t>
      </w:r>
      <w:r w:rsidRPr="00664E0D" w:rsidR="3713721B">
        <w:rPr>
          <w:rFonts w:cs="Arial"/>
          <w:color w:val="212121"/>
          <w:sz w:val="22"/>
          <w:szCs w:val="22"/>
        </w:rPr>
        <w:t>programme</w:t>
      </w:r>
      <w:r w:rsidRPr="00664E0D" w:rsidR="00A969F9">
        <w:rPr>
          <w:rFonts w:cs="Arial"/>
          <w:color w:val="212121"/>
          <w:sz w:val="22"/>
          <w:szCs w:val="22"/>
        </w:rPr>
        <w:t xml:space="preserve"> will look to build on this in future.</w:t>
      </w:r>
    </w:p>
    <w:p w:rsidRPr="00664E0D" w:rsidR="00553503" w:rsidP="004D5FD5" w:rsidRDefault="00553503" w14:paraId="1CF1A28C" w14:textId="77777777">
      <w:pPr>
        <w:contextualSpacing/>
        <w:jc w:val="both"/>
        <w:rPr>
          <w:rFonts w:cs="Arial"/>
          <w:color w:val="212121"/>
          <w:sz w:val="22"/>
          <w:szCs w:val="22"/>
        </w:rPr>
      </w:pPr>
    </w:p>
    <w:p w:rsidRPr="00664E0D" w:rsidR="00553503" w:rsidP="004D5FD5" w:rsidRDefault="00257826" w14:paraId="7D8F9648" w14:textId="1658E5FC">
      <w:pPr>
        <w:contextualSpacing/>
        <w:jc w:val="both"/>
        <w:rPr>
          <w:rFonts w:cs="Arial"/>
          <w:color w:val="212121"/>
          <w:sz w:val="22"/>
          <w:szCs w:val="22"/>
        </w:rPr>
      </w:pPr>
      <w:r w:rsidRPr="00664E0D">
        <w:rPr>
          <w:rFonts w:cs="Arial"/>
          <w:color w:val="212121"/>
          <w:sz w:val="22"/>
          <w:szCs w:val="22"/>
        </w:rPr>
        <w:t>Outcome indicators show positive directional progress: 312,539 hectares under sustainable forest and agricultur</w:t>
      </w:r>
      <w:r w:rsidRPr="00664E0D" w:rsidR="004925C2">
        <w:rPr>
          <w:rFonts w:cs="Arial"/>
          <w:color w:val="212121"/>
          <w:sz w:val="22"/>
          <w:szCs w:val="22"/>
        </w:rPr>
        <w:t>al management (up from 207,232 in 2024)</w:t>
      </w:r>
      <w:r w:rsidRPr="00664E0D" w:rsidR="00367E2A">
        <w:rPr>
          <w:rFonts w:cs="Arial"/>
          <w:color w:val="212121"/>
          <w:sz w:val="22"/>
          <w:szCs w:val="22"/>
        </w:rPr>
        <w:t>,</w:t>
      </w:r>
      <w:r w:rsidRPr="00664E0D" w:rsidR="004925C2">
        <w:rPr>
          <w:rFonts w:cs="Arial"/>
          <w:color w:val="212121"/>
          <w:sz w:val="22"/>
          <w:szCs w:val="22"/>
        </w:rPr>
        <w:t xml:space="preserve"> 41,539 jobs supported</w:t>
      </w:r>
      <w:r w:rsidRPr="00664E0D" w:rsidR="00C24198">
        <w:rPr>
          <w:rFonts w:cs="Arial"/>
          <w:color w:val="212121"/>
          <w:sz w:val="22"/>
          <w:szCs w:val="22"/>
        </w:rPr>
        <w:t>, and 38 private investors now invested in</w:t>
      </w:r>
      <w:r w:rsidRPr="00664E0D" w:rsidR="00C65FF3">
        <w:rPr>
          <w:rFonts w:cs="Arial"/>
          <w:color w:val="212121"/>
          <w:sz w:val="22"/>
          <w:szCs w:val="22"/>
        </w:rPr>
        <w:t xml:space="preserve"> MFF-backed funds against a target of ~9 for 2025. </w:t>
      </w:r>
    </w:p>
    <w:p w:rsidRPr="00664E0D" w:rsidR="00C65FF3" w:rsidP="004D5FD5" w:rsidRDefault="00C65FF3" w14:paraId="19100C0F" w14:textId="0EF3CD9E">
      <w:pPr>
        <w:contextualSpacing/>
        <w:jc w:val="both"/>
        <w:rPr>
          <w:rFonts w:cs="Arial"/>
          <w:color w:val="212121"/>
          <w:sz w:val="22"/>
          <w:szCs w:val="22"/>
        </w:rPr>
      </w:pPr>
    </w:p>
    <w:p w:rsidRPr="00664E0D" w:rsidR="00C65FF3" w:rsidP="004D5FD5" w:rsidRDefault="00C65FF3" w14:paraId="0BC37F8D" w14:textId="4AD1A4CE">
      <w:pPr>
        <w:contextualSpacing/>
        <w:jc w:val="both"/>
        <w:rPr>
          <w:rFonts w:cs="Arial"/>
          <w:color w:val="212121"/>
          <w:sz w:val="22"/>
          <w:szCs w:val="22"/>
        </w:rPr>
      </w:pPr>
      <w:r w:rsidRPr="00664E0D">
        <w:rPr>
          <w:rFonts w:cs="Arial"/>
          <w:color w:val="212121"/>
          <w:sz w:val="22"/>
          <w:szCs w:val="22"/>
        </w:rPr>
        <w:t xml:space="preserve">The KPI15 assessment (transformational change) </w:t>
      </w:r>
      <w:r w:rsidR="002679D6">
        <w:rPr>
          <w:rFonts w:cs="Arial"/>
          <w:color w:val="212121"/>
          <w:sz w:val="22"/>
          <w:szCs w:val="22"/>
        </w:rPr>
        <w:t xml:space="preserve">achieves </w:t>
      </w:r>
      <w:r w:rsidRPr="00664E0D">
        <w:rPr>
          <w:rFonts w:cs="Arial"/>
          <w:color w:val="212121"/>
          <w:sz w:val="22"/>
          <w:szCs w:val="22"/>
        </w:rPr>
        <w:t>a score of</w:t>
      </w:r>
      <w:r w:rsidRPr="00664E0D" w:rsidR="00F03C51">
        <w:rPr>
          <w:rFonts w:cs="Arial"/>
          <w:color w:val="212121"/>
          <w:sz w:val="22"/>
          <w:szCs w:val="22"/>
        </w:rPr>
        <w:t xml:space="preserve"> </w:t>
      </w:r>
      <w:r w:rsidR="002679D6">
        <w:rPr>
          <w:rFonts w:cs="Arial"/>
          <w:color w:val="212121"/>
          <w:sz w:val="22"/>
          <w:szCs w:val="22"/>
        </w:rPr>
        <w:t>4</w:t>
      </w:r>
      <w:r w:rsidRPr="00664E0D" w:rsidR="00F03C51">
        <w:rPr>
          <w:rFonts w:cs="Arial"/>
          <w:color w:val="212121"/>
          <w:sz w:val="22"/>
          <w:szCs w:val="22"/>
        </w:rPr>
        <w:t xml:space="preserve"> (on a 1-5 scale), </w:t>
      </w:r>
      <w:r w:rsidR="002679D6">
        <w:rPr>
          <w:rFonts w:cs="Arial"/>
          <w:color w:val="212121"/>
          <w:sz w:val="22"/>
          <w:szCs w:val="22"/>
        </w:rPr>
        <w:t>an improvement from</w:t>
      </w:r>
      <w:r w:rsidRPr="00664E0D" w:rsidR="00F03C51">
        <w:rPr>
          <w:rFonts w:cs="Arial"/>
          <w:color w:val="212121"/>
          <w:sz w:val="22"/>
          <w:szCs w:val="22"/>
        </w:rPr>
        <w:t xml:space="preserve"> 2021-2024</w:t>
      </w:r>
      <w:r w:rsidRPr="00664E0D" w:rsidR="008F6D07">
        <w:rPr>
          <w:rFonts w:cs="Arial"/>
          <w:color w:val="212121"/>
          <w:sz w:val="22"/>
          <w:szCs w:val="22"/>
        </w:rPr>
        <w:t xml:space="preserve">, reflecting sustained but not yet scaled transformational impact. </w:t>
      </w:r>
    </w:p>
    <w:p w:rsidRPr="00664E0D" w:rsidR="003D222C" w:rsidP="004D5FD5" w:rsidRDefault="003D222C" w14:paraId="7B570BA3" w14:textId="77777777">
      <w:pPr>
        <w:pStyle w:val="Heading2"/>
        <w:jc w:val="both"/>
        <w:rPr>
          <w:color w:val="212121"/>
        </w:rPr>
      </w:pPr>
      <w:bookmarkStart w:name="_Toc227234240" w:id="5"/>
      <w:r w:rsidRPr="00664E0D">
        <w:rPr>
          <w:color w:val="212121"/>
        </w:rPr>
        <w:t>Progress against recommendations from the last review</w:t>
      </w:r>
      <w:bookmarkEnd w:id="5"/>
    </w:p>
    <w:p w:rsidRPr="00664E0D" w:rsidR="003D222C" w:rsidP="004D5FD5" w:rsidRDefault="003D222C" w14:paraId="55666261" w14:textId="77777777">
      <w:pPr>
        <w:jc w:val="both"/>
        <w:rPr>
          <w:rFonts w:cs="Arial"/>
          <w:b/>
          <w:color w:val="212121"/>
          <w:sz w:val="22"/>
          <w:szCs w:val="22"/>
        </w:rPr>
      </w:pPr>
    </w:p>
    <w:tbl>
      <w:tblPr>
        <w:tblStyle w:val="TableGrid"/>
        <w:tblW w:w="0" w:type="auto"/>
        <w:tblLook w:val="04A0" w:firstRow="1" w:lastRow="0" w:firstColumn="1" w:lastColumn="0" w:noHBand="0" w:noVBand="1"/>
      </w:tblPr>
      <w:tblGrid>
        <w:gridCol w:w="4595"/>
        <w:gridCol w:w="4421"/>
      </w:tblGrid>
      <w:tr w:rsidRPr="001B0614" w:rsidR="008A5FEA" w:rsidTr="22BD8583" w14:paraId="70C21392" w14:textId="77777777">
        <w:tc>
          <w:tcPr>
            <w:tcW w:w="4595" w:type="dxa"/>
            <w:shd w:val="clear" w:color="auto" w:fill="DEEAF6" w:themeFill="accent5" w:themeFillTint="33"/>
          </w:tcPr>
          <w:p w:rsidRPr="00664E0D" w:rsidR="003D222C" w:rsidP="004D5FD5" w:rsidRDefault="003D222C" w14:paraId="53D8F37C" w14:textId="77777777">
            <w:pPr>
              <w:jc w:val="both"/>
              <w:rPr>
                <w:rFonts w:cs="Arial"/>
                <w:b/>
                <w:color w:val="212121"/>
                <w:sz w:val="22"/>
                <w:szCs w:val="22"/>
              </w:rPr>
            </w:pPr>
            <w:r w:rsidRPr="00664E0D">
              <w:rPr>
                <w:rFonts w:cs="Arial"/>
                <w:b/>
                <w:color w:val="212121"/>
                <w:sz w:val="22"/>
                <w:szCs w:val="22"/>
              </w:rPr>
              <w:t>Recommendation</w:t>
            </w:r>
          </w:p>
        </w:tc>
        <w:tc>
          <w:tcPr>
            <w:tcW w:w="4421" w:type="dxa"/>
            <w:shd w:val="clear" w:color="auto" w:fill="DEEAF6" w:themeFill="accent5" w:themeFillTint="33"/>
          </w:tcPr>
          <w:p w:rsidRPr="00664E0D" w:rsidR="003D222C" w:rsidP="004D5FD5" w:rsidRDefault="003D222C" w14:paraId="4501CA7E" w14:textId="77777777">
            <w:pPr>
              <w:jc w:val="both"/>
              <w:rPr>
                <w:rFonts w:cs="Arial"/>
                <w:b/>
                <w:color w:val="212121"/>
                <w:sz w:val="22"/>
                <w:szCs w:val="22"/>
              </w:rPr>
            </w:pPr>
            <w:r w:rsidRPr="00664E0D">
              <w:rPr>
                <w:rFonts w:cs="Arial"/>
                <w:b/>
                <w:color w:val="212121"/>
                <w:sz w:val="22"/>
                <w:szCs w:val="22"/>
              </w:rPr>
              <w:t>Progress</w:t>
            </w:r>
          </w:p>
        </w:tc>
      </w:tr>
      <w:tr w:rsidRPr="001B0614" w:rsidR="008A5FEA" w:rsidTr="22BD8583" w14:paraId="3B8F7C7F" w14:textId="77777777">
        <w:tc>
          <w:tcPr>
            <w:tcW w:w="4595" w:type="dxa"/>
            <w:vAlign w:val="center"/>
          </w:tcPr>
          <w:p w:rsidRPr="00664E0D" w:rsidR="00D779A2" w:rsidP="00D779A2" w:rsidRDefault="00D779A2" w14:paraId="6075B309" w14:textId="50455487">
            <w:pPr>
              <w:jc w:val="both"/>
              <w:rPr>
                <w:rFonts w:cs="Arial"/>
                <w:b/>
                <w:color w:val="212121"/>
                <w:sz w:val="22"/>
                <w:szCs w:val="22"/>
              </w:rPr>
            </w:pPr>
            <w:r w:rsidRPr="00664E0D">
              <w:rPr>
                <w:b/>
                <w:bCs/>
                <w:color w:val="212121"/>
                <w:sz w:val="22"/>
                <w:szCs w:val="22"/>
              </w:rPr>
              <w:t xml:space="preserve">Mobilisation and impact strategy: </w:t>
            </w:r>
            <w:r w:rsidRPr="00664E0D">
              <w:rPr>
                <w:color w:val="212121"/>
                <w:sz w:val="22"/>
                <w:szCs w:val="22"/>
              </w:rPr>
              <w:t>as identified in the evaluation,</w:t>
            </w:r>
            <w:r w:rsidRPr="00664E0D">
              <w:rPr>
                <w:b/>
                <w:bCs/>
                <w:color w:val="212121"/>
                <w:sz w:val="22"/>
                <w:szCs w:val="22"/>
              </w:rPr>
              <w:t xml:space="preserve"> </w:t>
            </w:r>
            <w:r w:rsidRPr="00664E0D">
              <w:rPr>
                <w:color w:val="212121"/>
                <w:sz w:val="22"/>
                <w:szCs w:val="22"/>
              </w:rPr>
              <w:t>FMO should review how different sub-sectors, project types, and asset classes could match the financial and impact objectives of different types of investors to inform the overall strategic investment approach.</w:t>
            </w:r>
            <w:r w:rsidRPr="00664E0D">
              <w:rPr>
                <w:rFonts w:eastAsia="Malgun Gothic"/>
                <w:color w:val="212121"/>
                <w:sz w:val="22"/>
                <w:szCs w:val="22"/>
                <w:lang w:eastAsia="ko-KR"/>
              </w:rPr>
              <w:t xml:space="preserve"> FMO and UK should consider how to leverage the LCIP to support matchmaking and convening around specific strategies and with specific investors.</w:t>
            </w:r>
          </w:p>
        </w:tc>
        <w:tc>
          <w:tcPr>
            <w:tcW w:w="4421" w:type="dxa"/>
          </w:tcPr>
          <w:p w:rsidRPr="00664E0D" w:rsidR="00743D95" w:rsidP="00743D95" w:rsidRDefault="00743D95" w14:paraId="7BD16F51" w14:textId="77777777">
            <w:pPr>
              <w:rPr>
                <w:rFonts w:cs="Arial"/>
                <w:b/>
                <w:bCs/>
                <w:color w:val="212121"/>
                <w:sz w:val="22"/>
                <w:szCs w:val="22"/>
              </w:rPr>
            </w:pPr>
            <w:r w:rsidRPr="00664E0D">
              <w:rPr>
                <w:rFonts w:cs="Arial"/>
                <w:b/>
                <w:bCs/>
                <w:color w:val="212121"/>
                <w:sz w:val="22"/>
                <w:szCs w:val="22"/>
              </w:rPr>
              <w:t xml:space="preserve">Achieved. </w:t>
            </w:r>
          </w:p>
          <w:p w:rsidRPr="00664E0D" w:rsidR="001A6611" w:rsidP="001A6611" w:rsidRDefault="001A6611" w14:paraId="05E5A345" w14:textId="20D84344">
            <w:pPr>
              <w:jc w:val="both"/>
              <w:rPr>
                <w:rFonts w:cs="Arial"/>
                <w:color w:val="212121"/>
                <w:sz w:val="22"/>
                <w:szCs w:val="22"/>
              </w:rPr>
            </w:pPr>
            <w:r w:rsidRPr="00664E0D">
              <w:rPr>
                <w:rFonts w:cs="Arial"/>
                <w:color w:val="212121"/>
                <w:sz w:val="22"/>
                <w:szCs w:val="22"/>
              </w:rPr>
              <w:t xml:space="preserve">High level investor mapping is done and </w:t>
            </w:r>
            <w:r w:rsidRPr="00664E0D" w:rsidR="00282DA0">
              <w:rPr>
                <w:rFonts w:cs="Arial"/>
                <w:color w:val="212121"/>
                <w:sz w:val="22"/>
                <w:szCs w:val="22"/>
              </w:rPr>
              <w:t xml:space="preserve">was presented at the </w:t>
            </w:r>
            <w:r w:rsidRPr="00664E0D" w:rsidR="00FE1AC4">
              <w:rPr>
                <w:rFonts w:cs="Arial"/>
                <w:color w:val="212121"/>
                <w:sz w:val="22"/>
                <w:szCs w:val="22"/>
              </w:rPr>
              <w:t>h</w:t>
            </w:r>
            <w:r w:rsidRPr="00664E0D" w:rsidR="00282DA0">
              <w:rPr>
                <w:rFonts w:cs="Arial"/>
                <w:color w:val="212121"/>
                <w:sz w:val="22"/>
                <w:szCs w:val="22"/>
              </w:rPr>
              <w:t>alf-</w:t>
            </w:r>
            <w:r w:rsidRPr="00664E0D" w:rsidR="00FE1AC4">
              <w:rPr>
                <w:rFonts w:cs="Arial"/>
                <w:color w:val="212121"/>
                <w:sz w:val="22"/>
                <w:szCs w:val="22"/>
              </w:rPr>
              <w:t>y</w:t>
            </w:r>
            <w:r w:rsidRPr="00664E0D" w:rsidR="00282DA0">
              <w:rPr>
                <w:rFonts w:cs="Arial"/>
                <w:color w:val="212121"/>
                <w:sz w:val="22"/>
                <w:szCs w:val="22"/>
              </w:rPr>
              <w:t xml:space="preserve">ear meeting in </w:t>
            </w:r>
            <w:r w:rsidRPr="00664E0D" w:rsidR="009C350B">
              <w:rPr>
                <w:rFonts w:cs="Arial"/>
                <w:color w:val="212121"/>
                <w:sz w:val="22"/>
                <w:szCs w:val="22"/>
              </w:rPr>
              <w:t>December 2025</w:t>
            </w:r>
            <w:r w:rsidRPr="00664E0D">
              <w:rPr>
                <w:rFonts w:cs="Arial"/>
                <w:color w:val="212121"/>
                <w:sz w:val="22"/>
                <w:szCs w:val="22"/>
              </w:rPr>
              <w:t xml:space="preserve">. Further deep dives into key investor segments (pension funds, family offices, etc.) will continue </w:t>
            </w:r>
          </w:p>
          <w:p w:rsidRPr="00664E0D" w:rsidR="00D779A2" w:rsidP="001A6611" w:rsidRDefault="001A6611" w14:paraId="1E6248CC" w14:textId="55B54D28">
            <w:pPr>
              <w:jc w:val="both"/>
              <w:rPr>
                <w:rFonts w:cs="Arial"/>
                <w:color w:val="212121"/>
                <w:sz w:val="22"/>
                <w:szCs w:val="22"/>
              </w:rPr>
            </w:pPr>
            <w:r w:rsidRPr="00664E0D">
              <w:rPr>
                <w:rFonts w:cs="Arial"/>
                <w:color w:val="212121"/>
                <w:sz w:val="22"/>
                <w:szCs w:val="22"/>
              </w:rPr>
              <w:t>over the next year.</w:t>
            </w:r>
          </w:p>
        </w:tc>
      </w:tr>
      <w:tr w:rsidRPr="001B0614" w:rsidR="008A5FEA" w:rsidTr="22BD8583" w14:paraId="2483F714" w14:textId="77777777">
        <w:tc>
          <w:tcPr>
            <w:tcW w:w="4595" w:type="dxa"/>
            <w:vAlign w:val="center"/>
          </w:tcPr>
          <w:p w:rsidRPr="00664E0D" w:rsidR="00D779A2" w:rsidP="00D779A2" w:rsidRDefault="00D779A2" w14:paraId="25E1262C" w14:textId="0EC88F38">
            <w:pPr>
              <w:jc w:val="both"/>
              <w:rPr>
                <w:rFonts w:cs="Arial"/>
                <w:b/>
                <w:color w:val="212121"/>
                <w:sz w:val="22"/>
                <w:szCs w:val="22"/>
              </w:rPr>
            </w:pPr>
            <w:r w:rsidRPr="00664E0D">
              <w:rPr>
                <w:b/>
                <w:bCs/>
                <w:color w:val="212121"/>
                <w:sz w:val="22"/>
                <w:szCs w:val="22"/>
              </w:rPr>
              <w:t>Strategic governance:</w:t>
            </w:r>
            <w:r w:rsidRPr="00664E0D">
              <w:rPr>
                <w:color w:val="212121"/>
                <w:sz w:val="22"/>
                <w:szCs w:val="22"/>
              </w:rPr>
              <w:t xml:space="preserve"> as identified in the evaluation, the UK and FMO should look to formalise decision-making and refine the UK’s role in early-stage investment decisions. To facilitate this, there should be a review of the overall investment processes at the annual meeting where changes or improvements can be identified.</w:t>
            </w:r>
          </w:p>
        </w:tc>
        <w:tc>
          <w:tcPr>
            <w:tcW w:w="4421" w:type="dxa"/>
          </w:tcPr>
          <w:p w:rsidRPr="00664E0D" w:rsidR="00743D95" w:rsidP="00743D95" w:rsidRDefault="00743D95" w14:paraId="731856C0" w14:textId="77777777">
            <w:pPr>
              <w:rPr>
                <w:rFonts w:cs="Arial"/>
                <w:b/>
                <w:bCs/>
                <w:color w:val="212121"/>
                <w:sz w:val="22"/>
                <w:szCs w:val="22"/>
              </w:rPr>
            </w:pPr>
            <w:r w:rsidRPr="00664E0D">
              <w:rPr>
                <w:rFonts w:cs="Arial"/>
                <w:b/>
                <w:bCs/>
                <w:color w:val="212121"/>
                <w:sz w:val="22"/>
                <w:szCs w:val="22"/>
              </w:rPr>
              <w:t xml:space="preserve">Achieved. </w:t>
            </w:r>
          </w:p>
          <w:p w:rsidRPr="00664E0D" w:rsidR="00282DA0" w:rsidP="00282DA0" w:rsidRDefault="00282DA0" w14:paraId="4D737228" w14:textId="0B513C5A">
            <w:pPr>
              <w:jc w:val="both"/>
              <w:rPr>
                <w:rFonts w:cs="Arial"/>
                <w:color w:val="212121"/>
                <w:sz w:val="22"/>
                <w:szCs w:val="22"/>
              </w:rPr>
            </w:pPr>
            <w:r w:rsidRPr="00664E0D">
              <w:rPr>
                <w:rFonts w:cs="Arial"/>
                <w:color w:val="212121"/>
                <w:sz w:val="22"/>
                <w:szCs w:val="22"/>
              </w:rPr>
              <w:t xml:space="preserve">Discussed during the </w:t>
            </w:r>
          </w:p>
          <w:p w:rsidRPr="00664E0D" w:rsidR="00282DA0" w:rsidP="00282DA0" w:rsidRDefault="00282DA0" w14:paraId="60EF4B36" w14:textId="77777777">
            <w:pPr>
              <w:jc w:val="both"/>
              <w:rPr>
                <w:rFonts w:cs="Arial"/>
                <w:color w:val="212121"/>
                <w:sz w:val="22"/>
                <w:szCs w:val="22"/>
              </w:rPr>
            </w:pPr>
            <w:r w:rsidRPr="00664E0D">
              <w:rPr>
                <w:rFonts w:cs="Arial"/>
                <w:color w:val="212121"/>
                <w:sz w:val="22"/>
                <w:szCs w:val="22"/>
              </w:rPr>
              <w:t xml:space="preserve">Annual Meeting and agreed </w:t>
            </w:r>
          </w:p>
          <w:p w:rsidRPr="00664E0D" w:rsidR="00282DA0" w:rsidP="00282DA0" w:rsidRDefault="00282DA0" w14:paraId="572538EC" w14:textId="77777777">
            <w:pPr>
              <w:jc w:val="both"/>
              <w:rPr>
                <w:rFonts w:cs="Arial"/>
                <w:color w:val="212121"/>
                <w:sz w:val="22"/>
                <w:szCs w:val="22"/>
              </w:rPr>
            </w:pPr>
            <w:r w:rsidRPr="00664E0D">
              <w:rPr>
                <w:rFonts w:cs="Arial"/>
                <w:color w:val="212121"/>
                <w:sz w:val="22"/>
                <w:szCs w:val="22"/>
              </w:rPr>
              <w:t xml:space="preserve">changes have been reflected in the </w:t>
            </w:r>
          </w:p>
          <w:p w:rsidRPr="00664E0D" w:rsidR="00D779A2" w:rsidP="00282DA0" w:rsidRDefault="00282DA0" w14:paraId="49823DA6" w14:textId="4A059B90">
            <w:pPr>
              <w:jc w:val="both"/>
              <w:rPr>
                <w:rFonts w:cs="Arial"/>
                <w:color w:val="212121"/>
                <w:sz w:val="22"/>
                <w:szCs w:val="22"/>
              </w:rPr>
            </w:pPr>
            <w:r w:rsidRPr="00664E0D">
              <w:rPr>
                <w:rFonts w:cs="Arial"/>
                <w:color w:val="212121"/>
                <w:sz w:val="22"/>
                <w:szCs w:val="22"/>
              </w:rPr>
              <w:t>updated Contribution Agreement</w:t>
            </w:r>
          </w:p>
        </w:tc>
      </w:tr>
      <w:tr w:rsidRPr="001B0614" w:rsidR="008A5FEA" w:rsidTr="22BD8583" w14:paraId="76F25969" w14:textId="77777777">
        <w:tc>
          <w:tcPr>
            <w:tcW w:w="4595" w:type="dxa"/>
            <w:vAlign w:val="center"/>
          </w:tcPr>
          <w:p w:rsidRPr="00664E0D" w:rsidR="00D779A2" w:rsidP="00D779A2" w:rsidRDefault="00D779A2" w14:paraId="76FFE955" w14:textId="3F2B1875">
            <w:pPr>
              <w:jc w:val="both"/>
              <w:rPr>
                <w:rFonts w:cs="Arial"/>
                <w:b/>
                <w:color w:val="212121"/>
                <w:sz w:val="22"/>
                <w:szCs w:val="22"/>
              </w:rPr>
            </w:pPr>
            <w:r w:rsidRPr="00664E0D">
              <w:rPr>
                <w:b/>
                <w:bCs/>
                <w:color w:val="212121"/>
                <w:sz w:val="22"/>
                <w:szCs w:val="22"/>
              </w:rPr>
              <w:t xml:space="preserve">Multi-donor operations: </w:t>
            </w:r>
            <w:r w:rsidRPr="00664E0D">
              <w:rPr>
                <w:color w:val="212121"/>
                <w:sz w:val="22"/>
                <w:szCs w:val="22"/>
              </w:rPr>
              <w:t xml:space="preserve">FMO, UK and NL to develop an MoU to integrate the NL contribution into MFF. </w:t>
            </w:r>
          </w:p>
        </w:tc>
        <w:tc>
          <w:tcPr>
            <w:tcW w:w="4421" w:type="dxa"/>
          </w:tcPr>
          <w:p w:rsidRPr="00664E0D" w:rsidR="00743D95" w:rsidP="00743D95" w:rsidRDefault="00743D95" w14:paraId="79EA11B3" w14:textId="77777777">
            <w:pPr>
              <w:rPr>
                <w:rFonts w:cs="Arial"/>
                <w:b/>
                <w:bCs/>
                <w:color w:val="212121"/>
                <w:sz w:val="22"/>
                <w:szCs w:val="22"/>
              </w:rPr>
            </w:pPr>
            <w:r w:rsidRPr="00664E0D">
              <w:rPr>
                <w:rFonts w:cs="Arial"/>
                <w:b/>
                <w:bCs/>
                <w:color w:val="212121"/>
                <w:sz w:val="22"/>
                <w:szCs w:val="22"/>
              </w:rPr>
              <w:t xml:space="preserve">Achieved. </w:t>
            </w:r>
          </w:p>
          <w:p w:rsidRPr="00664E0D" w:rsidR="004A1B04" w:rsidP="004A1B04" w:rsidRDefault="004A1B04" w14:paraId="1851F2B3" w14:textId="42B85CB2">
            <w:pPr>
              <w:jc w:val="both"/>
              <w:rPr>
                <w:rFonts w:cs="Arial"/>
                <w:color w:val="212121"/>
                <w:sz w:val="22"/>
                <w:szCs w:val="22"/>
              </w:rPr>
            </w:pPr>
            <w:r w:rsidRPr="00664E0D">
              <w:rPr>
                <w:rFonts w:cs="Arial"/>
                <w:color w:val="212121"/>
                <w:sz w:val="22"/>
                <w:szCs w:val="22"/>
              </w:rPr>
              <w:t xml:space="preserve">MoU has been </w:t>
            </w:r>
          </w:p>
          <w:p w:rsidRPr="00664E0D" w:rsidR="00D779A2" w:rsidP="004A1B04" w:rsidRDefault="004A1B04" w14:paraId="52A74AED" w14:textId="1AD87FA4">
            <w:pPr>
              <w:jc w:val="both"/>
              <w:rPr>
                <w:rFonts w:cs="Arial"/>
                <w:color w:val="212121"/>
                <w:sz w:val="22"/>
                <w:szCs w:val="22"/>
              </w:rPr>
            </w:pPr>
            <w:r w:rsidRPr="00664E0D">
              <w:rPr>
                <w:rFonts w:cs="Arial"/>
                <w:color w:val="212121"/>
                <w:sz w:val="22"/>
                <w:szCs w:val="22"/>
              </w:rPr>
              <w:t>finalized in November 2025.</w:t>
            </w:r>
          </w:p>
        </w:tc>
      </w:tr>
      <w:tr w:rsidRPr="001B0614" w:rsidR="008A5FEA" w:rsidTr="22BD8583" w14:paraId="317A7C5F" w14:textId="77777777">
        <w:tc>
          <w:tcPr>
            <w:tcW w:w="4595" w:type="dxa"/>
            <w:vAlign w:val="center"/>
          </w:tcPr>
          <w:p w:rsidRPr="00664E0D" w:rsidR="00D779A2" w:rsidP="00D779A2" w:rsidRDefault="00D779A2" w14:paraId="71D62AC9" w14:textId="7356146C">
            <w:pPr>
              <w:jc w:val="both"/>
              <w:rPr>
                <w:rFonts w:cs="Arial"/>
                <w:b/>
                <w:color w:val="212121"/>
                <w:sz w:val="22"/>
                <w:szCs w:val="22"/>
              </w:rPr>
            </w:pPr>
            <w:r w:rsidRPr="00664E0D">
              <w:rPr>
                <w:b/>
                <w:bCs/>
                <w:color w:val="212121"/>
                <w:sz w:val="22"/>
                <w:szCs w:val="22"/>
              </w:rPr>
              <w:t>Operations</w:t>
            </w:r>
            <w:r w:rsidRPr="00664E0D">
              <w:rPr>
                <w:color w:val="212121"/>
                <w:sz w:val="22"/>
                <w:szCs w:val="22"/>
              </w:rPr>
              <w:t>: Finalise amendments to the Contribution Agreement to reflect the UK’s planned uplift in its contribution, the shift to a multi-donor fund and operational improvements.</w:t>
            </w:r>
          </w:p>
        </w:tc>
        <w:tc>
          <w:tcPr>
            <w:tcW w:w="4421" w:type="dxa"/>
          </w:tcPr>
          <w:p w:rsidRPr="00664E0D" w:rsidR="00743D95" w:rsidP="00743D95" w:rsidRDefault="00743D95" w14:paraId="78B8B448" w14:textId="77777777">
            <w:pPr>
              <w:rPr>
                <w:rFonts w:cs="Arial"/>
                <w:b/>
                <w:bCs/>
                <w:color w:val="212121"/>
                <w:sz w:val="22"/>
                <w:szCs w:val="22"/>
              </w:rPr>
            </w:pPr>
            <w:r w:rsidRPr="00664E0D">
              <w:rPr>
                <w:rFonts w:cs="Arial"/>
                <w:b/>
                <w:bCs/>
                <w:color w:val="212121"/>
                <w:sz w:val="22"/>
                <w:szCs w:val="22"/>
              </w:rPr>
              <w:t xml:space="preserve">Achieved. </w:t>
            </w:r>
          </w:p>
          <w:p w:rsidRPr="00664E0D" w:rsidR="004A1B04" w:rsidP="004A1B04" w:rsidRDefault="00743D95" w14:paraId="576B3A78" w14:textId="5FF3576A">
            <w:pPr>
              <w:jc w:val="both"/>
              <w:rPr>
                <w:rFonts w:cs="Arial"/>
                <w:color w:val="212121"/>
                <w:sz w:val="22"/>
                <w:szCs w:val="22"/>
              </w:rPr>
            </w:pPr>
            <w:r w:rsidRPr="00664E0D">
              <w:rPr>
                <w:rFonts w:cs="Arial"/>
                <w:color w:val="212121"/>
                <w:sz w:val="22"/>
                <w:szCs w:val="22"/>
              </w:rPr>
              <w:t>U</w:t>
            </w:r>
            <w:r w:rsidRPr="00664E0D" w:rsidR="004A1B04">
              <w:rPr>
                <w:rFonts w:cs="Arial"/>
                <w:color w:val="212121"/>
                <w:sz w:val="22"/>
                <w:szCs w:val="22"/>
              </w:rPr>
              <w:t xml:space="preserve">pdated Contribution </w:t>
            </w:r>
          </w:p>
          <w:p w:rsidRPr="00664E0D" w:rsidR="004A1B04" w:rsidP="004A1B04" w:rsidRDefault="004A1B04" w14:paraId="47AEE748" w14:textId="77777777">
            <w:pPr>
              <w:jc w:val="both"/>
              <w:rPr>
                <w:rFonts w:cs="Arial"/>
                <w:color w:val="212121"/>
                <w:sz w:val="22"/>
                <w:szCs w:val="22"/>
              </w:rPr>
            </w:pPr>
            <w:r w:rsidRPr="00664E0D">
              <w:rPr>
                <w:rFonts w:cs="Arial"/>
                <w:color w:val="212121"/>
                <w:sz w:val="22"/>
                <w:szCs w:val="22"/>
              </w:rPr>
              <w:t xml:space="preserve">Agreement has been finalized in </w:t>
            </w:r>
          </w:p>
          <w:p w:rsidRPr="00664E0D" w:rsidR="00D779A2" w:rsidP="004A1B04" w:rsidRDefault="004A1B04" w14:paraId="40344CFE" w14:textId="1BEB9F42">
            <w:pPr>
              <w:jc w:val="both"/>
              <w:rPr>
                <w:rFonts w:cs="Arial"/>
                <w:color w:val="212121"/>
                <w:sz w:val="22"/>
                <w:szCs w:val="22"/>
              </w:rPr>
            </w:pPr>
            <w:r w:rsidRPr="00664E0D">
              <w:rPr>
                <w:rFonts w:cs="Arial"/>
                <w:color w:val="212121"/>
                <w:sz w:val="22"/>
                <w:szCs w:val="22"/>
              </w:rPr>
              <w:t>November 2025.</w:t>
            </w:r>
          </w:p>
        </w:tc>
      </w:tr>
      <w:tr w:rsidRPr="001B0614" w:rsidR="008A5FEA" w:rsidTr="22BD8583" w14:paraId="3F7EC7CF" w14:textId="77777777">
        <w:tc>
          <w:tcPr>
            <w:tcW w:w="4595" w:type="dxa"/>
            <w:vAlign w:val="center"/>
          </w:tcPr>
          <w:p w:rsidRPr="00664E0D" w:rsidR="00D779A2" w:rsidP="5B37A4F7" w:rsidRDefault="00D779A2" w14:paraId="43022905" w14:textId="2D79B2A7">
            <w:pPr>
              <w:jc w:val="both"/>
              <w:rPr>
                <w:rFonts w:cs="Arial"/>
                <w:b/>
                <w:bCs/>
                <w:color w:val="212121"/>
                <w:sz w:val="22"/>
                <w:szCs w:val="22"/>
              </w:rPr>
            </w:pPr>
            <w:r w:rsidRPr="00664E0D">
              <w:rPr>
                <w:b/>
                <w:bCs/>
                <w:color w:val="212121"/>
                <w:sz w:val="22"/>
                <w:szCs w:val="22"/>
              </w:rPr>
              <w:t>Stakeholders</w:t>
            </w:r>
            <w:r w:rsidRPr="00664E0D">
              <w:rPr>
                <w:color w:val="212121"/>
                <w:sz w:val="22"/>
                <w:szCs w:val="22"/>
              </w:rPr>
              <w:t xml:space="preserve">. Working alongside the LCIP and NL, the UK and FMO, should work on a joint stakeholder engagement plan that sets out key priorities and milestones for 2025 and beyond, including potential announcements in 2025 that will showcase ambition and highlight MFF’s role in delivering impact. FMO and LCIP should ensure </w:t>
            </w:r>
            <w:r w:rsidRPr="00664E0D">
              <w:rPr>
                <w:rFonts w:eastAsia="Malgun Gothic"/>
                <w:color w:val="212121"/>
                <w:sz w:val="22"/>
                <w:szCs w:val="22"/>
                <w:lang w:eastAsia="ko-KR"/>
              </w:rPr>
              <w:t xml:space="preserve">that </w:t>
            </w:r>
            <w:r w:rsidRPr="00664E0D">
              <w:rPr>
                <w:color w:val="212121"/>
                <w:sz w:val="22"/>
                <w:szCs w:val="22"/>
              </w:rPr>
              <w:t xml:space="preserve">it is clear in all comms/engagement with potential investees and other partners regarding the role of donor funding within the </w:t>
            </w:r>
            <w:r w:rsidRPr="00664E0D" w:rsidR="3713721B">
              <w:rPr>
                <w:color w:val="212121"/>
                <w:sz w:val="22"/>
                <w:szCs w:val="22"/>
              </w:rPr>
              <w:t>programme</w:t>
            </w:r>
            <w:r w:rsidRPr="00664E0D">
              <w:rPr>
                <w:color w:val="212121"/>
                <w:sz w:val="22"/>
                <w:szCs w:val="22"/>
              </w:rPr>
              <w:t>, and should ensure at least one UK representative is invited to appropriate LCIP-led events. LCIP should ensure the UK has clear notice of upcoming events, being informed when they are scheduled.</w:t>
            </w:r>
          </w:p>
        </w:tc>
        <w:tc>
          <w:tcPr>
            <w:tcW w:w="4421" w:type="dxa"/>
          </w:tcPr>
          <w:p w:rsidRPr="00664E0D" w:rsidR="006D77D3" w:rsidP="006D77D3" w:rsidRDefault="008346C8" w14:paraId="1ED3F1BC" w14:textId="388D0782">
            <w:pPr>
              <w:jc w:val="both"/>
              <w:rPr>
                <w:rFonts w:cs="Arial"/>
                <w:color w:val="212121"/>
                <w:sz w:val="22"/>
                <w:szCs w:val="22"/>
              </w:rPr>
            </w:pPr>
            <w:r w:rsidRPr="00664E0D">
              <w:rPr>
                <w:rFonts w:cs="Arial"/>
                <w:b/>
                <w:bCs/>
                <w:color w:val="212121"/>
                <w:sz w:val="22"/>
                <w:szCs w:val="22"/>
              </w:rPr>
              <w:t>Achieved.</w:t>
            </w:r>
            <w:r w:rsidRPr="00664E0D" w:rsidR="00EC5B8C">
              <w:rPr>
                <w:rFonts w:cs="Arial"/>
                <w:color w:val="212121"/>
                <w:sz w:val="22"/>
                <w:szCs w:val="22"/>
              </w:rPr>
              <w:t xml:space="preserve"> </w:t>
            </w:r>
            <w:r w:rsidRPr="00664E0D" w:rsidR="006D77D3">
              <w:rPr>
                <w:rFonts w:cs="Arial"/>
                <w:color w:val="212121"/>
                <w:sz w:val="22"/>
                <w:szCs w:val="22"/>
              </w:rPr>
              <w:t xml:space="preserve">LCIP workplan – including </w:t>
            </w:r>
          </w:p>
          <w:p w:rsidRPr="00664E0D" w:rsidR="006D77D3" w:rsidP="006D77D3" w:rsidRDefault="006D77D3" w14:paraId="43ED735E" w14:textId="77777777">
            <w:pPr>
              <w:jc w:val="both"/>
              <w:rPr>
                <w:rFonts w:cs="Arial"/>
                <w:color w:val="212121"/>
                <w:sz w:val="22"/>
                <w:szCs w:val="22"/>
              </w:rPr>
            </w:pPr>
            <w:r w:rsidRPr="00664E0D">
              <w:rPr>
                <w:rFonts w:cs="Arial"/>
                <w:color w:val="212121"/>
                <w:sz w:val="22"/>
                <w:szCs w:val="22"/>
              </w:rPr>
              <w:t xml:space="preserve">stakeholder engagement plan for </w:t>
            </w:r>
          </w:p>
          <w:p w:rsidRPr="00664E0D" w:rsidR="006D77D3" w:rsidP="006D77D3" w:rsidRDefault="006D77D3" w14:paraId="076FAE3A" w14:textId="77777777">
            <w:pPr>
              <w:jc w:val="both"/>
              <w:rPr>
                <w:rFonts w:cs="Arial"/>
                <w:color w:val="212121"/>
                <w:sz w:val="22"/>
                <w:szCs w:val="22"/>
              </w:rPr>
            </w:pPr>
            <w:r w:rsidRPr="00664E0D">
              <w:rPr>
                <w:rFonts w:cs="Arial"/>
                <w:color w:val="212121"/>
                <w:sz w:val="22"/>
                <w:szCs w:val="22"/>
              </w:rPr>
              <w:t xml:space="preserve">2025 – was shared and co-created </w:t>
            </w:r>
          </w:p>
          <w:p w:rsidRPr="00664E0D" w:rsidR="006D77D3" w:rsidP="006D77D3" w:rsidRDefault="006D77D3" w14:paraId="627B88B6" w14:textId="77777777">
            <w:pPr>
              <w:jc w:val="both"/>
              <w:rPr>
                <w:rFonts w:cs="Arial"/>
                <w:color w:val="212121"/>
                <w:sz w:val="22"/>
                <w:szCs w:val="22"/>
              </w:rPr>
            </w:pPr>
            <w:r w:rsidRPr="00664E0D">
              <w:rPr>
                <w:rFonts w:cs="Arial"/>
                <w:color w:val="212121"/>
                <w:sz w:val="22"/>
                <w:szCs w:val="22"/>
              </w:rPr>
              <w:t xml:space="preserve">with UK, with priority events and </w:t>
            </w:r>
          </w:p>
          <w:p w:rsidRPr="00664E0D" w:rsidR="006D77D3" w:rsidP="006D77D3" w:rsidRDefault="006D77D3" w14:paraId="38389D50" w14:textId="77777777">
            <w:pPr>
              <w:jc w:val="both"/>
              <w:rPr>
                <w:rFonts w:cs="Arial"/>
                <w:color w:val="212121"/>
                <w:sz w:val="22"/>
                <w:szCs w:val="22"/>
              </w:rPr>
            </w:pPr>
            <w:r w:rsidRPr="00664E0D">
              <w:rPr>
                <w:rFonts w:cs="Arial"/>
                <w:color w:val="212121"/>
                <w:sz w:val="22"/>
                <w:szCs w:val="22"/>
              </w:rPr>
              <w:t xml:space="preserve">messages agreed (e.g. LCAW, </w:t>
            </w:r>
          </w:p>
          <w:p w:rsidRPr="00664E0D" w:rsidR="00D779A2" w:rsidP="006D77D3" w:rsidRDefault="006D77D3" w14:paraId="44EC7CDB" w14:textId="6EF7CED1">
            <w:pPr>
              <w:jc w:val="both"/>
              <w:rPr>
                <w:rFonts w:cs="Arial"/>
                <w:color w:val="212121"/>
                <w:sz w:val="22"/>
                <w:szCs w:val="22"/>
              </w:rPr>
            </w:pPr>
            <w:r w:rsidRPr="00664E0D">
              <w:rPr>
                <w:rFonts w:cs="Arial"/>
                <w:color w:val="212121"/>
                <w:sz w:val="22"/>
                <w:szCs w:val="22"/>
              </w:rPr>
              <w:t>NYCW, GIIN and COP30).</w:t>
            </w:r>
          </w:p>
        </w:tc>
      </w:tr>
      <w:tr w:rsidRPr="001B0614" w:rsidR="008A5FEA" w:rsidTr="22BD8583" w14:paraId="56491CFF" w14:textId="77777777">
        <w:tc>
          <w:tcPr>
            <w:tcW w:w="4595" w:type="dxa"/>
            <w:vAlign w:val="center"/>
          </w:tcPr>
          <w:p w:rsidRPr="00664E0D" w:rsidR="00D779A2" w:rsidP="00D779A2" w:rsidRDefault="00D779A2" w14:paraId="7DC41967" w14:textId="4DCF86AE">
            <w:pPr>
              <w:jc w:val="both"/>
              <w:rPr>
                <w:rFonts w:cs="Arial"/>
                <w:b/>
                <w:color w:val="212121"/>
                <w:sz w:val="22"/>
                <w:szCs w:val="22"/>
              </w:rPr>
            </w:pPr>
            <w:r w:rsidRPr="00664E0D">
              <w:rPr>
                <w:b/>
                <w:bCs/>
                <w:color w:val="212121"/>
                <w:sz w:val="22"/>
                <w:szCs w:val="22"/>
              </w:rPr>
              <w:t>Stakeholders</w:t>
            </w:r>
            <w:r w:rsidRPr="00664E0D">
              <w:rPr>
                <w:color w:val="212121"/>
                <w:sz w:val="22"/>
                <w:szCs w:val="22"/>
              </w:rPr>
              <w:t>. The UK should engage further with other donors to seek a contribution to MFF. (Rolled over)</w:t>
            </w:r>
          </w:p>
        </w:tc>
        <w:tc>
          <w:tcPr>
            <w:tcW w:w="4421" w:type="dxa"/>
          </w:tcPr>
          <w:p w:rsidRPr="00664E0D" w:rsidR="006D77D3" w:rsidP="006D77D3" w:rsidRDefault="00CA76C1" w14:paraId="53A043BB" w14:textId="217CDFD7">
            <w:pPr>
              <w:jc w:val="both"/>
              <w:rPr>
                <w:rFonts w:cs="Arial"/>
                <w:color w:val="212121"/>
                <w:sz w:val="22"/>
                <w:szCs w:val="22"/>
              </w:rPr>
            </w:pPr>
            <w:r w:rsidRPr="00664E0D">
              <w:rPr>
                <w:rFonts w:cs="Arial"/>
                <w:b/>
                <w:bCs/>
                <w:color w:val="212121"/>
                <w:sz w:val="22"/>
                <w:szCs w:val="22"/>
              </w:rPr>
              <w:t>Ongoing.</w:t>
            </w:r>
            <w:r w:rsidRPr="00664E0D" w:rsidR="00493962">
              <w:rPr>
                <w:rFonts w:cs="Arial"/>
                <w:b/>
                <w:bCs/>
                <w:color w:val="212121"/>
                <w:sz w:val="22"/>
                <w:szCs w:val="22"/>
              </w:rPr>
              <w:t xml:space="preserve"> </w:t>
            </w:r>
            <w:r w:rsidRPr="00664E0D" w:rsidR="006D77D3">
              <w:rPr>
                <w:rFonts w:cs="Arial"/>
                <w:color w:val="212121"/>
                <w:sz w:val="22"/>
                <w:szCs w:val="22"/>
              </w:rPr>
              <w:t xml:space="preserve">FMO continues to see potential in additional donor governments as </w:t>
            </w:r>
          </w:p>
          <w:p w:rsidRPr="00664E0D" w:rsidR="006D77D3" w:rsidP="006D77D3" w:rsidRDefault="006D77D3" w14:paraId="465339C5" w14:textId="77777777">
            <w:pPr>
              <w:jc w:val="both"/>
              <w:rPr>
                <w:rFonts w:cs="Arial"/>
                <w:color w:val="212121"/>
                <w:sz w:val="22"/>
                <w:szCs w:val="22"/>
              </w:rPr>
            </w:pPr>
            <w:r w:rsidRPr="00664E0D">
              <w:rPr>
                <w:rFonts w:cs="Arial"/>
                <w:color w:val="212121"/>
                <w:sz w:val="22"/>
                <w:szCs w:val="22"/>
              </w:rPr>
              <w:t xml:space="preserve">potential future funding partner. </w:t>
            </w:r>
          </w:p>
          <w:p w:rsidRPr="00664E0D" w:rsidR="006D77D3" w:rsidP="006D77D3" w:rsidRDefault="006D77D3" w14:paraId="01DC166F" w14:textId="77777777">
            <w:pPr>
              <w:jc w:val="both"/>
              <w:rPr>
                <w:rFonts w:cs="Arial"/>
                <w:color w:val="212121"/>
                <w:sz w:val="22"/>
                <w:szCs w:val="22"/>
              </w:rPr>
            </w:pPr>
            <w:r w:rsidRPr="00664E0D">
              <w:rPr>
                <w:rFonts w:cs="Arial"/>
                <w:color w:val="212121"/>
                <w:sz w:val="22"/>
                <w:szCs w:val="22"/>
              </w:rPr>
              <w:t xml:space="preserve">Planning to conduct wider analysis </w:t>
            </w:r>
          </w:p>
          <w:p w:rsidRPr="00664E0D" w:rsidR="00D779A2" w:rsidP="006D77D3" w:rsidRDefault="006D77D3" w14:paraId="670F7003" w14:textId="735547F5">
            <w:pPr>
              <w:jc w:val="both"/>
              <w:rPr>
                <w:rFonts w:cs="Arial"/>
                <w:color w:val="212121"/>
                <w:sz w:val="22"/>
                <w:szCs w:val="22"/>
              </w:rPr>
            </w:pPr>
            <w:r w:rsidRPr="00664E0D">
              <w:rPr>
                <w:rFonts w:cs="Arial"/>
                <w:color w:val="212121"/>
                <w:sz w:val="22"/>
                <w:szCs w:val="22"/>
              </w:rPr>
              <w:t>on funding landscape in 2026.</w:t>
            </w:r>
          </w:p>
        </w:tc>
      </w:tr>
      <w:tr w:rsidRPr="001B0614" w:rsidR="008A5FEA" w:rsidTr="22BD8583" w14:paraId="46E91F8A" w14:textId="77777777">
        <w:tc>
          <w:tcPr>
            <w:tcW w:w="4595" w:type="dxa"/>
            <w:vAlign w:val="center"/>
          </w:tcPr>
          <w:p w:rsidRPr="00664E0D" w:rsidR="00D779A2" w:rsidP="00D779A2" w:rsidRDefault="00D779A2" w14:paraId="2823005D" w14:textId="2D6E9F2C">
            <w:pPr>
              <w:jc w:val="both"/>
              <w:rPr>
                <w:rFonts w:cs="Arial"/>
                <w:b/>
                <w:color w:val="212121"/>
                <w:sz w:val="22"/>
                <w:szCs w:val="22"/>
              </w:rPr>
            </w:pPr>
            <w:r w:rsidRPr="00664E0D">
              <w:rPr>
                <w:b/>
                <w:bCs/>
                <w:color w:val="212121"/>
                <w:sz w:val="22"/>
                <w:szCs w:val="22"/>
              </w:rPr>
              <w:t>Stakeholders</w:t>
            </w:r>
            <w:r w:rsidRPr="00664E0D">
              <w:rPr>
                <w:color w:val="212121"/>
                <w:sz w:val="22"/>
                <w:szCs w:val="22"/>
              </w:rPr>
              <w:t>. The UK and FMO should ensure that MFF and the UK-funded Phase 2 of the “Investments in Forests and Sustainable Land Use” (IFSLU2) (as well as Phase 2 of P4F) are joined up and communicating effectively with each other. Existing governance arrangements should be reviewed to ensure synergies are being leveraged appropriately.</w:t>
            </w:r>
          </w:p>
        </w:tc>
        <w:tc>
          <w:tcPr>
            <w:tcW w:w="4421" w:type="dxa"/>
          </w:tcPr>
          <w:p w:rsidR="00364AEF" w:rsidP="009C350B" w:rsidRDefault="00EC5B8C" w14:paraId="53B730EF" w14:textId="77777777">
            <w:pPr>
              <w:jc w:val="both"/>
              <w:rPr>
                <w:rFonts w:cs="Arial"/>
                <w:color w:val="212121"/>
                <w:sz w:val="22"/>
                <w:szCs w:val="22"/>
              </w:rPr>
            </w:pPr>
            <w:r w:rsidRPr="00364AEF">
              <w:rPr>
                <w:rFonts w:cs="Arial"/>
                <w:b/>
                <w:bCs/>
                <w:color w:val="212121"/>
                <w:sz w:val="22"/>
                <w:szCs w:val="22"/>
              </w:rPr>
              <w:t>Ongoing</w:t>
            </w:r>
            <w:r w:rsidRPr="00664E0D">
              <w:rPr>
                <w:rFonts w:cs="Arial"/>
                <w:color w:val="212121"/>
                <w:sz w:val="22"/>
                <w:szCs w:val="22"/>
              </w:rPr>
              <w:t xml:space="preserve">. </w:t>
            </w:r>
          </w:p>
          <w:p w:rsidRPr="00664E0D" w:rsidR="009C350B" w:rsidP="009C350B" w:rsidRDefault="009C350B" w14:paraId="5A926B77" w14:textId="06DFD33B">
            <w:pPr>
              <w:jc w:val="both"/>
              <w:rPr>
                <w:rFonts w:cs="Arial"/>
                <w:color w:val="212121"/>
                <w:sz w:val="22"/>
                <w:szCs w:val="22"/>
              </w:rPr>
            </w:pPr>
            <w:r w:rsidRPr="00664E0D">
              <w:rPr>
                <w:rFonts w:cs="Arial"/>
                <w:color w:val="212121"/>
                <w:sz w:val="22"/>
                <w:szCs w:val="22"/>
              </w:rPr>
              <w:t xml:space="preserve">Continuous engagement between </w:t>
            </w:r>
          </w:p>
          <w:p w:rsidRPr="00664E0D" w:rsidR="009C350B" w:rsidP="009C350B" w:rsidRDefault="009C350B" w14:paraId="3E31A440" w14:textId="56199D42">
            <w:pPr>
              <w:jc w:val="both"/>
              <w:rPr>
                <w:rFonts w:cs="Arial"/>
                <w:color w:val="212121"/>
                <w:sz w:val="22"/>
                <w:szCs w:val="22"/>
              </w:rPr>
            </w:pPr>
            <w:r w:rsidRPr="00664E0D">
              <w:rPr>
                <w:rFonts w:cs="Arial"/>
                <w:color w:val="212121"/>
                <w:sz w:val="22"/>
                <w:szCs w:val="22"/>
              </w:rPr>
              <w:t>the teams is taking place, incl</w:t>
            </w:r>
            <w:r w:rsidRPr="00664E0D" w:rsidR="00476185">
              <w:rPr>
                <w:rFonts w:cs="Arial"/>
                <w:color w:val="212121"/>
                <w:sz w:val="22"/>
                <w:szCs w:val="22"/>
              </w:rPr>
              <w:t>uding</w:t>
            </w:r>
            <w:r w:rsidRPr="00664E0D">
              <w:rPr>
                <w:rFonts w:cs="Arial"/>
                <w:color w:val="212121"/>
                <w:sz w:val="22"/>
                <w:szCs w:val="22"/>
              </w:rPr>
              <w:t xml:space="preserve"> </w:t>
            </w:r>
          </w:p>
          <w:p w:rsidRPr="00664E0D" w:rsidR="009C350B" w:rsidP="009C350B" w:rsidRDefault="009C350B" w14:paraId="1176F3EF" w14:textId="77777777">
            <w:pPr>
              <w:jc w:val="both"/>
              <w:rPr>
                <w:rFonts w:cs="Arial"/>
                <w:color w:val="212121"/>
                <w:sz w:val="22"/>
                <w:szCs w:val="22"/>
              </w:rPr>
            </w:pPr>
            <w:r w:rsidRPr="00664E0D">
              <w:rPr>
                <w:rFonts w:cs="Arial"/>
                <w:color w:val="212121"/>
                <w:sz w:val="22"/>
                <w:szCs w:val="22"/>
              </w:rPr>
              <w:t xml:space="preserve">strategic alignment meeting on </w:t>
            </w:r>
          </w:p>
          <w:p w:rsidRPr="00664E0D" w:rsidR="009C350B" w:rsidP="009C350B" w:rsidRDefault="009C350B" w14:paraId="1B78D2A5" w14:textId="77777777">
            <w:pPr>
              <w:jc w:val="both"/>
              <w:rPr>
                <w:rFonts w:cs="Arial"/>
                <w:color w:val="212121"/>
                <w:sz w:val="22"/>
                <w:szCs w:val="22"/>
              </w:rPr>
            </w:pPr>
            <w:r w:rsidRPr="00664E0D">
              <w:rPr>
                <w:rFonts w:cs="Arial"/>
                <w:color w:val="212121"/>
                <w:sz w:val="22"/>
                <w:szCs w:val="22"/>
              </w:rPr>
              <w:t xml:space="preserve">IFSLU2-MFF, a step-back meeting </w:t>
            </w:r>
          </w:p>
          <w:p w:rsidRPr="00664E0D" w:rsidR="009C350B" w:rsidP="009C350B" w:rsidRDefault="009C350B" w14:paraId="0535CDF9" w14:textId="77777777">
            <w:pPr>
              <w:jc w:val="both"/>
              <w:rPr>
                <w:rFonts w:cs="Arial"/>
                <w:color w:val="212121"/>
                <w:sz w:val="22"/>
                <w:szCs w:val="22"/>
              </w:rPr>
            </w:pPr>
            <w:r w:rsidRPr="00664E0D">
              <w:rPr>
                <w:rFonts w:cs="Arial"/>
                <w:color w:val="212121"/>
                <w:sz w:val="22"/>
                <w:szCs w:val="22"/>
              </w:rPr>
              <w:t xml:space="preserve">in Q3 as well as a dedicated </w:t>
            </w:r>
          </w:p>
          <w:p w:rsidRPr="00664E0D" w:rsidR="00D779A2" w:rsidP="009C350B" w:rsidRDefault="009C350B" w14:paraId="61D1C115" w14:textId="3F7F8CC0">
            <w:pPr>
              <w:jc w:val="both"/>
              <w:rPr>
                <w:rFonts w:cs="Arial"/>
                <w:color w:val="212121"/>
                <w:sz w:val="22"/>
                <w:szCs w:val="22"/>
              </w:rPr>
            </w:pPr>
            <w:r w:rsidRPr="00664E0D">
              <w:rPr>
                <w:rFonts w:cs="Arial"/>
                <w:color w:val="212121"/>
                <w:sz w:val="22"/>
                <w:szCs w:val="22"/>
              </w:rPr>
              <w:t xml:space="preserve">session on synergies during the </w:t>
            </w:r>
            <w:r w:rsidRPr="00664E0D" w:rsidR="00FE1AC4">
              <w:rPr>
                <w:rFonts w:cs="Arial"/>
                <w:color w:val="212121"/>
                <w:sz w:val="22"/>
                <w:szCs w:val="22"/>
              </w:rPr>
              <w:t>h</w:t>
            </w:r>
            <w:r w:rsidRPr="00664E0D">
              <w:rPr>
                <w:rFonts w:cs="Arial"/>
                <w:color w:val="212121"/>
                <w:sz w:val="22"/>
                <w:szCs w:val="22"/>
              </w:rPr>
              <w:t>alf-</w:t>
            </w:r>
            <w:r w:rsidRPr="00664E0D" w:rsidR="00FE1AC4">
              <w:rPr>
                <w:rFonts w:cs="Arial"/>
                <w:color w:val="212121"/>
                <w:sz w:val="22"/>
                <w:szCs w:val="22"/>
              </w:rPr>
              <w:t>y</w:t>
            </w:r>
            <w:r w:rsidRPr="00664E0D">
              <w:rPr>
                <w:rFonts w:cs="Arial"/>
                <w:color w:val="212121"/>
                <w:sz w:val="22"/>
                <w:szCs w:val="22"/>
              </w:rPr>
              <w:t>ear meeting in December 2025.</w:t>
            </w:r>
          </w:p>
        </w:tc>
      </w:tr>
      <w:tr w:rsidRPr="001B0614" w:rsidR="008A5FEA" w:rsidTr="22BD8583" w14:paraId="75196267" w14:textId="77777777">
        <w:tc>
          <w:tcPr>
            <w:tcW w:w="4595" w:type="dxa"/>
            <w:vAlign w:val="center"/>
          </w:tcPr>
          <w:p w:rsidRPr="00664E0D" w:rsidR="00D779A2" w:rsidP="5B37A4F7" w:rsidRDefault="00D779A2" w14:paraId="786BD3F6" w14:textId="2E50630B">
            <w:pPr>
              <w:jc w:val="both"/>
              <w:rPr>
                <w:rFonts w:cs="Arial"/>
                <w:b/>
                <w:bCs/>
                <w:color w:val="212121"/>
                <w:sz w:val="22"/>
                <w:szCs w:val="22"/>
              </w:rPr>
            </w:pPr>
            <w:r w:rsidRPr="00664E0D">
              <w:rPr>
                <w:b/>
                <w:bCs/>
                <w:color w:val="212121"/>
                <w:sz w:val="22"/>
                <w:szCs w:val="22"/>
              </w:rPr>
              <w:t xml:space="preserve">Operations and strategy: </w:t>
            </w:r>
            <w:r w:rsidRPr="00664E0D">
              <w:rPr>
                <w:color w:val="212121"/>
                <w:sz w:val="22"/>
                <w:szCs w:val="22"/>
              </w:rPr>
              <w:t>As identified in the evaluation,</w:t>
            </w:r>
            <w:r w:rsidRPr="00664E0D">
              <w:rPr>
                <w:b/>
                <w:bCs/>
                <w:color w:val="212121"/>
                <w:sz w:val="22"/>
                <w:szCs w:val="22"/>
              </w:rPr>
              <w:t xml:space="preserve"> </w:t>
            </w:r>
            <w:r w:rsidRPr="00664E0D">
              <w:rPr>
                <w:color w:val="212121"/>
                <w:sz w:val="22"/>
                <w:szCs w:val="22"/>
              </w:rPr>
              <w:t>the UK and FMO should</w:t>
            </w:r>
            <w:r w:rsidRPr="00664E0D">
              <w:rPr>
                <w:b/>
                <w:bCs/>
                <w:color w:val="212121"/>
                <w:sz w:val="22"/>
                <w:szCs w:val="22"/>
              </w:rPr>
              <w:t xml:space="preserve"> </w:t>
            </w:r>
            <w:r w:rsidRPr="00664E0D">
              <w:rPr>
                <w:color w:val="212121"/>
                <w:sz w:val="22"/>
                <w:szCs w:val="22"/>
              </w:rPr>
              <w:t xml:space="preserve">review and refine MFF’s Technical Assistance Facility for advisory services (TAF component 1) and learning partnerships (LCIP) to address challenges, further sharpen the thematic focus of the learning platform and develop closer institutional linkages with other </w:t>
            </w:r>
            <w:r w:rsidRPr="00664E0D" w:rsidR="3713721B">
              <w:rPr>
                <w:color w:val="212121"/>
                <w:sz w:val="22"/>
                <w:szCs w:val="22"/>
              </w:rPr>
              <w:t>programme</w:t>
            </w:r>
            <w:r w:rsidRPr="00664E0D">
              <w:rPr>
                <w:color w:val="212121"/>
                <w:sz w:val="22"/>
                <w:szCs w:val="22"/>
              </w:rPr>
              <w:t>s. If necessary, additional governance arrangements and/or communication flows should be considered to ensure timely flow of key information on TAF and LCIP.</w:t>
            </w:r>
          </w:p>
        </w:tc>
        <w:tc>
          <w:tcPr>
            <w:tcW w:w="4421" w:type="dxa"/>
          </w:tcPr>
          <w:p w:rsidRPr="00664E0D" w:rsidR="006961DA" w:rsidP="006961DA" w:rsidRDefault="006961DA" w14:paraId="2EEDA03F" w14:textId="301CF0A2">
            <w:pPr>
              <w:jc w:val="both"/>
              <w:rPr>
                <w:rFonts w:cs="Arial"/>
                <w:color w:val="212121"/>
                <w:sz w:val="22"/>
                <w:szCs w:val="22"/>
              </w:rPr>
            </w:pPr>
            <w:r w:rsidRPr="00364AEF">
              <w:rPr>
                <w:rFonts w:cs="Arial"/>
                <w:b/>
                <w:bCs/>
                <w:color w:val="212121"/>
                <w:sz w:val="22"/>
                <w:szCs w:val="22"/>
              </w:rPr>
              <w:t>Completed</w:t>
            </w:r>
            <w:r w:rsidRPr="00664E0D">
              <w:rPr>
                <w:rFonts w:cs="Arial"/>
                <w:color w:val="212121"/>
                <w:sz w:val="22"/>
                <w:szCs w:val="22"/>
              </w:rPr>
              <w:t xml:space="preserve"> – changes to the </w:t>
            </w:r>
          </w:p>
          <w:p w:rsidRPr="00664E0D" w:rsidR="006961DA" w:rsidP="006961DA" w:rsidRDefault="006961DA" w14:paraId="6D2953F2" w14:textId="77777777">
            <w:pPr>
              <w:jc w:val="both"/>
              <w:rPr>
                <w:rFonts w:cs="Arial"/>
                <w:color w:val="212121"/>
                <w:sz w:val="22"/>
                <w:szCs w:val="22"/>
              </w:rPr>
            </w:pPr>
            <w:r w:rsidRPr="00664E0D">
              <w:rPr>
                <w:rFonts w:cs="Arial"/>
                <w:color w:val="212121"/>
                <w:sz w:val="22"/>
                <w:szCs w:val="22"/>
              </w:rPr>
              <w:t xml:space="preserve">TA mandate are captured in </w:t>
            </w:r>
          </w:p>
          <w:p w:rsidRPr="00664E0D" w:rsidR="006961DA" w:rsidP="006961DA" w:rsidRDefault="006961DA" w14:paraId="65865A8E" w14:textId="77777777">
            <w:pPr>
              <w:jc w:val="both"/>
              <w:rPr>
                <w:rFonts w:cs="Arial"/>
                <w:color w:val="212121"/>
                <w:sz w:val="22"/>
                <w:szCs w:val="22"/>
              </w:rPr>
            </w:pPr>
            <w:r w:rsidRPr="00664E0D">
              <w:rPr>
                <w:rFonts w:cs="Arial"/>
                <w:color w:val="212121"/>
                <w:sz w:val="22"/>
                <w:szCs w:val="22"/>
              </w:rPr>
              <w:t xml:space="preserve">the amended Contribution </w:t>
            </w:r>
          </w:p>
          <w:p w:rsidRPr="00664E0D" w:rsidR="00D779A2" w:rsidP="006961DA" w:rsidRDefault="006961DA" w14:paraId="5BAF749C" w14:textId="6E4CEC4C">
            <w:pPr>
              <w:jc w:val="both"/>
              <w:rPr>
                <w:rFonts w:cs="Arial"/>
                <w:color w:val="212121"/>
                <w:sz w:val="22"/>
                <w:szCs w:val="22"/>
              </w:rPr>
            </w:pPr>
            <w:r w:rsidRPr="00664E0D">
              <w:rPr>
                <w:rFonts w:cs="Arial"/>
                <w:color w:val="212121"/>
                <w:sz w:val="22"/>
                <w:szCs w:val="22"/>
              </w:rPr>
              <w:t>Agreement.</w:t>
            </w:r>
          </w:p>
        </w:tc>
      </w:tr>
      <w:tr w:rsidRPr="001B0614" w:rsidR="008A5FEA" w:rsidTr="22BD8583" w14:paraId="27017672" w14:textId="77777777">
        <w:tc>
          <w:tcPr>
            <w:tcW w:w="4595" w:type="dxa"/>
            <w:vAlign w:val="center"/>
          </w:tcPr>
          <w:p w:rsidRPr="003600EF" w:rsidR="00D779A2" w:rsidP="00D779A2" w:rsidRDefault="00D779A2" w14:paraId="69E11289" w14:textId="4AF8A311">
            <w:pPr>
              <w:jc w:val="both"/>
              <w:rPr>
                <w:rFonts w:cs="Arial"/>
                <w:b/>
                <w:color w:val="212121"/>
                <w:sz w:val="22"/>
                <w:szCs w:val="22"/>
              </w:rPr>
            </w:pPr>
            <w:r w:rsidRPr="003600EF">
              <w:rPr>
                <w:b/>
                <w:bCs/>
                <w:color w:val="212121"/>
                <w:sz w:val="22"/>
                <w:szCs w:val="22"/>
              </w:rPr>
              <w:t xml:space="preserve">Development contributions: </w:t>
            </w:r>
            <w:r w:rsidRPr="003600EF">
              <w:rPr>
                <w:color w:val="212121"/>
                <w:sz w:val="22"/>
                <w:szCs w:val="22"/>
              </w:rPr>
              <w:t xml:space="preserve">Consider how to facilitate a greater number of DC deals to improve investment pipeline and test innovative models in challenging geographies and novel sectors. </w:t>
            </w:r>
          </w:p>
        </w:tc>
        <w:tc>
          <w:tcPr>
            <w:tcW w:w="4421" w:type="dxa"/>
          </w:tcPr>
          <w:p w:rsidRPr="003600EF" w:rsidR="006961DA" w:rsidP="006961DA" w:rsidRDefault="006961DA" w14:paraId="3E5D1202" w14:textId="62634C32">
            <w:pPr>
              <w:jc w:val="both"/>
              <w:rPr>
                <w:rFonts w:cs="Arial"/>
                <w:color w:val="212121"/>
                <w:sz w:val="22"/>
                <w:szCs w:val="22"/>
              </w:rPr>
            </w:pPr>
            <w:r w:rsidRPr="00364AEF">
              <w:rPr>
                <w:rFonts w:cs="Arial"/>
                <w:b/>
                <w:bCs/>
                <w:color w:val="212121"/>
                <w:sz w:val="22"/>
                <w:szCs w:val="22"/>
              </w:rPr>
              <w:t>Completed</w:t>
            </w:r>
            <w:r w:rsidRPr="003600EF">
              <w:rPr>
                <w:rFonts w:cs="Arial"/>
                <w:color w:val="212121"/>
                <w:sz w:val="22"/>
                <w:szCs w:val="22"/>
              </w:rPr>
              <w:t xml:space="preserve"> – MFF Team </w:t>
            </w:r>
            <w:r w:rsidRPr="003600EF" w:rsidR="00C72C94">
              <w:rPr>
                <w:rFonts w:cs="Arial"/>
                <w:color w:val="212121"/>
                <w:sz w:val="22"/>
                <w:szCs w:val="22"/>
              </w:rPr>
              <w:t xml:space="preserve">has </w:t>
            </w:r>
            <w:r w:rsidRPr="003600EF">
              <w:rPr>
                <w:rFonts w:cs="Arial"/>
                <w:color w:val="212121"/>
                <w:sz w:val="22"/>
                <w:szCs w:val="22"/>
              </w:rPr>
              <w:t xml:space="preserve"> </w:t>
            </w:r>
          </w:p>
          <w:p w:rsidRPr="003600EF" w:rsidR="006961DA" w:rsidP="006961DA" w:rsidRDefault="006961DA" w14:paraId="1388A34E" w14:textId="1D2CD0FC">
            <w:pPr>
              <w:jc w:val="both"/>
              <w:rPr>
                <w:rFonts w:cs="Arial"/>
                <w:color w:val="212121"/>
                <w:sz w:val="22"/>
                <w:szCs w:val="22"/>
              </w:rPr>
            </w:pPr>
            <w:r w:rsidRPr="003600EF">
              <w:rPr>
                <w:rFonts w:cs="Arial"/>
                <w:color w:val="212121"/>
                <w:sz w:val="22"/>
                <w:szCs w:val="22"/>
              </w:rPr>
              <w:t>add</w:t>
            </w:r>
            <w:r w:rsidRPr="003600EF" w:rsidR="00C72C94">
              <w:rPr>
                <w:rFonts w:cs="Arial"/>
                <w:color w:val="212121"/>
                <w:sz w:val="22"/>
                <w:szCs w:val="22"/>
              </w:rPr>
              <w:t>ed</w:t>
            </w:r>
            <w:r w:rsidRPr="003600EF">
              <w:rPr>
                <w:rFonts w:cs="Arial"/>
                <w:color w:val="212121"/>
                <w:sz w:val="22"/>
                <w:szCs w:val="22"/>
              </w:rPr>
              <w:t xml:space="preserve"> capacity on the TA </w:t>
            </w:r>
          </w:p>
          <w:p w:rsidRPr="003600EF" w:rsidR="006961DA" w:rsidP="006961DA" w:rsidRDefault="006961DA" w14:paraId="7BEDB33C" w14:textId="77777777">
            <w:pPr>
              <w:jc w:val="both"/>
              <w:rPr>
                <w:rFonts w:cs="Arial"/>
                <w:color w:val="212121"/>
                <w:sz w:val="22"/>
                <w:szCs w:val="22"/>
              </w:rPr>
            </w:pPr>
            <w:r w:rsidRPr="003600EF">
              <w:rPr>
                <w:rFonts w:cs="Arial"/>
                <w:color w:val="212121"/>
                <w:sz w:val="22"/>
                <w:szCs w:val="22"/>
              </w:rPr>
              <w:t xml:space="preserve">function, funded by a portion </w:t>
            </w:r>
          </w:p>
          <w:p w:rsidRPr="003600EF" w:rsidR="006961DA" w:rsidP="006961DA" w:rsidRDefault="006961DA" w14:paraId="69020512" w14:textId="77777777">
            <w:pPr>
              <w:jc w:val="both"/>
              <w:rPr>
                <w:rFonts w:cs="Arial"/>
                <w:color w:val="212121"/>
                <w:sz w:val="22"/>
                <w:szCs w:val="22"/>
              </w:rPr>
            </w:pPr>
            <w:r w:rsidRPr="003600EF">
              <w:rPr>
                <w:rFonts w:cs="Arial"/>
                <w:color w:val="212121"/>
                <w:sz w:val="22"/>
                <w:szCs w:val="22"/>
              </w:rPr>
              <w:t xml:space="preserve">of the MFF TAF budget, to </w:t>
            </w:r>
          </w:p>
          <w:p w:rsidRPr="003600EF" w:rsidR="006961DA" w:rsidP="006961DA" w:rsidRDefault="006961DA" w14:paraId="0D89828C" w14:textId="77777777">
            <w:pPr>
              <w:jc w:val="both"/>
              <w:rPr>
                <w:rFonts w:cs="Arial"/>
                <w:color w:val="212121"/>
                <w:sz w:val="22"/>
                <w:szCs w:val="22"/>
              </w:rPr>
            </w:pPr>
            <w:r w:rsidRPr="003600EF">
              <w:rPr>
                <w:rFonts w:cs="Arial"/>
                <w:color w:val="212121"/>
                <w:sz w:val="22"/>
                <w:szCs w:val="22"/>
              </w:rPr>
              <w:t xml:space="preserve">create more capacity to </w:t>
            </w:r>
          </w:p>
          <w:p w:rsidRPr="003600EF" w:rsidR="00D779A2" w:rsidP="006961DA" w:rsidRDefault="006961DA" w14:paraId="7A90FB31" w14:textId="6F61E3C3">
            <w:pPr>
              <w:jc w:val="both"/>
              <w:rPr>
                <w:rFonts w:cs="Arial"/>
                <w:color w:val="212121"/>
                <w:sz w:val="22"/>
                <w:szCs w:val="22"/>
              </w:rPr>
            </w:pPr>
            <w:r w:rsidRPr="003600EF">
              <w:rPr>
                <w:rFonts w:cs="Arial"/>
                <w:color w:val="212121"/>
                <w:sz w:val="22"/>
                <w:szCs w:val="22"/>
              </w:rPr>
              <w:t>execute DCs</w:t>
            </w:r>
          </w:p>
        </w:tc>
      </w:tr>
      <w:tr w:rsidRPr="001B0614" w:rsidR="008A5FEA" w:rsidTr="22BD8583" w14:paraId="202C3DBE" w14:textId="77777777">
        <w:tc>
          <w:tcPr>
            <w:tcW w:w="4595" w:type="dxa"/>
            <w:vAlign w:val="center"/>
          </w:tcPr>
          <w:p w:rsidRPr="003600EF" w:rsidR="00D779A2" w:rsidP="00D779A2" w:rsidRDefault="00D779A2" w14:paraId="7E29BFC3" w14:textId="3F94A602">
            <w:pPr>
              <w:jc w:val="both"/>
              <w:rPr>
                <w:rFonts w:cs="Arial"/>
                <w:b/>
                <w:color w:val="212121"/>
                <w:sz w:val="22"/>
                <w:szCs w:val="22"/>
              </w:rPr>
            </w:pPr>
            <w:proofErr w:type="spellStart"/>
            <w:r w:rsidRPr="003600EF">
              <w:rPr>
                <w:b/>
                <w:bCs/>
                <w:color w:val="212121"/>
                <w:sz w:val="22"/>
                <w:szCs w:val="22"/>
              </w:rPr>
              <w:t>Logframe</w:t>
            </w:r>
            <w:proofErr w:type="spellEnd"/>
            <w:r w:rsidRPr="003600EF">
              <w:rPr>
                <w:color w:val="212121"/>
                <w:sz w:val="22"/>
                <w:szCs w:val="22"/>
              </w:rPr>
              <w:t>: Consider tracking the impact from Development Contribution from 2025 onwards.</w:t>
            </w:r>
          </w:p>
        </w:tc>
        <w:tc>
          <w:tcPr>
            <w:tcW w:w="4421" w:type="dxa"/>
          </w:tcPr>
          <w:p w:rsidRPr="003600EF" w:rsidR="006961DA" w:rsidP="006961DA" w:rsidRDefault="006961DA" w14:paraId="7C0A93A7" w14:textId="77777777">
            <w:pPr>
              <w:jc w:val="both"/>
              <w:rPr>
                <w:rFonts w:cs="Arial"/>
                <w:color w:val="212121"/>
                <w:sz w:val="22"/>
                <w:szCs w:val="22"/>
              </w:rPr>
            </w:pPr>
            <w:r w:rsidRPr="00364AEF">
              <w:rPr>
                <w:rFonts w:cs="Arial"/>
                <w:b/>
                <w:bCs/>
                <w:color w:val="212121"/>
                <w:sz w:val="22"/>
                <w:szCs w:val="22"/>
              </w:rPr>
              <w:t>Completed</w:t>
            </w:r>
            <w:r w:rsidRPr="003600EF">
              <w:rPr>
                <w:rFonts w:cs="Arial"/>
                <w:color w:val="212121"/>
                <w:sz w:val="22"/>
                <w:szCs w:val="22"/>
              </w:rPr>
              <w:t xml:space="preserve"> – impact tracking </w:t>
            </w:r>
          </w:p>
          <w:p w:rsidRPr="003600EF" w:rsidR="006961DA" w:rsidP="006961DA" w:rsidRDefault="006961DA" w14:paraId="3CCF66FA" w14:textId="72DDE674">
            <w:pPr>
              <w:jc w:val="both"/>
              <w:rPr>
                <w:rFonts w:cs="Arial"/>
                <w:color w:val="212121"/>
                <w:sz w:val="22"/>
                <w:szCs w:val="22"/>
              </w:rPr>
            </w:pPr>
            <w:r w:rsidRPr="003600EF">
              <w:rPr>
                <w:rFonts w:cs="Arial"/>
                <w:color w:val="212121"/>
                <w:sz w:val="22"/>
                <w:szCs w:val="22"/>
              </w:rPr>
              <w:t xml:space="preserve">on DCs </w:t>
            </w:r>
            <w:r w:rsidRPr="003600EF" w:rsidR="00780402">
              <w:rPr>
                <w:rFonts w:cs="Arial"/>
                <w:color w:val="212121"/>
                <w:sz w:val="22"/>
                <w:szCs w:val="22"/>
              </w:rPr>
              <w:t xml:space="preserve">has </w:t>
            </w:r>
            <w:r w:rsidRPr="003600EF">
              <w:rPr>
                <w:rFonts w:cs="Arial"/>
                <w:color w:val="212121"/>
                <w:sz w:val="22"/>
                <w:szCs w:val="22"/>
              </w:rPr>
              <w:t>be</w:t>
            </w:r>
            <w:r w:rsidRPr="003600EF" w:rsidR="009E2BD1">
              <w:rPr>
                <w:rFonts w:cs="Arial"/>
                <w:color w:val="212121"/>
                <w:sz w:val="22"/>
                <w:szCs w:val="22"/>
              </w:rPr>
              <w:t>en</w:t>
            </w:r>
            <w:r w:rsidRPr="003600EF">
              <w:rPr>
                <w:rFonts w:cs="Arial"/>
                <w:color w:val="212121"/>
                <w:sz w:val="22"/>
                <w:szCs w:val="22"/>
              </w:rPr>
              <w:t xml:space="preserve"> implemented </w:t>
            </w:r>
          </w:p>
          <w:p w:rsidRPr="003600EF" w:rsidR="00D779A2" w:rsidP="006961DA" w:rsidRDefault="00EE557D" w14:paraId="22AE9F91" w14:textId="651A8A31">
            <w:pPr>
              <w:jc w:val="both"/>
              <w:rPr>
                <w:rFonts w:cs="Arial"/>
                <w:color w:val="212121"/>
                <w:sz w:val="22"/>
                <w:szCs w:val="22"/>
              </w:rPr>
            </w:pPr>
            <w:r w:rsidRPr="003600EF">
              <w:rPr>
                <w:rFonts w:cs="Arial"/>
                <w:color w:val="212121"/>
                <w:sz w:val="22"/>
                <w:szCs w:val="22"/>
              </w:rPr>
              <w:t xml:space="preserve">as of </w:t>
            </w:r>
            <w:r w:rsidRPr="003600EF" w:rsidR="006961DA">
              <w:rPr>
                <w:rFonts w:cs="Arial"/>
                <w:color w:val="212121"/>
                <w:sz w:val="22"/>
                <w:szCs w:val="22"/>
              </w:rPr>
              <w:t xml:space="preserve">2025 </w:t>
            </w:r>
            <w:r w:rsidRPr="003600EF">
              <w:rPr>
                <w:rFonts w:cs="Arial"/>
                <w:color w:val="212121"/>
                <w:sz w:val="22"/>
                <w:szCs w:val="22"/>
              </w:rPr>
              <w:t>reporting year</w:t>
            </w:r>
            <w:r w:rsidRPr="003600EF" w:rsidR="00847A81">
              <w:rPr>
                <w:rFonts w:cs="Arial"/>
                <w:color w:val="212121"/>
                <w:sz w:val="22"/>
                <w:szCs w:val="22"/>
              </w:rPr>
              <w:t xml:space="preserve"> and are included in 2025 </w:t>
            </w:r>
            <w:proofErr w:type="spellStart"/>
            <w:r w:rsidRPr="003600EF" w:rsidR="00847A81">
              <w:rPr>
                <w:rFonts w:cs="Arial"/>
                <w:color w:val="212121"/>
                <w:sz w:val="22"/>
                <w:szCs w:val="22"/>
              </w:rPr>
              <w:t>LogFrame</w:t>
            </w:r>
            <w:proofErr w:type="spellEnd"/>
            <w:r w:rsidRPr="003600EF" w:rsidR="00847A81">
              <w:rPr>
                <w:rFonts w:cs="Arial"/>
                <w:color w:val="212121"/>
                <w:sz w:val="22"/>
                <w:szCs w:val="22"/>
              </w:rPr>
              <w:t xml:space="preserve"> reporting</w:t>
            </w:r>
            <w:r w:rsidRPr="003600EF" w:rsidR="006961DA">
              <w:rPr>
                <w:rFonts w:cs="Arial"/>
                <w:color w:val="212121"/>
                <w:sz w:val="22"/>
                <w:szCs w:val="22"/>
              </w:rPr>
              <w:t>.</w:t>
            </w:r>
          </w:p>
        </w:tc>
      </w:tr>
      <w:tr w:rsidRPr="001B0614" w:rsidR="008A5FEA" w:rsidTr="22BD8583" w14:paraId="7EAA4B6C" w14:textId="77777777">
        <w:tc>
          <w:tcPr>
            <w:tcW w:w="4595" w:type="dxa"/>
            <w:vAlign w:val="center"/>
          </w:tcPr>
          <w:p w:rsidRPr="003600EF" w:rsidR="00D779A2" w:rsidP="00D779A2" w:rsidRDefault="00D779A2" w14:paraId="5C49611D" w14:textId="44B1649B">
            <w:pPr>
              <w:jc w:val="both"/>
              <w:rPr>
                <w:rFonts w:cs="Arial"/>
                <w:b/>
                <w:color w:val="212121"/>
                <w:sz w:val="22"/>
                <w:szCs w:val="22"/>
              </w:rPr>
            </w:pPr>
            <w:proofErr w:type="spellStart"/>
            <w:r w:rsidRPr="003600EF">
              <w:rPr>
                <w:b/>
                <w:bCs/>
                <w:color w:val="212121"/>
                <w:sz w:val="22"/>
                <w:szCs w:val="22"/>
              </w:rPr>
              <w:t>ToC</w:t>
            </w:r>
            <w:proofErr w:type="spellEnd"/>
            <w:r w:rsidRPr="003600EF">
              <w:rPr>
                <w:b/>
                <w:bCs/>
                <w:color w:val="212121"/>
                <w:sz w:val="22"/>
                <w:szCs w:val="22"/>
              </w:rPr>
              <w:t xml:space="preserve"> review and evaluation: </w:t>
            </w:r>
            <w:r w:rsidRPr="003600EF">
              <w:rPr>
                <w:color w:val="212121"/>
                <w:sz w:val="22"/>
                <w:szCs w:val="22"/>
              </w:rPr>
              <w:t xml:space="preserve">Reflecting on the </w:t>
            </w:r>
            <w:proofErr w:type="spellStart"/>
            <w:r w:rsidRPr="003600EF">
              <w:rPr>
                <w:color w:val="212121"/>
                <w:sz w:val="22"/>
                <w:szCs w:val="22"/>
              </w:rPr>
              <w:t>ToC</w:t>
            </w:r>
            <w:proofErr w:type="spellEnd"/>
            <w:r w:rsidRPr="003600EF">
              <w:rPr>
                <w:color w:val="212121"/>
                <w:sz w:val="22"/>
                <w:szCs w:val="22"/>
              </w:rPr>
              <w:t xml:space="preserve"> recommendations in the Evaluation, the UK and FMO should consider how to address the gaps in the evidence base. Consider how to use the evaluation framework funding to commission new research.</w:t>
            </w:r>
          </w:p>
        </w:tc>
        <w:tc>
          <w:tcPr>
            <w:tcW w:w="4421" w:type="dxa"/>
          </w:tcPr>
          <w:p w:rsidR="00784BC2" w:rsidRDefault="00784BC2" w14:paraId="4879AC42" w14:textId="7735D0DC">
            <w:pPr>
              <w:jc w:val="both"/>
            </w:pPr>
            <w:r w:rsidRPr="00364AEF">
              <w:rPr>
                <w:b/>
                <w:bCs/>
                <w:color w:val="212121"/>
                <w:sz w:val="22"/>
                <w:szCs w:val="22"/>
              </w:rPr>
              <w:t>Postponed</w:t>
            </w:r>
            <w:r w:rsidRPr="22BD8583">
              <w:rPr>
                <w:color w:val="212121"/>
                <w:sz w:val="22"/>
                <w:szCs w:val="22"/>
              </w:rPr>
              <w:t>. UK and FMO teams have decided it is too early stage to commit additional evaluation resources to this as the MFF portfolio is maturing/growing and will re-evaluate this towards the latter end of the programme.</w:t>
            </w:r>
          </w:p>
          <w:p w:rsidRPr="003600EF" w:rsidR="00D779A2" w:rsidP="22BD8583" w:rsidRDefault="00D779A2" w14:paraId="061F6D21" w14:textId="62482004">
            <w:pPr>
              <w:jc w:val="both"/>
              <w:rPr>
                <w:rFonts w:cs="Arial"/>
                <w:color w:val="212121"/>
                <w:sz w:val="22"/>
                <w:szCs w:val="22"/>
              </w:rPr>
            </w:pPr>
          </w:p>
        </w:tc>
      </w:tr>
      <w:tr w:rsidRPr="001B0614" w:rsidR="008A5FEA" w:rsidTr="22BD8583" w14:paraId="1AF77EE0" w14:textId="77777777">
        <w:tc>
          <w:tcPr>
            <w:tcW w:w="4595" w:type="dxa"/>
            <w:vAlign w:val="center"/>
          </w:tcPr>
          <w:p w:rsidRPr="003600EF" w:rsidR="00D779A2" w:rsidP="5B37A4F7" w:rsidRDefault="00D779A2" w14:paraId="661C7687" w14:textId="0E878718">
            <w:pPr>
              <w:jc w:val="both"/>
              <w:rPr>
                <w:rFonts w:cs="Arial"/>
                <w:b/>
                <w:bCs/>
                <w:color w:val="212121"/>
                <w:sz w:val="22"/>
                <w:szCs w:val="22"/>
              </w:rPr>
            </w:pPr>
            <w:r w:rsidRPr="003600EF">
              <w:rPr>
                <w:b/>
                <w:bCs/>
                <w:color w:val="212121"/>
                <w:sz w:val="22"/>
                <w:szCs w:val="22"/>
              </w:rPr>
              <w:t>Policy:</w:t>
            </w:r>
            <w:r w:rsidRPr="003600EF">
              <w:rPr>
                <w:color w:val="212121"/>
                <w:sz w:val="22"/>
                <w:szCs w:val="22"/>
              </w:rPr>
              <w:t xml:space="preserve"> MFF should monitor evolving policy around carbon and biodiversity markets, review guidance, and discuss them regularly to align with industry best practice. </w:t>
            </w:r>
            <w:r w:rsidRPr="003600EF" w:rsidR="3713721B">
              <w:rPr>
                <w:color w:val="212121"/>
                <w:sz w:val="22"/>
                <w:szCs w:val="22"/>
              </w:rPr>
              <w:t>Programme</w:t>
            </w:r>
            <w:r w:rsidRPr="003600EF">
              <w:rPr>
                <w:color w:val="212121"/>
                <w:sz w:val="22"/>
                <w:szCs w:val="22"/>
              </w:rPr>
              <w:t xml:space="preserve"> teams should consider whether the MFF principles need to be updated. This links to investment decisions on the type of carbon-only projects that are pursued in the pipeline (Rolled over)</w:t>
            </w:r>
          </w:p>
        </w:tc>
        <w:tc>
          <w:tcPr>
            <w:tcW w:w="4421" w:type="dxa"/>
          </w:tcPr>
          <w:p w:rsidRPr="003600EF" w:rsidR="00315D7B" w:rsidP="00315D7B" w:rsidRDefault="00315D7B" w14:paraId="12B5718C" w14:textId="0B3CCB17">
            <w:pPr>
              <w:jc w:val="both"/>
              <w:rPr>
                <w:rFonts w:cs="Arial"/>
                <w:color w:val="212121"/>
                <w:sz w:val="22"/>
                <w:szCs w:val="22"/>
              </w:rPr>
            </w:pPr>
            <w:r w:rsidRPr="00364AEF">
              <w:rPr>
                <w:rFonts w:cs="Arial"/>
                <w:b/>
                <w:bCs/>
                <w:color w:val="212121"/>
                <w:sz w:val="22"/>
                <w:szCs w:val="22"/>
              </w:rPr>
              <w:t>Rolled over</w:t>
            </w:r>
            <w:r w:rsidRPr="003600EF">
              <w:rPr>
                <w:rFonts w:cs="Arial"/>
                <w:color w:val="212121"/>
                <w:sz w:val="22"/>
                <w:szCs w:val="22"/>
              </w:rPr>
              <w:t xml:space="preserve">. Ongoing exercise which will </w:t>
            </w:r>
          </w:p>
          <w:p w:rsidRPr="003600EF" w:rsidR="00315D7B" w:rsidP="00315D7B" w:rsidRDefault="00315D7B" w14:paraId="55D1B796" w14:textId="77777777">
            <w:pPr>
              <w:jc w:val="both"/>
              <w:rPr>
                <w:rFonts w:cs="Arial"/>
                <w:color w:val="212121"/>
                <w:sz w:val="22"/>
                <w:szCs w:val="22"/>
              </w:rPr>
            </w:pPr>
            <w:r w:rsidRPr="003600EF">
              <w:rPr>
                <w:rFonts w:cs="Arial"/>
                <w:color w:val="212121"/>
                <w:sz w:val="22"/>
                <w:szCs w:val="22"/>
              </w:rPr>
              <w:t xml:space="preserve">continuously be discussed </w:t>
            </w:r>
          </w:p>
          <w:p w:rsidRPr="003600EF" w:rsidR="00D779A2" w:rsidP="00315D7B" w:rsidRDefault="00315D7B" w14:paraId="6CFC0277" w14:textId="664D10C8">
            <w:pPr>
              <w:jc w:val="both"/>
              <w:rPr>
                <w:rFonts w:cs="Arial"/>
                <w:color w:val="212121"/>
                <w:sz w:val="22"/>
                <w:szCs w:val="22"/>
              </w:rPr>
            </w:pPr>
            <w:r w:rsidRPr="003600EF">
              <w:rPr>
                <w:rFonts w:cs="Arial"/>
                <w:color w:val="212121"/>
                <w:sz w:val="22"/>
                <w:szCs w:val="22"/>
              </w:rPr>
              <w:t xml:space="preserve">with funding partners. </w:t>
            </w:r>
          </w:p>
        </w:tc>
      </w:tr>
    </w:tbl>
    <w:p w:rsidRPr="003600EF" w:rsidR="00D779A2" w:rsidP="004D5FD5" w:rsidRDefault="00D779A2" w14:paraId="0A37D6D1" w14:textId="77777777">
      <w:pPr>
        <w:jc w:val="both"/>
        <w:rPr>
          <w:rStyle w:val="Heading2Char"/>
          <w:color w:val="212121"/>
        </w:rPr>
      </w:pPr>
    </w:p>
    <w:p w:rsidRPr="003600EF" w:rsidR="00D779A2" w:rsidP="004D5FD5" w:rsidRDefault="00D779A2" w14:paraId="6EF75232" w14:textId="77777777">
      <w:pPr>
        <w:jc w:val="both"/>
        <w:rPr>
          <w:rStyle w:val="Heading2Char"/>
          <w:color w:val="212121"/>
        </w:rPr>
      </w:pPr>
    </w:p>
    <w:p w:rsidRPr="003600EF" w:rsidR="003D222C" w:rsidP="004D5FD5" w:rsidRDefault="003D222C" w14:paraId="788BE7E1" w14:textId="1B38D95C">
      <w:pPr>
        <w:jc w:val="both"/>
        <w:rPr>
          <w:color w:val="212121"/>
        </w:rPr>
      </w:pPr>
      <w:bookmarkStart w:name="_Toc227234241" w:id="6"/>
      <w:r w:rsidRPr="003600EF">
        <w:rPr>
          <w:rStyle w:val="Heading2Char"/>
          <w:color w:val="212121"/>
        </w:rPr>
        <w:t>Major lessons and recommendations for the year ahead</w:t>
      </w:r>
      <w:bookmarkEnd w:id="6"/>
      <w:r w:rsidRPr="003600EF">
        <w:rPr>
          <w:color w:val="212121"/>
        </w:rPr>
        <w:t xml:space="preserve"> [1/2 page]</w:t>
      </w:r>
    </w:p>
    <w:p w:rsidRPr="003600EF" w:rsidR="00DA6B40" w:rsidP="00476185" w:rsidRDefault="00DA6B40" w14:paraId="16AA760E" w14:textId="061AD2A4">
      <w:pPr>
        <w:jc w:val="both"/>
        <w:rPr>
          <w:rFonts w:cs="Arial"/>
          <w:color w:val="212121"/>
          <w:sz w:val="22"/>
          <w:szCs w:val="22"/>
        </w:rPr>
      </w:pPr>
    </w:p>
    <w:p w:rsidRPr="003600EF" w:rsidR="00D0302B" w:rsidP="004D5FD5" w:rsidRDefault="00D0302B" w14:paraId="773A77CC" w14:textId="1912BB68">
      <w:pPr>
        <w:jc w:val="both"/>
        <w:rPr>
          <w:rFonts w:cs="Arial"/>
          <w:color w:val="212121"/>
          <w:sz w:val="22"/>
          <w:szCs w:val="22"/>
        </w:rPr>
      </w:pPr>
    </w:p>
    <w:tbl>
      <w:tblPr>
        <w:tblStyle w:val="TableGrid"/>
        <w:tblW w:w="0" w:type="auto"/>
        <w:tblLook w:val="04A0" w:firstRow="1" w:lastRow="0" w:firstColumn="1" w:lastColumn="0" w:noHBand="0" w:noVBand="1"/>
      </w:tblPr>
      <w:tblGrid>
        <w:gridCol w:w="328"/>
        <w:gridCol w:w="5725"/>
        <w:gridCol w:w="2963"/>
      </w:tblGrid>
      <w:tr w:rsidRPr="001B0614" w:rsidR="00777266" w:rsidTr="587F9E6B" w14:paraId="4B25CB90" w14:textId="77777777">
        <w:tc>
          <w:tcPr>
            <w:tcW w:w="328" w:type="dxa"/>
            <w:shd w:val="clear" w:color="auto" w:fill="DEEAF6" w:themeFill="accent5" w:themeFillTint="33"/>
            <w:tcMar/>
          </w:tcPr>
          <w:p w:rsidRPr="003600EF" w:rsidR="00777266" w:rsidP="004D5FD5" w:rsidRDefault="00777266" w14:paraId="108899B8" w14:textId="77777777">
            <w:pPr>
              <w:jc w:val="both"/>
              <w:rPr>
                <w:rFonts w:cs="Arial"/>
                <w:b/>
                <w:color w:val="212121"/>
                <w:sz w:val="20"/>
                <w:szCs w:val="20"/>
              </w:rPr>
            </w:pPr>
          </w:p>
        </w:tc>
        <w:tc>
          <w:tcPr>
            <w:tcW w:w="5725" w:type="dxa"/>
            <w:shd w:val="clear" w:color="auto" w:fill="DEEAF6" w:themeFill="accent5" w:themeFillTint="33"/>
            <w:tcMar/>
          </w:tcPr>
          <w:p w:rsidRPr="003600EF" w:rsidR="00777266" w:rsidP="004D5FD5" w:rsidRDefault="00777266" w14:paraId="321EF4D2" w14:textId="294D2B73">
            <w:pPr>
              <w:jc w:val="both"/>
              <w:rPr>
                <w:rFonts w:cs="Arial"/>
                <w:b/>
                <w:color w:val="212121"/>
                <w:sz w:val="22"/>
                <w:szCs w:val="22"/>
              </w:rPr>
            </w:pPr>
            <w:r w:rsidRPr="003600EF">
              <w:rPr>
                <w:rFonts w:cs="Arial"/>
                <w:b/>
                <w:color w:val="212121"/>
                <w:sz w:val="22"/>
                <w:szCs w:val="22"/>
              </w:rPr>
              <w:t>Recommendation</w:t>
            </w:r>
          </w:p>
        </w:tc>
        <w:tc>
          <w:tcPr>
            <w:tcW w:w="2963" w:type="dxa"/>
            <w:shd w:val="clear" w:color="auto" w:fill="DEEAF6" w:themeFill="accent5" w:themeFillTint="33"/>
            <w:tcMar/>
          </w:tcPr>
          <w:p w:rsidRPr="003600EF" w:rsidR="00777266" w:rsidP="004D5FD5" w:rsidRDefault="00777266" w14:paraId="68A2DDD9" w14:textId="3FAD9E3D">
            <w:pPr>
              <w:jc w:val="both"/>
              <w:rPr>
                <w:rFonts w:cs="Arial"/>
                <w:b/>
                <w:color w:val="212121"/>
                <w:sz w:val="22"/>
                <w:szCs w:val="22"/>
              </w:rPr>
            </w:pPr>
            <w:r w:rsidRPr="003600EF">
              <w:rPr>
                <w:rFonts w:cs="Arial"/>
                <w:b/>
                <w:color w:val="212121"/>
                <w:sz w:val="22"/>
                <w:szCs w:val="22"/>
              </w:rPr>
              <w:t>Deadline</w:t>
            </w:r>
          </w:p>
        </w:tc>
      </w:tr>
      <w:tr w:rsidRPr="001B0614" w:rsidR="00777266" w:rsidTr="587F9E6B" w14:paraId="2775F316" w14:textId="77777777">
        <w:tc>
          <w:tcPr>
            <w:tcW w:w="328" w:type="dxa"/>
            <w:tcMar/>
          </w:tcPr>
          <w:p w:rsidRPr="003600EF" w:rsidR="00777266" w:rsidP="00777266" w:rsidRDefault="00777266" w14:paraId="07CD504D" w14:textId="7B34C12E">
            <w:pPr>
              <w:rPr>
                <w:rFonts w:cs="Arial"/>
                <w:b/>
                <w:color w:val="212121"/>
                <w:sz w:val="20"/>
                <w:szCs w:val="20"/>
              </w:rPr>
            </w:pPr>
            <w:r w:rsidRPr="003600EF">
              <w:rPr>
                <w:rFonts w:cs="Arial"/>
                <w:b/>
                <w:color w:val="212121"/>
                <w:sz w:val="20"/>
                <w:szCs w:val="20"/>
              </w:rPr>
              <w:t>1</w:t>
            </w:r>
          </w:p>
        </w:tc>
        <w:tc>
          <w:tcPr>
            <w:tcW w:w="5725" w:type="dxa"/>
            <w:tcMar/>
          </w:tcPr>
          <w:p w:rsidRPr="003600EF" w:rsidR="0094214C" w:rsidP="0094214C" w:rsidRDefault="0094214C" w14:paraId="0A08434E" w14:textId="4EA3F3AD">
            <w:pPr>
              <w:jc w:val="both"/>
              <w:rPr>
                <w:rFonts w:cs="Arial"/>
                <w:color w:val="212121"/>
                <w:sz w:val="20"/>
                <w:szCs w:val="20"/>
              </w:rPr>
            </w:pPr>
            <w:r w:rsidRPr="003600EF">
              <w:rPr>
                <w:rFonts w:cs="Arial"/>
                <w:b/>
                <w:bCs/>
                <w:color w:val="212121"/>
                <w:sz w:val="20"/>
                <w:szCs w:val="20"/>
              </w:rPr>
              <w:t xml:space="preserve">DC International Evaluation: </w:t>
            </w:r>
            <w:r w:rsidRPr="003600EF">
              <w:rPr>
                <w:rFonts w:cs="Arial"/>
                <w:color w:val="212121"/>
                <w:sz w:val="20"/>
                <w:szCs w:val="20"/>
              </w:rPr>
              <w:t>FMO to produce an internal</w:t>
            </w:r>
            <w:r w:rsidRPr="003600EF" w:rsidR="00F42999">
              <w:rPr>
                <w:rFonts w:cs="Arial"/>
                <w:color w:val="212121"/>
                <w:sz w:val="20"/>
                <w:szCs w:val="20"/>
              </w:rPr>
              <w:t xml:space="preserve"> </w:t>
            </w:r>
            <w:r w:rsidRPr="003600EF">
              <w:rPr>
                <w:rFonts w:cs="Arial"/>
                <w:color w:val="212121"/>
                <w:sz w:val="20"/>
                <w:szCs w:val="20"/>
              </w:rPr>
              <w:t xml:space="preserve">lessons learned report on DC deployment to date, covering the full DC portfolio including transactions that have faced difficulties, to be shared and discussed with IFU. The report should draw out key lessons on what has worked, what has not, and why, with the aim of improving future DC deployment and portfolio monitoring. </w:t>
            </w:r>
          </w:p>
          <w:p w:rsidRPr="003600EF" w:rsidR="00777266" w:rsidP="004D5FD5" w:rsidRDefault="00777266" w14:paraId="03FF2537" w14:textId="03E0F8EF">
            <w:pPr>
              <w:jc w:val="both"/>
              <w:rPr>
                <w:rFonts w:cs="Arial"/>
                <w:color w:val="212121"/>
                <w:sz w:val="20"/>
                <w:szCs w:val="20"/>
              </w:rPr>
            </w:pPr>
          </w:p>
        </w:tc>
        <w:tc>
          <w:tcPr>
            <w:tcW w:w="2963" w:type="dxa"/>
            <w:tcMar/>
          </w:tcPr>
          <w:p w:rsidRPr="003600EF" w:rsidR="00777266" w:rsidP="72AC0F35" w:rsidRDefault="00777266" w14:paraId="6E43508C" w14:textId="227D026F">
            <w:pPr>
              <w:jc w:val="both"/>
              <w:rPr>
                <w:rFonts w:cs="Arial"/>
                <w:i/>
                <w:iCs/>
                <w:color w:val="212121"/>
                <w:sz w:val="20"/>
                <w:szCs w:val="20"/>
              </w:rPr>
            </w:pPr>
            <w:r w:rsidRPr="003600EF">
              <w:rPr>
                <w:rFonts w:cs="Arial"/>
                <w:i/>
                <w:iCs/>
                <w:color w:val="212121"/>
                <w:sz w:val="20"/>
                <w:szCs w:val="20"/>
              </w:rPr>
              <w:t>Q</w:t>
            </w:r>
            <w:r w:rsidRPr="72AC0F35" w:rsidR="26CCB4E3">
              <w:rPr>
                <w:rFonts w:cs="Arial"/>
                <w:i/>
                <w:iCs/>
                <w:color w:val="212121"/>
                <w:sz w:val="20"/>
                <w:szCs w:val="20"/>
              </w:rPr>
              <w:t xml:space="preserve">4 </w:t>
            </w:r>
            <w:r w:rsidRPr="003600EF">
              <w:rPr>
                <w:rFonts w:cs="Arial"/>
                <w:i/>
                <w:iCs/>
                <w:color w:val="212121"/>
                <w:sz w:val="20"/>
                <w:szCs w:val="20"/>
              </w:rPr>
              <w:t>2026</w:t>
            </w:r>
          </w:p>
        </w:tc>
      </w:tr>
      <w:tr w:rsidRPr="001B0614" w:rsidR="004F6655" w:rsidTr="587F9E6B" w14:paraId="1B6ED521" w14:textId="77777777">
        <w:tc>
          <w:tcPr>
            <w:tcW w:w="328" w:type="dxa"/>
            <w:tcMar/>
          </w:tcPr>
          <w:p w:rsidRPr="003600EF" w:rsidR="004F6655" w:rsidP="00777266" w:rsidRDefault="004F6655" w14:paraId="6FDA5665" w14:textId="05F30891">
            <w:pPr>
              <w:rPr>
                <w:rFonts w:cs="Arial"/>
                <w:b/>
                <w:color w:val="212121"/>
                <w:sz w:val="20"/>
                <w:szCs w:val="20"/>
              </w:rPr>
            </w:pPr>
            <w:r w:rsidRPr="003600EF">
              <w:rPr>
                <w:rFonts w:cs="Arial"/>
                <w:b/>
                <w:color w:val="212121"/>
                <w:sz w:val="20"/>
                <w:szCs w:val="20"/>
              </w:rPr>
              <w:t>2</w:t>
            </w:r>
          </w:p>
        </w:tc>
        <w:tc>
          <w:tcPr>
            <w:tcW w:w="5725" w:type="dxa"/>
            <w:tcMar/>
          </w:tcPr>
          <w:p w:rsidRPr="003600EF" w:rsidR="00891BE2" w:rsidP="00891BE2" w:rsidRDefault="00891BE2" w14:paraId="20DC9643" w14:textId="3960FA52">
            <w:pPr>
              <w:jc w:val="both"/>
              <w:rPr>
                <w:rFonts w:cs="Arial"/>
                <w:color w:val="212121"/>
                <w:sz w:val="20"/>
                <w:szCs w:val="20"/>
              </w:rPr>
            </w:pPr>
            <w:r w:rsidRPr="003600EF">
              <w:rPr>
                <w:rFonts w:cs="Arial"/>
                <w:b/>
                <w:bCs/>
                <w:color w:val="212121"/>
                <w:sz w:val="20"/>
                <w:szCs w:val="20"/>
              </w:rPr>
              <w:t>DC process review.</w:t>
            </w:r>
            <w:r w:rsidRPr="003600EF">
              <w:rPr>
                <w:rFonts w:cs="Arial"/>
                <w:color w:val="212121"/>
                <w:sz w:val="20"/>
                <w:szCs w:val="20"/>
              </w:rPr>
              <w:t xml:space="preserve"> Following discussion of the lessons learned report</w:t>
            </w:r>
            <w:r w:rsidRPr="003600EF" w:rsidR="00B37339">
              <w:rPr>
                <w:rFonts w:cs="Arial"/>
                <w:color w:val="212121"/>
                <w:sz w:val="20"/>
                <w:szCs w:val="20"/>
              </w:rPr>
              <w:t xml:space="preserve">, </w:t>
            </w:r>
            <w:r w:rsidRPr="003600EF">
              <w:rPr>
                <w:rFonts w:cs="Arial"/>
                <w:color w:val="212121"/>
                <w:sz w:val="20"/>
                <w:szCs w:val="20"/>
              </w:rPr>
              <w:t>FMO and IFU to jointly review whether any changes to DC origination, structuring or portfolio monitoring processes are warranted in light of the findings. The outcome of this review</w:t>
            </w:r>
            <w:r w:rsidRPr="003600EF" w:rsidR="0009350E">
              <w:rPr>
                <w:rFonts w:cs="Arial"/>
                <w:color w:val="212121"/>
                <w:sz w:val="20"/>
                <w:szCs w:val="20"/>
              </w:rPr>
              <w:t xml:space="preserve">, </w:t>
            </w:r>
            <w:r w:rsidRPr="003600EF">
              <w:rPr>
                <w:rFonts w:cs="Arial"/>
                <w:color w:val="212121"/>
                <w:sz w:val="20"/>
                <w:szCs w:val="20"/>
              </w:rPr>
              <w:t>whether it recommends adjustments or affirms the current approach</w:t>
            </w:r>
            <w:r w:rsidRPr="003600EF" w:rsidR="0009350E">
              <w:rPr>
                <w:rFonts w:cs="Arial"/>
                <w:color w:val="212121"/>
                <w:sz w:val="20"/>
                <w:szCs w:val="20"/>
              </w:rPr>
              <w:t xml:space="preserve">, </w:t>
            </w:r>
            <w:r w:rsidRPr="003600EF">
              <w:rPr>
                <w:rFonts w:cs="Arial"/>
                <w:color w:val="212121"/>
                <w:sz w:val="20"/>
                <w:szCs w:val="20"/>
              </w:rPr>
              <w:t>should be documented and shared with IFU, with progress reported at the December 2026 half-year meeting.</w:t>
            </w:r>
          </w:p>
          <w:p w:rsidRPr="003600EF" w:rsidR="004F6655" w:rsidP="0094214C" w:rsidRDefault="004F6655" w14:paraId="263145C6" w14:textId="01973518">
            <w:pPr>
              <w:jc w:val="both"/>
              <w:rPr>
                <w:rFonts w:cs="Arial"/>
                <w:color w:val="212121"/>
                <w:sz w:val="20"/>
                <w:szCs w:val="20"/>
              </w:rPr>
            </w:pPr>
          </w:p>
        </w:tc>
        <w:tc>
          <w:tcPr>
            <w:tcW w:w="2963" w:type="dxa"/>
            <w:tcMar/>
          </w:tcPr>
          <w:p w:rsidRPr="003600EF" w:rsidR="004F6655" w:rsidP="2B181468" w:rsidRDefault="08360388" w14:paraId="4B4E71C1" w14:textId="6D1840A8">
            <w:pPr>
              <w:jc w:val="both"/>
              <w:rPr>
                <w:rFonts w:cs="Arial"/>
                <w:i/>
                <w:iCs/>
                <w:color w:val="212121"/>
                <w:sz w:val="20"/>
                <w:szCs w:val="20"/>
              </w:rPr>
            </w:pPr>
            <w:r w:rsidRPr="2B181468">
              <w:rPr>
                <w:rFonts w:cs="Arial"/>
                <w:i/>
                <w:iCs/>
                <w:color w:val="212121"/>
                <w:sz w:val="20"/>
                <w:szCs w:val="20"/>
              </w:rPr>
              <w:t>Q4 2026 (Half Year meeting)</w:t>
            </w:r>
          </w:p>
        </w:tc>
      </w:tr>
      <w:tr w:rsidRPr="001B0614" w:rsidR="005F5C2E" w:rsidTr="587F9E6B" w14:paraId="50A30B87" w14:textId="77777777">
        <w:tc>
          <w:tcPr>
            <w:tcW w:w="328" w:type="dxa"/>
            <w:tcMar/>
          </w:tcPr>
          <w:p w:rsidRPr="003600EF" w:rsidR="005F5C2E" w:rsidP="00CC0C18" w:rsidRDefault="005F5C2E" w14:paraId="679CEA94" w14:textId="114EAA87">
            <w:pPr>
              <w:jc w:val="both"/>
              <w:rPr>
                <w:rFonts w:cs="Arial"/>
                <w:b/>
                <w:color w:val="212121"/>
                <w:sz w:val="20"/>
                <w:szCs w:val="20"/>
              </w:rPr>
            </w:pPr>
            <w:r w:rsidRPr="003600EF">
              <w:rPr>
                <w:rFonts w:cs="Arial"/>
                <w:b/>
                <w:color w:val="212121"/>
                <w:sz w:val="20"/>
                <w:szCs w:val="20"/>
              </w:rPr>
              <w:t>3</w:t>
            </w:r>
          </w:p>
        </w:tc>
        <w:tc>
          <w:tcPr>
            <w:tcW w:w="5725" w:type="dxa"/>
            <w:tcMar/>
          </w:tcPr>
          <w:p w:rsidRPr="003600EF" w:rsidR="005F5C2E" w:rsidP="00CC0C18" w:rsidRDefault="005F5C2E" w14:paraId="44098FC0" w14:textId="221D3A41">
            <w:pPr>
              <w:jc w:val="both"/>
              <w:rPr>
                <w:rFonts w:cs="Arial"/>
                <w:color w:val="212121"/>
                <w:sz w:val="20"/>
                <w:szCs w:val="20"/>
              </w:rPr>
            </w:pPr>
            <w:r w:rsidRPr="003600EF">
              <w:rPr>
                <w:rFonts w:cs="Arial"/>
                <w:b/>
                <w:bCs/>
                <w:color w:val="212121"/>
                <w:sz w:val="20"/>
                <w:szCs w:val="20"/>
              </w:rPr>
              <w:t>LCIP thematic focus.</w:t>
            </w:r>
            <w:r w:rsidRPr="003600EF">
              <w:rPr>
                <w:rFonts w:cs="Arial"/>
                <w:bCs/>
                <w:color w:val="212121"/>
                <w:sz w:val="20"/>
                <w:szCs w:val="20"/>
              </w:rPr>
              <w:t xml:space="preserve"> Following the external evaluation of the LCIP</w:t>
            </w:r>
            <w:r w:rsidRPr="003600EF" w:rsidR="00476185">
              <w:rPr>
                <w:rFonts w:cs="Arial"/>
                <w:bCs/>
                <w:color w:val="212121"/>
                <w:sz w:val="20"/>
                <w:szCs w:val="20"/>
              </w:rPr>
              <w:t xml:space="preserve"> planned for Q3/Q4 2026</w:t>
            </w:r>
            <w:r w:rsidRPr="003600EF">
              <w:rPr>
                <w:rFonts w:cs="Arial"/>
                <w:bCs/>
                <w:color w:val="212121"/>
                <w:sz w:val="20"/>
                <w:szCs w:val="20"/>
              </w:rPr>
              <w:t xml:space="preserve">, FMO and IFU </w:t>
            </w:r>
            <w:r w:rsidRPr="003600EF" w:rsidR="00476185">
              <w:rPr>
                <w:rFonts w:cs="Arial"/>
                <w:bCs/>
                <w:color w:val="212121"/>
                <w:sz w:val="20"/>
                <w:szCs w:val="20"/>
              </w:rPr>
              <w:t>should</w:t>
            </w:r>
            <w:r w:rsidRPr="003600EF">
              <w:rPr>
                <w:rFonts w:cs="Arial"/>
                <w:bCs/>
                <w:color w:val="212121"/>
                <w:sz w:val="20"/>
                <w:szCs w:val="20"/>
              </w:rPr>
              <w:t xml:space="preserve"> review the LCIP's thematic focus areas, setting out priority topics, target audiences and intended market-shaping outcomes for the following year, to be agreed with UK and NL.</w:t>
            </w:r>
          </w:p>
        </w:tc>
        <w:tc>
          <w:tcPr>
            <w:tcW w:w="2963" w:type="dxa"/>
            <w:tcMar/>
          </w:tcPr>
          <w:p w:rsidRPr="003600EF" w:rsidR="005F5C2E" w:rsidP="72AC0F35" w:rsidRDefault="751855A5" w14:paraId="3DDC89E6" w14:textId="5CD1120C">
            <w:pPr>
              <w:jc w:val="both"/>
            </w:pPr>
            <w:r w:rsidRPr="72AC0F35">
              <w:rPr>
                <w:rFonts w:cs="Arial"/>
                <w:i/>
                <w:iCs/>
                <w:color w:val="212121"/>
                <w:sz w:val="20"/>
                <w:szCs w:val="20"/>
              </w:rPr>
              <w:t>Q1 2027</w:t>
            </w:r>
          </w:p>
        </w:tc>
      </w:tr>
      <w:tr w:rsidRPr="001B0614" w:rsidR="00334D0C" w:rsidTr="587F9E6B" w14:paraId="0CF70976" w14:textId="77777777">
        <w:tc>
          <w:tcPr>
            <w:tcW w:w="328" w:type="dxa"/>
            <w:tcMar/>
          </w:tcPr>
          <w:p w:rsidRPr="003600EF" w:rsidR="00334D0C" w:rsidP="587F9E6B" w:rsidRDefault="00334D0C" w14:paraId="794A4860" w14:textId="0F90E1EF">
            <w:pPr>
              <w:jc w:val="both"/>
              <w:rPr>
                <w:rFonts w:cs="Arial"/>
                <w:b w:val="1"/>
                <w:bCs w:val="1"/>
                <w:color w:val="212121"/>
                <w:sz w:val="20"/>
                <w:szCs w:val="20"/>
              </w:rPr>
            </w:pPr>
            <w:r w:rsidRPr="587F9E6B" w:rsidR="680ACE2E">
              <w:rPr>
                <w:rFonts w:cs="Arial"/>
                <w:b w:val="1"/>
                <w:bCs w:val="1"/>
                <w:color w:val="212121"/>
                <w:sz w:val="20"/>
                <w:szCs w:val="20"/>
              </w:rPr>
              <w:t>4</w:t>
            </w:r>
          </w:p>
        </w:tc>
        <w:tc>
          <w:tcPr>
            <w:tcW w:w="5725" w:type="dxa"/>
            <w:tcMar/>
          </w:tcPr>
          <w:p w:rsidRPr="003600EF" w:rsidR="00334D0C" w:rsidP="00334D0C" w:rsidRDefault="00334D0C" w14:paraId="3E9BC6DD" w14:textId="75CF22EF">
            <w:pPr>
              <w:jc w:val="both"/>
              <w:rPr>
                <w:rFonts w:cs="Arial"/>
                <w:b/>
                <w:bCs/>
                <w:color w:val="212121"/>
                <w:sz w:val="20"/>
                <w:szCs w:val="20"/>
              </w:rPr>
            </w:pPr>
            <w:r w:rsidRPr="003600EF">
              <w:rPr>
                <w:rFonts w:cs="Arial"/>
                <w:b/>
                <w:bCs/>
                <w:color w:val="212121"/>
                <w:sz w:val="20"/>
                <w:szCs w:val="20"/>
              </w:rPr>
              <w:t xml:space="preserve">Biodiversity impact measurement: </w:t>
            </w:r>
            <w:r w:rsidRPr="003600EF">
              <w:rPr>
                <w:rFonts w:cs="Arial"/>
                <w:color w:val="212121"/>
                <w:sz w:val="20"/>
                <w:szCs w:val="20"/>
              </w:rPr>
              <w:t xml:space="preserve">FMO and IFU to commission a scoping exercise to understand how biodiversity impact can be measured across MFF's portfolio, or a representative sub-set of it, using TAF funding. A service provider should be in place and initial scoping underway by Q4 2026, building on the findings of the 2025 Biodiversity Positive Impact Study and existing work by FMO's E&amp;S team. </w:t>
            </w:r>
            <w:r w:rsidRPr="003600EF">
              <w:rPr>
                <w:rFonts w:cs="Arial"/>
                <w:i/>
                <w:iCs/>
                <w:color w:val="212121"/>
                <w:sz w:val="20"/>
                <w:szCs w:val="20"/>
              </w:rPr>
              <w:t xml:space="preserve"> </w:t>
            </w:r>
          </w:p>
          <w:p w:rsidRPr="003600EF" w:rsidR="00334D0C" w:rsidP="00CC0C18" w:rsidRDefault="00334D0C" w14:paraId="31C777F9" w14:textId="77777777">
            <w:pPr>
              <w:jc w:val="both"/>
              <w:rPr>
                <w:rFonts w:cs="Arial"/>
                <w:b/>
                <w:bCs/>
                <w:color w:val="212121"/>
                <w:sz w:val="20"/>
                <w:szCs w:val="20"/>
              </w:rPr>
            </w:pPr>
          </w:p>
        </w:tc>
        <w:tc>
          <w:tcPr>
            <w:tcW w:w="2963" w:type="dxa"/>
            <w:tcMar/>
          </w:tcPr>
          <w:p w:rsidRPr="003600EF" w:rsidR="00334D0C" w:rsidP="004D5FD5" w:rsidRDefault="00334D0C" w14:paraId="4C5250EA" w14:textId="4D35C501">
            <w:pPr>
              <w:jc w:val="both"/>
              <w:rPr>
                <w:rFonts w:cs="Arial"/>
                <w:i/>
                <w:iCs/>
                <w:color w:val="212121"/>
                <w:sz w:val="20"/>
                <w:szCs w:val="20"/>
              </w:rPr>
            </w:pPr>
            <w:r w:rsidRPr="003600EF">
              <w:rPr>
                <w:rFonts w:cs="Arial"/>
                <w:i/>
                <w:iCs/>
                <w:color w:val="212121"/>
                <w:sz w:val="20"/>
                <w:szCs w:val="20"/>
              </w:rPr>
              <w:t>Q4 2026</w:t>
            </w:r>
          </w:p>
        </w:tc>
      </w:tr>
      <w:tr w:rsidRPr="001B0614" w:rsidR="005F5C2E" w:rsidTr="587F9E6B" w14:paraId="28DC81E4" w14:textId="77777777">
        <w:tc>
          <w:tcPr>
            <w:tcW w:w="328" w:type="dxa"/>
            <w:tcMar/>
          </w:tcPr>
          <w:p w:rsidRPr="003600EF" w:rsidR="005F5C2E" w:rsidP="587F9E6B" w:rsidRDefault="005F5C2E" w14:paraId="0EAC778F" w14:noSpellErr="1" w14:textId="338286CE">
            <w:pPr>
              <w:jc w:val="both"/>
              <w:rPr>
                <w:rFonts w:cs="Arial"/>
                <w:color w:val="212121"/>
                <w:sz w:val="20"/>
                <w:szCs w:val="20"/>
              </w:rPr>
            </w:pPr>
            <w:r w:rsidRPr="587F9E6B" w:rsidR="4DF389D0">
              <w:rPr>
                <w:rFonts w:cs="Arial"/>
                <w:color w:val="212121"/>
                <w:sz w:val="20"/>
                <w:szCs w:val="20"/>
              </w:rPr>
              <w:t>5</w:t>
            </w:r>
          </w:p>
        </w:tc>
        <w:tc>
          <w:tcPr>
            <w:tcW w:w="5725" w:type="dxa"/>
            <w:tcMar/>
          </w:tcPr>
          <w:p w:rsidRPr="003600EF" w:rsidR="005F5C2E" w:rsidP="007A7254" w:rsidRDefault="005F5C2E" w14:paraId="1D27B7E2" w14:textId="2C4394B3">
            <w:pPr>
              <w:jc w:val="both"/>
              <w:rPr>
                <w:rFonts w:cs="Arial"/>
                <w:b/>
                <w:color w:val="212121"/>
                <w:sz w:val="20"/>
                <w:szCs w:val="20"/>
              </w:rPr>
            </w:pPr>
            <w:r w:rsidRPr="003600EF">
              <w:rPr>
                <w:rFonts w:cs="Arial"/>
                <w:b/>
                <w:bCs/>
                <w:color w:val="212121"/>
                <w:sz w:val="20"/>
                <w:szCs w:val="20"/>
              </w:rPr>
              <w:t xml:space="preserve">KPI 8 methodology transition. </w:t>
            </w:r>
            <w:r w:rsidRPr="003600EF">
              <w:rPr>
                <w:rFonts w:cs="Arial"/>
                <w:color w:val="212121"/>
                <w:sz w:val="20"/>
                <w:szCs w:val="20"/>
              </w:rPr>
              <w:t xml:space="preserve">IFU to agree the appropriate treatment of the 2025 KPI 8 figure for HMG results collection, and to develop a clear narrative explaining the transition from the legacy approach to the revised counterfactual-based methodology. </w:t>
            </w:r>
          </w:p>
        </w:tc>
        <w:tc>
          <w:tcPr>
            <w:tcW w:w="2963" w:type="dxa"/>
            <w:tcMar/>
          </w:tcPr>
          <w:p w:rsidRPr="003600EF" w:rsidR="005F5C2E" w:rsidP="0213E1D5" w:rsidRDefault="7A057A75" w14:paraId="17C62DEC" w14:textId="18854A6C">
            <w:pPr>
              <w:jc w:val="both"/>
              <w:rPr>
                <w:rFonts w:cs="Arial"/>
                <w:i/>
                <w:iCs/>
                <w:color w:val="212121"/>
                <w:sz w:val="20"/>
                <w:szCs w:val="20"/>
              </w:rPr>
            </w:pPr>
            <w:r w:rsidRPr="0213E1D5">
              <w:rPr>
                <w:rFonts w:cs="Arial"/>
                <w:i/>
                <w:iCs/>
                <w:color w:val="212121"/>
                <w:sz w:val="20"/>
                <w:szCs w:val="20"/>
              </w:rPr>
              <w:t xml:space="preserve">Q2 </w:t>
            </w:r>
            <w:r w:rsidRPr="003600EF" w:rsidR="005F5C2E">
              <w:rPr>
                <w:rFonts w:cs="Arial"/>
                <w:i/>
                <w:iCs/>
                <w:color w:val="212121"/>
                <w:sz w:val="20"/>
                <w:szCs w:val="20"/>
              </w:rPr>
              <w:t>2026</w:t>
            </w:r>
          </w:p>
        </w:tc>
      </w:tr>
      <w:tr w:rsidRPr="001B0614" w:rsidR="005F5C2E" w:rsidTr="587F9E6B" w14:paraId="6A55D697" w14:textId="77777777">
        <w:tc>
          <w:tcPr>
            <w:tcW w:w="328" w:type="dxa"/>
            <w:tcMar/>
          </w:tcPr>
          <w:p w:rsidRPr="003600EF" w:rsidR="005F5C2E" w:rsidP="00AB4A59" w:rsidRDefault="005F5C2E" w14:paraId="29976591" w14:noSpellErr="1" w14:textId="3C8CC010">
            <w:pPr>
              <w:jc w:val="both"/>
              <w:rPr>
                <w:rFonts w:cs="Arial"/>
                <w:b w:val="1"/>
                <w:bCs w:val="1"/>
                <w:color w:val="212121"/>
                <w:sz w:val="20"/>
                <w:szCs w:val="20"/>
              </w:rPr>
            </w:pPr>
            <w:r w:rsidRPr="587F9E6B" w:rsidR="4ED97CD7">
              <w:rPr>
                <w:rFonts w:cs="Arial"/>
                <w:b w:val="1"/>
                <w:bCs w:val="1"/>
                <w:color w:val="212121"/>
                <w:sz w:val="20"/>
                <w:szCs w:val="20"/>
              </w:rPr>
              <w:t>6</w:t>
            </w:r>
          </w:p>
        </w:tc>
        <w:tc>
          <w:tcPr>
            <w:tcW w:w="5725" w:type="dxa"/>
            <w:shd w:val="clear" w:color="auto" w:fill="FFFFFF" w:themeFill="background1"/>
            <w:tcMar/>
          </w:tcPr>
          <w:p w:rsidRPr="003600EF" w:rsidR="005F5C2E" w:rsidP="004D5FD5" w:rsidRDefault="005F5C2E" w14:paraId="211D5E39" w14:textId="7253E60F">
            <w:pPr>
              <w:jc w:val="both"/>
              <w:rPr>
                <w:rFonts w:cs="Arial"/>
                <w:b/>
                <w:color w:val="212121"/>
                <w:sz w:val="20"/>
                <w:szCs w:val="20"/>
              </w:rPr>
            </w:pPr>
            <w:r w:rsidRPr="003600EF">
              <w:rPr>
                <w:rFonts w:cs="Arial"/>
                <w:b/>
                <w:bCs/>
                <w:color w:val="212121"/>
                <w:sz w:val="20"/>
                <w:szCs w:val="20"/>
              </w:rPr>
              <w:t>Management fees RDEL/CDEL accounting treatment.</w:t>
            </w:r>
            <w:r w:rsidRPr="003600EF">
              <w:rPr>
                <w:rFonts w:cs="Arial"/>
                <w:b/>
                <w:color w:val="212121"/>
                <w:sz w:val="20"/>
                <w:szCs w:val="20"/>
              </w:rPr>
              <w:t xml:space="preserve"> </w:t>
            </w:r>
            <w:r w:rsidRPr="003600EF">
              <w:rPr>
                <w:rFonts w:cs="Arial"/>
                <w:bCs/>
                <w:color w:val="212121"/>
                <w:sz w:val="20"/>
                <w:szCs w:val="20"/>
              </w:rPr>
              <w:t>IFU Finance to resolve the classification of FMO management fees under IFRS9, drawing on precedent from comparable ICF programmes. Confirm whether existing ICF RDEL underspend provides sufficient cover in FY26/27, and agree a plan for managing the position in subsequent years.</w:t>
            </w:r>
          </w:p>
        </w:tc>
        <w:tc>
          <w:tcPr>
            <w:tcW w:w="2963" w:type="dxa"/>
            <w:tcMar/>
          </w:tcPr>
          <w:p w:rsidRPr="003600EF" w:rsidR="005F5C2E" w:rsidP="0213E1D5" w:rsidRDefault="005F5C2E" w14:paraId="7EB46A10" w14:textId="07DC883D">
            <w:pPr>
              <w:jc w:val="both"/>
              <w:rPr>
                <w:rFonts w:cs="Arial"/>
                <w:i/>
                <w:iCs/>
                <w:color w:val="212121"/>
                <w:sz w:val="20"/>
                <w:szCs w:val="20"/>
              </w:rPr>
            </w:pPr>
            <w:r w:rsidRPr="003600EF">
              <w:rPr>
                <w:rFonts w:cs="Arial"/>
                <w:i/>
                <w:iCs/>
                <w:color w:val="212121"/>
                <w:sz w:val="20"/>
                <w:szCs w:val="20"/>
              </w:rPr>
              <w:t>Q</w:t>
            </w:r>
            <w:r w:rsidRPr="0213E1D5" w:rsidR="37076540">
              <w:rPr>
                <w:rFonts w:cs="Arial"/>
                <w:i/>
                <w:iCs/>
                <w:color w:val="212121"/>
                <w:sz w:val="20"/>
                <w:szCs w:val="20"/>
              </w:rPr>
              <w:t>3</w:t>
            </w:r>
            <w:r w:rsidRPr="003600EF">
              <w:rPr>
                <w:rFonts w:cs="Arial"/>
                <w:i/>
                <w:iCs/>
                <w:color w:val="212121"/>
                <w:sz w:val="20"/>
                <w:szCs w:val="20"/>
              </w:rPr>
              <w:t xml:space="preserve"> 2026</w:t>
            </w:r>
          </w:p>
        </w:tc>
      </w:tr>
      <w:tr w:rsidRPr="001B0614" w:rsidR="00456ECF" w:rsidTr="587F9E6B" w14:paraId="04770A33" w14:textId="77777777">
        <w:tc>
          <w:tcPr>
            <w:tcW w:w="328" w:type="dxa"/>
            <w:tcMar/>
          </w:tcPr>
          <w:p w:rsidRPr="003600EF" w:rsidR="00456ECF" w:rsidP="00456ECF" w:rsidRDefault="00456ECF" w14:paraId="36AFF2B2" w14:noSpellErr="1" w14:textId="2EC70228">
            <w:pPr>
              <w:jc w:val="both"/>
              <w:rPr>
                <w:rFonts w:cs="Arial"/>
                <w:b w:val="1"/>
                <w:bCs w:val="1"/>
                <w:color w:val="212121"/>
                <w:sz w:val="20"/>
                <w:szCs w:val="20"/>
              </w:rPr>
            </w:pPr>
            <w:r w:rsidRPr="587F9E6B" w:rsidR="5BD2AB59">
              <w:rPr>
                <w:rFonts w:cs="Arial"/>
                <w:b w:val="1"/>
                <w:bCs w:val="1"/>
                <w:color w:val="212121"/>
                <w:sz w:val="20"/>
                <w:szCs w:val="20"/>
              </w:rPr>
              <w:t>7</w:t>
            </w:r>
          </w:p>
        </w:tc>
        <w:tc>
          <w:tcPr>
            <w:tcW w:w="5725" w:type="dxa"/>
            <w:shd w:val="clear" w:color="auto" w:fill="FFFFFF" w:themeFill="background1"/>
            <w:tcMar/>
            <w:vAlign w:val="center"/>
          </w:tcPr>
          <w:p w:rsidRPr="003600EF" w:rsidR="00456ECF" w:rsidP="00456ECF" w:rsidRDefault="00456ECF" w14:paraId="16FE76A6" w14:textId="3F66F497">
            <w:pPr>
              <w:jc w:val="both"/>
              <w:rPr>
                <w:rFonts w:cs="Arial"/>
                <w:b/>
                <w:bCs/>
                <w:color w:val="212121"/>
                <w:sz w:val="20"/>
                <w:szCs w:val="20"/>
              </w:rPr>
            </w:pPr>
            <w:r w:rsidRPr="003600EF">
              <w:rPr>
                <w:b/>
                <w:bCs/>
                <w:color w:val="212121"/>
                <w:sz w:val="22"/>
                <w:szCs w:val="22"/>
              </w:rPr>
              <w:t>Policy:</w:t>
            </w:r>
            <w:r>
              <w:rPr>
                <w:b/>
                <w:bCs/>
                <w:color w:val="212121"/>
                <w:sz w:val="22"/>
                <w:szCs w:val="22"/>
              </w:rPr>
              <w:t xml:space="preserve"> (</w:t>
            </w:r>
            <w:r>
              <w:rPr>
                <w:color w:val="212121"/>
                <w:sz w:val="22"/>
                <w:szCs w:val="22"/>
              </w:rPr>
              <w:t>rolled over from last year)</w:t>
            </w:r>
            <w:r w:rsidRPr="003600EF">
              <w:rPr>
                <w:color w:val="212121"/>
                <w:sz w:val="22"/>
                <w:szCs w:val="22"/>
              </w:rPr>
              <w:t xml:space="preserve"> MFF should monitor evolving policy around carbon and biodiversity markets, review guidance, and discuss them regularly to align with industry best practice. Programme teams should consider whether the MFF principles need to be updated. This links to investment decisions on the type of carbon-only projects that are pursued in the pipeline (Rolled over)</w:t>
            </w:r>
          </w:p>
        </w:tc>
        <w:tc>
          <w:tcPr>
            <w:tcW w:w="2963" w:type="dxa"/>
            <w:tcMar/>
          </w:tcPr>
          <w:p w:rsidRPr="003600EF" w:rsidR="00456ECF" w:rsidP="00456ECF" w:rsidRDefault="00456ECF" w14:paraId="683219A9" w14:textId="6BC20BBC">
            <w:pPr>
              <w:jc w:val="both"/>
              <w:rPr>
                <w:rFonts w:cs="Arial"/>
                <w:color w:val="212121"/>
                <w:sz w:val="22"/>
                <w:szCs w:val="22"/>
              </w:rPr>
            </w:pPr>
            <w:r w:rsidRPr="003600EF">
              <w:rPr>
                <w:rFonts w:cs="Arial"/>
                <w:color w:val="212121"/>
                <w:sz w:val="22"/>
                <w:szCs w:val="22"/>
              </w:rPr>
              <w:t xml:space="preserve">Ongoing exercise which will </w:t>
            </w:r>
          </w:p>
          <w:p w:rsidRPr="003600EF" w:rsidR="00456ECF" w:rsidP="00456ECF" w:rsidRDefault="00456ECF" w14:paraId="650F6632" w14:textId="77777777">
            <w:pPr>
              <w:jc w:val="both"/>
              <w:rPr>
                <w:rFonts w:cs="Arial"/>
                <w:color w:val="212121"/>
                <w:sz w:val="22"/>
                <w:szCs w:val="22"/>
              </w:rPr>
            </w:pPr>
            <w:r w:rsidRPr="003600EF">
              <w:rPr>
                <w:rFonts w:cs="Arial"/>
                <w:color w:val="212121"/>
                <w:sz w:val="22"/>
                <w:szCs w:val="22"/>
              </w:rPr>
              <w:t xml:space="preserve">continuously be discussed </w:t>
            </w:r>
          </w:p>
          <w:p w:rsidRPr="003600EF" w:rsidR="00456ECF" w:rsidP="00456ECF" w:rsidRDefault="00456ECF" w14:paraId="3B1A8BEE" w14:textId="1AD08B65">
            <w:pPr>
              <w:jc w:val="both"/>
              <w:rPr>
                <w:rFonts w:cs="Arial"/>
                <w:i/>
                <w:iCs/>
                <w:color w:val="212121"/>
                <w:sz w:val="20"/>
                <w:szCs w:val="20"/>
              </w:rPr>
            </w:pPr>
            <w:r w:rsidRPr="003600EF">
              <w:rPr>
                <w:rFonts w:cs="Arial"/>
                <w:color w:val="212121"/>
                <w:sz w:val="22"/>
                <w:szCs w:val="22"/>
              </w:rPr>
              <w:t xml:space="preserve">with funding partners. </w:t>
            </w:r>
          </w:p>
        </w:tc>
      </w:tr>
    </w:tbl>
    <w:p w:rsidRPr="003600EF" w:rsidR="00CB2873" w:rsidP="004D5FD5" w:rsidRDefault="00CB2873" w14:paraId="7F17C967" w14:textId="4E965DD7">
      <w:pPr>
        <w:jc w:val="both"/>
        <w:rPr>
          <w:color w:val="212121"/>
        </w:rPr>
      </w:pPr>
    </w:p>
    <w:p w:rsidRPr="003600EF" w:rsidR="00B848B8" w:rsidP="004D5FD5" w:rsidRDefault="00B848B8" w14:paraId="3E4C08F3" w14:textId="77777777">
      <w:pPr>
        <w:jc w:val="both"/>
        <w:rPr>
          <w:color w:val="212121"/>
        </w:rPr>
      </w:pPr>
    </w:p>
    <w:p w:rsidRPr="003600EF" w:rsidR="00B848B8" w:rsidP="004D5FD5" w:rsidRDefault="00B848B8" w14:paraId="4D2289AB" w14:textId="77777777">
      <w:pPr>
        <w:jc w:val="both"/>
        <w:rPr>
          <w:color w:val="212121"/>
        </w:rPr>
      </w:pPr>
    </w:p>
    <w:p w:rsidRPr="003600EF" w:rsidR="00B848B8" w:rsidP="004D5FD5" w:rsidRDefault="00B848B8" w14:paraId="6942A718" w14:textId="77777777">
      <w:pPr>
        <w:jc w:val="both"/>
        <w:rPr>
          <w:color w:val="212121"/>
        </w:rPr>
      </w:pPr>
    </w:p>
    <w:tbl>
      <w:tblPr>
        <w:tblStyle w:val="TableGrid"/>
        <w:tblW w:w="0" w:type="auto"/>
        <w:tblLook w:val="04A0" w:firstRow="1" w:lastRow="0" w:firstColumn="1" w:lastColumn="0" w:noHBand="0" w:noVBand="1"/>
      </w:tblPr>
      <w:tblGrid>
        <w:gridCol w:w="9016"/>
      </w:tblGrid>
      <w:tr w:rsidRPr="001B0614" w:rsidR="006100E3" w:rsidTr="527A8EFF" w14:paraId="3D63871C" w14:textId="77777777">
        <w:tc>
          <w:tcPr>
            <w:tcW w:w="9016" w:type="dxa"/>
            <w:shd w:val="clear" w:color="auto" w:fill="DEEAF6" w:themeFill="accent5" w:themeFillTint="33"/>
          </w:tcPr>
          <w:p w:rsidRPr="003600EF" w:rsidR="00CB2873" w:rsidP="004D5FD5" w:rsidRDefault="00CB2873" w14:paraId="3A432808" w14:textId="2B4DF53D">
            <w:pPr>
              <w:jc w:val="both"/>
              <w:rPr>
                <w:color w:val="212121"/>
              </w:rPr>
            </w:pPr>
            <w:bookmarkStart w:name="_Toc227234242" w:id="7"/>
            <w:bookmarkStart w:name="_Hlk110858960" w:id="8"/>
            <w:r w:rsidRPr="003600EF">
              <w:rPr>
                <w:rStyle w:val="Heading1Char"/>
                <w:rFonts w:ascii="Arial" w:hAnsi="Arial" w:cs="Arial"/>
                <w:b/>
                <w:bCs/>
                <w:color w:val="212121"/>
              </w:rPr>
              <w:t xml:space="preserve">Section B: Theory of </w:t>
            </w:r>
            <w:r w:rsidRPr="003600EF" w:rsidR="20262009">
              <w:rPr>
                <w:rStyle w:val="Heading1Char"/>
                <w:rFonts w:ascii="Arial" w:hAnsi="Arial" w:cs="Arial"/>
                <w:b/>
                <w:bCs/>
                <w:color w:val="212121"/>
              </w:rPr>
              <w:t>c</w:t>
            </w:r>
            <w:r w:rsidRPr="003600EF">
              <w:rPr>
                <w:rStyle w:val="Heading1Char"/>
                <w:rFonts w:ascii="Arial" w:hAnsi="Arial" w:cs="Arial"/>
                <w:b/>
                <w:bCs/>
                <w:color w:val="212121"/>
              </w:rPr>
              <w:t>hange and progress towards outcomes</w:t>
            </w:r>
            <w:bookmarkEnd w:id="7"/>
            <w:r w:rsidRPr="003600EF">
              <w:rPr>
                <w:color w:val="212121"/>
              </w:rPr>
              <w:t xml:space="preserve"> </w:t>
            </w:r>
          </w:p>
        </w:tc>
      </w:tr>
      <w:bookmarkEnd w:id="8"/>
    </w:tbl>
    <w:p w:rsidRPr="003600EF" w:rsidR="00CB2873" w:rsidP="004D5FD5" w:rsidRDefault="00CB2873" w14:paraId="799AF0D2" w14:textId="77777777">
      <w:pPr>
        <w:jc w:val="both"/>
        <w:rPr>
          <w:color w:val="212121"/>
        </w:rPr>
      </w:pPr>
    </w:p>
    <w:p w:rsidRPr="003600EF" w:rsidR="003D222C" w:rsidP="004D5FD5" w:rsidRDefault="00AA718D" w14:paraId="25478844" w14:textId="271F6A5F">
      <w:pPr>
        <w:jc w:val="both"/>
        <w:rPr>
          <w:color w:val="212121"/>
        </w:rPr>
      </w:pPr>
      <w:bookmarkStart w:name="_Toc227234243" w:id="9"/>
      <w:r w:rsidRPr="003600EF">
        <w:rPr>
          <w:rStyle w:val="Heading2Char"/>
          <w:color w:val="212121"/>
        </w:rPr>
        <w:t>Summary of the</w:t>
      </w:r>
      <w:r w:rsidRPr="003600EF" w:rsidR="007D6095">
        <w:rPr>
          <w:rStyle w:val="Heading2Char"/>
          <w:color w:val="212121"/>
        </w:rPr>
        <w:t xml:space="preserve"> </w:t>
      </w:r>
      <w:r w:rsidRPr="003600EF" w:rsidR="3713721B">
        <w:rPr>
          <w:rStyle w:val="Heading2Char"/>
          <w:color w:val="212121"/>
        </w:rPr>
        <w:t>programme</w:t>
      </w:r>
      <w:r w:rsidRPr="003600EF" w:rsidR="003D222C">
        <w:rPr>
          <w:rStyle w:val="Heading2Char"/>
          <w:color w:val="212121"/>
        </w:rPr>
        <w:t>’s theory of change, including any changes to outcome and impact indicators from the original business case</w:t>
      </w:r>
      <w:bookmarkEnd w:id="9"/>
      <w:r w:rsidRPr="003600EF" w:rsidR="003D222C">
        <w:rPr>
          <w:color w:val="212121"/>
        </w:rPr>
        <w:t xml:space="preserve"> </w:t>
      </w:r>
    </w:p>
    <w:p w:rsidRPr="003600EF" w:rsidR="008E2CF0" w:rsidP="004D5FD5" w:rsidRDefault="008E2CF0" w14:paraId="1ED8ABE8" w14:textId="301CBF0B">
      <w:pPr>
        <w:jc w:val="both"/>
        <w:rPr>
          <w:rFonts w:cs="Arial"/>
          <w:b/>
          <w:color w:val="212121"/>
          <w:sz w:val="22"/>
          <w:szCs w:val="22"/>
        </w:rPr>
      </w:pPr>
    </w:p>
    <w:p w:rsidRPr="003600EF" w:rsidR="002108CD" w:rsidRDefault="002108CD" w14:paraId="0564DD72" w14:textId="77777777">
      <w:pPr>
        <w:jc w:val="both"/>
        <w:rPr>
          <w:color w:val="212121"/>
          <w:kern w:val="2"/>
          <w:lang w:eastAsia="en-GB"/>
          <w14:ligatures w14:val="standardContextual"/>
        </w:rPr>
      </w:pPr>
      <w:r w:rsidRPr="003600EF">
        <w:rPr>
          <w:color w:val="212121"/>
          <w:sz w:val="22"/>
          <w:szCs w:val="22"/>
        </w:rPr>
        <w:t>MFF’s Theory of Change (</w:t>
      </w:r>
      <w:proofErr w:type="spellStart"/>
      <w:r w:rsidRPr="003600EF">
        <w:rPr>
          <w:color w:val="212121"/>
          <w:sz w:val="22"/>
          <w:szCs w:val="22"/>
        </w:rPr>
        <w:t>ToC</w:t>
      </w:r>
      <w:proofErr w:type="spellEnd"/>
      <w:r w:rsidRPr="003600EF">
        <w:rPr>
          <w:color w:val="212121"/>
          <w:sz w:val="22"/>
          <w:szCs w:val="22"/>
        </w:rPr>
        <w:t xml:space="preserve">) was developed in 2022 to replace the original business case </w:t>
      </w:r>
      <w:proofErr w:type="spellStart"/>
      <w:r w:rsidRPr="003600EF">
        <w:rPr>
          <w:color w:val="212121"/>
          <w:sz w:val="22"/>
          <w:szCs w:val="22"/>
        </w:rPr>
        <w:t>ToC</w:t>
      </w:r>
      <w:proofErr w:type="spellEnd"/>
      <w:r w:rsidRPr="003600EF">
        <w:rPr>
          <w:color w:val="212121"/>
          <w:sz w:val="22"/>
          <w:szCs w:val="22"/>
        </w:rPr>
        <w:t xml:space="preserve">, and refined in 2023 and 2024 to reflect the evolving portfolio. It remains unchanged for 2025. The core logic holds that concessional capital, development contributions and technical assistance, deployed through FMO across the FSLU sector, can reduce investment risk sufficiently to attract commercial and DFI co-investors at scale, thereby driving increases in land under sustainable management, avoided deforestation, GHG emission reductions, and jobs for forest-dependent communities. Ultimately, this is expected to contribute to a reduction in deforestation rates in priority tropical forest landscapes (Impact/ICF KP15). The </w:t>
      </w:r>
      <w:proofErr w:type="spellStart"/>
      <w:r w:rsidRPr="003600EF">
        <w:rPr>
          <w:color w:val="212121"/>
          <w:sz w:val="22"/>
          <w:szCs w:val="22"/>
        </w:rPr>
        <w:t>ToC</w:t>
      </w:r>
      <w:proofErr w:type="spellEnd"/>
      <w:r w:rsidRPr="003600EF">
        <w:rPr>
          <w:color w:val="212121"/>
          <w:sz w:val="22"/>
          <w:szCs w:val="22"/>
        </w:rPr>
        <w:t xml:space="preserve"> is structured around three outputs (Development Contributions, Capital Investment, Technical Assistance Facility) feeding into an intermediate outcome (increased finance mobilisation and investment replication), three outcomes (sustainable land management; improved livelihoods; mainstreaming of private investment), and the overarching impact.</w:t>
      </w:r>
    </w:p>
    <w:p w:rsidRPr="003600EF" w:rsidR="003D222C" w:rsidP="004D5FD5" w:rsidRDefault="003D222C" w14:paraId="5610338B" w14:textId="77777777">
      <w:pPr>
        <w:jc w:val="both"/>
        <w:rPr>
          <w:rFonts w:cs="Arial"/>
          <w:color w:val="212121"/>
          <w:sz w:val="22"/>
          <w:szCs w:val="22"/>
          <w:highlight w:val="yellow"/>
        </w:rPr>
      </w:pPr>
    </w:p>
    <w:p w:rsidRPr="003600EF" w:rsidR="007D1563" w:rsidP="004D5FD5" w:rsidRDefault="007D1563" w14:paraId="3D51DEFB" w14:textId="33E5D8E7">
      <w:pPr>
        <w:jc w:val="both"/>
        <w:rPr>
          <w:rFonts w:cs="Arial"/>
          <w:color w:val="212121"/>
          <w:sz w:val="22"/>
          <w:szCs w:val="22"/>
        </w:rPr>
      </w:pPr>
      <w:r w:rsidRPr="003600EF">
        <w:rPr>
          <w:rFonts w:cs="Arial"/>
          <w:color w:val="212121"/>
          <w:sz w:val="22"/>
          <w:szCs w:val="22"/>
        </w:rPr>
        <w:t xml:space="preserve">The 2025 programme evaluation confirmed the </w:t>
      </w:r>
      <w:proofErr w:type="spellStart"/>
      <w:r w:rsidRPr="003600EF">
        <w:rPr>
          <w:rFonts w:cs="Arial"/>
          <w:color w:val="212121"/>
          <w:sz w:val="22"/>
          <w:szCs w:val="22"/>
        </w:rPr>
        <w:t>ToC</w:t>
      </w:r>
      <w:proofErr w:type="spellEnd"/>
      <w:r w:rsidRPr="003600EF">
        <w:rPr>
          <w:rFonts w:cs="Arial"/>
          <w:color w:val="212121"/>
          <w:sz w:val="22"/>
          <w:szCs w:val="22"/>
        </w:rPr>
        <w:t xml:space="preserve"> logic remains broadly valid and that MFF is well-designed to deliver additionality through concessional capital.</w:t>
      </w:r>
      <w:r w:rsidRPr="003600EF" w:rsidR="00D254A2">
        <w:rPr>
          <w:color w:val="212121"/>
        </w:rPr>
        <w:t xml:space="preserve"> </w:t>
      </w:r>
      <w:r w:rsidRPr="003600EF" w:rsidR="00D254A2">
        <w:rPr>
          <w:rFonts w:cs="Arial"/>
          <w:color w:val="212121"/>
          <w:sz w:val="22"/>
          <w:szCs w:val="22"/>
        </w:rPr>
        <w:t xml:space="preserve">Portfolio performance, in particular TRF's success in mobilising over USD 600m in total fund commitments, directly validates the core blended finance assumption: that anchor concessional investment catalyses commercial follow-on capital at meaningful scale. The key </w:t>
      </w:r>
      <w:proofErr w:type="spellStart"/>
      <w:r w:rsidRPr="003600EF" w:rsidR="00D254A2">
        <w:rPr>
          <w:rFonts w:cs="Arial"/>
          <w:color w:val="212121"/>
          <w:sz w:val="22"/>
          <w:szCs w:val="22"/>
        </w:rPr>
        <w:t>ToC</w:t>
      </w:r>
      <w:proofErr w:type="spellEnd"/>
      <w:r w:rsidRPr="003600EF" w:rsidR="00D254A2">
        <w:rPr>
          <w:rFonts w:cs="Arial"/>
          <w:color w:val="212121"/>
          <w:sz w:val="22"/>
          <w:szCs w:val="22"/>
        </w:rPr>
        <w:t xml:space="preserve"> assumptions under scrutiny in 2025 are: (l) whether other DFIs are being sufficiently incentivised to act; (m) whether demonstration of success is crowding in private investors; and (p) whether enough projects are reaching financial close across sufficient geographies to generate landscape-level impact. Evidence on all three is strengthening but remains concentrated in Latin America, which is a structural risk to the </w:t>
      </w:r>
      <w:proofErr w:type="spellStart"/>
      <w:r w:rsidRPr="003600EF" w:rsidR="00D254A2">
        <w:rPr>
          <w:rFonts w:cs="Arial"/>
          <w:color w:val="212121"/>
          <w:sz w:val="22"/>
          <w:szCs w:val="22"/>
        </w:rPr>
        <w:t>ToC's</w:t>
      </w:r>
      <w:proofErr w:type="spellEnd"/>
      <w:r w:rsidRPr="003600EF" w:rsidR="00D254A2">
        <w:rPr>
          <w:rFonts w:cs="Arial"/>
          <w:color w:val="212121"/>
          <w:sz w:val="22"/>
          <w:szCs w:val="22"/>
        </w:rPr>
        <w:t xml:space="preserve"> geographic diversification assumption.</w:t>
      </w:r>
    </w:p>
    <w:p w:rsidRPr="003600EF" w:rsidR="00B04F41" w:rsidP="004D5FD5" w:rsidRDefault="00B04F41" w14:paraId="17921C76" w14:textId="77777777">
      <w:pPr>
        <w:jc w:val="both"/>
        <w:rPr>
          <w:rFonts w:cs="Arial"/>
          <w:color w:val="212121"/>
          <w:sz w:val="22"/>
          <w:szCs w:val="22"/>
        </w:rPr>
      </w:pPr>
    </w:p>
    <w:p w:rsidRPr="003600EF" w:rsidR="00B04F41" w:rsidP="004D5FD5" w:rsidRDefault="00B04F41" w14:paraId="3CFF4D09" w14:textId="7E3ACCFA">
      <w:pPr>
        <w:jc w:val="both"/>
        <w:rPr>
          <w:rFonts w:cs="Arial"/>
          <w:color w:val="212121"/>
          <w:sz w:val="22"/>
          <w:szCs w:val="22"/>
        </w:rPr>
      </w:pPr>
      <w:r w:rsidRPr="003600EF">
        <w:rPr>
          <w:rFonts w:cs="Arial"/>
          <w:color w:val="212121"/>
          <w:sz w:val="22"/>
          <w:szCs w:val="22"/>
        </w:rPr>
        <w:t xml:space="preserve">No changes to outcome or impact statements or indicators have been made in this review period. Targets at outcome level have been remodelled to reflect Phase 2 (UK extension and Dutch MFA contribution), and the </w:t>
      </w:r>
      <w:proofErr w:type="spellStart"/>
      <w:r w:rsidRPr="003600EF">
        <w:rPr>
          <w:rFonts w:cs="Arial"/>
          <w:color w:val="212121"/>
          <w:sz w:val="22"/>
          <w:szCs w:val="22"/>
        </w:rPr>
        <w:t>logframe</w:t>
      </w:r>
      <w:proofErr w:type="spellEnd"/>
      <w:r w:rsidRPr="003600EF">
        <w:rPr>
          <w:rFonts w:cs="Arial"/>
          <w:color w:val="212121"/>
          <w:sz w:val="22"/>
          <w:szCs w:val="22"/>
        </w:rPr>
        <w:t xml:space="preserve"> now encompasses both Phase 1 (original UK funding) and Phase 2 (top-up + NL) trajectories from 2025 onwards.</w:t>
      </w:r>
    </w:p>
    <w:p w:rsidRPr="003600EF" w:rsidR="003D222C" w:rsidP="004D5FD5" w:rsidRDefault="003D222C" w14:paraId="0AF37CA4" w14:textId="77777777">
      <w:pPr>
        <w:jc w:val="both"/>
        <w:rPr>
          <w:rFonts w:cs="Arial"/>
          <w:b/>
          <w:color w:val="212121"/>
          <w:sz w:val="22"/>
          <w:szCs w:val="22"/>
          <w:highlight w:val="yellow"/>
        </w:rPr>
      </w:pPr>
    </w:p>
    <w:p w:rsidRPr="003600EF" w:rsidR="28430F59" w:rsidP="28430F59" w:rsidRDefault="28430F59" w14:paraId="6E7A33C9" w14:textId="497FE4B2">
      <w:pPr>
        <w:jc w:val="both"/>
        <w:rPr>
          <w:rFonts w:cs="Arial"/>
          <w:color w:val="212121"/>
          <w:sz w:val="22"/>
          <w:szCs w:val="22"/>
        </w:rPr>
      </w:pPr>
    </w:p>
    <w:p w:rsidRPr="003600EF" w:rsidR="00DC387F" w:rsidP="527A8EFF" w:rsidRDefault="007D6095" w14:paraId="664C1FFC" w14:textId="02C81303">
      <w:pPr>
        <w:jc w:val="both"/>
        <w:rPr>
          <w:rFonts w:cs="Arial"/>
          <w:color w:val="212121"/>
          <w:sz w:val="22"/>
          <w:szCs w:val="22"/>
        </w:rPr>
      </w:pPr>
      <w:bookmarkStart w:name="_Toc227234244" w:id="10"/>
      <w:r w:rsidRPr="003600EF">
        <w:rPr>
          <w:rStyle w:val="Heading2Char"/>
          <w:color w:val="212121"/>
        </w:rPr>
        <w:t>Progress against</w:t>
      </w:r>
      <w:r w:rsidRPr="003600EF" w:rsidR="003D222C">
        <w:rPr>
          <w:rStyle w:val="Heading2Char"/>
          <w:color w:val="212121"/>
        </w:rPr>
        <w:t xml:space="preserve"> the expected outcomes and </w:t>
      </w:r>
      <w:r w:rsidRPr="003600EF">
        <w:rPr>
          <w:rStyle w:val="Heading2Char"/>
          <w:color w:val="212121"/>
        </w:rPr>
        <w:t>impact, and</w:t>
      </w:r>
      <w:r w:rsidRPr="003600EF" w:rsidR="003D222C">
        <w:rPr>
          <w:rStyle w:val="Heading2Char"/>
          <w:color w:val="212121"/>
        </w:rPr>
        <w:t xml:space="preserve"> action</w:t>
      </w:r>
      <w:r w:rsidRPr="003600EF">
        <w:rPr>
          <w:rStyle w:val="Heading2Char"/>
          <w:color w:val="212121"/>
        </w:rPr>
        <w:t>s</w:t>
      </w:r>
      <w:r w:rsidRPr="003600EF" w:rsidR="003D222C">
        <w:rPr>
          <w:rStyle w:val="Heading2Char"/>
          <w:color w:val="212121"/>
        </w:rPr>
        <w:t xml:space="preserve"> planned </w:t>
      </w:r>
      <w:r w:rsidRPr="003600EF" w:rsidR="002D09A5">
        <w:rPr>
          <w:rStyle w:val="Heading2Char"/>
          <w:color w:val="212121"/>
        </w:rPr>
        <w:t>for</w:t>
      </w:r>
      <w:r w:rsidRPr="003600EF" w:rsidR="003D222C">
        <w:rPr>
          <w:rStyle w:val="Heading2Char"/>
          <w:color w:val="212121"/>
        </w:rPr>
        <w:t xml:space="preserve"> the year ahead</w:t>
      </w:r>
      <w:bookmarkEnd w:id="10"/>
      <w:r w:rsidRPr="003600EF" w:rsidR="003D222C">
        <w:rPr>
          <w:rFonts w:cs="Arial"/>
          <w:color w:val="212121"/>
          <w:sz w:val="22"/>
          <w:szCs w:val="22"/>
        </w:rPr>
        <w:t xml:space="preserve"> </w:t>
      </w:r>
    </w:p>
    <w:p w:rsidRPr="003600EF" w:rsidR="003D222C" w:rsidP="527A8EFF" w:rsidRDefault="003D222C" w14:paraId="6744E67C" w14:textId="12D73D02">
      <w:pPr>
        <w:jc w:val="both"/>
        <w:rPr>
          <w:rFonts w:cs="Arial"/>
          <w:color w:val="212121"/>
          <w:sz w:val="22"/>
          <w:szCs w:val="22"/>
        </w:rPr>
      </w:pPr>
      <w:r w:rsidRPr="003600EF">
        <w:rPr>
          <w:rFonts w:cs="Arial"/>
          <w:color w:val="212121"/>
          <w:sz w:val="22"/>
          <w:szCs w:val="22"/>
        </w:rPr>
        <w:t xml:space="preserve"> </w:t>
      </w:r>
    </w:p>
    <w:p w:rsidRPr="003600EF" w:rsidR="00D65329" w:rsidP="00D65329" w:rsidRDefault="00D65329" w14:paraId="3CECB0D0" w14:textId="1EB1B0DA">
      <w:pPr>
        <w:jc w:val="both"/>
        <w:rPr>
          <w:rFonts w:cs="Arial"/>
          <w:color w:val="212121"/>
          <w:sz w:val="22"/>
          <w:szCs w:val="22"/>
        </w:rPr>
      </w:pPr>
      <w:r w:rsidRPr="003600EF">
        <w:rPr>
          <w:rFonts w:cs="Arial"/>
          <w:color w:val="212121"/>
          <w:sz w:val="22"/>
          <w:szCs w:val="22"/>
        </w:rPr>
        <w:t>Progress towards long-term impact remains on a positive trajectory, though the programme is still in the growth phase of its investment cycle and outcome-level results, particularly for environmental KPIs, continue to be subject to reporting lags and methodological refinement. The following summarises performance against each outcome indicator.</w:t>
      </w:r>
    </w:p>
    <w:p w:rsidRPr="003600EF" w:rsidR="00024DBC" w:rsidP="00D65329" w:rsidRDefault="00024DBC" w14:paraId="3A439C35" w14:textId="77777777">
      <w:pPr>
        <w:jc w:val="both"/>
        <w:rPr>
          <w:rFonts w:cs="Arial"/>
          <w:color w:val="212121"/>
          <w:sz w:val="22"/>
          <w:szCs w:val="22"/>
        </w:rPr>
      </w:pPr>
    </w:p>
    <w:p w:rsidRPr="003600EF" w:rsidR="00024DBC" w:rsidP="00024DBC" w:rsidRDefault="00024DBC" w14:paraId="2CA8C040" w14:textId="47335FB3">
      <w:pPr>
        <w:jc w:val="both"/>
        <w:rPr>
          <w:rFonts w:cs="Arial"/>
          <w:color w:val="212121"/>
          <w:sz w:val="22"/>
          <w:szCs w:val="22"/>
        </w:rPr>
      </w:pPr>
      <w:r w:rsidRPr="003600EF">
        <w:rPr>
          <w:rFonts w:cs="Arial"/>
          <w:b/>
          <w:bCs/>
          <w:color w:val="212121"/>
          <w:sz w:val="22"/>
          <w:szCs w:val="22"/>
        </w:rPr>
        <w:t>Impact (KPI 15 — Transformational Change):</w:t>
      </w:r>
      <w:r w:rsidRPr="003600EF">
        <w:rPr>
          <w:rFonts w:cs="Arial"/>
          <w:color w:val="212121"/>
          <w:sz w:val="22"/>
          <w:szCs w:val="22"/>
        </w:rPr>
        <w:t xml:space="preserve"> The 2025 KPI 15 assessment records a score of </w:t>
      </w:r>
      <w:r w:rsidRPr="003600EF" w:rsidR="006B538E">
        <w:rPr>
          <w:rFonts w:cs="Arial"/>
          <w:color w:val="212121"/>
          <w:sz w:val="22"/>
          <w:szCs w:val="22"/>
        </w:rPr>
        <w:t>3.75</w:t>
      </w:r>
      <w:r w:rsidRPr="003600EF" w:rsidR="00273CA1">
        <w:rPr>
          <w:rFonts w:cs="Arial"/>
          <w:color w:val="212121"/>
          <w:sz w:val="22"/>
          <w:szCs w:val="22"/>
        </w:rPr>
        <w:t xml:space="preserve">, </w:t>
      </w:r>
      <w:r w:rsidRPr="003600EF">
        <w:rPr>
          <w:rFonts w:cs="Arial"/>
          <w:color w:val="212121"/>
          <w:sz w:val="22"/>
          <w:szCs w:val="22"/>
        </w:rPr>
        <w:t>consistent with prior years</w:t>
      </w:r>
      <w:r w:rsidRPr="003600EF" w:rsidR="00273CA1">
        <w:rPr>
          <w:rFonts w:cs="Arial"/>
          <w:color w:val="212121"/>
          <w:sz w:val="22"/>
          <w:szCs w:val="22"/>
        </w:rPr>
        <w:t>, however this year is rounded to 4</w:t>
      </w:r>
      <w:r w:rsidRPr="003600EF" w:rsidR="005656DD">
        <w:rPr>
          <w:rFonts w:cs="Arial"/>
          <w:color w:val="212121"/>
          <w:sz w:val="22"/>
          <w:szCs w:val="22"/>
        </w:rPr>
        <w:t xml:space="preserve"> in light of updates to KPI 15 guidance.</w:t>
      </w:r>
      <w:r w:rsidRPr="003600EF">
        <w:rPr>
          <w:rFonts w:cs="Arial"/>
          <w:color w:val="212121"/>
          <w:sz w:val="22"/>
          <w:szCs w:val="22"/>
        </w:rPr>
        <w:t xml:space="preserve"> </w:t>
      </w:r>
    </w:p>
    <w:p w:rsidRPr="003600EF" w:rsidR="00024DBC" w:rsidP="00D65329" w:rsidRDefault="00024DBC" w14:paraId="128661FA" w14:textId="77777777">
      <w:pPr>
        <w:jc w:val="both"/>
        <w:rPr>
          <w:rFonts w:cs="Arial"/>
          <w:color w:val="212121"/>
          <w:sz w:val="22"/>
          <w:szCs w:val="22"/>
        </w:rPr>
      </w:pPr>
    </w:p>
    <w:p w:rsidRPr="003600EF" w:rsidR="008B52CD" w:rsidP="008B52CD" w:rsidRDefault="008B52CD" w14:paraId="3E5A31C0" w14:textId="131FCF34">
      <w:pPr>
        <w:jc w:val="both"/>
        <w:rPr>
          <w:rFonts w:cs="Arial"/>
          <w:color w:val="212121"/>
          <w:sz w:val="22"/>
          <w:szCs w:val="22"/>
        </w:rPr>
      </w:pPr>
      <w:r w:rsidRPr="003600EF">
        <w:rPr>
          <w:rFonts w:cs="Arial"/>
          <w:color w:val="212121"/>
          <w:sz w:val="22"/>
          <w:szCs w:val="22"/>
        </w:rPr>
        <w:t xml:space="preserve">FMO's position is that MFF merits a score of </w:t>
      </w:r>
      <w:r w:rsidRPr="003600EF">
        <w:rPr>
          <w:rFonts w:cs="Arial"/>
          <w:b/>
          <w:bCs/>
          <w:color w:val="212121"/>
          <w:sz w:val="22"/>
          <w:szCs w:val="22"/>
        </w:rPr>
        <w:t>4</w:t>
      </w:r>
      <w:r w:rsidRPr="003600EF">
        <w:rPr>
          <w:rFonts w:cs="Arial"/>
          <w:color w:val="212121"/>
          <w:sz w:val="22"/>
          <w:szCs w:val="22"/>
        </w:rPr>
        <w:t xml:space="preserve"> across all four criteria (capacity and capability, leverage/incentives, scalability, and sustainability), on the basis that fund-level mobilisation and market-building effects already demonstrate strong evidence that transformational change is likely. DESNZ's MEL assessment is more cautious: while acknowledging strong progress on capacity, leverage and scalability, it judges that the </w:t>
      </w:r>
      <w:r w:rsidRPr="003600EF">
        <w:rPr>
          <w:rFonts w:cs="Arial"/>
          <w:b/>
          <w:bCs/>
          <w:color w:val="212121"/>
          <w:sz w:val="22"/>
          <w:szCs w:val="22"/>
        </w:rPr>
        <w:t>sustainability</w:t>
      </w:r>
      <w:r w:rsidRPr="003600EF">
        <w:rPr>
          <w:rFonts w:cs="Arial"/>
          <w:color w:val="212121"/>
          <w:sz w:val="22"/>
          <w:szCs w:val="22"/>
        </w:rPr>
        <w:t xml:space="preserve"> criterion cannot yet be robustly evidenced. Key sustainability indicators</w:t>
      </w:r>
      <w:r w:rsidRPr="003600EF" w:rsidR="007B4682">
        <w:rPr>
          <w:rFonts w:cs="Arial"/>
          <w:color w:val="212121"/>
          <w:sz w:val="22"/>
          <w:szCs w:val="22"/>
        </w:rPr>
        <w:t xml:space="preserve">, </w:t>
      </w:r>
      <w:r w:rsidRPr="003600EF">
        <w:rPr>
          <w:rFonts w:cs="Arial"/>
          <w:color w:val="212121"/>
          <w:sz w:val="22"/>
          <w:szCs w:val="22"/>
        </w:rPr>
        <w:t>investee IRRs, loan repayments and fund exits</w:t>
      </w:r>
      <w:r w:rsidRPr="003600EF" w:rsidR="007B4682">
        <w:rPr>
          <w:rFonts w:cs="Arial"/>
          <w:color w:val="212121"/>
          <w:sz w:val="22"/>
          <w:szCs w:val="22"/>
        </w:rPr>
        <w:t xml:space="preserve">, </w:t>
      </w:r>
      <w:r w:rsidRPr="003600EF">
        <w:rPr>
          <w:rFonts w:cs="Arial"/>
          <w:color w:val="212121"/>
          <w:sz w:val="22"/>
          <w:szCs w:val="22"/>
        </w:rPr>
        <w:t xml:space="preserve">will only be demonstrable at or near the end of the investment cycle, and cannot be assessed at Year 5. On that basis, the analytical position lands at approximately 3.75, which rounds </w:t>
      </w:r>
      <w:r w:rsidRPr="003600EF" w:rsidR="00590070">
        <w:rPr>
          <w:rFonts w:cs="Arial"/>
          <w:color w:val="212121"/>
          <w:sz w:val="22"/>
          <w:szCs w:val="22"/>
        </w:rPr>
        <w:t xml:space="preserve">up </w:t>
      </w:r>
      <w:r w:rsidRPr="003600EF">
        <w:rPr>
          <w:rFonts w:cs="Arial"/>
          <w:color w:val="212121"/>
          <w:sz w:val="22"/>
          <w:szCs w:val="22"/>
        </w:rPr>
        <w:t xml:space="preserve">to </w:t>
      </w:r>
      <w:r w:rsidRPr="003600EF" w:rsidR="00590070">
        <w:rPr>
          <w:rFonts w:cs="Arial"/>
          <w:color w:val="212121"/>
          <w:sz w:val="22"/>
          <w:szCs w:val="22"/>
        </w:rPr>
        <w:t>4</w:t>
      </w:r>
      <w:r w:rsidRPr="003600EF">
        <w:rPr>
          <w:rFonts w:cs="Arial"/>
          <w:color w:val="212121"/>
          <w:sz w:val="22"/>
          <w:szCs w:val="22"/>
        </w:rPr>
        <w:t xml:space="preserve"> under </w:t>
      </w:r>
      <w:r w:rsidRPr="003600EF" w:rsidR="00590070">
        <w:rPr>
          <w:rFonts w:cs="Arial"/>
          <w:color w:val="212121"/>
          <w:sz w:val="22"/>
          <w:szCs w:val="22"/>
        </w:rPr>
        <w:t xml:space="preserve">the latest </w:t>
      </w:r>
      <w:r w:rsidRPr="003600EF">
        <w:rPr>
          <w:rFonts w:cs="Arial"/>
          <w:color w:val="212121"/>
          <w:sz w:val="22"/>
          <w:szCs w:val="22"/>
        </w:rPr>
        <w:t xml:space="preserve">ICF </w:t>
      </w:r>
      <w:r w:rsidRPr="003600EF" w:rsidR="00AD39BD">
        <w:rPr>
          <w:rFonts w:cs="Arial"/>
          <w:color w:val="212121"/>
          <w:sz w:val="22"/>
          <w:szCs w:val="22"/>
        </w:rPr>
        <w:t>KPI 15 guidance</w:t>
      </w:r>
      <w:r w:rsidRPr="003600EF">
        <w:rPr>
          <w:rFonts w:cs="Arial"/>
          <w:color w:val="212121"/>
          <w:sz w:val="22"/>
          <w:szCs w:val="22"/>
        </w:rPr>
        <w:t xml:space="preserve">. Given the prior agreement not to revise the KPI 15 methodology until 2028, and the fact that KPI 15 does not affect the AR output score, it is more consistent to apply the existing method than to adjust it to reach a 4 </w:t>
      </w:r>
      <w:r w:rsidRPr="003600EF" w:rsidR="00AD39BD">
        <w:rPr>
          <w:rFonts w:cs="Arial"/>
          <w:color w:val="212121"/>
          <w:sz w:val="22"/>
          <w:szCs w:val="22"/>
        </w:rPr>
        <w:t xml:space="preserve">for the sustainability criteria </w:t>
      </w:r>
      <w:r w:rsidRPr="003600EF">
        <w:rPr>
          <w:rFonts w:cs="Arial"/>
          <w:color w:val="212121"/>
          <w:sz w:val="22"/>
          <w:szCs w:val="22"/>
        </w:rPr>
        <w:t>at this stage.</w:t>
      </w:r>
    </w:p>
    <w:p w:rsidRPr="003600EF" w:rsidR="00D64CDA" w:rsidP="008B52CD" w:rsidRDefault="00D64CDA" w14:paraId="0A27B88F" w14:textId="77777777">
      <w:pPr>
        <w:jc w:val="both"/>
        <w:rPr>
          <w:rFonts w:cs="Arial"/>
          <w:color w:val="212121"/>
          <w:sz w:val="22"/>
          <w:szCs w:val="22"/>
        </w:rPr>
      </w:pPr>
    </w:p>
    <w:p w:rsidRPr="003600EF" w:rsidR="008B52CD" w:rsidP="008B52CD" w:rsidRDefault="008B52CD" w14:paraId="25335789" w14:textId="1919B454">
      <w:pPr>
        <w:jc w:val="both"/>
        <w:rPr>
          <w:rFonts w:cs="Arial"/>
          <w:color w:val="212121"/>
          <w:sz w:val="22"/>
          <w:szCs w:val="22"/>
        </w:rPr>
      </w:pPr>
      <w:r w:rsidRPr="003600EF">
        <w:rPr>
          <w:rFonts w:cs="Arial"/>
          <w:color w:val="212121"/>
          <w:sz w:val="22"/>
          <w:szCs w:val="22"/>
        </w:rPr>
        <w:t xml:space="preserve">It should, however, be noted explicitly that the current sustainability metrics are structurally misaligned with the timing and structure of blended finance programmes: under the existing methodology, MFF is unlikely to achieve a score of 4 on sustainability until late in the programme lifecycle, regardless of the strength of earlier-year performance. This risks under-recognising genuine progress. This structural issue should be considered as part of the planned KPI 15 methodology review in 2028. </w:t>
      </w:r>
    </w:p>
    <w:p w:rsidRPr="003600EF" w:rsidR="0088001B" w:rsidP="008B52CD" w:rsidRDefault="0088001B" w14:paraId="4AA687F8" w14:textId="77777777">
      <w:pPr>
        <w:jc w:val="both"/>
        <w:rPr>
          <w:rFonts w:cs="Arial"/>
          <w:color w:val="212121"/>
          <w:sz w:val="22"/>
          <w:szCs w:val="22"/>
        </w:rPr>
      </w:pPr>
    </w:p>
    <w:p w:rsidRPr="003600EF" w:rsidR="0088001B" w:rsidP="008B52CD" w:rsidRDefault="003B7C59" w14:paraId="6B45D7AC" w14:textId="35E6368E">
      <w:pPr>
        <w:jc w:val="both"/>
        <w:rPr>
          <w:rFonts w:cs="Arial"/>
          <w:color w:val="212121"/>
          <w:sz w:val="22"/>
          <w:szCs w:val="22"/>
        </w:rPr>
      </w:pPr>
      <w:r w:rsidRPr="003600EF">
        <w:rPr>
          <w:rFonts w:cs="Arial"/>
          <w:color w:val="212121"/>
          <w:sz w:val="22"/>
          <w:szCs w:val="22"/>
        </w:rPr>
        <w:t xml:space="preserve">Overall, outcome-level progress in 2025 is positive, with the programme's most significant mobilisation indicators substantially exceeding targets and environmental indicators tracking broadly on trajectory. The standout result is private sector investor mobilisation at fund level: </w:t>
      </w:r>
      <w:r w:rsidRPr="003600EF">
        <w:rPr>
          <w:rFonts w:cs="Arial"/>
          <w:b/>
          <w:bCs/>
          <w:color w:val="212121"/>
          <w:sz w:val="22"/>
          <w:szCs w:val="22"/>
        </w:rPr>
        <w:t>38 private investors</w:t>
      </w:r>
      <w:r w:rsidRPr="003600EF">
        <w:rPr>
          <w:rFonts w:cs="Arial"/>
          <w:color w:val="212121"/>
          <w:sz w:val="22"/>
          <w:szCs w:val="22"/>
        </w:rPr>
        <w:t xml:space="preserve"> are now invested in MFF-backed funds against a 2025 target of ~9, private finance mobilised at fund level stands at </w:t>
      </w:r>
      <w:r w:rsidRPr="003600EF">
        <w:rPr>
          <w:rFonts w:cs="Arial"/>
          <w:b/>
          <w:bCs/>
          <w:color w:val="212121"/>
          <w:sz w:val="22"/>
          <w:szCs w:val="22"/>
        </w:rPr>
        <w:t>USD 536.94m</w:t>
      </w:r>
      <w:r w:rsidRPr="003600EF">
        <w:rPr>
          <w:rFonts w:cs="Arial"/>
          <w:color w:val="212121"/>
          <w:sz w:val="22"/>
          <w:szCs w:val="22"/>
        </w:rPr>
        <w:t xml:space="preserve"> against a target of USD 202m, and public finance co-financed and mobilised at fund level reaches </w:t>
      </w:r>
      <w:r w:rsidRPr="003600EF">
        <w:rPr>
          <w:rFonts w:cs="Arial"/>
          <w:b/>
          <w:bCs/>
          <w:color w:val="212121"/>
          <w:sz w:val="22"/>
          <w:szCs w:val="22"/>
        </w:rPr>
        <w:t>USD 409.55m</w:t>
      </w:r>
      <w:r w:rsidRPr="003600EF">
        <w:rPr>
          <w:rFonts w:cs="Arial"/>
          <w:color w:val="212121"/>
          <w:sz w:val="22"/>
          <w:szCs w:val="22"/>
        </w:rPr>
        <w:t xml:space="preserve"> against a target of USD 56.84m. These figures, driven primarily by TRF's USD 600m+ total fundraise and </w:t>
      </w:r>
      <w:proofErr w:type="spellStart"/>
      <w:r w:rsidRPr="003600EF">
        <w:rPr>
          <w:rFonts w:cs="Arial"/>
          <w:color w:val="212121"/>
          <w:sz w:val="22"/>
          <w:szCs w:val="22"/>
        </w:rPr>
        <w:t>EcoEnterprises</w:t>
      </w:r>
      <w:proofErr w:type="spellEnd"/>
      <w:r w:rsidRPr="003600EF">
        <w:rPr>
          <w:rFonts w:cs="Arial"/>
          <w:color w:val="212121"/>
          <w:sz w:val="22"/>
          <w:szCs w:val="22"/>
        </w:rPr>
        <w:t xml:space="preserve"> Fund IV's growing investor base, provide the strongest available evidence that MFF's blended finance model is working as intended. Land under sustainable management (KPI 17) also exceeds its 2025 target at </w:t>
      </w:r>
      <w:r w:rsidRPr="003600EF">
        <w:rPr>
          <w:rFonts w:cs="Arial"/>
          <w:b/>
          <w:bCs/>
          <w:color w:val="212121"/>
          <w:sz w:val="22"/>
          <w:szCs w:val="22"/>
        </w:rPr>
        <w:t>312,539 ha</w:t>
      </w:r>
      <w:r w:rsidRPr="003600EF">
        <w:rPr>
          <w:rFonts w:cs="Arial"/>
          <w:color w:val="212121"/>
          <w:sz w:val="22"/>
          <w:szCs w:val="22"/>
        </w:rPr>
        <w:t xml:space="preserve"> against a target of 264,130 ha.</w:t>
      </w:r>
    </w:p>
    <w:p w:rsidRPr="003600EF" w:rsidR="00BE706A" w:rsidP="008B52CD" w:rsidRDefault="00BE706A" w14:paraId="01E208AC" w14:textId="77777777">
      <w:pPr>
        <w:jc w:val="both"/>
        <w:rPr>
          <w:rFonts w:cs="Arial"/>
          <w:color w:val="212121"/>
          <w:sz w:val="22"/>
          <w:szCs w:val="22"/>
        </w:rPr>
      </w:pPr>
    </w:p>
    <w:p w:rsidRPr="003600EF" w:rsidR="00673D8C" w:rsidP="008B52CD" w:rsidRDefault="0034120C" w14:paraId="637D38BC" w14:textId="0E00C923">
      <w:pPr>
        <w:jc w:val="both"/>
        <w:rPr>
          <w:rFonts w:cs="Arial"/>
          <w:color w:val="212121"/>
          <w:sz w:val="22"/>
          <w:szCs w:val="22"/>
        </w:rPr>
      </w:pPr>
      <w:r w:rsidRPr="003600EF">
        <w:rPr>
          <w:rFonts w:cs="Arial"/>
          <w:color w:val="212121"/>
          <w:sz w:val="22"/>
          <w:szCs w:val="22"/>
        </w:rPr>
        <w:t>Jobs</w:t>
      </w:r>
      <w:r w:rsidRPr="003600EF" w:rsidR="00BE706A">
        <w:rPr>
          <w:rFonts w:cs="Arial"/>
          <w:b/>
          <w:bCs/>
          <w:color w:val="212121"/>
          <w:sz w:val="22"/>
          <w:szCs w:val="22"/>
        </w:rPr>
        <w:t xml:space="preserve"> supported</w:t>
      </w:r>
      <w:r w:rsidRPr="003600EF" w:rsidR="00BE706A">
        <w:rPr>
          <w:rFonts w:cs="Arial"/>
          <w:color w:val="212121"/>
          <w:sz w:val="22"/>
          <w:szCs w:val="22"/>
        </w:rPr>
        <w:t xml:space="preserve"> (41,539 against a Phase 1+2 combined target of ~100,656) and </w:t>
      </w:r>
      <w:r w:rsidRPr="003600EF" w:rsidR="00BE706A">
        <w:rPr>
          <w:rFonts w:cs="Arial"/>
          <w:b/>
          <w:bCs/>
          <w:color w:val="212121"/>
          <w:sz w:val="22"/>
          <w:szCs w:val="22"/>
        </w:rPr>
        <w:t>GHG emissions avoided</w:t>
      </w:r>
      <w:r w:rsidRPr="003600EF" w:rsidR="00BE706A">
        <w:rPr>
          <w:rFonts w:cs="Arial"/>
          <w:color w:val="212121"/>
          <w:sz w:val="22"/>
          <w:szCs w:val="22"/>
        </w:rPr>
        <w:t xml:space="preserve"> (approximately 16.96 million tCO2e against a target of 17.67 million tCO2e) are both below or at the lower bound of their 2025 targets, though both reflect structural timing issues, reporting lags, portfolio immaturity, and the one-year snapshot methodology, rather than underlying delivery failure. </w:t>
      </w:r>
      <w:r w:rsidRPr="003600EF">
        <w:rPr>
          <w:rFonts w:cs="Arial"/>
          <w:color w:val="212121"/>
          <w:sz w:val="22"/>
          <w:szCs w:val="22"/>
        </w:rPr>
        <w:t>GHG emissions are expected to grow materially as the 2023–25 investments scale up. On jobs, however, the challenge is more structural: when targets were set, assumptions about job creation proved overly ambitious. It has since become clear that FSLU business model</w:t>
      </w:r>
      <w:r w:rsidRPr="003600EF" w:rsidR="00924226">
        <w:rPr>
          <w:rFonts w:cs="Arial"/>
          <w:color w:val="212121"/>
          <w:sz w:val="22"/>
          <w:szCs w:val="22"/>
        </w:rPr>
        <w:t>s (</w:t>
      </w:r>
      <w:r w:rsidRPr="003600EF">
        <w:rPr>
          <w:rFonts w:cs="Arial"/>
          <w:color w:val="212121"/>
          <w:sz w:val="22"/>
          <w:szCs w:val="22"/>
        </w:rPr>
        <w:t>forest conservation and restoration, plantation forestry, deforestation-free supply chains</w:t>
      </w:r>
      <w:r w:rsidRPr="003600EF" w:rsidR="00924226">
        <w:rPr>
          <w:rFonts w:cs="Arial"/>
          <w:color w:val="212121"/>
          <w:sz w:val="22"/>
          <w:szCs w:val="22"/>
        </w:rPr>
        <w:t>)</w:t>
      </w:r>
      <w:r w:rsidRPr="003600EF">
        <w:rPr>
          <w:rFonts w:cs="Arial"/>
          <w:color w:val="212121"/>
          <w:sz w:val="22"/>
          <w:szCs w:val="22"/>
        </w:rPr>
        <w:t xml:space="preserve"> are inherently land and capital-intensive rather than labour-intensive, and tend to support fewer direct jobs per unit of capital deployed than other sectors. The current target is unlikely to be met. UK and FMO have agreed to maintain the existing jobs target through to the end of the investment period in 2028 in the interests of consistency and accountability, with a dedicated review at that point to assess whether job-related targets remain appropriate in light of the programme's experience and portfolio composition. Project-level private finance mobilisation also remains significantly below target (USD 3.5m against USD 15m), consistent with the portfolio's emphasis on fund vehicles over direct investments to date; this is unlikely to resolve without deliberate action to build the direct investment pipeline.</w:t>
      </w:r>
    </w:p>
    <w:p w:rsidRPr="003600EF" w:rsidR="0034120C" w:rsidP="008B52CD" w:rsidRDefault="0034120C" w14:paraId="467E3BFF" w14:textId="77777777">
      <w:pPr>
        <w:jc w:val="both"/>
        <w:rPr>
          <w:rFonts w:cs="Arial"/>
          <w:color w:val="212121"/>
          <w:sz w:val="22"/>
          <w:szCs w:val="22"/>
        </w:rPr>
      </w:pPr>
    </w:p>
    <w:p w:rsidRPr="003600EF" w:rsidR="00673D8C" w:rsidP="008B52CD" w:rsidRDefault="00673D8C" w14:paraId="69C51C85" w14:textId="6B46BA18">
      <w:pPr>
        <w:jc w:val="both"/>
        <w:rPr>
          <w:rFonts w:cs="Arial"/>
          <w:color w:val="212121"/>
          <w:sz w:val="22"/>
          <w:szCs w:val="22"/>
        </w:rPr>
      </w:pPr>
      <w:r w:rsidRPr="003600EF">
        <w:rPr>
          <w:rFonts w:cs="Arial"/>
          <w:color w:val="212121"/>
          <w:sz w:val="22"/>
          <w:szCs w:val="22"/>
        </w:rPr>
        <w:t xml:space="preserve">The most significant analytical issue heading into 2026 is the </w:t>
      </w:r>
      <w:r w:rsidRPr="003600EF">
        <w:rPr>
          <w:rFonts w:cs="Arial"/>
          <w:b/>
          <w:bCs/>
          <w:color w:val="212121"/>
          <w:sz w:val="22"/>
          <w:szCs w:val="22"/>
        </w:rPr>
        <w:t>KPI 8 methodological transition</w:t>
      </w:r>
      <w:r w:rsidRPr="003600EF">
        <w:rPr>
          <w:rFonts w:cs="Arial"/>
          <w:color w:val="212121"/>
          <w:sz w:val="22"/>
          <w:szCs w:val="22"/>
        </w:rPr>
        <w:t xml:space="preserve">: the programme is moving from a legacy approach (which effectively measured land under management rather than ecosystem loss truly avoided against a counterfactual) to a revised, more rigorous framework being embedded in FMO customer contracts from 2026 (see section below on </w:t>
      </w:r>
      <w:proofErr w:type="spellStart"/>
      <w:r w:rsidRPr="003600EF">
        <w:rPr>
          <w:rFonts w:cs="Arial"/>
          <w:color w:val="212121"/>
          <w:sz w:val="22"/>
          <w:szCs w:val="22"/>
        </w:rPr>
        <w:t>Logframe</w:t>
      </w:r>
      <w:proofErr w:type="spellEnd"/>
      <w:r w:rsidRPr="003600EF">
        <w:rPr>
          <w:rFonts w:cs="Arial"/>
          <w:color w:val="212121"/>
          <w:sz w:val="22"/>
          <w:szCs w:val="22"/>
        </w:rPr>
        <w:t xml:space="preserve"> updates for more details). </w:t>
      </w:r>
      <w:r w:rsidRPr="003600EF" w:rsidR="00471EC8">
        <w:rPr>
          <w:rFonts w:cs="Arial"/>
          <w:color w:val="212121"/>
          <w:sz w:val="22"/>
          <w:szCs w:val="22"/>
        </w:rPr>
        <w:t>This will cause reported KPI 8 figures to reduce dramatically, early indications suggest from millions of hectares to tens of thousands.</w:t>
      </w:r>
    </w:p>
    <w:p w:rsidRPr="003600EF" w:rsidR="003D222C" w:rsidP="004D5FD5" w:rsidRDefault="003D222C" w14:paraId="20DA03C6" w14:textId="77777777">
      <w:pPr>
        <w:jc w:val="both"/>
        <w:rPr>
          <w:rFonts w:cs="Arial"/>
          <w:color w:val="212121"/>
          <w:sz w:val="22"/>
          <w:szCs w:val="22"/>
        </w:rPr>
      </w:pPr>
    </w:p>
    <w:p w:rsidRPr="003600EF" w:rsidR="003D222C" w:rsidP="527A8EFF" w:rsidRDefault="00B34EB5" w14:paraId="40D01C03" w14:textId="7DB78EA6">
      <w:pPr>
        <w:contextualSpacing/>
        <w:jc w:val="both"/>
        <w:rPr>
          <w:rFonts w:cs="Arial"/>
          <w:color w:val="212121"/>
          <w:sz w:val="22"/>
          <w:szCs w:val="22"/>
        </w:rPr>
      </w:pPr>
      <w:bookmarkStart w:name="_Toc227234245" w:id="11"/>
      <w:proofErr w:type="spellStart"/>
      <w:r w:rsidRPr="003600EF">
        <w:rPr>
          <w:rStyle w:val="Heading2Char"/>
          <w:color w:val="212121"/>
        </w:rPr>
        <w:t>L</w:t>
      </w:r>
      <w:r w:rsidRPr="003600EF" w:rsidR="003D222C">
        <w:rPr>
          <w:rStyle w:val="Heading2Char"/>
          <w:color w:val="212121"/>
        </w:rPr>
        <w:t>ogframe</w:t>
      </w:r>
      <w:proofErr w:type="spellEnd"/>
      <w:r w:rsidRPr="003600EF">
        <w:rPr>
          <w:rStyle w:val="Heading2Char"/>
          <w:color w:val="212121"/>
        </w:rPr>
        <w:t xml:space="preserve"> </w:t>
      </w:r>
      <w:r w:rsidRPr="003600EF" w:rsidR="003D222C">
        <w:rPr>
          <w:rStyle w:val="Heading2Char"/>
          <w:color w:val="212121"/>
        </w:rPr>
        <w:t>update</w:t>
      </w:r>
      <w:r w:rsidRPr="003600EF">
        <w:rPr>
          <w:rStyle w:val="Heading2Char"/>
          <w:color w:val="212121"/>
        </w:rPr>
        <w:t>s</w:t>
      </w:r>
      <w:r w:rsidRPr="003600EF" w:rsidR="003D222C">
        <w:rPr>
          <w:rStyle w:val="Heading2Char"/>
          <w:color w:val="212121"/>
        </w:rPr>
        <w:t xml:space="preserve"> since the last review</w:t>
      </w:r>
      <w:bookmarkEnd w:id="11"/>
      <w:r w:rsidRPr="003600EF" w:rsidR="00F013F9">
        <w:rPr>
          <w:rFonts w:cs="Arial"/>
          <w:b/>
          <w:bCs/>
          <w:color w:val="212121"/>
          <w:sz w:val="22"/>
          <w:szCs w:val="22"/>
        </w:rPr>
        <w:t xml:space="preserve"> </w:t>
      </w:r>
      <w:r w:rsidRPr="003600EF" w:rsidR="003D222C">
        <w:rPr>
          <w:rFonts w:cs="Arial"/>
          <w:color w:val="212121"/>
          <w:sz w:val="22"/>
          <w:szCs w:val="22"/>
        </w:rPr>
        <w:t>[1 paragraph]</w:t>
      </w:r>
    </w:p>
    <w:p w:rsidRPr="003600EF" w:rsidR="003D222C" w:rsidP="004D5FD5" w:rsidRDefault="003D222C" w14:paraId="0ACF7E8D" w14:textId="77777777">
      <w:pPr>
        <w:jc w:val="both"/>
        <w:rPr>
          <w:rFonts w:cs="Arial"/>
          <w:i/>
          <w:iCs/>
          <w:color w:val="212121"/>
          <w:sz w:val="22"/>
          <w:szCs w:val="22"/>
        </w:rPr>
      </w:pPr>
    </w:p>
    <w:p w:rsidRPr="003600EF" w:rsidR="00F36A1E" w:rsidP="00F36A1E" w:rsidRDefault="00F36A1E" w14:paraId="397A9206" w14:textId="77777777">
      <w:pPr>
        <w:jc w:val="both"/>
        <w:rPr>
          <w:rFonts w:cs="Arial"/>
          <w:color w:val="212121"/>
          <w:sz w:val="22"/>
          <w:szCs w:val="22"/>
        </w:rPr>
      </w:pPr>
      <w:r w:rsidRPr="003600EF">
        <w:rPr>
          <w:rFonts w:cs="Arial"/>
          <w:color w:val="212121"/>
          <w:sz w:val="22"/>
          <w:szCs w:val="22"/>
        </w:rPr>
        <w:t xml:space="preserve">Three categories of change have been made to the </w:t>
      </w:r>
      <w:proofErr w:type="spellStart"/>
      <w:r w:rsidRPr="003600EF">
        <w:rPr>
          <w:rFonts w:cs="Arial"/>
          <w:color w:val="212121"/>
          <w:sz w:val="22"/>
          <w:szCs w:val="22"/>
        </w:rPr>
        <w:t>logframe</w:t>
      </w:r>
      <w:proofErr w:type="spellEnd"/>
      <w:r w:rsidRPr="003600EF">
        <w:rPr>
          <w:rFonts w:cs="Arial"/>
          <w:color w:val="212121"/>
          <w:sz w:val="22"/>
          <w:szCs w:val="22"/>
        </w:rPr>
        <w:t xml:space="preserve"> since AR24, reflecting: (</w:t>
      </w:r>
      <w:proofErr w:type="spellStart"/>
      <w:r w:rsidRPr="003600EF">
        <w:rPr>
          <w:rFonts w:cs="Arial"/>
          <w:color w:val="212121"/>
          <w:sz w:val="22"/>
          <w:szCs w:val="22"/>
        </w:rPr>
        <w:t>i</w:t>
      </w:r>
      <w:proofErr w:type="spellEnd"/>
      <w:r w:rsidRPr="003600EF">
        <w:rPr>
          <w:rFonts w:cs="Arial"/>
          <w:color w:val="212121"/>
          <w:sz w:val="22"/>
          <w:szCs w:val="22"/>
        </w:rPr>
        <w:t>) Phase 2 target incorporation; (ii) methodological improvements to KPI 8 reporting; and (iii) minor technical corrections.</w:t>
      </w:r>
    </w:p>
    <w:p w:rsidRPr="003600EF" w:rsidR="00F36A1E" w:rsidP="00F36A1E" w:rsidRDefault="00F36A1E" w14:paraId="4FFD9CB2" w14:textId="77777777">
      <w:pPr>
        <w:jc w:val="both"/>
        <w:rPr>
          <w:rFonts w:cs="Arial"/>
          <w:color w:val="212121"/>
          <w:sz w:val="22"/>
          <w:szCs w:val="22"/>
        </w:rPr>
      </w:pPr>
    </w:p>
    <w:p w:rsidRPr="003600EF" w:rsidR="00F36A1E" w:rsidP="00F36A1E" w:rsidRDefault="00F36A1E" w14:paraId="2E40D5EF" w14:textId="77777777">
      <w:pPr>
        <w:jc w:val="both"/>
        <w:rPr>
          <w:rFonts w:cs="Arial"/>
          <w:color w:val="212121"/>
          <w:sz w:val="22"/>
          <w:szCs w:val="22"/>
        </w:rPr>
      </w:pPr>
      <w:r w:rsidRPr="003600EF">
        <w:rPr>
          <w:rFonts w:cs="Arial"/>
          <w:b/>
          <w:bCs/>
          <w:color w:val="212121"/>
          <w:sz w:val="22"/>
          <w:szCs w:val="22"/>
        </w:rPr>
        <w:t>Phase 2 target incorporation:</w:t>
      </w:r>
      <w:r w:rsidRPr="003600EF">
        <w:rPr>
          <w:rFonts w:cs="Arial"/>
          <w:color w:val="212121"/>
          <w:sz w:val="22"/>
          <w:szCs w:val="22"/>
        </w:rPr>
        <w:t xml:space="preserve"> The </w:t>
      </w:r>
      <w:proofErr w:type="spellStart"/>
      <w:r w:rsidRPr="003600EF">
        <w:rPr>
          <w:rFonts w:cs="Arial"/>
          <w:color w:val="212121"/>
          <w:sz w:val="22"/>
          <w:szCs w:val="22"/>
        </w:rPr>
        <w:t>logframe</w:t>
      </w:r>
      <w:proofErr w:type="spellEnd"/>
      <w:r w:rsidRPr="003600EF">
        <w:rPr>
          <w:rFonts w:cs="Arial"/>
          <w:color w:val="212121"/>
          <w:sz w:val="22"/>
          <w:szCs w:val="22"/>
        </w:rPr>
        <w:t xml:space="preserve"> now reflects the full Phase 1 + Phase 2 programme envelope, incorporating UK Phase 1 (original £152m), UK Phase 2 (£48m extension), and NL Phase 2 (USD 33.5m Dutch MFA contribution). Outcome and intermediate outcome targets from 2025 onwards are presented as combined Phase 1+2 totals. ICF KPI milestones have been scaled proportionately to reflect the increased programme size. This is consistent with the approach agreed in AR24.</w:t>
      </w:r>
    </w:p>
    <w:p w:rsidRPr="003600EF" w:rsidR="00A66FFE" w:rsidP="00F36A1E" w:rsidRDefault="00A66FFE" w14:paraId="7160AA15" w14:textId="77777777">
      <w:pPr>
        <w:jc w:val="both"/>
        <w:rPr>
          <w:rFonts w:cs="Arial"/>
          <w:color w:val="212121"/>
          <w:sz w:val="22"/>
          <w:szCs w:val="22"/>
        </w:rPr>
      </w:pPr>
    </w:p>
    <w:p w:rsidRPr="003600EF" w:rsidR="00E821F0" w:rsidP="004D5FD5" w:rsidRDefault="00A66FFE" w14:paraId="7A8E5B8E" w14:textId="77777777">
      <w:pPr>
        <w:jc w:val="both"/>
        <w:rPr>
          <w:rFonts w:cs="Arial"/>
          <w:color w:val="212121"/>
          <w:sz w:val="22"/>
          <w:szCs w:val="22"/>
        </w:rPr>
      </w:pPr>
      <w:r w:rsidRPr="003600EF">
        <w:rPr>
          <w:rFonts w:cs="Arial"/>
          <w:b/>
          <w:bCs/>
          <w:color w:val="212121"/>
          <w:sz w:val="22"/>
          <w:szCs w:val="22"/>
        </w:rPr>
        <w:t>KPI 8 — Avoided deforestation methodology:</w:t>
      </w:r>
      <w:r w:rsidRPr="003600EF">
        <w:rPr>
          <w:rFonts w:cs="Arial"/>
          <w:color w:val="212121"/>
          <w:sz w:val="22"/>
          <w:szCs w:val="22"/>
        </w:rPr>
        <w:t xml:space="preserve"> </w:t>
      </w:r>
      <w:r w:rsidRPr="003600EF" w:rsidR="00936E45">
        <w:rPr>
          <w:rFonts w:cs="Arial"/>
          <w:color w:val="212121"/>
          <w:sz w:val="22"/>
          <w:szCs w:val="22"/>
        </w:rPr>
        <w:t xml:space="preserve">The most significant </w:t>
      </w:r>
      <w:proofErr w:type="spellStart"/>
      <w:r w:rsidRPr="003600EF" w:rsidR="00936E45">
        <w:rPr>
          <w:rFonts w:cs="Arial"/>
          <w:color w:val="212121"/>
          <w:sz w:val="22"/>
          <w:szCs w:val="22"/>
        </w:rPr>
        <w:t>logframe</w:t>
      </w:r>
      <w:proofErr w:type="spellEnd"/>
      <w:r w:rsidRPr="003600EF" w:rsidR="00936E45">
        <w:rPr>
          <w:rFonts w:cs="Arial"/>
          <w:color w:val="212121"/>
          <w:sz w:val="22"/>
          <w:szCs w:val="22"/>
        </w:rPr>
        <w:t xml:space="preserve"> change in this review period relates to KPI 8 reporting methodology. A review of FMO's existing approach identified that customers (</w:t>
      </w:r>
      <w:r w:rsidRPr="003600EF" w:rsidR="00330DF1">
        <w:rPr>
          <w:rFonts w:cs="Arial"/>
          <w:color w:val="212121"/>
          <w:sz w:val="22"/>
          <w:szCs w:val="22"/>
        </w:rPr>
        <w:t xml:space="preserve">each fund) </w:t>
      </w:r>
      <w:r w:rsidRPr="003600EF" w:rsidR="00936E45">
        <w:rPr>
          <w:rFonts w:cs="Arial"/>
          <w:color w:val="212121"/>
          <w:sz w:val="22"/>
          <w:szCs w:val="22"/>
        </w:rPr>
        <w:t>had been reporting in a</w:t>
      </w:r>
      <w:r w:rsidRPr="003600EF" w:rsidR="00330DF1">
        <w:rPr>
          <w:rFonts w:cs="Arial"/>
          <w:color w:val="212121"/>
          <w:sz w:val="22"/>
          <w:szCs w:val="22"/>
        </w:rPr>
        <w:t xml:space="preserve"> way that was </w:t>
      </w:r>
      <w:r w:rsidRPr="003600EF" w:rsidR="00936E45">
        <w:rPr>
          <w:rFonts w:cs="Arial"/>
          <w:color w:val="212121"/>
          <w:sz w:val="22"/>
          <w:szCs w:val="22"/>
        </w:rPr>
        <w:t xml:space="preserve">more consistent with KPI17 (total area under sustainable management) than KPI 8 (ecosystem loss </w:t>
      </w:r>
      <w:r w:rsidRPr="003600EF" w:rsidR="00936E45">
        <w:rPr>
          <w:rFonts w:cs="Arial"/>
          <w:i/>
          <w:iCs/>
          <w:color w:val="212121"/>
          <w:sz w:val="22"/>
          <w:szCs w:val="22"/>
        </w:rPr>
        <w:t>avoided</w:t>
      </w:r>
      <w:r w:rsidRPr="003600EF" w:rsidR="00936E45">
        <w:rPr>
          <w:rFonts w:cs="Arial"/>
          <w:color w:val="212121"/>
          <w:sz w:val="22"/>
          <w:szCs w:val="22"/>
        </w:rPr>
        <w:t>).</w:t>
      </w:r>
      <w:r w:rsidRPr="003600EF" w:rsidR="00EF3786">
        <w:rPr>
          <w:rFonts w:cs="Arial"/>
          <w:color w:val="212121"/>
          <w:sz w:val="22"/>
          <w:szCs w:val="22"/>
        </w:rPr>
        <w:t xml:space="preserve"> </w:t>
      </w:r>
    </w:p>
    <w:p w:rsidRPr="003600EF" w:rsidR="00E821F0" w:rsidP="004D5FD5" w:rsidRDefault="00E821F0" w14:paraId="46E0A0C0" w14:textId="77777777">
      <w:pPr>
        <w:jc w:val="both"/>
        <w:rPr>
          <w:rFonts w:cs="Arial"/>
          <w:color w:val="212121"/>
          <w:sz w:val="22"/>
          <w:szCs w:val="22"/>
        </w:rPr>
      </w:pPr>
    </w:p>
    <w:p w:rsidRPr="001B0614" w:rsidR="00CB2873" w:rsidP="004D5FD5" w:rsidRDefault="00EF3786" w14:paraId="63CDC9F3" w14:textId="3DF7C4FF">
      <w:pPr>
        <w:jc w:val="both"/>
        <w:rPr>
          <w:rFonts w:cs="Arial"/>
          <w:color w:val="212121"/>
          <w:sz w:val="22"/>
          <w:szCs w:val="22"/>
        </w:rPr>
      </w:pPr>
      <w:r w:rsidRPr="001B0614">
        <w:rPr>
          <w:rFonts w:cs="Arial"/>
          <w:color w:val="212121"/>
          <w:sz w:val="22"/>
          <w:szCs w:val="22"/>
        </w:rPr>
        <w:t>The fundamental distinction is that KPI 8 requires a counterfactual: customers must demonstrate that deforestation would have occurred in the absence of the investment, by establishing a baseline deforestation rate for the relevant forest type and jurisdiction and calculating the area preserved relative to that credible counterfactual trajectory, where the retained habitat also remains in a functioning, non-degraded state.</w:t>
      </w:r>
      <w:r w:rsidRPr="001B0614" w:rsidR="00C33589">
        <w:rPr>
          <w:rFonts w:cs="Arial"/>
          <w:color w:val="212121"/>
          <w:sz w:val="22"/>
          <w:szCs w:val="22"/>
        </w:rPr>
        <w:t xml:space="preserve"> Without this, reported figures risk including land that was never meaningfully at risk of conversion, materially overstating avoided deforestation impact.</w:t>
      </w:r>
      <w:r w:rsidRPr="001B0614" w:rsidR="00C56364">
        <w:rPr>
          <w:rFonts w:cs="Arial"/>
          <w:color w:val="212121"/>
          <w:sz w:val="22"/>
          <w:szCs w:val="22"/>
        </w:rPr>
        <w:t xml:space="preserve"> In practice, this methodology will not be applicable to all MFF investments, particularly fund structures where the underlying pipeline is not fully known at the point of first reporting, and any counterfactual assessment involves inherent uncertainty. IFU and FMO will work together to identify which investees can meaningfully report against this indicator, with coverage and limitations set out transparently in future reviews. </w:t>
      </w:r>
      <w:r w:rsidRPr="001B0614" w:rsidR="00C33589">
        <w:rPr>
          <w:rFonts w:cs="Arial"/>
          <w:color w:val="212121"/>
          <w:sz w:val="22"/>
          <w:szCs w:val="22"/>
        </w:rPr>
        <w:t xml:space="preserve"> This explains why the 2025 reported KPI 8 figure (3.185 million ha) is expected to reduce significantly in future reporting cycles as the revised methodology is applied, in one early projection, available data for only two funds under the revised approach totalled approximately 21,000 ha, compared to millions under the legacy approach</w:t>
      </w:r>
      <w:r w:rsidRPr="001B0614" w:rsidR="00E64B46">
        <w:rPr>
          <w:rFonts w:cs="Arial"/>
          <w:color w:val="212121"/>
          <w:sz w:val="22"/>
          <w:szCs w:val="22"/>
        </w:rPr>
        <w:t>.</w:t>
      </w:r>
    </w:p>
    <w:p w:rsidRPr="003600EF" w:rsidR="00E64B46" w:rsidP="004D5FD5" w:rsidRDefault="00E64B46" w14:paraId="3BAA2DB8" w14:textId="77777777">
      <w:pPr>
        <w:jc w:val="both"/>
        <w:rPr>
          <w:rFonts w:cs="Arial"/>
          <w:color w:val="212121"/>
          <w:sz w:val="22"/>
          <w:szCs w:val="22"/>
          <w:lang w:val="en" w:eastAsia="en-GB"/>
        </w:rPr>
      </w:pPr>
    </w:p>
    <w:p w:rsidRPr="003600EF" w:rsidR="002108CD" w:rsidRDefault="002108CD" w14:paraId="6AE73666" w14:textId="77777777">
      <w:pPr>
        <w:jc w:val="both"/>
        <w:rPr>
          <w:color w:val="212121"/>
          <w:kern w:val="2"/>
          <w:lang w:eastAsia="en-GB"/>
          <w14:ligatures w14:val="standardContextual"/>
        </w:rPr>
      </w:pPr>
      <w:r w:rsidRPr="003600EF">
        <w:rPr>
          <w:color w:val="212121"/>
          <w:sz w:val="22"/>
          <w:szCs w:val="22"/>
          <w:lang w:val="en"/>
        </w:rPr>
        <w:t xml:space="preserve">FMO and DESNZ have agreed </w:t>
      </w:r>
      <w:r w:rsidRPr="003600EF">
        <w:rPr>
          <w:color w:val="212121"/>
          <w:sz w:val="22"/>
          <w:szCs w:val="22"/>
        </w:rPr>
        <w:t>that: (a) FMO will require customers to provide a one-off methodological note in the first year of reporting, explaining how their KPI 8 figure is calculated against a credible counterfactual; (b) only the annual hectares figure is required in subsequent years; (c) alternative methodologies are acceptable provided the rationale is documented; and (d) disaggregation by ecosystem type, pressure removed and ecosystem condition will be requested on a best-endeavours basis in the initial note and assessed through MFF's evaluation function rather than through routine reporting. FMO will provide revised guidance in customer (investment fund) contracts from 2026.</w:t>
      </w:r>
    </w:p>
    <w:p w:rsidRPr="003600EF" w:rsidR="00227DDB" w:rsidP="004D5FD5" w:rsidRDefault="00227DDB" w14:paraId="4A873353" w14:textId="77777777">
      <w:pPr>
        <w:jc w:val="both"/>
        <w:rPr>
          <w:rFonts w:cs="Arial"/>
          <w:color w:val="212121"/>
          <w:sz w:val="22"/>
          <w:szCs w:val="22"/>
          <w:lang w:val="en" w:eastAsia="en-GB"/>
        </w:rPr>
      </w:pPr>
    </w:p>
    <w:p w:rsidRPr="003600EF" w:rsidR="00227DDB" w:rsidP="004D5FD5" w:rsidRDefault="00227DDB" w14:paraId="14574559" w14:textId="463B7A3B">
      <w:pPr>
        <w:jc w:val="both"/>
        <w:rPr>
          <w:rFonts w:cs="Arial"/>
          <w:b/>
          <w:bCs/>
          <w:color w:val="212121"/>
          <w:sz w:val="22"/>
          <w:szCs w:val="22"/>
          <w:lang w:eastAsia="en-GB"/>
        </w:rPr>
      </w:pPr>
      <w:r w:rsidRPr="003600EF">
        <w:rPr>
          <w:rFonts w:cs="Arial"/>
          <w:b/>
          <w:bCs/>
          <w:color w:val="212121"/>
          <w:sz w:val="22"/>
          <w:szCs w:val="22"/>
          <w:lang w:eastAsia="en-GB"/>
        </w:rPr>
        <w:t>As a result of this change, KPI 8 reported figures are expected to reduce significantly from 2026 onwards as the revised methodology is applied.</w:t>
      </w:r>
      <w:r w:rsidRPr="003600EF" w:rsidR="001247CB">
        <w:rPr>
          <w:rFonts w:cs="Arial"/>
          <w:b/>
          <w:bCs/>
          <w:color w:val="212121"/>
          <w:sz w:val="22"/>
          <w:szCs w:val="22"/>
          <w:lang w:eastAsia="en-GB"/>
        </w:rPr>
        <w:t xml:space="preserve"> It should be noted that this is a data quality improvement and does not imply a deterioration in programme impact.</w:t>
      </w:r>
    </w:p>
    <w:p w:rsidRPr="003600EF" w:rsidR="0064782A" w:rsidP="004D5FD5" w:rsidRDefault="0064782A" w14:paraId="1D931CF1" w14:textId="77777777">
      <w:pPr>
        <w:jc w:val="both"/>
        <w:rPr>
          <w:rFonts w:cs="Arial"/>
          <w:b/>
          <w:bCs/>
          <w:color w:val="212121"/>
          <w:sz w:val="22"/>
          <w:szCs w:val="22"/>
          <w:lang w:val="en" w:eastAsia="en-GB"/>
        </w:rPr>
      </w:pPr>
    </w:p>
    <w:p w:rsidRPr="003600EF" w:rsidR="0064782A" w:rsidP="004D5FD5" w:rsidRDefault="0064782A" w14:paraId="1E990311" w14:textId="77777777">
      <w:pPr>
        <w:jc w:val="both"/>
        <w:rPr>
          <w:rFonts w:cs="Arial"/>
          <w:color w:val="212121"/>
          <w:sz w:val="22"/>
          <w:szCs w:val="22"/>
          <w:lang w:eastAsia="en-GB"/>
        </w:rPr>
      </w:pPr>
      <w:r w:rsidRPr="003600EF">
        <w:rPr>
          <w:rFonts w:cs="Arial"/>
          <w:color w:val="212121"/>
          <w:sz w:val="22"/>
          <w:szCs w:val="22"/>
          <w:u w:val="single"/>
          <w:lang w:eastAsia="en-GB"/>
        </w:rPr>
        <w:t>Technical corrections and explainer updates:</w:t>
      </w:r>
      <w:r w:rsidRPr="003600EF">
        <w:rPr>
          <w:rFonts w:cs="Arial"/>
          <w:color w:val="212121"/>
          <w:sz w:val="22"/>
          <w:szCs w:val="22"/>
          <w:lang w:eastAsia="en-GB"/>
        </w:rPr>
        <w:t xml:space="preserve"> FMO has updated the </w:t>
      </w:r>
      <w:proofErr w:type="spellStart"/>
      <w:r w:rsidRPr="003600EF">
        <w:rPr>
          <w:rFonts w:cs="Arial"/>
          <w:color w:val="212121"/>
          <w:sz w:val="22"/>
          <w:szCs w:val="22"/>
          <w:lang w:eastAsia="en-GB"/>
        </w:rPr>
        <w:t>logframe</w:t>
      </w:r>
      <w:proofErr w:type="spellEnd"/>
      <w:r w:rsidRPr="003600EF">
        <w:rPr>
          <w:rFonts w:cs="Arial"/>
          <w:color w:val="212121"/>
          <w:sz w:val="22"/>
          <w:szCs w:val="22"/>
          <w:lang w:eastAsia="en-GB"/>
        </w:rPr>
        <w:t xml:space="preserve"> explainers to clarify the "snapshot" approach for KPIs 17, 8 and jobs (i.e. these are point-in-time measures, not cumulative flows), consistent with prior AR24 agreements. The geographic classification for </w:t>
      </w:r>
      <w:proofErr w:type="spellStart"/>
      <w:r w:rsidRPr="003600EF">
        <w:rPr>
          <w:rFonts w:cs="Arial"/>
          <w:color w:val="212121"/>
          <w:sz w:val="22"/>
          <w:szCs w:val="22"/>
          <w:lang w:eastAsia="en-GB"/>
        </w:rPr>
        <w:t>EcoEnterprises</w:t>
      </w:r>
      <w:proofErr w:type="spellEnd"/>
      <w:r w:rsidRPr="003600EF">
        <w:rPr>
          <w:rFonts w:cs="Arial"/>
          <w:color w:val="212121"/>
          <w:sz w:val="22"/>
          <w:szCs w:val="22"/>
          <w:lang w:eastAsia="en-GB"/>
        </w:rPr>
        <w:t xml:space="preserve"> Fund IV has been corrected from "Caribbean" to Colombia, Peru, Brazil, Paraguay, Ecuador. Two outstanding methodological questions: whether to include DC investee results in HMG results collection, and how to treat the results from businesses that go bankrupt, have been flagged for resolution after this annual review.</w:t>
      </w:r>
    </w:p>
    <w:p w:rsidRPr="003600EF" w:rsidR="000B1CF0" w:rsidP="004D5FD5" w:rsidRDefault="000B1CF0" w14:paraId="39CE5A3E" w14:textId="77777777">
      <w:pPr>
        <w:jc w:val="both"/>
        <w:rPr>
          <w:rFonts w:cs="Arial"/>
          <w:color w:val="212121"/>
          <w:sz w:val="22"/>
          <w:szCs w:val="22"/>
          <w:lang w:eastAsia="en-GB"/>
        </w:rPr>
      </w:pPr>
    </w:p>
    <w:p w:rsidR="00784BC2" w:rsidRDefault="00784BC2" w14:paraId="73016711" w14:textId="77777777">
      <w:pPr>
        <w:jc w:val="both"/>
        <w:rPr>
          <w:kern w:val="2"/>
          <w:lang w:eastAsia="en-GB"/>
          <w14:ligatures w14:val="standardContextual"/>
        </w:rPr>
      </w:pPr>
      <w:r>
        <w:rPr>
          <w:color w:val="212121"/>
          <w:sz w:val="22"/>
          <w:szCs w:val="22"/>
        </w:rPr>
        <w:t xml:space="preserve">Removing TA KPI 2 – Previously </w:t>
      </w:r>
      <w:r>
        <w:rPr>
          <w:color w:val="212121"/>
          <w:sz w:val="22"/>
          <w:szCs w:val="22"/>
          <w:lang w:val="en-US"/>
        </w:rPr>
        <w:t xml:space="preserve">the number of unique participants of LCIP events, provided through ICF beneficiary reporting (Output Indicator 3.3) has been used to report TA KPI 2.1. However, </w:t>
      </w:r>
      <w:r>
        <w:rPr>
          <w:color w:val="212121"/>
          <w:sz w:val="22"/>
          <w:szCs w:val="22"/>
        </w:rPr>
        <w:t>it has been identified that this approach does not align with the ICF TA KPI 2 methodology. ICF KPIs should only capture ODA eligible beneficiaries of direct and targeted support.</w:t>
      </w:r>
    </w:p>
    <w:p w:rsidRPr="003600EF" w:rsidR="0007203F" w:rsidP="0007203F" w:rsidRDefault="00F72145" w14:paraId="0C39167B" w14:textId="512A79F8">
      <w:pPr>
        <w:jc w:val="both"/>
        <w:rPr>
          <w:rFonts w:cs="Arial"/>
          <w:color w:val="212121"/>
          <w:sz w:val="22"/>
          <w:szCs w:val="22"/>
          <w:lang w:eastAsia="en-GB"/>
        </w:rPr>
      </w:pPr>
      <w:r w:rsidRPr="003600EF">
        <w:rPr>
          <w:rFonts w:cs="Arial"/>
          <w:color w:val="212121"/>
          <w:sz w:val="22"/>
          <w:szCs w:val="22"/>
          <w:lang w:eastAsia="en-GB"/>
        </w:rPr>
        <w:t>While</w:t>
      </w:r>
      <w:r w:rsidRPr="003600EF" w:rsidR="0007203F">
        <w:rPr>
          <w:rFonts w:cs="Arial"/>
          <w:color w:val="212121"/>
          <w:sz w:val="22"/>
          <w:szCs w:val="22"/>
          <w:lang w:eastAsia="en-GB"/>
        </w:rPr>
        <w:t xml:space="preserve"> TA provided through LCIP events </w:t>
      </w:r>
      <w:r w:rsidRPr="003600EF" w:rsidR="00615B46">
        <w:rPr>
          <w:rFonts w:cs="Arial"/>
          <w:color w:val="212121"/>
          <w:sz w:val="22"/>
          <w:szCs w:val="22"/>
          <w:lang w:eastAsia="en-GB"/>
        </w:rPr>
        <w:t xml:space="preserve">supports </w:t>
      </w:r>
      <w:r w:rsidRPr="003600EF" w:rsidR="0007203F">
        <w:rPr>
          <w:rFonts w:cs="Arial"/>
          <w:color w:val="212121"/>
          <w:sz w:val="22"/>
          <w:szCs w:val="22"/>
          <w:lang w:eastAsia="en-GB"/>
        </w:rPr>
        <w:t>ODA objectives, ODA-eligible individuals</w:t>
      </w:r>
      <w:r w:rsidRPr="003600EF" w:rsidR="0077473F">
        <w:rPr>
          <w:rFonts w:cs="Arial"/>
          <w:color w:val="212121"/>
          <w:sz w:val="22"/>
          <w:szCs w:val="22"/>
          <w:lang w:eastAsia="en-GB"/>
        </w:rPr>
        <w:t xml:space="preserve"> (i.e. local farming communities)</w:t>
      </w:r>
      <w:r w:rsidRPr="003600EF" w:rsidR="0007203F">
        <w:rPr>
          <w:rFonts w:cs="Arial"/>
          <w:color w:val="212121"/>
          <w:sz w:val="22"/>
          <w:szCs w:val="22"/>
          <w:lang w:eastAsia="en-GB"/>
        </w:rPr>
        <w:t xml:space="preserve"> are the </w:t>
      </w:r>
      <w:r w:rsidRPr="003600EF" w:rsidR="0007203F">
        <w:rPr>
          <w:rFonts w:cs="Arial"/>
          <w:i/>
          <w:iCs/>
          <w:color w:val="212121"/>
          <w:sz w:val="22"/>
          <w:szCs w:val="22"/>
          <w:u w:val="single"/>
          <w:lang w:eastAsia="en-GB"/>
        </w:rPr>
        <w:t>indirect</w:t>
      </w:r>
      <w:r w:rsidRPr="003600EF" w:rsidR="0007203F">
        <w:rPr>
          <w:rFonts w:cs="Arial"/>
          <w:color w:val="212121"/>
          <w:sz w:val="22"/>
          <w:szCs w:val="22"/>
          <w:lang w:eastAsia="en-GB"/>
        </w:rPr>
        <w:t> recipients of the TA. The direct recipients of this support are the private investor stakeholders and fund managers</w:t>
      </w:r>
      <w:r w:rsidRPr="003600EF" w:rsidR="00307002">
        <w:rPr>
          <w:rFonts w:cs="Arial"/>
          <w:color w:val="212121"/>
          <w:sz w:val="22"/>
          <w:szCs w:val="22"/>
          <w:lang w:eastAsia="en-GB"/>
        </w:rPr>
        <w:t>. We do not have data to show that the direct beneficiaries are from ODA countries, however</w:t>
      </w:r>
      <w:r w:rsidRPr="003600EF" w:rsidR="004433D5">
        <w:rPr>
          <w:rFonts w:cs="Arial"/>
          <w:color w:val="212121"/>
          <w:sz w:val="22"/>
          <w:szCs w:val="22"/>
          <w:lang w:eastAsia="en-GB"/>
        </w:rPr>
        <w:t xml:space="preserve"> </w:t>
      </w:r>
      <w:r w:rsidRPr="003600EF" w:rsidR="00791BD8">
        <w:rPr>
          <w:rFonts w:cs="Arial"/>
          <w:color w:val="212121"/>
          <w:sz w:val="22"/>
          <w:szCs w:val="22"/>
          <w:lang w:eastAsia="en-GB"/>
        </w:rPr>
        <w:t>they</w:t>
      </w:r>
      <w:r w:rsidRPr="003600EF" w:rsidR="004433D5">
        <w:rPr>
          <w:rFonts w:cs="Arial"/>
          <w:color w:val="212121"/>
          <w:sz w:val="22"/>
          <w:szCs w:val="22"/>
          <w:lang w:eastAsia="en-GB"/>
        </w:rPr>
        <w:t xml:space="preserve"> are likely from non-ODA countries</w:t>
      </w:r>
      <w:r w:rsidRPr="003600EF" w:rsidR="0077473F">
        <w:rPr>
          <w:rFonts w:cs="Arial"/>
          <w:color w:val="212121"/>
          <w:sz w:val="22"/>
          <w:szCs w:val="22"/>
          <w:lang w:eastAsia="en-GB"/>
        </w:rPr>
        <w:t>.</w:t>
      </w:r>
      <w:r w:rsidRPr="003600EF" w:rsidR="00791BD8">
        <w:rPr>
          <w:rFonts w:cs="Arial"/>
          <w:color w:val="212121"/>
          <w:sz w:val="22"/>
          <w:szCs w:val="22"/>
          <w:lang w:eastAsia="en-GB"/>
        </w:rPr>
        <w:t xml:space="preserve"> T</w:t>
      </w:r>
      <w:r w:rsidRPr="003600EF" w:rsidR="0040686C">
        <w:rPr>
          <w:rFonts w:cs="Arial"/>
          <w:color w:val="212121"/>
          <w:sz w:val="22"/>
          <w:szCs w:val="22"/>
          <w:lang w:eastAsia="en-GB"/>
        </w:rPr>
        <w:t xml:space="preserve">herefore </w:t>
      </w:r>
      <w:r w:rsidRPr="003600EF" w:rsidR="002F237E">
        <w:rPr>
          <w:rFonts w:cs="Arial"/>
          <w:color w:val="212121"/>
          <w:sz w:val="22"/>
          <w:szCs w:val="22"/>
          <w:lang w:eastAsia="en-GB"/>
        </w:rPr>
        <w:t xml:space="preserve">TA KPI 2.1 has not been </w:t>
      </w:r>
      <w:r w:rsidRPr="003600EF" w:rsidR="00CE4CA9">
        <w:rPr>
          <w:rFonts w:cs="Arial"/>
          <w:color w:val="212121"/>
          <w:sz w:val="22"/>
          <w:szCs w:val="22"/>
          <w:lang w:eastAsia="en-GB"/>
        </w:rPr>
        <w:t>reported this year</w:t>
      </w:r>
      <w:r w:rsidRPr="003600EF" w:rsidR="00791BD8">
        <w:rPr>
          <w:rFonts w:cs="Arial"/>
          <w:color w:val="212121"/>
          <w:sz w:val="22"/>
          <w:szCs w:val="22"/>
          <w:lang w:eastAsia="en-GB"/>
        </w:rPr>
        <w:t xml:space="preserve"> and will not be reported for the foreseeable unless the method is updated.</w:t>
      </w:r>
    </w:p>
    <w:p w:rsidRPr="003600EF" w:rsidR="00791BD8" w:rsidP="0007203F" w:rsidRDefault="00791BD8" w14:paraId="4E9AADB0" w14:textId="77777777">
      <w:pPr>
        <w:jc w:val="both"/>
        <w:rPr>
          <w:rFonts w:cs="Arial"/>
          <w:color w:val="212121"/>
          <w:sz w:val="22"/>
          <w:szCs w:val="22"/>
          <w:lang w:eastAsia="en-GB"/>
        </w:rPr>
      </w:pPr>
    </w:p>
    <w:p w:rsidR="00784BC2" w:rsidRDefault="00784BC2" w14:paraId="194AE28C" w14:textId="77777777">
      <w:pPr>
        <w:jc w:val="both"/>
        <w:rPr>
          <w:kern w:val="2"/>
          <w:lang w:eastAsia="en-GB"/>
          <w14:ligatures w14:val="standardContextual"/>
        </w:rPr>
      </w:pPr>
      <w:r>
        <w:rPr>
          <w:b/>
          <w:bCs/>
          <w:color w:val="212121"/>
          <w:sz w:val="22"/>
          <w:szCs w:val="22"/>
        </w:rPr>
        <w:t xml:space="preserve">This does not have major implications for the MFF </w:t>
      </w:r>
      <w:proofErr w:type="spellStart"/>
      <w:r>
        <w:rPr>
          <w:b/>
          <w:bCs/>
          <w:color w:val="212121"/>
          <w:sz w:val="22"/>
          <w:szCs w:val="22"/>
        </w:rPr>
        <w:t>logframe</w:t>
      </w:r>
      <w:proofErr w:type="spellEnd"/>
      <w:r>
        <w:rPr>
          <w:b/>
          <w:bCs/>
          <w:color w:val="212121"/>
          <w:sz w:val="22"/>
          <w:szCs w:val="22"/>
        </w:rPr>
        <w:t>, other than ‘(TA KPI 2)’ should be removed from the ‘Output Indicator 3.3’.</w:t>
      </w:r>
    </w:p>
    <w:p w:rsidRPr="003600EF" w:rsidR="0007203F" w:rsidP="004D5FD5" w:rsidRDefault="0007203F" w14:paraId="0919E565" w14:textId="77777777">
      <w:pPr>
        <w:jc w:val="both"/>
        <w:rPr>
          <w:rFonts w:cs="Arial"/>
          <w:color w:val="212121"/>
          <w:sz w:val="22"/>
          <w:szCs w:val="22"/>
          <w:lang w:eastAsia="en-GB"/>
        </w:rPr>
      </w:pPr>
    </w:p>
    <w:p w:rsidRPr="003600EF" w:rsidR="0007203F" w:rsidP="004D5FD5" w:rsidRDefault="0007203F" w14:paraId="30C353AE" w14:textId="77777777">
      <w:pPr>
        <w:jc w:val="both"/>
        <w:rPr>
          <w:rFonts w:cs="Arial"/>
          <w:color w:val="212121"/>
          <w:sz w:val="22"/>
          <w:szCs w:val="22"/>
          <w:lang w:eastAsia="en-GB"/>
        </w:rPr>
      </w:pPr>
    </w:p>
    <w:p w:rsidRPr="003600EF" w:rsidR="0064782A" w:rsidP="004D5FD5" w:rsidRDefault="0064782A" w14:paraId="05E62A45" w14:textId="77777777">
      <w:pPr>
        <w:jc w:val="both"/>
        <w:rPr>
          <w:rFonts w:cs="Arial"/>
          <w:color w:val="212121"/>
          <w:sz w:val="22"/>
          <w:szCs w:val="22"/>
          <w:lang w:val="en" w:eastAsia="en-GB"/>
        </w:rPr>
      </w:pPr>
    </w:p>
    <w:tbl>
      <w:tblPr>
        <w:tblStyle w:val="TableGrid"/>
        <w:tblW w:w="0" w:type="auto"/>
        <w:tblLook w:val="04A0" w:firstRow="1" w:lastRow="0" w:firstColumn="1" w:lastColumn="0" w:noHBand="0" w:noVBand="1"/>
      </w:tblPr>
      <w:tblGrid>
        <w:gridCol w:w="9016"/>
      </w:tblGrid>
      <w:tr w:rsidRPr="001B0614" w:rsidR="006100E3" w:rsidTr="527A8EFF" w14:paraId="13F66B93" w14:textId="77777777">
        <w:tc>
          <w:tcPr>
            <w:tcW w:w="9016" w:type="dxa"/>
            <w:shd w:val="clear" w:color="auto" w:fill="DEEAF6" w:themeFill="accent5" w:themeFillTint="33"/>
          </w:tcPr>
          <w:p w:rsidRPr="003600EF" w:rsidR="00CB2873" w:rsidP="004D5FD5" w:rsidRDefault="00CB2873" w14:paraId="3D58D529" w14:textId="64D4464B">
            <w:pPr>
              <w:jc w:val="both"/>
              <w:rPr>
                <w:color w:val="212121"/>
              </w:rPr>
            </w:pPr>
            <w:bookmarkStart w:name="_Toc227234246" w:id="12"/>
            <w:r w:rsidRPr="003600EF">
              <w:rPr>
                <w:rStyle w:val="Heading1Char"/>
                <w:rFonts w:ascii="Arial" w:hAnsi="Arial" w:cs="Arial"/>
                <w:b/>
                <w:bCs/>
                <w:color w:val="212121"/>
              </w:rPr>
              <w:t xml:space="preserve">Section C: Output </w:t>
            </w:r>
            <w:r w:rsidRPr="003600EF" w:rsidR="4FB023D7">
              <w:rPr>
                <w:rStyle w:val="Heading1Char"/>
                <w:rFonts w:ascii="Arial" w:hAnsi="Arial" w:cs="Arial"/>
                <w:b/>
                <w:bCs/>
                <w:color w:val="212121"/>
              </w:rPr>
              <w:t>s</w:t>
            </w:r>
            <w:r w:rsidRPr="003600EF">
              <w:rPr>
                <w:rStyle w:val="Heading1Char"/>
                <w:rFonts w:ascii="Arial" w:hAnsi="Arial" w:cs="Arial"/>
                <w:b/>
                <w:bCs/>
                <w:color w:val="212121"/>
              </w:rPr>
              <w:t>coring</w:t>
            </w:r>
            <w:bookmarkEnd w:id="12"/>
          </w:p>
        </w:tc>
      </w:tr>
    </w:tbl>
    <w:p w:rsidRPr="003600EF" w:rsidR="003D222C" w:rsidP="004D5FD5" w:rsidRDefault="003D222C" w14:paraId="169A4749" w14:textId="77777777">
      <w:pPr>
        <w:jc w:val="both"/>
        <w:rPr>
          <w:rFonts w:cs="Arial"/>
          <w:color w:val="212121"/>
          <w:sz w:val="22"/>
          <w:szCs w:val="22"/>
          <w:lang w:val="en" w:eastAsia="en-GB"/>
        </w:rPr>
      </w:pPr>
    </w:p>
    <w:p w:rsidRPr="003600EF" w:rsidR="00953846" w:rsidP="004D5FD5" w:rsidRDefault="00953846" w14:paraId="452661DA" w14:textId="0B4F7061">
      <w:pPr>
        <w:pStyle w:val="Heading2"/>
        <w:jc w:val="both"/>
        <w:rPr>
          <w:color w:val="212121"/>
          <w:sz w:val="24"/>
          <w:szCs w:val="24"/>
        </w:rPr>
      </w:pPr>
      <w:bookmarkStart w:name="_Toc227234247" w:id="13"/>
      <w:r w:rsidRPr="003600EF">
        <w:rPr>
          <w:color w:val="212121"/>
        </w:rPr>
        <w:t xml:space="preserve">Output 1: </w:t>
      </w:r>
      <w:r w:rsidRPr="003600EF" w:rsidR="00D614B9">
        <w:rPr>
          <w:color w:val="212121"/>
        </w:rPr>
        <w:t>Development Contributions</w:t>
      </w:r>
      <w:bookmarkEnd w:id="13"/>
    </w:p>
    <w:p w:rsidRPr="003600EF" w:rsidR="00C22C27" w:rsidP="004D5FD5" w:rsidRDefault="00C22C27" w14:paraId="055FDF8F" w14:textId="77777777">
      <w:pPr>
        <w:jc w:val="both"/>
        <w:rPr>
          <w:rFonts w:cs="Arial"/>
          <w:color w:val="212121"/>
          <w:sz w:val="22"/>
          <w:szCs w:val="22"/>
        </w:rPr>
      </w:pPr>
    </w:p>
    <w:tbl>
      <w:tblPr>
        <w:tblStyle w:val="TableGrid"/>
        <w:tblW w:w="9072" w:type="dxa"/>
        <w:tblInd w:w="-5" w:type="dxa"/>
        <w:tblLook w:val="04A0" w:firstRow="1" w:lastRow="0" w:firstColumn="1" w:lastColumn="0" w:noHBand="0" w:noVBand="1"/>
      </w:tblPr>
      <w:tblGrid>
        <w:gridCol w:w="2576"/>
        <w:gridCol w:w="1146"/>
        <w:gridCol w:w="2707"/>
        <w:gridCol w:w="2643"/>
      </w:tblGrid>
      <w:tr w:rsidRPr="001B0614" w:rsidR="00827DDC" w:rsidTr="00456ECF" w14:paraId="2102EB17" w14:textId="77777777">
        <w:trPr>
          <w:trHeight w:val="489"/>
        </w:trPr>
        <w:tc>
          <w:tcPr>
            <w:tcW w:w="257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456ECF" w:rsidP="00456ECF" w:rsidRDefault="00456ECF" w14:paraId="5AEFA04E" w14:textId="77777777">
            <w:pPr>
              <w:pStyle w:val="Heading2"/>
              <w:jc w:val="both"/>
              <w:rPr>
                <w:color w:val="212121"/>
                <w:sz w:val="24"/>
                <w:szCs w:val="24"/>
              </w:rPr>
            </w:pPr>
            <w:r w:rsidRPr="003600EF">
              <w:rPr>
                <w:color w:val="212121"/>
              </w:rPr>
              <w:t>Output 1: Development Contributions</w:t>
            </w:r>
          </w:p>
          <w:p w:rsidRPr="003600EF" w:rsidR="003D222C" w:rsidP="004D5FD5" w:rsidRDefault="003D222C" w14:paraId="1A85D6B2" w14:textId="3E99A7ED">
            <w:pPr>
              <w:jc w:val="both"/>
              <w:rPr>
                <w:rFonts w:cs="Arial"/>
                <w:b/>
                <w:bCs/>
                <w:color w:val="212121"/>
                <w:sz w:val="22"/>
                <w:szCs w:val="22"/>
              </w:rPr>
            </w:pPr>
          </w:p>
        </w:tc>
        <w:tc>
          <w:tcPr>
            <w:tcW w:w="6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3600EF" w:rsidR="003D222C" w:rsidP="004D5FD5" w:rsidRDefault="00D614B9" w14:paraId="1B8A3AEA" w14:textId="6F715F4C">
            <w:pPr>
              <w:jc w:val="both"/>
              <w:rPr>
                <w:rFonts w:cs="Arial"/>
                <w:bCs/>
                <w:i/>
                <w:color w:val="212121"/>
                <w:sz w:val="22"/>
                <w:szCs w:val="22"/>
              </w:rPr>
            </w:pPr>
            <w:r w:rsidRPr="003600EF">
              <w:rPr>
                <w:rFonts w:cs="Arial"/>
                <w:color w:val="212121"/>
                <w:sz w:val="22"/>
                <w:szCs w:val="22"/>
              </w:rPr>
              <w:t>The programme increases the number of projects in the sustainable forestry and land use sector that can reach a bankable stage from an economic, environmental and social perspective, and become part of its investment portfolio through the use of Development Contributions (DC).</w:t>
            </w:r>
          </w:p>
        </w:tc>
      </w:tr>
      <w:tr w:rsidRPr="001B0614" w:rsidR="00146FD2" w:rsidTr="00456ECF" w14:paraId="0CA17513" w14:textId="77777777">
        <w:trPr>
          <w:trHeight w:val="347"/>
        </w:trPr>
        <w:tc>
          <w:tcPr>
            <w:tcW w:w="257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0801A128" w14:textId="77777777">
            <w:pPr>
              <w:jc w:val="both"/>
              <w:rPr>
                <w:rFonts w:cs="Arial"/>
                <w:bCs/>
                <w:color w:val="212121"/>
                <w:sz w:val="22"/>
                <w:szCs w:val="22"/>
              </w:rPr>
            </w:pPr>
            <w:r w:rsidRPr="003600EF">
              <w:rPr>
                <w:rFonts w:cs="Arial"/>
                <w:bCs/>
                <w:color w:val="212121"/>
                <w:sz w:val="22"/>
                <w:szCs w:val="22"/>
              </w:rPr>
              <w:t xml:space="preserve">Output number: </w:t>
            </w:r>
          </w:p>
        </w:tc>
        <w:tc>
          <w:tcPr>
            <w:tcW w:w="1146" w:type="dxa"/>
            <w:tcBorders>
              <w:top w:val="single" w:color="auto" w:sz="4" w:space="0"/>
              <w:left w:val="single" w:color="auto" w:sz="4" w:space="0"/>
              <w:bottom w:val="single" w:color="auto" w:sz="4" w:space="0"/>
              <w:right w:val="single" w:color="auto" w:sz="4" w:space="0"/>
            </w:tcBorders>
          </w:tcPr>
          <w:p w:rsidRPr="003600EF" w:rsidR="003D222C" w:rsidP="004D5FD5" w:rsidRDefault="00456ECF" w14:paraId="4190402A" w14:textId="0930BEE9">
            <w:pPr>
              <w:jc w:val="both"/>
              <w:rPr>
                <w:rFonts w:cs="Arial"/>
                <w:color w:val="212121"/>
                <w:sz w:val="22"/>
                <w:szCs w:val="22"/>
              </w:rPr>
            </w:pPr>
            <w:r>
              <w:rPr>
                <w:rFonts w:cs="Arial"/>
                <w:color w:val="212121"/>
                <w:sz w:val="22"/>
                <w:szCs w:val="22"/>
              </w:rPr>
              <w:t>1</w:t>
            </w:r>
          </w:p>
        </w:tc>
        <w:tc>
          <w:tcPr>
            <w:tcW w:w="270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55FA73C8" w14:textId="77777777">
            <w:pPr>
              <w:jc w:val="both"/>
              <w:rPr>
                <w:rFonts w:cs="Arial"/>
                <w:color w:val="212121"/>
                <w:sz w:val="22"/>
                <w:szCs w:val="22"/>
              </w:rPr>
            </w:pPr>
            <w:r w:rsidRPr="003600EF">
              <w:rPr>
                <w:rFonts w:cs="Arial"/>
                <w:bCs/>
                <w:color w:val="212121"/>
                <w:sz w:val="22"/>
                <w:szCs w:val="22"/>
              </w:rPr>
              <w:t xml:space="preserve">Output Score: </w:t>
            </w:r>
          </w:p>
        </w:tc>
        <w:tc>
          <w:tcPr>
            <w:tcW w:w="2643" w:type="dxa"/>
            <w:tcBorders>
              <w:top w:val="single" w:color="auto" w:sz="4" w:space="0"/>
              <w:left w:val="single" w:color="auto" w:sz="4" w:space="0"/>
              <w:bottom w:val="single" w:color="auto" w:sz="4" w:space="0"/>
              <w:right w:val="single" w:color="auto" w:sz="4" w:space="0"/>
            </w:tcBorders>
          </w:tcPr>
          <w:p w:rsidRPr="003600EF" w:rsidR="003D222C" w:rsidP="004D5FD5" w:rsidRDefault="00D614B9" w14:paraId="0438A869" w14:textId="0196E394">
            <w:pPr>
              <w:jc w:val="both"/>
              <w:rPr>
                <w:rFonts w:cs="Arial"/>
                <w:b/>
                <w:bCs/>
                <w:iCs/>
                <w:color w:val="212121"/>
                <w:sz w:val="22"/>
                <w:szCs w:val="22"/>
              </w:rPr>
            </w:pPr>
            <w:r w:rsidRPr="003600EF">
              <w:rPr>
                <w:rFonts w:cs="Arial"/>
                <w:b/>
                <w:bCs/>
                <w:iCs/>
                <w:color w:val="212121"/>
                <w:sz w:val="22"/>
                <w:szCs w:val="22"/>
              </w:rPr>
              <w:t>A</w:t>
            </w:r>
          </w:p>
        </w:tc>
      </w:tr>
      <w:tr w:rsidRPr="001B0614" w:rsidR="00146FD2" w:rsidTr="00456ECF" w14:paraId="322D9463" w14:textId="77777777">
        <w:trPr>
          <w:trHeight w:val="345"/>
        </w:trPr>
        <w:tc>
          <w:tcPr>
            <w:tcW w:w="2576"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291524D5" w14:textId="77777777">
            <w:pPr>
              <w:jc w:val="both"/>
              <w:rPr>
                <w:rFonts w:cs="Arial"/>
                <w:color w:val="212121"/>
                <w:sz w:val="22"/>
                <w:szCs w:val="22"/>
              </w:rPr>
            </w:pPr>
            <w:r w:rsidRPr="003600EF">
              <w:rPr>
                <w:rFonts w:cs="Arial"/>
                <w:bCs/>
                <w:color w:val="212121"/>
                <w:sz w:val="22"/>
                <w:szCs w:val="22"/>
              </w:rPr>
              <w:t xml:space="preserve">Impact weighting (%):  </w:t>
            </w:r>
          </w:p>
        </w:tc>
        <w:tc>
          <w:tcPr>
            <w:tcW w:w="1146" w:type="dxa"/>
            <w:tcBorders>
              <w:top w:val="single" w:color="auto" w:sz="4" w:space="0"/>
              <w:left w:val="single" w:color="auto" w:sz="4" w:space="0"/>
              <w:bottom w:val="single" w:color="auto" w:sz="4" w:space="0"/>
              <w:right w:val="single" w:color="auto" w:sz="4" w:space="0"/>
            </w:tcBorders>
            <w:hideMark/>
          </w:tcPr>
          <w:p w:rsidRPr="003600EF" w:rsidR="003D222C" w:rsidP="004D5FD5" w:rsidRDefault="00D614B9" w14:paraId="2B32CB6F" w14:textId="6385A5F0">
            <w:pPr>
              <w:jc w:val="both"/>
              <w:rPr>
                <w:rFonts w:cs="Arial"/>
                <w:bCs/>
                <w:color w:val="212121"/>
                <w:sz w:val="22"/>
                <w:szCs w:val="22"/>
              </w:rPr>
            </w:pPr>
            <w:r w:rsidRPr="003600EF">
              <w:rPr>
                <w:rFonts w:cs="Arial"/>
                <w:bCs/>
                <w:color w:val="212121"/>
                <w:sz w:val="22"/>
                <w:szCs w:val="22"/>
              </w:rPr>
              <w:t>25%</w:t>
            </w:r>
          </w:p>
        </w:tc>
        <w:tc>
          <w:tcPr>
            <w:tcW w:w="270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56B322CF" w14:textId="77777777">
            <w:pPr>
              <w:jc w:val="both"/>
              <w:rPr>
                <w:rFonts w:cs="Arial"/>
                <w:bCs/>
                <w:color w:val="212121"/>
                <w:sz w:val="22"/>
                <w:szCs w:val="22"/>
              </w:rPr>
            </w:pPr>
            <w:r w:rsidRPr="003600EF">
              <w:rPr>
                <w:rFonts w:cs="Arial"/>
                <w:bCs/>
                <w:color w:val="212121"/>
                <w:sz w:val="22"/>
                <w:szCs w:val="22"/>
              </w:rPr>
              <w:t xml:space="preserve">Weighting revised since last AR? </w:t>
            </w:r>
          </w:p>
        </w:tc>
        <w:tc>
          <w:tcPr>
            <w:tcW w:w="2643" w:type="dxa"/>
            <w:tcBorders>
              <w:top w:val="single" w:color="auto" w:sz="4" w:space="0"/>
              <w:left w:val="single" w:color="auto" w:sz="4" w:space="0"/>
              <w:bottom w:val="single" w:color="auto" w:sz="4" w:space="0"/>
              <w:right w:val="single" w:color="auto" w:sz="4" w:space="0"/>
            </w:tcBorders>
          </w:tcPr>
          <w:p w:rsidRPr="003600EF" w:rsidR="003D222C" w:rsidP="004D5FD5" w:rsidRDefault="00234FB1" w14:paraId="314B55F6" w14:textId="1E7BECFB">
            <w:pPr>
              <w:jc w:val="both"/>
              <w:rPr>
                <w:rFonts w:cs="Arial"/>
                <w:bCs/>
                <w:color w:val="212121"/>
                <w:sz w:val="22"/>
                <w:szCs w:val="22"/>
              </w:rPr>
            </w:pPr>
            <w:r w:rsidRPr="003600EF">
              <w:rPr>
                <w:rFonts w:cs="Arial"/>
                <w:bCs/>
                <w:color w:val="212121"/>
                <w:sz w:val="22"/>
                <w:szCs w:val="22"/>
              </w:rPr>
              <w:t>No (A 2024)</w:t>
            </w:r>
          </w:p>
        </w:tc>
      </w:tr>
      <w:tr w:rsidRPr="001B0614" w:rsidR="00146FD2" w:rsidTr="00456ECF" w14:paraId="49FF75D8" w14:textId="77777777">
        <w:trPr>
          <w:trHeight w:val="345"/>
        </w:trPr>
        <w:tc>
          <w:tcPr>
            <w:tcW w:w="257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600EF" w:rsidR="003D222C" w:rsidP="004D5FD5" w:rsidRDefault="003D222C" w14:paraId="19A26186" w14:textId="5C0E02AC">
            <w:pPr>
              <w:jc w:val="both"/>
              <w:rPr>
                <w:rFonts w:cs="Arial"/>
                <w:bCs/>
                <w:color w:val="212121"/>
                <w:sz w:val="22"/>
                <w:szCs w:val="22"/>
              </w:rPr>
            </w:pPr>
            <w:r w:rsidRPr="003600EF">
              <w:rPr>
                <w:rFonts w:cs="Arial"/>
                <w:bCs/>
                <w:color w:val="212121"/>
                <w:sz w:val="22"/>
                <w:szCs w:val="22"/>
              </w:rPr>
              <w:t>Risk rating</w:t>
            </w:r>
            <w:r w:rsidRPr="003600EF" w:rsidR="00DB3B57">
              <w:rPr>
                <w:rFonts w:cs="Arial"/>
                <w:bCs/>
                <w:color w:val="212121"/>
                <w:sz w:val="22"/>
                <w:szCs w:val="22"/>
              </w:rPr>
              <w:t>:</w:t>
            </w:r>
          </w:p>
        </w:tc>
        <w:tc>
          <w:tcPr>
            <w:tcW w:w="1146" w:type="dxa"/>
            <w:tcBorders>
              <w:top w:val="single" w:color="auto" w:sz="4" w:space="0"/>
              <w:left w:val="single" w:color="auto" w:sz="4" w:space="0"/>
              <w:bottom w:val="single" w:color="auto" w:sz="4" w:space="0"/>
              <w:right w:val="single" w:color="auto" w:sz="4" w:space="0"/>
            </w:tcBorders>
          </w:tcPr>
          <w:p w:rsidRPr="003600EF" w:rsidR="003D222C" w:rsidP="004D5FD5" w:rsidRDefault="003D20ED" w14:paraId="05841711" w14:textId="6206B407">
            <w:pPr>
              <w:jc w:val="both"/>
              <w:rPr>
                <w:rFonts w:cs="Arial"/>
                <w:bCs/>
                <w:color w:val="212121"/>
                <w:sz w:val="22"/>
                <w:szCs w:val="22"/>
              </w:rPr>
            </w:pPr>
            <w:r w:rsidRPr="003600EF">
              <w:rPr>
                <w:rFonts w:cs="Arial"/>
                <w:bCs/>
                <w:color w:val="212121"/>
                <w:sz w:val="22"/>
                <w:szCs w:val="22"/>
              </w:rPr>
              <w:t>Moderate</w:t>
            </w:r>
          </w:p>
        </w:tc>
        <w:tc>
          <w:tcPr>
            <w:tcW w:w="270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600EF" w:rsidR="003D222C" w:rsidP="004D5FD5" w:rsidRDefault="003D222C" w14:paraId="3775A24C" w14:textId="77777777">
            <w:pPr>
              <w:jc w:val="both"/>
              <w:rPr>
                <w:rFonts w:cs="Arial"/>
                <w:bCs/>
                <w:color w:val="212121"/>
                <w:sz w:val="22"/>
                <w:szCs w:val="22"/>
              </w:rPr>
            </w:pPr>
            <w:r w:rsidRPr="003600EF">
              <w:rPr>
                <w:rFonts w:cs="Arial"/>
                <w:bCs/>
                <w:color w:val="212121"/>
                <w:sz w:val="22"/>
                <w:szCs w:val="22"/>
              </w:rPr>
              <w:t>Risk revised since last AR?</w:t>
            </w:r>
          </w:p>
        </w:tc>
        <w:tc>
          <w:tcPr>
            <w:tcW w:w="2643" w:type="dxa"/>
            <w:tcBorders>
              <w:top w:val="single" w:color="auto" w:sz="4" w:space="0"/>
              <w:left w:val="single" w:color="auto" w:sz="4" w:space="0"/>
              <w:bottom w:val="single" w:color="auto" w:sz="4" w:space="0"/>
              <w:right w:val="single" w:color="auto" w:sz="4" w:space="0"/>
            </w:tcBorders>
          </w:tcPr>
          <w:p w:rsidRPr="003600EF" w:rsidR="003D222C" w:rsidP="004D5FD5" w:rsidRDefault="00BA10F7" w14:paraId="36DFFD26" w14:textId="14FBF499">
            <w:pPr>
              <w:jc w:val="both"/>
              <w:rPr>
                <w:rFonts w:cs="Arial"/>
                <w:bCs/>
                <w:color w:val="212121"/>
                <w:sz w:val="22"/>
                <w:szCs w:val="22"/>
              </w:rPr>
            </w:pPr>
            <w:r w:rsidRPr="003600EF">
              <w:rPr>
                <w:rFonts w:cs="Arial"/>
                <w:bCs/>
                <w:color w:val="212121"/>
                <w:sz w:val="22"/>
                <w:szCs w:val="22"/>
              </w:rPr>
              <w:t>No</w:t>
            </w:r>
          </w:p>
        </w:tc>
      </w:tr>
    </w:tbl>
    <w:p w:rsidRPr="003600EF" w:rsidR="003D222C" w:rsidP="004D5FD5" w:rsidRDefault="003D222C" w14:paraId="6858AD8B" w14:textId="77777777">
      <w:pPr>
        <w:jc w:val="both"/>
        <w:rPr>
          <w:rFonts w:cs="Arial"/>
          <w:b/>
          <w:color w:val="212121"/>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174"/>
        <w:gridCol w:w="1500"/>
        <w:gridCol w:w="4393"/>
      </w:tblGrid>
      <w:tr w:rsidRPr="001B0614" w:rsidR="00A969F9" w:rsidTr="002319E7" w14:paraId="2C0E4C57" w14:textId="77777777">
        <w:trPr>
          <w:trHeight w:val="273"/>
        </w:trPr>
        <w:tc>
          <w:tcPr>
            <w:tcW w:w="3174"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2D0691AD" w14:textId="77777777">
            <w:pPr>
              <w:jc w:val="both"/>
              <w:rPr>
                <w:rFonts w:cs="Arial"/>
                <w:b/>
                <w:bCs/>
                <w:color w:val="212121"/>
                <w:sz w:val="22"/>
                <w:szCs w:val="22"/>
              </w:rPr>
            </w:pPr>
            <w:r w:rsidRPr="003600EF">
              <w:rPr>
                <w:rFonts w:cs="Arial"/>
                <w:b/>
                <w:bCs/>
                <w:color w:val="212121"/>
                <w:sz w:val="22"/>
                <w:szCs w:val="22"/>
              </w:rPr>
              <w:t>Indicator(s)</w:t>
            </w:r>
          </w:p>
        </w:tc>
        <w:tc>
          <w:tcPr>
            <w:tcW w:w="1500"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700F6E10" w14:textId="77777777">
            <w:pPr>
              <w:jc w:val="both"/>
              <w:rPr>
                <w:rFonts w:cs="Arial"/>
                <w:b/>
                <w:bCs/>
                <w:color w:val="212121"/>
                <w:sz w:val="22"/>
                <w:szCs w:val="22"/>
              </w:rPr>
            </w:pPr>
            <w:r w:rsidRPr="003600EF">
              <w:rPr>
                <w:rFonts w:cs="Arial"/>
                <w:b/>
                <w:bCs/>
                <w:color w:val="212121"/>
                <w:sz w:val="22"/>
                <w:szCs w:val="22"/>
              </w:rPr>
              <w:t>Milestone(s) for this review</w:t>
            </w:r>
          </w:p>
        </w:tc>
        <w:tc>
          <w:tcPr>
            <w:tcW w:w="439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1AFE6250" w14:textId="77777777">
            <w:pPr>
              <w:jc w:val="both"/>
              <w:rPr>
                <w:rFonts w:cs="Arial"/>
                <w:b/>
                <w:bCs/>
                <w:color w:val="212121"/>
                <w:sz w:val="22"/>
                <w:szCs w:val="22"/>
              </w:rPr>
            </w:pPr>
            <w:r w:rsidRPr="003600EF">
              <w:rPr>
                <w:rFonts w:cs="Arial"/>
                <w:b/>
                <w:bCs/>
                <w:color w:val="212121"/>
                <w:sz w:val="22"/>
                <w:szCs w:val="22"/>
              </w:rPr>
              <w:t xml:space="preserve">Progress </w:t>
            </w:r>
          </w:p>
        </w:tc>
      </w:tr>
      <w:tr w:rsidRPr="001B0614" w:rsidR="00A969F9" w:rsidTr="002319E7" w14:paraId="4F7F057D" w14:textId="77777777">
        <w:tc>
          <w:tcPr>
            <w:tcW w:w="3174" w:type="dxa"/>
            <w:tcBorders>
              <w:top w:val="single" w:color="auto" w:sz="4" w:space="0"/>
              <w:left w:val="single" w:color="auto" w:sz="4" w:space="0"/>
              <w:bottom w:val="single" w:color="auto" w:sz="4" w:space="0"/>
              <w:right w:val="single" w:color="auto" w:sz="4" w:space="0"/>
            </w:tcBorders>
          </w:tcPr>
          <w:p w:rsidRPr="003600EF" w:rsidR="003D222C" w:rsidP="004D5FD5" w:rsidRDefault="004B32D1" w14:paraId="3B935EB4" w14:textId="38BEF71D">
            <w:pPr>
              <w:jc w:val="both"/>
              <w:rPr>
                <w:rFonts w:cs="Arial"/>
                <w:bCs/>
                <w:iCs/>
                <w:color w:val="212121"/>
                <w:sz w:val="22"/>
                <w:szCs w:val="22"/>
                <w:highlight w:val="yellow"/>
              </w:rPr>
            </w:pPr>
            <w:r w:rsidRPr="003600EF">
              <w:rPr>
                <w:rFonts w:cs="Arial"/>
                <w:bCs/>
                <w:iCs/>
                <w:color w:val="212121"/>
                <w:sz w:val="22"/>
                <w:szCs w:val="22"/>
              </w:rPr>
              <w:t>1.1</w:t>
            </w:r>
            <w:r w:rsidRPr="003600EF" w:rsidR="00615081">
              <w:rPr>
                <w:color w:val="212121"/>
              </w:rPr>
              <w:t xml:space="preserve"> </w:t>
            </w:r>
            <w:r w:rsidRPr="003600EF" w:rsidR="00615081">
              <w:rPr>
                <w:rFonts w:cs="Arial"/>
                <w:bCs/>
                <w:iCs/>
                <w:color w:val="212121"/>
                <w:sz w:val="22"/>
                <w:szCs w:val="22"/>
              </w:rPr>
              <w:t>Number of potential investments that have been added to MFF's pipeline because of the availability of development contributions as a tool to bridge the financial viability gap and/or enhance impact.</w:t>
            </w:r>
          </w:p>
        </w:tc>
        <w:tc>
          <w:tcPr>
            <w:tcW w:w="1500" w:type="dxa"/>
            <w:tcBorders>
              <w:top w:val="single" w:color="auto" w:sz="4" w:space="0"/>
              <w:left w:val="single" w:color="auto" w:sz="4" w:space="0"/>
              <w:bottom w:val="single" w:color="auto" w:sz="4" w:space="0"/>
              <w:right w:val="single" w:color="auto" w:sz="4" w:space="0"/>
            </w:tcBorders>
          </w:tcPr>
          <w:p w:rsidRPr="003600EF" w:rsidR="003D222C" w:rsidP="5B37A4F7" w:rsidRDefault="00615081" w14:paraId="1FA4E29B" w14:textId="7687743B">
            <w:pPr>
              <w:jc w:val="both"/>
              <w:rPr>
                <w:rFonts w:cs="Arial"/>
                <w:color w:val="212121"/>
                <w:sz w:val="22"/>
                <w:szCs w:val="22"/>
              </w:rPr>
            </w:pPr>
            <w:r w:rsidRPr="003600EF">
              <w:rPr>
                <w:rFonts w:cs="Arial"/>
                <w:color w:val="212121"/>
                <w:sz w:val="22"/>
                <w:szCs w:val="22"/>
              </w:rPr>
              <w:t>7</w:t>
            </w:r>
          </w:p>
        </w:tc>
        <w:tc>
          <w:tcPr>
            <w:tcW w:w="4393" w:type="dxa"/>
            <w:tcBorders>
              <w:top w:val="single" w:color="auto" w:sz="4" w:space="0"/>
              <w:left w:val="single" w:color="auto" w:sz="4" w:space="0"/>
              <w:bottom w:val="single" w:color="auto" w:sz="4" w:space="0"/>
              <w:right w:val="single" w:color="auto" w:sz="4" w:space="0"/>
            </w:tcBorders>
          </w:tcPr>
          <w:p w:rsidRPr="003600EF" w:rsidR="003D222C" w:rsidP="004D5FD5" w:rsidRDefault="007346E7" w14:paraId="1DF15CBA" w14:textId="7B964E4D">
            <w:pPr>
              <w:contextualSpacing/>
              <w:jc w:val="both"/>
              <w:rPr>
                <w:rFonts w:cs="Arial"/>
                <w:bCs/>
                <w:iCs/>
                <w:color w:val="212121"/>
                <w:sz w:val="22"/>
                <w:szCs w:val="22"/>
                <w:lang w:val="pt-PT"/>
              </w:rPr>
            </w:pPr>
            <w:r w:rsidRPr="003600EF">
              <w:rPr>
                <w:rFonts w:cs="Arial"/>
                <w:b/>
                <w:bCs/>
                <w:iCs/>
                <w:color w:val="212121"/>
                <w:sz w:val="22"/>
                <w:szCs w:val="22"/>
              </w:rPr>
              <w:t>6 — Progress moderately did not meet expectation.</w:t>
            </w:r>
            <w:r w:rsidRPr="003600EF">
              <w:rPr>
                <w:rFonts w:cs="Arial"/>
                <w:bCs/>
                <w:iCs/>
                <w:color w:val="212121"/>
                <w:sz w:val="22"/>
                <w:szCs w:val="22"/>
              </w:rPr>
              <w:t xml:space="preserve"> </w:t>
            </w:r>
            <w:r w:rsidRPr="003600EF">
              <w:rPr>
                <w:rFonts w:cs="Arial"/>
                <w:bCs/>
                <w:iCs/>
                <w:color w:val="212121"/>
                <w:sz w:val="22"/>
                <w:szCs w:val="22"/>
                <w:lang w:val="pt-PT"/>
              </w:rPr>
              <w:t>FMO: Treevive, Amazonia Nativa, Terrasos, Levasflor, CrossBoundary Fund for Nature. &amp;Green: Belterra Agroflorestas Ltda.</w:t>
            </w:r>
            <w:r w:rsidRPr="003600EF" w:rsidR="003D222C">
              <w:rPr>
                <w:rFonts w:cs="Arial"/>
                <w:bCs/>
                <w:iCs/>
                <w:color w:val="212121"/>
                <w:sz w:val="22"/>
                <w:szCs w:val="22"/>
                <w:lang w:val="pt-PT"/>
              </w:rPr>
              <w:t xml:space="preserve"> </w:t>
            </w:r>
          </w:p>
        </w:tc>
      </w:tr>
      <w:tr w:rsidRPr="001B0614" w:rsidR="00A969F9" w:rsidTr="002319E7" w14:paraId="5FC9728D" w14:textId="77777777">
        <w:tc>
          <w:tcPr>
            <w:tcW w:w="3174" w:type="dxa"/>
            <w:tcBorders>
              <w:top w:val="single" w:color="auto" w:sz="4" w:space="0"/>
              <w:left w:val="single" w:color="auto" w:sz="4" w:space="0"/>
              <w:bottom w:val="single" w:color="auto" w:sz="4" w:space="0"/>
              <w:right w:val="single" w:color="auto" w:sz="4" w:space="0"/>
            </w:tcBorders>
          </w:tcPr>
          <w:p w:rsidRPr="003600EF" w:rsidR="00691842" w:rsidP="3A221014" w:rsidRDefault="006B0218" w14:paraId="7962695B" w14:textId="53E77862">
            <w:pPr>
              <w:jc w:val="both"/>
              <w:rPr>
                <w:rFonts w:cs="Arial"/>
                <w:color w:val="212121"/>
                <w:sz w:val="22"/>
                <w:szCs w:val="22"/>
              </w:rPr>
            </w:pPr>
            <w:r w:rsidRPr="003600EF">
              <w:rPr>
                <w:rFonts w:cs="Arial"/>
                <w:color w:val="212121"/>
                <w:sz w:val="22"/>
                <w:szCs w:val="22"/>
              </w:rPr>
              <w:t>1.2 Number of potential investees in contracting phase because of the availability of DC. This is both for MFF and FMs.</w:t>
            </w:r>
          </w:p>
        </w:tc>
        <w:tc>
          <w:tcPr>
            <w:tcW w:w="1500" w:type="dxa"/>
            <w:tcBorders>
              <w:top w:val="single" w:color="auto" w:sz="4" w:space="0"/>
              <w:left w:val="single" w:color="auto" w:sz="4" w:space="0"/>
              <w:bottom w:val="single" w:color="auto" w:sz="4" w:space="0"/>
              <w:right w:val="single" w:color="auto" w:sz="4" w:space="0"/>
            </w:tcBorders>
          </w:tcPr>
          <w:p w:rsidRPr="003600EF" w:rsidR="00691842" w:rsidP="3A221014" w:rsidRDefault="006B0218" w14:paraId="4F70BD3F" w14:textId="01B63286">
            <w:pPr>
              <w:jc w:val="both"/>
              <w:rPr>
                <w:rFonts w:cs="Arial"/>
                <w:color w:val="212121"/>
                <w:sz w:val="22"/>
                <w:szCs w:val="22"/>
              </w:rPr>
            </w:pPr>
            <w:r w:rsidRPr="003600EF">
              <w:rPr>
                <w:rFonts w:cs="Arial"/>
                <w:color w:val="212121"/>
                <w:sz w:val="22"/>
                <w:szCs w:val="22"/>
              </w:rPr>
              <w:t>6</w:t>
            </w:r>
          </w:p>
        </w:tc>
        <w:tc>
          <w:tcPr>
            <w:tcW w:w="4393" w:type="dxa"/>
            <w:tcBorders>
              <w:top w:val="single" w:color="auto" w:sz="4" w:space="0"/>
              <w:left w:val="single" w:color="auto" w:sz="4" w:space="0"/>
              <w:bottom w:val="single" w:color="auto" w:sz="4" w:space="0"/>
              <w:right w:val="single" w:color="auto" w:sz="4" w:space="0"/>
            </w:tcBorders>
          </w:tcPr>
          <w:p w:rsidRPr="003600EF" w:rsidR="00691842" w:rsidP="3A221014" w:rsidRDefault="006B0218" w14:paraId="3318F706" w14:textId="23AAC783">
            <w:pPr>
              <w:contextualSpacing/>
              <w:jc w:val="both"/>
              <w:rPr>
                <w:rFonts w:cs="Arial"/>
                <w:b/>
                <w:color w:val="212121"/>
                <w:sz w:val="22"/>
                <w:szCs w:val="22"/>
                <w:lang w:val="pt-PT"/>
              </w:rPr>
            </w:pPr>
            <w:r w:rsidRPr="003600EF">
              <w:rPr>
                <w:rFonts w:cs="Arial"/>
                <w:b/>
                <w:bCs/>
                <w:color w:val="212121"/>
                <w:sz w:val="22"/>
                <w:szCs w:val="22"/>
              </w:rPr>
              <w:t xml:space="preserve">6 – Progress met expectation. </w:t>
            </w:r>
            <w:r w:rsidRPr="003600EF" w:rsidR="00016B3E">
              <w:rPr>
                <w:color w:val="212121"/>
              </w:rPr>
              <w:t xml:space="preserve"> </w:t>
            </w:r>
            <w:r w:rsidRPr="003600EF" w:rsidR="00016B3E">
              <w:rPr>
                <w:rFonts w:cs="Arial"/>
                <w:color w:val="212121"/>
                <w:sz w:val="22"/>
                <w:szCs w:val="22"/>
              </w:rPr>
              <w:t xml:space="preserve">2025 addition: </w:t>
            </w:r>
            <w:proofErr w:type="spellStart"/>
            <w:r w:rsidRPr="003600EF" w:rsidR="00016B3E">
              <w:rPr>
                <w:rFonts w:cs="Arial"/>
                <w:color w:val="212121"/>
                <w:sz w:val="22"/>
                <w:szCs w:val="22"/>
              </w:rPr>
              <w:t>CrossBoundary</w:t>
            </w:r>
            <w:proofErr w:type="spellEnd"/>
            <w:r w:rsidRPr="003600EF" w:rsidR="00016B3E">
              <w:rPr>
                <w:rFonts w:cs="Arial"/>
                <w:color w:val="212121"/>
                <w:sz w:val="22"/>
                <w:szCs w:val="22"/>
              </w:rPr>
              <w:t xml:space="preserve"> Fund for Nature (USD 0.85m RDC). </w:t>
            </w:r>
            <w:r w:rsidRPr="003600EF" w:rsidR="00016B3E">
              <w:rPr>
                <w:rFonts w:cs="Arial"/>
                <w:color w:val="212121"/>
                <w:sz w:val="22"/>
                <w:szCs w:val="22"/>
                <w:lang w:val="pt-PT"/>
              </w:rPr>
              <w:t>Previous years: Treevive (2022), Belterra via &amp;Green (2023), Amazonia Nativa, Terrasos via EcoEnterprises, Levasflor (2024).</w:t>
            </w:r>
          </w:p>
        </w:tc>
      </w:tr>
      <w:tr w:rsidRPr="001B0614" w:rsidR="00072BF6" w:rsidTr="002319E7" w14:paraId="6188FF6D" w14:textId="77777777">
        <w:tc>
          <w:tcPr>
            <w:tcW w:w="3174" w:type="dxa"/>
            <w:tcBorders>
              <w:top w:val="single" w:color="auto" w:sz="4" w:space="0"/>
              <w:left w:val="single" w:color="auto" w:sz="4" w:space="0"/>
              <w:bottom w:val="single" w:color="auto" w:sz="4" w:space="0"/>
              <w:right w:val="single" w:color="auto" w:sz="4" w:space="0"/>
            </w:tcBorders>
          </w:tcPr>
          <w:p w:rsidRPr="003600EF" w:rsidR="00072BF6" w:rsidP="3A221014" w:rsidRDefault="00072BF6" w14:paraId="0AEDE760" w14:textId="7249988A">
            <w:pPr>
              <w:jc w:val="both"/>
              <w:rPr>
                <w:rFonts w:cs="Arial"/>
                <w:color w:val="212121"/>
                <w:sz w:val="22"/>
                <w:szCs w:val="22"/>
              </w:rPr>
            </w:pPr>
            <w:r w:rsidRPr="003600EF">
              <w:rPr>
                <w:rFonts w:cs="Arial"/>
                <w:color w:val="212121"/>
                <w:sz w:val="22"/>
                <w:szCs w:val="22"/>
              </w:rPr>
              <w:t>1.3 Number of investments that have been legally committed because of the availability of development contributions as a tool to bridge the financial viability gap and/or enhance impact.</w:t>
            </w:r>
          </w:p>
        </w:tc>
        <w:tc>
          <w:tcPr>
            <w:tcW w:w="1500" w:type="dxa"/>
            <w:tcBorders>
              <w:top w:val="single" w:color="auto" w:sz="4" w:space="0"/>
              <w:left w:val="single" w:color="auto" w:sz="4" w:space="0"/>
              <w:bottom w:val="single" w:color="auto" w:sz="4" w:space="0"/>
              <w:right w:val="single" w:color="auto" w:sz="4" w:space="0"/>
            </w:tcBorders>
          </w:tcPr>
          <w:p w:rsidRPr="003600EF" w:rsidR="00072BF6" w:rsidP="3A221014" w:rsidRDefault="00072BF6" w14:paraId="63D1FCA1" w14:textId="2E90F40B">
            <w:pPr>
              <w:jc w:val="both"/>
              <w:rPr>
                <w:rFonts w:cs="Arial"/>
                <w:color w:val="212121"/>
                <w:sz w:val="22"/>
                <w:szCs w:val="22"/>
              </w:rPr>
            </w:pPr>
            <w:r w:rsidRPr="003600EF">
              <w:rPr>
                <w:rFonts w:cs="Arial"/>
                <w:color w:val="212121"/>
                <w:sz w:val="22"/>
                <w:szCs w:val="22"/>
              </w:rPr>
              <w:t>6</w:t>
            </w:r>
          </w:p>
        </w:tc>
        <w:tc>
          <w:tcPr>
            <w:tcW w:w="4393" w:type="dxa"/>
            <w:tcBorders>
              <w:top w:val="single" w:color="auto" w:sz="4" w:space="0"/>
              <w:left w:val="single" w:color="auto" w:sz="4" w:space="0"/>
              <w:bottom w:val="single" w:color="auto" w:sz="4" w:space="0"/>
              <w:right w:val="single" w:color="auto" w:sz="4" w:space="0"/>
            </w:tcBorders>
          </w:tcPr>
          <w:p w:rsidRPr="003600EF" w:rsidR="00072BF6" w:rsidP="3A221014" w:rsidRDefault="00885747" w14:paraId="09D59385" w14:textId="79C544A8">
            <w:pPr>
              <w:contextualSpacing/>
              <w:jc w:val="both"/>
              <w:rPr>
                <w:rFonts w:cs="Arial"/>
                <w:b/>
                <w:bCs/>
                <w:color w:val="212121"/>
                <w:sz w:val="22"/>
                <w:szCs w:val="22"/>
              </w:rPr>
            </w:pPr>
            <w:r w:rsidRPr="003600EF">
              <w:rPr>
                <w:rFonts w:cs="Arial"/>
                <w:b/>
                <w:bCs/>
                <w:color w:val="212121"/>
                <w:sz w:val="22"/>
                <w:szCs w:val="22"/>
              </w:rPr>
              <w:t xml:space="preserve">6 — Progress met expectation. </w:t>
            </w:r>
            <w:r w:rsidRPr="003600EF">
              <w:rPr>
                <w:rFonts w:cs="Arial"/>
                <w:color w:val="212121"/>
                <w:sz w:val="22"/>
                <w:szCs w:val="22"/>
              </w:rPr>
              <w:t xml:space="preserve">2025 addition: </w:t>
            </w:r>
            <w:proofErr w:type="spellStart"/>
            <w:r w:rsidRPr="003600EF">
              <w:rPr>
                <w:rFonts w:cs="Arial"/>
                <w:color w:val="212121"/>
                <w:sz w:val="22"/>
                <w:szCs w:val="22"/>
              </w:rPr>
              <w:t>CrossBoundary</w:t>
            </w:r>
            <w:proofErr w:type="spellEnd"/>
            <w:r w:rsidRPr="003600EF">
              <w:rPr>
                <w:rFonts w:cs="Arial"/>
                <w:color w:val="212121"/>
                <w:sz w:val="22"/>
                <w:szCs w:val="22"/>
              </w:rPr>
              <w:t xml:space="preserve"> Fund for Nature (USD 0.85m RDC).</w:t>
            </w:r>
          </w:p>
        </w:tc>
      </w:tr>
      <w:tr w:rsidRPr="001B0614" w:rsidR="00A969F9" w:rsidTr="002319E7" w14:paraId="203A1FE8" w14:textId="77777777">
        <w:tc>
          <w:tcPr>
            <w:tcW w:w="3174" w:type="dxa"/>
            <w:tcBorders>
              <w:top w:val="single" w:color="auto" w:sz="4" w:space="0"/>
              <w:left w:val="single" w:color="auto" w:sz="4" w:space="0"/>
              <w:bottom w:val="single" w:color="auto" w:sz="4" w:space="0"/>
              <w:right w:val="single" w:color="auto" w:sz="4" w:space="0"/>
            </w:tcBorders>
          </w:tcPr>
          <w:p w:rsidRPr="003600EF" w:rsidR="007D6C3D" w:rsidP="3A221014" w:rsidRDefault="00016B3E" w14:paraId="40EF664B" w14:textId="74FDF6E8">
            <w:pPr>
              <w:jc w:val="both"/>
              <w:rPr>
                <w:rFonts w:cs="Arial"/>
                <w:color w:val="212121"/>
                <w:sz w:val="22"/>
                <w:szCs w:val="22"/>
              </w:rPr>
            </w:pPr>
            <w:r w:rsidRPr="003600EF">
              <w:rPr>
                <w:rFonts w:cs="Arial"/>
                <w:color w:val="212121"/>
                <w:sz w:val="22"/>
                <w:szCs w:val="22"/>
              </w:rPr>
              <w:t>1.4 Number of development contributions that start being repaid, or that are converted into and/or receive a larger investment (from FMO or others).</w:t>
            </w:r>
          </w:p>
        </w:tc>
        <w:tc>
          <w:tcPr>
            <w:tcW w:w="1500" w:type="dxa"/>
            <w:tcBorders>
              <w:top w:val="single" w:color="auto" w:sz="4" w:space="0"/>
              <w:left w:val="single" w:color="auto" w:sz="4" w:space="0"/>
              <w:bottom w:val="single" w:color="auto" w:sz="4" w:space="0"/>
              <w:right w:val="single" w:color="auto" w:sz="4" w:space="0"/>
            </w:tcBorders>
          </w:tcPr>
          <w:p w:rsidRPr="003600EF" w:rsidR="007D6C3D" w:rsidP="3A221014" w:rsidRDefault="00016B3E" w14:paraId="3B341161" w14:textId="7426F72A">
            <w:pPr>
              <w:jc w:val="both"/>
              <w:rPr>
                <w:rFonts w:cs="Arial"/>
                <w:color w:val="212121"/>
                <w:sz w:val="22"/>
                <w:szCs w:val="22"/>
              </w:rPr>
            </w:pPr>
            <w:r w:rsidRPr="003600EF">
              <w:rPr>
                <w:rFonts w:cs="Arial"/>
                <w:color w:val="212121"/>
                <w:sz w:val="22"/>
                <w:szCs w:val="22"/>
              </w:rPr>
              <w:t>1</w:t>
            </w:r>
          </w:p>
        </w:tc>
        <w:tc>
          <w:tcPr>
            <w:tcW w:w="4393" w:type="dxa"/>
            <w:tcBorders>
              <w:top w:val="single" w:color="auto" w:sz="4" w:space="0"/>
              <w:left w:val="single" w:color="auto" w:sz="4" w:space="0"/>
              <w:bottom w:val="single" w:color="auto" w:sz="4" w:space="0"/>
              <w:right w:val="single" w:color="auto" w:sz="4" w:space="0"/>
            </w:tcBorders>
          </w:tcPr>
          <w:p w:rsidRPr="003600EF" w:rsidR="00EB2673" w:rsidP="00EB2673" w:rsidRDefault="00EB2673" w14:paraId="578B90AD" w14:textId="6CE77D50">
            <w:pPr>
              <w:rPr>
                <w:rFonts w:cs="Arial"/>
                <w:color w:val="212121"/>
                <w:sz w:val="22"/>
                <w:szCs w:val="22"/>
              </w:rPr>
            </w:pPr>
            <w:r w:rsidRPr="003600EF">
              <w:rPr>
                <w:rFonts w:cs="Arial"/>
                <w:b/>
                <w:bCs/>
                <w:color w:val="212121"/>
                <w:sz w:val="22"/>
                <w:szCs w:val="22"/>
              </w:rPr>
              <w:t>0 — Progress did not meet expectation.</w:t>
            </w:r>
            <w:r w:rsidRPr="003600EF">
              <w:rPr>
                <w:rFonts w:cs="Arial"/>
                <w:color w:val="212121"/>
                <w:sz w:val="22"/>
                <w:szCs w:val="22"/>
              </w:rPr>
              <w:t xml:space="preserve"> First repayment/conversion milestone was set for 2025; none of the existing DC portfolio has yet triggered repayment or a follow-on investment commitment. </w:t>
            </w:r>
            <w:r w:rsidR="00B00320">
              <w:rPr>
                <w:rFonts w:cs="Arial"/>
                <w:color w:val="212121"/>
                <w:sz w:val="22"/>
                <w:szCs w:val="22"/>
              </w:rPr>
              <w:t>One</w:t>
            </w:r>
            <w:r w:rsidR="00753948">
              <w:rPr>
                <w:rFonts w:cs="Arial"/>
                <w:color w:val="212121"/>
                <w:sz w:val="22"/>
                <w:szCs w:val="22"/>
              </w:rPr>
              <w:t xml:space="preserve"> investment</w:t>
            </w:r>
            <w:r w:rsidRPr="003600EF" w:rsidR="005976C6">
              <w:rPr>
                <w:rFonts w:cs="Arial"/>
                <w:color w:val="212121"/>
                <w:sz w:val="22"/>
                <w:szCs w:val="22"/>
              </w:rPr>
              <w:t xml:space="preserve"> has been declared bankrupt and the</w:t>
            </w:r>
            <w:r w:rsidRPr="003600EF">
              <w:rPr>
                <w:rFonts w:cs="Arial"/>
                <w:color w:val="212121"/>
                <w:sz w:val="22"/>
                <w:szCs w:val="22"/>
              </w:rPr>
              <w:t xml:space="preserve"> </w:t>
            </w:r>
            <w:r w:rsidRPr="003600EF" w:rsidR="002319E7">
              <w:rPr>
                <w:rFonts w:cs="Arial"/>
                <w:color w:val="212121"/>
                <w:sz w:val="22"/>
                <w:szCs w:val="22"/>
              </w:rPr>
              <w:t xml:space="preserve">investment </w:t>
            </w:r>
            <w:r w:rsidRPr="003600EF" w:rsidR="005976C6">
              <w:rPr>
                <w:rFonts w:cs="Arial"/>
                <w:color w:val="212121"/>
                <w:sz w:val="22"/>
                <w:szCs w:val="22"/>
              </w:rPr>
              <w:t>is</w:t>
            </w:r>
            <w:r w:rsidRPr="003600EF" w:rsidR="002319E7">
              <w:rPr>
                <w:rFonts w:cs="Arial"/>
                <w:color w:val="212121"/>
                <w:sz w:val="22"/>
                <w:szCs w:val="22"/>
              </w:rPr>
              <w:t xml:space="preserve"> </w:t>
            </w:r>
            <w:r w:rsidRPr="003600EF" w:rsidR="005976C6">
              <w:rPr>
                <w:rFonts w:cs="Arial"/>
                <w:color w:val="212121"/>
                <w:sz w:val="22"/>
                <w:szCs w:val="22"/>
              </w:rPr>
              <w:t xml:space="preserve">highly </w:t>
            </w:r>
            <w:r w:rsidRPr="003600EF" w:rsidR="002319E7">
              <w:rPr>
                <w:rFonts w:cs="Arial"/>
                <w:color w:val="212121"/>
                <w:sz w:val="22"/>
                <w:szCs w:val="22"/>
              </w:rPr>
              <w:t xml:space="preserve">unlikely to be returned. </w:t>
            </w:r>
          </w:p>
        </w:tc>
      </w:tr>
    </w:tbl>
    <w:p w:rsidRPr="003600EF" w:rsidR="003D222C" w:rsidP="3A221014" w:rsidRDefault="00C02966" w14:paraId="08AB1D93" w14:textId="5AD8F93B">
      <w:pPr>
        <w:jc w:val="both"/>
        <w:rPr>
          <w:rFonts w:cs="Arial"/>
          <w:b/>
          <w:bCs/>
          <w:i/>
          <w:iCs/>
          <w:color w:val="212121"/>
          <w:sz w:val="22"/>
          <w:szCs w:val="22"/>
        </w:rPr>
      </w:pPr>
      <w:r w:rsidRPr="003600EF">
        <w:rPr>
          <w:b/>
          <w:bCs/>
          <w:i/>
          <w:iCs/>
          <w:color w:val="212121"/>
          <w:sz w:val="28"/>
          <w:szCs w:val="28"/>
        </w:rPr>
        <w:t>O</w:t>
      </w:r>
      <w:r w:rsidRPr="003600EF" w:rsidR="003D222C">
        <w:rPr>
          <w:b/>
          <w:bCs/>
          <w:i/>
          <w:iCs/>
          <w:color w:val="212121"/>
          <w:sz w:val="28"/>
          <w:szCs w:val="28"/>
        </w:rPr>
        <w:t>utput</w:t>
      </w:r>
      <w:r w:rsidRPr="003600EF">
        <w:rPr>
          <w:b/>
          <w:bCs/>
          <w:i/>
          <w:iCs/>
          <w:color w:val="212121"/>
          <w:sz w:val="28"/>
          <w:szCs w:val="28"/>
        </w:rPr>
        <w:t xml:space="preserve"> summary</w:t>
      </w:r>
      <w:r w:rsidRPr="003600EF" w:rsidR="003D222C">
        <w:rPr>
          <w:b/>
          <w:bCs/>
          <w:i/>
          <w:iCs/>
          <w:color w:val="212121"/>
          <w:sz w:val="28"/>
          <w:szCs w:val="28"/>
        </w:rPr>
        <w:t xml:space="preserve"> and supporting narrative for the score</w:t>
      </w:r>
      <w:r w:rsidRPr="003600EF" w:rsidR="003D222C">
        <w:rPr>
          <w:rFonts w:cs="Arial"/>
          <w:b/>
          <w:bCs/>
          <w:i/>
          <w:iCs/>
          <w:color w:val="212121"/>
          <w:sz w:val="22"/>
          <w:szCs w:val="22"/>
        </w:rPr>
        <w:t xml:space="preserve"> </w:t>
      </w:r>
      <w:r w:rsidRPr="003600EF" w:rsidR="003D222C">
        <w:rPr>
          <w:rFonts w:cs="Arial"/>
          <w:i/>
          <w:iCs/>
          <w:color w:val="212121"/>
          <w:sz w:val="22"/>
          <w:szCs w:val="22"/>
        </w:rPr>
        <w:t>[max 1/2 page]</w:t>
      </w:r>
    </w:p>
    <w:p w:rsidRPr="003600EF" w:rsidR="003D222C" w:rsidP="004D5FD5" w:rsidRDefault="003D222C" w14:paraId="279A4EAB" w14:textId="01C02DF7">
      <w:pPr>
        <w:jc w:val="both"/>
        <w:rPr>
          <w:rFonts w:cs="Arial"/>
          <w:bCs/>
          <w:color w:val="212121"/>
          <w:sz w:val="22"/>
          <w:szCs w:val="22"/>
        </w:rPr>
      </w:pPr>
    </w:p>
    <w:p w:rsidRPr="003600EF" w:rsidR="0085716B" w:rsidP="0070421A" w:rsidRDefault="0070421A" w14:paraId="61678D9B" w14:textId="3C31BDC7">
      <w:pPr>
        <w:jc w:val="both"/>
        <w:rPr>
          <w:rFonts w:cs="Arial"/>
          <w:color w:val="212121"/>
          <w:sz w:val="22"/>
          <w:szCs w:val="22"/>
        </w:rPr>
      </w:pPr>
      <w:r w:rsidRPr="003600EF">
        <w:rPr>
          <w:rFonts w:cs="Arial"/>
          <w:color w:val="212121"/>
          <w:sz w:val="22"/>
          <w:szCs w:val="22"/>
        </w:rPr>
        <w:t>Output 1 measures the deployment and performance of the DC as a tool to support development of the wider MFF portfolio. DCs are repayable grants that help early-stage projects reach financial bankability, deployed by FMO directly or by fund managers. They are MFF's primary mechanism for testing innovative models and building pipeline in geographies and sub-sectors where conventional capital cannot yet reach.</w:t>
      </w:r>
    </w:p>
    <w:p w:rsidRPr="003600EF" w:rsidR="00EF5E01" w:rsidP="0070421A" w:rsidRDefault="00EF5E01" w14:paraId="3DE83262" w14:textId="77777777">
      <w:pPr>
        <w:jc w:val="both"/>
        <w:rPr>
          <w:rFonts w:cs="Arial"/>
          <w:color w:val="212121"/>
          <w:sz w:val="22"/>
          <w:szCs w:val="22"/>
        </w:rPr>
      </w:pPr>
    </w:p>
    <w:p w:rsidRPr="003600EF" w:rsidR="0085716B" w:rsidP="0070421A" w:rsidRDefault="0085716B" w14:paraId="4C57DA8B" w14:textId="3BFDF5C1">
      <w:pPr>
        <w:jc w:val="both"/>
        <w:rPr>
          <w:rFonts w:cs="Arial"/>
          <w:color w:val="212121"/>
          <w:sz w:val="22"/>
          <w:szCs w:val="22"/>
        </w:rPr>
      </w:pPr>
      <w:r w:rsidRPr="003600EF">
        <w:rPr>
          <w:rFonts w:cs="Arial"/>
          <w:color w:val="212121"/>
          <w:sz w:val="22"/>
          <w:szCs w:val="22"/>
        </w:rPr>
        <w:t xml:space="preserve">An overall score of </w:t>
      </w:r>
      <w:r w:rsidRPr="003600EF">
        <w:rPr>
          <w:rFonts w:cs="Arial"/>
          <w:b/>
          <w:bCs/>
          <w:color w:val="212121"/>
          <w:sz w:val="22"/>
          <w:szCs w:val="22"/>
        </w:rPr>
        <w:t>A</w:t>
      </w:r>
      <w:r w:rsidRPr="003600EF">
        <w:rPr>
          <w:rFonts w:cs="Arial"/>
          <w:color w:val="212121"/>
          <w:sz w:val="22"/>
          <w:szCs w:val="22"/>
        </w:rPr>
        <w:t xml:space="preserve"> is assigned. Indicators 1.2 (potential investees in contracting phase) and 1.3 (investments legally committed) both met their targets at 6. Indicator 1.1 (pipeline additions attributable to DC availability) came in marginally below at 6 against a target of 7, reflecting the difficulty of originating DC-eligible opportunities at pace in novel geographies. The headline concern is Indicator 1.4, where </w:t>
      </w:r>
      <w:r w:rsidRPr="003600EF">
        <w:rPr>
          <w:rFonts w:cs="Arial"/>
          <w:b/>
          <w:bCs/>
          <w:color w:val="212121"/>
          <w:sz w:val="22"/>
          <w:szCs w:val="22"/>
        </w:rPr>
        <w:t>zero DC repayments or conversions</w:t>
      </w:r>
      <w:r w:rsidRPr="003600EF">
        <w:rPr>
          <w:rFonts w:cs="Arial"/>
          <w:color w:val="212121"/>
          <w:sz w:val="22"/>
          <w:szCs w:val="22"/>
        </w:rPr>
        <w:t xml:space="preserve"> were recorded against a first milestone of 1, meaning the key test of DC effectiveness as a revolving catalytic instrument has not yet been demonstrated in practice.</w:t>
      </w:r>
    </w:p>
    <w:p w:rsidRPr="003600EF" w:rsidR="00AA2F52" w:rsidP="0070421A" w:rsidRDefault="00AA2F52" w14:paraId="52E60312" w14:textId="77777777">
      <w:pPr>
        <w:jc w:val="both"/>
        <w:rPr>
          <w:rFonts w:cs="Arial"/>
          <w:color w:val="212121"/>
          <w:sz w:val="22"/>
          <w:szCs w:val="22"/>
        </w:rPr>
      </w:pPr>
    </w:p>
    <w:p w:rsidRPr="003600EF" w:rsidR="00AA2F52" w:rsidP="0070421A" w:rsidRDefault="00AA2F52" w14:paraId="65DF294D" w14:textId="77777777">
      <w:pPr>
        <w:jc w:val="both"/>
        <w:rPr>
          <w:rFonts w:cs="Arial"/>
          <w:color w:val="212121"/>
          <w:sz w:val="22"/>
          <w:szCs w:val="22"/>
        </w:rPr>
      </w:pPr>
      <w:r w:rsidRPr="003600EF">
        <w:rPr>
          <w:rFonts w:cs="Arial"/>
          <w:color w:val="212121"/>
          <w:sz w:val="22"/>
          <w:szCs w:val="22"/>
        </w:rPr>
        <w:t xml:space="preserve">The one new DC closed in 2025 was a </w:t>
      </w:r>
      <w:r w:rsidRPr="003600EF">
        <w:rPr>
          <w:rFonts w:cs="Arial"/>
          <w:b/>
          <w:bCs/>
          <w:color w:val="212121"/>
          <w:sz w:val="22"/>
          <w:szCs w:val="22"/>
        </w:rPr>
        <w:t xml:space="preserve">USD 0.85m repayable contribution to </w:t>
      </w:r>
      <w:proofErr w:type="spellStart"/>
      <w:r w:rsidRPr="003600EF">
        <w:rPr>
          <w:rFonts w:cs="Arial"/>
          <w:b/>
          <w:bCs/>
          <w:color w:val="212121"/>
          <w:sz w:val="22"/>
          <w:szCs w:val="22"/>
        </w:rPr>
        <w:t>CrossBoundary's</w:t>
      </w:r>
      <w:proofErr w:type="spellEnd"/>
      <w:r w:rsidRPr="003600EF">
        <w:rPr>
          <w:rFonts w:cs="Arial"/>
          <w:b/>
          <w:bCs/>
          <w:color w:val="212121"/>
          <w:sz w:val="22"/>
          <w:szCs w:val="22"/>
        </w:rPr>
        <w:t xml:space="preserve"> Fund for Nature</w:t>
      </w:r>
      <w:r w:rsidRPr="003600EF">
        <w:rPr>
          <w:rFonts w:cs="Arial"/>
          <w:color w:val="212121"/>
          <w:sz w:val="22"/>
          <w:szCs w:val="22"/>
        </w:rPr>
        <w:t xml:space="preserve">, supporting early-stage structuring of a new blended finance vehicle targeting nature-based solutions with a majority Africa focus. This is an innovative and strategically important entry point. </w:t>
      </w:r>
    </w:p>
    <w:p w:rsidRPr="003600EF" w:rsidR="00AA2F52" w:rsidP="0070421A" w:rsidRDefault="00AA2F52" w14:paraId="67B19429" w14:textId="77777777">
      <w:pPr>
        <w:jc w:val="both"/>
        <w:rPr>
          <w:rFonts w:cs="Arial"/>
          <w:color w:val="212121"/>
          <w:sz w:val="22"/>
          <w:szCs w:val="22"/>
        </w:rPr>
      </w:pPr>
    </w:p>
    <w:p w:rsidRPr="003600EF" w:rsidR="00AA2F52" w:rsidP="0070421A" w:rsidRDefault="00AA2F52" w14:paraId="60C404E7" w14:textId="35A61DED">
      <w:pPr>
        <w:jc w:val="both"/>
        <w:rPr>
          <w:rFonts w:cs="Arial"/>
          <w:color w:val="212121"/>
          <w:sz w:val="22"/>
          <w:szCs w:val="22"/>
        </w:rPr>
      </w:pPr>
      <w:r w:rsidRPr="003600EF">
        <w:rPr>
          <w:rFonts w:cs="Arial"/>
          <w:color w:val="212121"/>
          <w:sz w:val="22"/>
          <w:szCs w:val="22"/>
        </w:rPr>
        <w:t xml:space="preserve">However, </w:t>
      </w:r>
      <w:r w:rsidRPr="003600EF" w:rsidR="007668AD">
        <w:rPr>
          <w:rFonts w:cs="Arial"/>
          <w:color w:val="212121"/>
          <w:sz w:val="22"/>
          <w:szCs w:val="22"/>
        </w:rPr>
        <w:t xml:space="preserve">one </w:t>
      </w:r>
      <w:r w:rsidRPr="003600EF">
        <w:rPr>
          <w:rFonts w:cs="Arial"/>
          <w:color w:val="212121"/>
          <w:sz w:val="22"/>
          <w:szCs w:val="22"/>
        </w:rPr>
        <w:t>of the earlier DC investees</w:t>
      </w:r>
      <w:r w:rsidRPr="003600EF">
        <w:rPr>
          <w:rFonts w:cs="Arial"/>
          <w:b/>
          <w:bCs/>
          <w:color w:val="212121"/>
          <w:sz w:val="22"/>
          <w:szCs w:val="22"/>
        </w:rPr>
        <w:t xml:space="preserve"> </w:t>
      </w:r>
      <w:r w:rsidRPr="003600EF" w:rsidR="007668AD">
        <w:rPr>
          <w:rFonts w:cs="Arial"/>
          <w:b/>
          <w:bCs/>
          <w:color w:val="212121"/>
          <w:sz w:val="22"/>
          <w:szCs w:val="22"/>
        </w:rPr>
        <w:t>was declared bankrupt as of April 2026</w:t>
      </w:r>
      <w:r w:rsidRPr="003600EF">
        <w:rPr>
          <w:rFonts w:cs="Arial"/>
          <w:color w:val="212121"/>
          <w:sz w:val="22"/>
          <w:szCs w:val="22"/>
        </w:rPr>
        <w:t>, and MFF is unlikely to recover its capital.</w:t>
      </w:r>
      <w:r w:rsidRPr="003600EF" w:rsidR="00634DAB">
        <w:rPr>
          <w:rFonts w:cs="Arial"/>
          <w:color w:val="212121"/>
          <w:sz w:val="22"/>
          <w:szCs w:val="22"/>
        </w:rPr>
        <w:t xml:space="preserve"> This is not unexpected: the business case explicitly assumed a 50% recovery rate for DCs given the high failure rate inherent in early-stage project finance, in contrast to the revolving capital investment facility which is designed to return capital for reinvestment. The zero repayments recorded in 2025 are therefore consistent with programme design at this stage, but </w:t>
      </w:r>
      <w:r w:rsidRPr="003600EF" w:rsidR="00A12934">
        <w:rPr>
          <w:rFonts w:cs="Arial"/>
          <w:color w:val="212121"/>
          <w:sz w:val="22"/>
          <w:szCs w:val="22"/>
        </w:rPr>
        <w:t>the</w:t>
      </w:r>
      <w:r w:rsidRPr="003600EF" w:rsidR="00634DAB">
        <w:rPr>
          <w:rFonts w:cs="Arial"/>
          <w:color w:val="212121"/>
          <w:sz w:val="22"/>
          <w:szCs w:val="22"/>
        </w:rPr>
        <w:t xml:space="preserve"> </w:t>
      </w:r>
      <w:proofErr w:type="spellStart"/>
      <w:r w:rsidRPr="003600EF" w:rsidR="00634DAB">
        <w:rPr>
          <w:rFonts w:cs="Arial"/>
          <w:color w:val="212121"/>
          <w:sz w:val="22"/>
          <w:szCs w:val="22"/>
        </w:rPr>
        <w:t>Treevive</w:t>
      </w:r>
      <w:proofErr w:type="spellEnd"/>
      <w:r w:rsidRPr="003600EF" w:rsidR="00634DAB">
        <w:rPr>
          <w:rFonts w:cs="Arial"/>
          <w:color w:val="212121"/>
          <w:sz w:val="22"/>
          <w:szCs w:val="22"/>
        </w:rPr>
        <w:t xml:space="preserve"> </w:t>
      </w:r>
      <w:r w:rsidRPr="003600EF" w:rsidR="00180577">
        <w:rPr>
          <w:rFonts w:cs="Arial"/>
          <w:color w:val="212121"/>
          <w:sz w:val="22"/>
          <w:szCs w:val="22"/>
        </w:rPr>
        <w:t>bankruptcy is</w:t>
      </w:r>
      <w:r w:rsidRPr="003600EF" w:rsidR="00634DAB">
        <w:rPr>
          <w:rFonts w:cs="Arial"/>
          <w:color w:val="212121"/>
          <w:sz w:val="22"/>
          <w:szCs w:val="22"/>
        </w:rPr>
        <w:t xml:space="preserve"> an early signal of the genuine difficulty of the markets MFF is seeking to unlock. The remaining DC portfolio: </w:t>
      </w:r>
      <w:proofErr w:type="spellStart"/>
      <w:r w:rsidRPr="003600EF" w:rsidR="00634DAB">
        <w:rPr>
          <w:rFonts w:cs="Arial"/>
          <w:color w:val="212121"/>
          <w:sz w:val="22"/>
          <w:szCs w:val="22"/>
        </w:rPr>
        <w:t>Terrasos</w:t>
      </w:r>
      <w:proofErr w:type="spellEnd"/>
      <w:r w:rsidRPr="003600EF" w:rsidR="00634DAB">
        <w:rPr>
          <w:rFonts w:cs="Arial"/>
          <w:color w:val="212121"/>
          <w:sz w:val="22"/>
          <w:szCs w:val="22"/>
        </w:rPr>
        <w:t xml:space="preserve">, </w:t>
      </w:r>
      <w:r w:rsidRPr="003600EF" w:rsidR="00260F62">
        <w:rPr>
          <w:rFonts w:cs="Arial"/>
          <w:color w:val="212121"/>
          <w:sz w:val="22"/>
          <w:szCs w:val="22"/>
        </w:rPr>
        <w:t>Ama</w:t>
      </w:r>
      <w:r w:rsidRPr="003600EF" w:rsidR="00063E8B">
        <w:rPr>
          <w:rFonts w:cs="Arial"/>
          <w:color w:val="212121"/>
          <w:sz w:val="22"/>
          <w:szCs w:val="22"/>
        </w:rPr>
        <w:t xml:space="preserve">zonia Nativa, </w:t>
      </w:r>
      <w:proofErr w:type="spellStart"/>
      <w:r w:rsidRPr="003600EF" w:rsidR="00634DAB">
        <w:rPr>
          <w:rFonts w:cs="Arial"/>
          <w:color w:val="212121"/>
          <w:sz w:val="22"/>
          <w:szCs w:val="22"/>
        </w:rPr>
        <w:t>Levasflor</w:t>
      </w:r>
      <w:proofErr w:type="spellEnd"/>
      <w:r w:rsidRPr="003600EF" w:rsidR="00634DAB">
        <w:rPr>
          <w:rFonts w:cs="Arial"/>
          <w:color w:val="212121"/>
          <w:sz w:val="22"/>
          <w:szCs w:val="22"/>
        </w:rPr>
        <w:t xml:space="preserve"> and </w:t>
      </w:r>
      <w:proofErr w:type="spellStart"/>
      <w:r w:rsidRPr="003600EF" w:rsidR="00634DAB">
        <w:rPr>
          <w:rFonts w:cs="Arial"/>
          <w:color w:val="212121"/>
          <w:sz w:val="22"/>
          <w:szCs w:val="22"/>
        </w:rPr>
        <w:t>CrossBoundary</w:t>
      </w:r>
      <w:proofErr w:type="spellEnd"/>
      <w:r w:rsidRPr="003600EF" w:rsidR="00634DAB">
        <w:rPr>
          <w:rFonts w:cs="Arial"/>
          <w:color w:val="212121"/>
          <w:sz w:val="22"/>
          <w:szCs w:val="22"/>
        </w:rPr>
        <w:t>,</w:t>
      </w:r>
      <w:r w:rsidRPr="003600EF" w:rsidR="00063E8B">
        <w:rPr>
          <w:rFonts w:cs="Arial"/>
          <w:color w:val="212121"/>
          <w:sz w:val="22"/>
          <w:szCs w:val="22"/>
        </w:rPr>
        <w:t xml:space="preserve"> (plus Belterra via &amp;Green)</w:t>
      </w:r>
      <w:r w:rsidRPr="003600EF" w:rsidR="00634DAB">
        <w:rPr>
          <w:rFonts w:cs="Arial"/>
          <w:color w:val="212121"/>
          <w:sz w:val="22"/>
          <w:szCs w:val="22"/>
        </w:rPr>
        <w:t xml:space="preserve"> will be the next test of whether the tool can generate returns and conversions, with </w:t>
      </w:r>
      <w:proofErr w:type="spellStart"/>
      <w:r w:rsidRPr="003600EF" w:rsidR="008603A7">
        <w:rPr>
          <w:rFonts w:cs="Arial"/>
          <w:color w:val="212121"/>
          <w:sz w:val="22"/>
          <w:szCs w:val="22"/>
        </w:rPr>
        <w:t>Crossboundary</w:t>
      </w:r>
      <w:proofErr w:type="spellEnd"/>
      <w:r w:rsidRPr="003600EF" w:rsidR="008603A7">
        <w:rPr>
          <w:rFonts w:cs="Arial"/>
          <w:color w:val="212121"/>
          <w:sz w:val="22"/>
          <w:szCs w:val="22"/>
        </w:rPr>
        <w:t xml:space="preserve"> </w:t>
      </w:r>
      <w:r w:rsidRPr="003600EF" w:rsidR="002176A4">
        <w:rPr>
          <w:rFonts w:cs="Arial"/>
          <w:color w:val="212121"/>
          <w:sz w:val="22"/>
          <w:szCs w:val="22"/>
        </w:rPr>
        <w:t xml:space="preserve">currently </w:t>
      </w:r>
      <w:r w:rsidRPr="003600EF" w:rsidR="00634DAB">
        <w:rPr>
          <w:rFonts w:cs="Arial"/>
          <w:color w:val="212121"/>
          <w:sz w:val="22"/>
          <w:szCs w:val="22"/>
        </w:rPr>
        <w:t>the most advanced candidate for follow-on investment</w:t>
      </w:r>
      <w:r w:rsidRPr="003600EF" w:rsidR="00286CE7">
        <w:rPr>
          <w:rFonts w:cs="Arial"/>
          <w:color w:val="212121"/>
          <w:sz w:val="22"/>
          <w:szCs w:val="22"/>
        </w:rPr>
        <w:t xml:space="preserve">. </w:t>
      </w:r>
      <w:proofErr w:type="spellStart"/>
      <w:r w:rsidRPr="003600EF" w:rsidR="00CF51BD">
        <w:rPr>
          <w:rFonts w:cs="Arial"/>
          <w:color w:val="212121"/>
          <w:sz w:val="22"/>
          <w:szCs w:val="22"/>
        </w:rPr>
        <w:t>LevasFlor</w:t>
      </w:r>
      <w:proofErr w:type="spellEnd"/>
      <w:r w:rsidRPr="003600EF" w:rsidR="00CF51BD">
        <w:rPr>
          <w:rFonts w:cs="Arial"/>
          <w:color w:val="212121"/>
          <w:sz w:val="22"/>
          <w:szCs w:val="22"/>
        </w:rPr>
        <w:t xml:space="preserve"> also </w:t>
      </w:r>
      <w:r w:rsidRPr="003600EF" w:rsidR="00C63DCD">
        <w:rPr>
          <w:rFonts w:cs="Arial"/>
          <w:color w:val="212121"/>
          <w:sz w:val="22"/>
          <w:szCs w:val="22"/>
        </w:rPr>
        <w:t>hosted an</w:t>
      </w:r>
      <w:r w:rsidRPr="003600EF" w:rsidR="00634DAB">
        <w:rPr>
          <w:rFonts w:cs="Arial"/>
          <w:color w:val="212121"/>
          <w:sz w:val="22"/>
          <w:szCs w:val="22"/>
        </w:rPr>
        <w:t xml:space="preserve"> FMO E&amp;S monitoring visit to Mozambique in Q3 2025</w:t>
      </w:r>
      <w:r w:rsidRPr="003600EF" w:rsidR="007E3656">
        <w:rPr>
          <w:rFonts w:cs="Arial"/>
          <w:color w:val="212121"/>
          <w:sz w:val="22"/>
          <w:szCs w:val="22"/>
        </w:rPr>
        <w:t xml:space="preserve"> and received a positive outlook</w:t>
      </w:r>
      <w:r w:rsidRPr="003600EF" w:rsidR="00634DAB">
        <w:rPr>
          <w:rFonts w:cs="Arial"/>
          <w:color w:val="212121"/>
          <w:sz w:val="22"/>
          <w:szCs w:val="22"/>
        </w:rPr>
        <w:t>.</w:t>
      </w:r>
    </w:p>
    <w:p w:rsidRPr="003600EF" w:rsidR="002D2967" w:rsidP="0070421A" w:rsidRDefault="002D2967" w14:paraId="4D270F7D" w14:textId="77777777">
      <w:pPr>
        <w:jc w:val="both"/>
        <w:rPr>
          <w:rFonts w:cs="Arial"/>
          <w:color w:val="212121"/>
          <w:sz w:val="22"/>
          <w:szCs w:val="22"/>
        </w:rPr>
      </w:pPr>
    </w:p>
    <w:p w:rsidRPr="003600EF" w:rsidR="002D2967" w:rsidP="002D2967" w:rsidRDefault="002D2967" w14:paraId="6F1770F3" w14:textId="77777777">
      <w:pPr>
        <w:jc w:val="both"/>
        <w:rPr>
          <w:rFonts w:cs="Arial"/>
          <w:color w:val="212121"/>
          <w:sz w:val="22"/>
          <w:szCs w:val="22"/>
        </w:rPr>
      </w:pPr>
      <w:r w:rsidRPr="003600EF">
        <w:rPr>
          <w:rFonts w:cs="Arial"/>
          <w:color w:val="212121"/>
          <w:sz w:val="22"/>
          <w:szCs w:val="22"/>
        </w:rPr>
        <w:t xml:space="preserve">On </w:t>
      </w:r>
      <w:proofErr w:type="spellStart"/>
      <w:r w:rsidRPr="003600EF">
        <w:rPr>
          <w:rFonts w:cs="Arial"/>
          <w:color w:val="212121"/>
          <w:sz w:val="22"/>
          <w:szCs w:val="22"/>
        </w:rPr>
        <w:t>VfM</w:t>
      </w:r>
      <w:proofErr w:type="spellEnd"/>
      <w:r w:rsidRPr="003600EF">
        <w:rPr>
          <w:rFonts w:cs="Arial"/>
          <w:color w:val="212121"/>
          <w:sz w:val="22"/>
          <w:szCs w:val="22"/>
        </w:rPr>
        <w:t xml:space="preserve">, it is important to frame DC losses in context: the DC facility is explicitly designed as a high-risk, grant-like instrument where a proportion of losses is anticipated and budgeted for. The value generated is not principally through capital recovery but through pipeline development, proof-of-concept demonstration, and the downstream mobilisation effects that successful DCs enable. The </w:t>
      </w:r>
      <w:proofErr w:type="spellStart"/>
      <w:r w:rsidRPr="003600EF">
        <w:rPr>
          <w:rFonts w:cs="Arial"/>
          <w:color w:val="212121"/>
          <w:sz w:val="22"/>
          <w:szCs w:val="22"/>
        </w:rPr>
        <w:t>CrossBoundary</w:t>
      </w:r>
      <w:proofErr w:type="spellEnd"/>
      <w:r w:rsidRPr="003600EF">
        <w:rPr>
          <w:rFonts w:cs="Arial"/>
          <w:color w:val="212121"/>
          <w:sz w:val="22"/>
          <w:szCs w:val="22"/>
        </w:rPr>
        <w:t xml:space="preserve"> DC, for example, is structured to catalyse a USD 10m follow-on fund investment and USD 50m+ in private finance if it reaches first close, a mobilisation ratio that would far outweigh the original USD 0.85m contribution.</w:t>
      </w:r>
    </w:p>
    <w:p w:rsidRPr="003600EF" w:rsidR="002D2967" w:rsidP="0070421A" w:rsidRDefault="002D2967" w14:paraId="4242BBB6" w14:textId="77777777">
      <w:pPr>
        <w:jc w:val="both"/>
        <w:rPr>
          <w:rFonts w:cs="Arial"/>
          <w:color w:val="212121"/>
          <w:sz w:val="22"/>
          <w:szCs w:val="22"/>
        </w:rPr>
      </w:pPr>
    </w:p>
    <w:p w:rsidRPr="003600EF" w:rsidR="003D222C" w:rsidP="004D5FD5" w:rsidRDefault="003D222C" w14:paraId="45AE6586" w14:textId="77777777">
      <w:pPr>
        <w:jc w:val="both"/>
        <w:rPr>
          <w:rFonts w:cs="Arial"/>
          <w:bCs/>
          <w:color w:val="212121"/>
          <w:sz w:val="22"/>
          <w:szCs w:val="22"/>
        </w:rPr>
      </w:pPr>
      <w:r w:rsidRPr="003600EF">
        <w:rPr>
          <w:rFonts w:cs="Arial"/>
          <w:bCs/>
          <w:color w:val="212121"/>
          <w:sz w:val="22"/>
          <w:szCs w:val="22"/>
        </w:rPr>
        <w:t xml:space="preserve">  </w:t>
      </w:r>
    </w:p>
    <w:p w:rsidRPr="003600EF" w:rsidR="003D222C" w:rsidP="3A221014" w:rsidRDefault="00C02966" w14:paraId="4E79AAE8" w14:textId="177B132B">
      <w:pPr>
        <w:jc w:val="both"/>
        <w:rPr>
          <w:rFonts w:cs="Arial"/>
          <w:i/>
          <w:iCs/>
          <w:color w:val="212121"/>
          <w:sz w:val="22"/>
          <w:szCs w:val="22"/>
        </w:rPr>
      </w:pPr>
      <w:r w:rsidRPr="003600EF">
        <w:rPr>
          <w:b/>
          <w:bCs/>
          <w:i/>
          <w:iCs/>
          <w:color w:val="212121"/>
          <w:sz w:val="28"/>
          <w:szCs w:val="28"/>
        </w:rPr>
        <w:t>C</w:t>
      </w:r>
      <w:r w:rsidRPr="003600EF" w:rsidR="003D222C">
        <w:rPr>
          <w:b/>
          <w:bCs/>
          <w:i/>
          <w:iCs/>
          <w:color w:val="212121"/>
          <w:sz w:val="28"/>
          <w:szCs w:val="28"/>
        </w:rPr>
        <w:t xml:space="preserve">hanges </w:t>
      </w:r>
      <w:r w:rsidRPr="003600EF" w:rsidR="5AA7F347">
        <w:rPr>
          <w:b/>
          <w:bCs/>
          <w:i/>
          <w:iCs/>
          <w:color w:val="212121"/>
          <w:sz w:val="28"/>
          <w:szCs w:val="28"/>
        </w:rPr>
        <w:t xml:space="preserve">to </w:t>
      </w:r>
      <w:r w:rsidRPr="003600EF" w:rsidR="003D222C">
        <w:rPr>
          <w:b/>
          <w:bCs/>
          <w:i/>
          <w:iCs/>
          <w:color w:val="212121"/>
          <w:sz w:val="28"/>
          <w:szCs w:val="28"/>
        </w:rPr>
        <w:t>this output, and any planned changes as a result of this review</w:t>
      </w:r>
      <w:r w:rsidRPr="003600EF" w:rsidR="003D222C">
        <w:rPr>
          <w:rFonts w:cs="Arial"/>
          <w:b/>
          <w:bCs/>
          <w:i/>
          <w:iCs/>
          <w:color w:val="212121"/>
          <w:sz w:val="22"/>
          <w:szCs w:val="22"/>
        </w:rPr>
        <w:t xml:space="preserve"> </w:t>
      </w:r>
    </w:p>
    <w:p w:rsidRPr="003600EF" w:rsidR="003D222C" w:rsidP="004D5FD5" w:rsidRDefault="003D222C" w14:paraId="2C9E6F55" w14:textId="77777777">
      <w:pPr>
        <w:jc w:val="both"/>
        <w:rPr>
          <w:rFonts w:cs="Arial"/>
          <w:color w:val="212121"/>
          <w:sz w:val="22"/>
          <w:szCs w:val="22"/>
        </w:rPr>
      </w:pPr>
    </w:p>
    <w:p w:rsidRPr="003600EF" w:rsidR="007057CA" w:rsidP="004D5FD5" w:rsidRDefault="00835CA7" w14:paraId="1B0AE007" w14:textId="16CF16D0">
      <w:pPr>
        <w:jc w:val="both"/>
        <w:rPr>
          <w:rFonts w:cs="Arial"/>
          <w:color w:val="212121"/>
          <w:sz w:val="22"/>
          <w:szCs w:val="22"/>
        </w:rPr>
      </w:pPr>
      <w:r w:rsidRPr="003600EF">
        <w:rPr>
          <w:rFonts w:cs="Arial"/>
          <w:color w:val="212121"/>
          <w:sz w:val="22"/>
          <w:szCs w:val="22"/>
        </w:rPr>
        <w:t xml:space="preserve">No changes have been made to indicators or weightings. Following the AR24 recommendation, impact tracking on all DCs has been implemented from 2025 onwards. Additional TA capacity dedicated to DC origination and execution is being funded from the TAF budget, and a </w:t>
      </w:r>
      <w:r w:rsidRPr="003600EF" w:rsidR="00C56364">
        <w:rPr>
          <w:rFonts w:cs="Arial"/>
          <w:color w:val="212121"/>
          <w:sz w:val="22"/>
          <w:szCs w:val="22"/>
        </w:rPr>
        <w:t>formal</w:t>
      </w:r>
      <w:r w:rsidRPr="003600EF">
        <w:rPr>
          <w:rFonts w:cs="Arial"/>
          <w:color w:val="212121"/>
          <w:sz w:val="22"/>
          <w:szCs w:val="22"/>
        </w:rPr>
        <w:t xml:space="preserve"> DC </w:t>
      </w:r>
      <w:r w:rsidRPr="003600EF" w:rsidR="00C56364">
        <w:rPr>
          <w:rFonts w:cs="Arial"/>
          <w:color w:val="212121"/>
          <w:sz w:val="22"/>
          <w:szCs w:val="22"/>
        </w:rPr>
        <w:t xml:space="preserve">lessons learned review is being conducted. </w:t>
      </w:r>
    </w:p>
    <w:p w:rsidRPr="003600EF" w:rsidR="007057CA" w:rsidP="004D5FD5" w:rsidRDefault="007057CA" w14:paraId="60F9BD7F" w14:textId="77777777">
      <w:pPr>
        <w:jc w:val="both"/>
        <w:rPr>
          <w:rFonts w:cs="Arial"/>
          <w:color w:val="212121"/>
          <w:sz w:val="22"/>
          <w:szCs w:val="22"/>
        </w:rPr>
      </w:pPr>
    </w:p>
    <w:p w:rsidRPr="003600EF" w:rsidR="003D222C" w:rsidP="004D5FD5" w:rsidRDefault="00835CA7" w14:paraId="033808EB" w14:textId="1F6CF233">
      <w:pPr>
        <w:jc w:val="both"/>
        <w:rPr>
          <w:rFonts w:cs="Arial"/>
          <w:color w:val="212121"/>
          <w:sz w:val="22"/>
          <w:szCs w:val="22"/>
        </w:rPr>
      </w:pPr>
      <w:r w:rsidRPr="003600EF">
        <w:rPr>
          <w:rFonts w:cs="Arial"/>
          <w:color w:val="212121"/>
          <w:sz w:val="22"/>
          <w:szCs w:val="22"/>
        </w:rPr>
        <w:t>The priority DC pipeline for 2026 is entirely outside Latin America</w:t>
      </w:r>
      <w:r w:rsidRPr="003600EF" w:rsidR="00C56364">
        <w:rPr>
          <w:rFonts w:cs="Arial"/>
          <w:color w:val="212121"/>
          <w:sz w:val="22"/>
          <w:szCs w:val="22"/>
        </w:rPr>
        <w:t xml:space="preserve"> and</w:t>
      </w:r>
      <w:r w:rsidRPr="003600EF">
        <w:rPr>
          <w:rFonts w:cs="Arial"/>
          <w:color w:val="212121"/>
          <w:sz w:val="22"/>
          <w:szCs w:val="22"/>
        </w:rPr>
        <w:t xml:space="preserve"> represent</w:t>
      </w:r>
      <w:r w:rsidRPr="003600EF" w:rsidR="00C56364">
        <w:rPr>
          <w:rFonts w:cs="Arial"/>
          <w:color w:val="212121"/>
          <w:sz w:val="22"/>
          <w:szCs w:val="22"/>
        </w:rPr>
        <w:t>s</w:t>
      </w:r>
      <w:r w:rsidRPr="003600EF">
        <w:rPr>
          <w:rFonts w:cs="Arial"/>
          <w:color w:val="212121"/>
          <w:sz w:val="22"/>
          <w:szCs w:val="22"/>
        </w:rPr>
        <w:t xml:space="preserve"> a potential </w:t>
      </w:r>
      <w:r w:rsidRPr="003600EF">
        <w:rPr>
          <w:rFonts w:cs="Arial"/>
          <w:b/>
          <w:bCs/>
          <w:color w:val="212121"/>
          <w:sz w:val="22"/>
          <w:szCs w:val="22"/>
        </w:rPr>
        <w:t>USD 5–8m</w:t>
      </w:r>
      <w:r w:rsidRPr="003600EF">
        <w:rPr>
          <w:rFonts w:cs="Arial"/>
          <w:color w:val="212121"/>
          <w:sz w:val="22"/>
          <w:szCs w:val="22"/>
        </w:rPr>
        <w:t xml:space="preserve"> in new DC commitments.</w:t>
      </w:r>
    </w:p>
    <w:p w:rsidRPr="003600EF" w:rsidR="008F1C1A" w:rsidP="004D5FD5" w:rsidRDefault="008F1C1A" w14:paraId="76DA315D" w14:textId="77777777">
      <w:pPr>
        <w:jc w:val="both"/>
        <w:rPr>
          <w:rFonts w:cs="Arial"/>
          <w:color w:val="212121"/>
          <w:sz w:val="22"/>
          <w:szCs w:val="22"/>
        </w:rPr>
      </w:pPr>
    </w:p>
    <w:p w:rsidRPr="003600EF" w:rsidR="003D222C" w:rsidP="004D5FD5" w:rsidRDefault="003D222C" w14:paraId="17BAC3B7" w14:textId="2E18B009">
      <w:pPr>
        <w:jc w:val="both"/>
        <w:rPr>
          <w:rFonts w:cs="Arial"/>
          <w:bCs/>
          <w:color w:val="212121"/>
          <w:sz w:val="22"/>
          <w:szCs w:val="22"/>
        </w:rPr>
      </w:pPr>
      <w:r w:rsidRPr="003600EF">
        <w:rPr>
          <w:b/>
          <w:bCs/>
          <w:i/>
          <w:iCs/>
          <w:color w:val="212121"/>
          <w:sz w:val="28"/>
          <w:szCs w:val="28"/>
        </w:rPr>
        <w:t>Progress on recommendations from the previous AR</w:t>
      </w:r>
      <w:r w:rsidRPr="003600EF" w:rsidR="00690170">
        <w:rPr>
          <w:b/>
          <w:bCs/>
          <w:i/>
          <w:iCs/>
          <w:color w:val="212121"/>
          <w:sz w:val="28"/>
          <w:szCs w:val="28"/>
        </w:rPr>
        <w:t xml:space="preserve">, </w:t>
      </w:r>
      <w:r w:rsidRPr="003600EF">
        <w:rPr>
          <w:b/>
          <w:bCs/>
          <w:i/>
          <w:iCs/>
          <w:color w:val="212121"/>
          <w:sz w:val="28"/>
          <w:szCs w:val="28"/>
        </w:rPr>
        <w:t>lessons learned this year</w:t>
      </w:r>
      <w:r w:rsidRPr="003600EF" w:rsidR="00690170">
        <w:rPr>
          <w:b/>
          <w:bCs/>
          <w:i/>
          <w:iCs/>
          <w:color w:val="212121"/>
          <w:sz w:val="28"/>
          <w:szCs w:val="28"/>
        </w:rPr>
        <w:t>,</w:t>
      </w:r>
      <w:r w:rsidRPr="003600EF">
        <w:rPr>
          <w:b/>
          <w:bCs/>
          <w:i/>
          <w:iCs/>
          <w:color w:val="212121"/>
          <w:sz w:val="28"/>
          <w:szCs w:val="28"/>
        </w:rPr>
        <w:t xml:space="preserve"> and recommendations for the year ahead</w:t>
      </w:r>
    </w:p>
    <w:p w:rsidRPr="003600EF" w:rsidR="003D222C" w:rsidP="004D5FD5" w:rsidRDefault="003D222C" w14:paraId="72F2FAA1" w14:textId="77777777">
      <w:pPr>
        <w:tabs>
          <w:tab w:val="left" w:pos="8352"/>
        </w:tabs>
        <w:jc w:val="both"/>
        <w:rPr>
          <w:rFonts w:cs="Arial"/>
          <w:bCs/>
          <w:color w:val="212121"/>
          <w:sz w:val="22"/>
          <w:szCs w:val="22"/>
        </w:rPr>
      </w:pPr>
    </w:p>
    <w:p w:rsidRPr="003600EF" w:rsidR="004D33A8" w:rsidP="004D5FD5" w:rsidRDefault="00EF5E01" w14:paraId="0F3A5C39" w14:textId="7C7CFE30">
      <w:pPr>
        <w:jc w:val="both"/>
        <w:rPr>
          <w:rFonts w:cs="Arial"/>
          <w:color w:val="212121"/>
          <w:sz w:val="22"/>
          <w:szCs w:val="22"/>
        </w:rPr>
      </w:pPr>
      <w:r w:rsidRPr="003600EF">
        <w:rPr>
          <w:rFonts w:cs="Arial"/>
          <w:color w:val="212121"/>
          <w:sz w:val="22"/>
          <w:szCs w:val="22"/>
        </w:rPr>
        <w:t xml:space="preserve">The AR24 recommendation to facilitate a greater number of DC deals, improving investment pipeline and testing innovative models in challenging geographies, has been actioned. A dedicated capacity to the TA function, funded from the TAF budget, specifically to increase the team's ability to originate and execute DCs, has been added. </w:t>
      </w:r>
    </w:p>
    <w:p w:rsidRPr="003600EF" w:rsidR="004A367B" w:rsidP="004D5FD5" w:rsidRDefault="004A367B" w14:paraId="6F13DE51" w14:textId="7998CBAD">
      <w:pPr>
        <w:pStyle w:val="Heading2"/>
        <w:jc w:val="both"/>
        <w:rPr>
          <w:color w:val="212121"/>
        </w:rPr>
      </w:pPr>
      <w:bookmarkStart w:name="_Toc227234248" w:id="14"/>
      <w:r w:rsidRPr="003600EF">
        <w:rPr>
          <w:color w:val="212121"/>
        </w:rPr>
        <w:t xml:space="preserve">Output 2: </w:t>
      </w:r>
      <w:r w:rsidRPr="003600EF" w:rsidR="00B837DE">
        <w:rPr>
          <w:color w:val="212121"/>
        </w:rPr>
        <w:t>Capital Investment</w:t>
      </w:r>
      <w:bookmarkEnd w:id="14"/>
    </w:p>
    <w:p w:rsidRPr="003600EF" w:rsidR="00691842" w:rsidP="00691842" w:rsidRDefault="00691842" w14:paraId="6614CA3C" w14:textId="77777777">
      <w:pPr>
        <w:rPr>
          <w:color w:val="212121"/>
        </w:rPr>
      </w:pPr>
    </w:p>
    <w:tbl>
      <w:tblPr>
        <w:tblStyle w:val="TableGrid"/>
        <w:tblW w:w="9072" w:type="dxa"/>
        <w:tblInd w:w="-5" w:type="dxa"/>
        <w:tblLook w:val="04A0" w:firstRow="1" w:lastRow="0" w:firstColumn="1" w:lastColumn="0" w:noHBand="0" w:noVBand="1"/>
      </w:tblPr>
      <w:tblGrid>
        <w:gridCol w:w="2149"/>
        <w:gridCol w:w="1146"/>
        <w:gridCol w:w="2903"/>
        <w:gridCol w:w="2874"/>
      </w:tblGrid>
      <w:tr w:rsidRPr="001B0614" w:rsidR="00827DDC" w:rsidTr="00456ECF" w14:paraId="41CE7F22" w14:textId="77777777">
        <w:trPr>
          <w:trHeight w:val="489"/>
        </w:trPr>
        <w:tc>
          <w:tcPr>
            <w:tcW w:w="214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7057EFC7" w14:textId="15BA3F95">
            <w:pPr>
              <w:jc w:val="both"/>
              <w:rPr>
                <w:rFonts w:cs="Arial"/>
                <w:b/>
                <w:bCs/>
                <w:color w:val="212121"/>
                <w:sz w:val="22"/>
                <w:szCs w:val="22"/>
              </w:rPr>
            </w:pPr>
            <w:r w:rsidRPr="003600EF">
              <w:rPr>
                <w:rFonts w:cs="Arial"/>
                <w:b/>
                <w:bCs/>
                <w:color w:val="212121"/>
                <w:sz w:val="22"/>
                <w:szCs w:val="22"/>
              </w:rPr>
              <w:t xml:space="preserve">Output </w:t>
            </w:r>
            <w:r w:rsidR="00456ECF">
              <w:rPr>
                <w:rFonts w:cs="Arial"/>
                <w:b/>
                <w:bCs/>
                <w:color w:val="212121"/>
                <w:sz w:val="22"/>
                <w:szCs w:val="22"/>
              </w:rPr>
              <w:t>2: Capital Investment</w:t>
            </w:r>
            <w:r w:rsidRPr="003600EF">
              <w:rPr>
                <w:rFonts w:cs="Arial"/>
                <w:b/>
                <w:bCs/>
                <w:color w:val="212121"/>
                <w:sz w:val="22"/>
                <w:szCs w:val="22"/>
              </w:rPr>
              <w:t xml:space="preserve"> </w:t>
            </w:r>
          </w:p>
        </w:tc>
        <w:tc>
          <w:tcPr>
            <w:tcW w:w="6923"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3600EF" w:rsidR="00691842" w:rsidRDefault="00733468" w14:paraId="78968739" w14:textId="362074C2">
            <w:pPr>
              <w:jc w:val="both"/>
              <w:rPr>
                <w:rFonts w:cs="Arial"/>
                <w:bCs/>
                <w:iCs/>
                <w:color w:val="212121"/>
                <w:sz w:val="22"/>
                <w:szCs w:val="22"/>
              </w:rPr>
            </w:pPr>
            <w:r w:rsidRPr="003600EF">
              <w:rPr>
                <w:rFonts w:cs="Arial"/>
                <w:bCs/>
                <w:iCs/>
                <w:color w:val="212121"/>
                <w:sz w:val="22"/>
                <w:szCs w:val="22"/>
              </w:rPr>
              <w:t>The programme de-risks investments for the private sector (incl. DFIs) by providing concessional capital and by supporting investees to manage and overcome ESG risks. </w:t>
            </w:r>
          </w:p>
        </w:tc>
      </w:tr>
      <w:tr w:rsidRPr="001B0614" w:rsidR="00976A9B" w:rsidTr="00456ECF" w14:paraId="1A461D66" w14:textId="77777777">
        <w:trPr>
          <w:trHeight w:val="347"/>
        </w:trPr>
        <w:tc>
          <w:tcPr>
            <w:tcW w:w="214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29F004B5" w14:textId="77777777">
            <w:pPr>
              <w:jc w:val="both"/>
              <w:rPr>
                <w:rFonts w:cs="Arial"/>
                <w:bCs/>
                <w:color w:val="212121"/>
                <w:sz w:val="22"/>
                <w:szCs w:val="22"/>
              </w:rPr>
            </w:pPr>
            <w:r w:rsidRPr="003600EF">
              <w:rPr>
                <w:rFonts w:cs="Arial"/>
                <w:bCs/>
                <w:color w:val="212121"/>
                <w:sz w:val="22"/>
                <w:szCs w:val="22"/>
              </w:rPr>
              <w:t xml:space="preserve">Output number: </w:t>
            </w:r>
          </w:p>
        </w:tc>
        <w:tc>
          <w:tcPr>
            <w:tcW w:w="1146" w:type="dxa"/>
            <w:tcBorders>
              <w:top w:val="single" w:color="auto" w:sz="4" w:space="0"/>
              <w:left w:val="single" w:color="auto" w:sz="4" w:space="0"/>
              <w:bottom w:val="single" w:color="auto" w:sz="4" w:space="0"/>
              <w:right w:val="single" w:color="auto" w:sz="4" w:space="0"/>
            </w:tcBorders>
          </w:tcPr>
          <w:p w:rsidRPr="003600EF" w:rsidR="00691842" w:rsidRDefault="00D1043B" w14:paraId="77F166EC" w14:textId="717EB2FF">
            <w:pPr>
              <w:jc w:val="both"/>
              <w:rPr>
                <w:rFonts w:cs="Arial"/>
                <w:color w:val="212121"/>
                <w:sz w:val="22"/>
                <w:szCs w:val="22"/>
              </w:rPr>
            </w:pPr>
            <w:r w:rsidRPr="003600EF">
              <w:rPr>
                <w:rFonts w:cs="Arial"/>
                <w:color w:val="212121"/>
                <w:sz w:val="22"/>
                <w:szCs w:val="22"/>
              </w:rPr>
              <w:t>2</w:t>
            </w:r>
          </w:p>
        </w:tc>
        <w:tc>
          <w:tcPr>
            <w:tcW w:w="290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03065D68" w14:textId="77777777">
            <w:pPr>
              <w:jc w:val="both"/>
              <w:rPr>
                <w:rFonts w:cs="Arial"/>
                <w:color w:val="212121"/>
                <w:sz w:val="22"/>
                <w:szCs w:val="22"/>
              </w:rPr>
            </w:pPr>
            <w:r w:rsidRPr="003600EF">
              <w:rPr>
                <w:rFonts w:cs="Arial"/>
                <w:bCs/>
                <w:color w:val="212121"/>
                <w:sz w:val="22"/>
                <w:szCs w:val="22"/>
              </w:rPr>
              <w:t xml:space="preserve">Output Score: </w:t>
            </w:r>
          </w:p>
        </w:tc>
        <w:tc>
          <w:tcPr>
            <w:tcW w:w="2874" w:type="dxa"/>
            <w:tcBorders>
              <w:top w:val="single" w:color="auto" w:sz="4" w:space="0"/>
              <w:left w:val="single" w:color="auto" w:sz="4" w:space="0"/>
              <w:bottom w:val="single" w:color="auto" w:sz="4" w:space="0"/>
              <w:right w:val="single" w:color="auto" w:sz="4" w:space="0"/>
            </w:tcBorders>
          </w:tcPr>
          <w:p w:rsidRPr="003600EF" w:rsidR="00691842" w:rsidRDefault="008C2358" w14:paraId="263A0106" w14:textId="4C8979AF">
            <w:pPr>
              <w:jc w:val="both"/>
              <w:rPr>
                <w:rFonts w:cs="Arial"/>
                <w:b/>
                <w:bCs/>
                <w:iCs/>
                <w:color w:val="212121"/>
                <w:sz w:val="22"/>
                <w:szCs w:val="22"/>
              </w:rPr>
            </w:pPr>
            <w:r w:rsidRPr="003600EF">
              <w:rPr>
                <w:rFonts w:cs="Arial"/>
                <w:b/>
                <w:bCs/>
                <w:iCs/>
                <w:color w:val="212121"/>
                <w:sz w:val="22"/>
                <w:szCs w:val="22"/>
              </w:rPr>
              <w:t>A</w:t>
            </w:r>
            <w:r w:rsidRPr="003600EF" w:rsidR="00CA7DD2">
              <w:rPr>
                <w:rFonts w:cs="Arial"/>
                <w:b/>
                <w:bCs/>
                <w:iCs/>
                <w:color w:val="212121"/>
                <w:sz w:val="22"/>
                <w:szCs w:val="22"/>
              </w:rPr>
              <w:t>+</w:t>
            </w:r>
          </w:p>
        </w:tc>
      </w:tr>
      <w:tr w:rsidRPr="001B0614" w:rsidR="00976A9B" w:rsidTr="00456ECF" w14:paraId="08DC1373" w14:textId="77777777">
        <w:trPr>
          <w:trHeight w:val="345"/>
        </w:trPr>
        <w:tc>
          <w:tcPr>
            <w:tcW w:w="214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0EE290D9" w14:textId="77777777">
            <w:pPr>
              <w:jc w:val="both"/>
              <w:rPr>
                <w:rFonts w:cs="Arial"/>
                <w:color w:val="212121"/>
                <w:sz w:val="22"/>
                <w:szCs w:val="22"/>
              </w:rPr>
            </w:pPr>
            <w:r w:rsidRPr="003600EF">
              <w:rPr>
                <w:rFonts w:cs="Arial"/>
                <w:bCs/>
                <w:color w:val="212121"/>
                <w:sz w:val="22"/>
                <w:szCs w:val="22"/>
              </w:rPr>
              <w:t xml:space="preserve">Impact weighting (%):  </w:t>
            </w:r>
          </w:p>
        </w:tc>
        <w:tc>
          <w:tcPr>
            <w:tcW w:w="1146" w:type="dxa"/>
            <w:tcBorders>
              <w:top w:val="single" w:color="auto" w:sz="4" w:space="0"/>
              <w:left w:val="single" w:color="auto" w:sz="4" w:space="0"/>
              <w:bottom w:val="single" w:color="auto" w:sz="4" w:space="0"/>
              <w:right w:val="single" w:color="auto" w:sz="4" w:space="0"/>
            </w:tcBorders>
            <w:hideMark/>
          </w:tcPr>
          <w:p w:rsidRPr="003600EF" w:rsidR="00691842" w:rsidRDefault="00D1043B" w14:paraId="24DB908D" w14:textId="3C230770">
            <w:pPr>
              <w:jc w:val="both"/>
              <w:rPr>
                <w:rFonts w:cs="Arial"/>
                <w:bCs/>
                <w:color w:val="212121"/>
                <w:sz w:val="22"/>
                <w:szCs w:val="22"/>
              </w:rPr>
            </w:pPr>
            <w:r w:rsidRPr="003600EF">
              <w:rPr>
                <w:rFonts w:cs="Arial"/>
                <w:bCs/>
                <w:color w:val="212121"/>
                <w:sz w:val="22"/>
                <w:szCs w:val="22"/>
              </w:rPr>
              <w:t>50%</w:t>
            </w:r>
          </w:p>
        </w:tc>
        <w:tc>
          <w:tcPr>
            <w:tcW w:w="290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16454226" w14:textId="77777777">
            <w:pPr>
              <w:jc w:val="both"/>
              <w:rPr>
                <w:rFonts w:cs="Arial"/>
                <w:bCs/>
                <w:color w:val="212121"/>
                <w:sz w:val="22"/>
                <w:szCs w:val="22"/>
              </w:rPr>
            </w:pPr>
            <w:r w:rsidRPr="003600EF">
              <w:rPr>
                <w:rFonts w:cs="Arial"/>
                <w:bCs/>
                <w:color w:val="212121"/>
                <w:sz w:val="22"/>
                <w:szCs w:val="22"/>
              </w:rPr>
              <w:t xml:space="preserve">Weighting revised since last AR? </w:t>
            </w:r>
          </w:p>
        </w:tc>
        <w:tc>
          <w:tcPr>
            <w:tcW w:w="2874" w:type="dxa"/>
            <w:tcBorders>
              <w:top w:val="single" w:color="auto" w:sz="4" w:space="0"/>
              <w:left w:val="single" w:color="auto" w:sz="4" w:space="0"/>
              <w:bottom w:val="single" w:color="auto" w:sz="4" w:space="0"/>
              <w:right w:val="single" w:color="auto" w:sz="4" w:space="0"/>
            </w:tcBorders>
          </w:tcPr>
          <w:p w:rsidRPr="003600EF" w:rsidR="00691842" w:rsidRDefault="00BA10F7" w14:paraId="7A0765DF" w14:textId="4A0E0B6C">
            <w:pPr>
              <w:jc w:val="both"/>
              <w:rPr>
                <w:rFonts w:cs="Arial"/>
                <w:bCs/>
                <w:color w:val="212121"/>
                <w:sz w:val="22"/>
                <w:szCs w:val="22"/>
              </w:rPr>
            </w:pPr>
            <w:r w:rsidRPr="003600EF">
              <w:rPr>
                <w:rFonts w:cs="Arial"/>
                <w:bCs/>
                <w:color w:val="212121"/>
                <w:sz w:val="22"/>
                <w:szCs w:val="22"/>
              </w:rPr>
              <w:t>No</w:t>
            </w:r>
          </w:p>
        </w:tc>
      </w:tr>
      <w:tr w:rsidRPr="001B0614" w:rsidR="00976A9B" w:rsidTr="00456ECF" w14:paraId="2D4E6664" w14:textId="77777777">
        <w:trPr>
          <w:trHeight w:val="345"/>
        </w:trPr>
        <w:tc>
          <w:tcPr>
            <w:tcW w:w="214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600EF" w:rsidR="00691842" w:rsidRDefault="00691842" w14:paraId="7DE2EAEE" w14:textId="5122F178">
            <w:pPr>
              <w:jc w:val="both"/>
              <w:rPr>
                <w:rFonts w:cs="Arial"/>
                <w:bCs/>
                <w:color w:val="212121"/>
                <w:sz w:val="22"/>
                <w:szCs w:val="22"/>
              </w:rPr>
            </w:pPr>
            <w:r w:rsidRPr="003600EF">
              <w:rPr>
                <w:rFonts w:cs="Arial"/>
                <w:bCs/>
                <w:color w:val="212121"/>
                <w:sz w:val="22"/>
                <w:szCs w:val="22"/>
              </w:rPr>
              <w:t>Risk rating</w:t>
            </w:r>
            <w:r w:rsidRPr="003600EF" w:rsidR="00DB3B57">
              <w:rPr>
                <w:rFonts w:cs="Arial"/>
                <w:bCs/>
                <w:color w:val="212121"/>
                <w:sz w:val="22"/>
                <w:szCs w:val="22"/>
              </w:rPr>
              <w:t>:</w:t>
            </w:r>
          </w:p>
        </w:tc>
        <w:tc>
          <w:tcPr>
            <w:tcW w:w="1146" w:type="dxa"/>
            <w:tcBorders>
              <w:top w:val="single" w:color="auto" w:sz="4" w:space="0"/>
              <w:left w:val="single" w:color="auto" w:sz="4" w:space="0"/>
              <w:bottom w:val="single" w:color="auto" w:sz="4" w:space="0"/>
              <w:right w:val="single" w:color="auto" w:sz="4" w:space="0"/>
            </w:tcBorders>
          </w:tcPr>
          <w:p w:rsidRPr="003600EF" w:rsidR="00691842" w:rsidRDefault="00BA10F7" w14:paraId="055BA998" w14:textId="037AAD7C">
            <w:pPr>
              <w:jc w:val="both"/>
              <w:rPr>
                <w:rFonts w:cs="Arial"/>
                <w:bCs/>
                <w:color w:val="212121"/>
                <w:sz w:val="22"/>
                <w:szCs w:val="22"/>
              </w:rPr>
            </w:pPr>
            <w:r w:rsidRPr="003600EF">
              <w:rPr>
                <w:rFonts w:cs="Arial"/>
                <w:bCs/>
                <w:color w:val="212121"/>
                <w:sz w:val="22"/>
                <w:szCs w:val="22"/>
              </w:rPr>
              <w:t>Moderate</w:t>
            </w:r>
          </w:p>
        </w:tc>
        <w:tc>
          <w:tcPr>
            <w:tcW w:w="2903"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600EF" w:rsidR="00691842" w:rsidRDefault="00691842" w14:paraId="2885ECE2" w14:textId="77777777">
            <w:pPr>
              <w:jc w:val="both"/>
              <w:rPr>
                <w:rFonts w:cs="Arial"/>
                <w:bCs/>
                <w:color w:val="212121"/>
                <w:sz w:val="22"/>
                <w:szCs w:val="22"/>
              </w:rPr>
            </w:pPr>
            <w:r w:rsidRPr="003600EF">
              <w:rPr>
                <w:rFonts w:cs="Arial"/>
                <w:bCs/>
                <w:color w:val="212121"/>
                <w:sz w:val="22"/>
                <w:szCs w:val="22"/>
              </w:rPr>
              <w:t>Risk revised since last AR?</w:t>
            </w:r>
          </w:p>
        </w:tc>
        <w:tc>
          <w:tcPr>
            <w:tcW w:w="2874" w:type="dxa"/>
            <w:tcBorders>
              <w:top w:val="single" w:color="auto" w:sz="4" w:space="0"/>
              <w:left w:val="single" w:color="auto" w:sz="4" w:space="0"/>
              <w:bottom w:val="single" w:color="auto" w:sz="4" w:space="0"/>
              <w:right w:val="single" w:color="auto" w:sz="4" w:space="0"/>
            </w:tcBorders>
          </w:tcPr>
          <w:p w:rsidRPr="003600EF" w:rsidR="00691842" w:rsidRDefault="00BA10F7" w14:paraId="34DD6A93" w14:textId="7F381E84">
            <w:pPr>
              <w:jc w:val="both"/>
              <w:rPr>
                <w:rFonts w:cs="Arial"/>
                <w:bCs/>
                <w:color w:val="212121"/>
                <w:sz w:val="22"/>
                <w:szCs w:val="22"/>
              </w:rPr>
            </w:pPr>
            <w:r w:rsidRPr="003600EF">
              <w:rPr>
                <w:rFonts w:cs="Arial"/>
                <w:bCs/>
                <w:color w:val="212121"/>
                <w:sz w:val="22"/>
                <w:szCs w:val="22"/>
              </w:rPr>
              <w:t>No</w:t>
            </w:r>
          </w:p>
        </w:tc>
      </w:tr>
    </w:tbl>
    <w:p w:rsidRPr="003600EF" w:rsidR="00691842" w:rsidP="00691842" w:rsidRDefault="00691842" w14:paraId="33BACDC4" w14:textId="77777777">
      <w:pPr>
        <w:jc w:val="both"/>
        <w:rPr>
          <w:rFonts w:cs="Arial"/>
          <w:b/>
          <w:color w:val="212121"/>
          <w:sz w:val="22"/>
          <w:szCs w:val="22"/>
        </w:rPr>
      </w:pPr>
    </w:p>
    <w:tbl>
      <w:tblPr>
        <w:tblStyle w:val="TableGrid"/>
        <w:tblpPr w:leftFromText="180" w:rightFromText="180" w:vertAnchor="text" w:horzAnchor="page" w:tblpX="1462" w:tblpY="-10"/>
        <w:tblOverlap w:val="never"/>
        <w:tblW w:w="9067" w:type="dxa"/>
        <w:tblLayout w:type="fixed"/>
        <w:tblLook w:val="04A0" w:firstRow="1" w:lastRow="0" w:firstColumn="1" w:lastColumn="0" w:noHBand="0" w:noVBand="1"/>
      </w:tblPr>
      <w:tblGrid>
        <w:gridCol w:w="3397"/>
        <w:gridCol w:w="1843"/>
        <w:gridCol w:w="3827"/>
      </w:tblGrid>
      <w:tr w:rsidRPr="001B0614" w:rsidR="00A969F9" w:rsidTr="00C07140" w14:paraId="72BA5779" w14:textId="77777777">
        <w:trPr>
          <w:trHeight w:val="273"/>
        </w:trPr>
        <w:tc>
          <w:tcPr>
            <w:tcW w:w="339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20749DF7" w14:textId="77777777">
            <w:pPr>
              <w:jc w:val="both"/>
              <w:rPr>
                <w:rFonts w:cs="Arial"/>
                <w:b/>
                <w:bCs/>
                <w:color w:val="212121"/>
                <w:sz w:val="22"/>
                <w:szCs w:val="22"/>
              </w:rPr>
            </w:pPr>
            <w:r w:rsidRPr="003600EF">
              <w:rPr>
                <w:rFonts w:cs="Arial"/>
                <w:b/>
                <w:bCs/>
                <w:color w:val="212121"/>
                <w:sz w:val="22"/>
                <w:szCs w:val="22"/>
              </w:rPr>
              <w:t>Indicator(s)</w:t>
            </w:r>
          </w:p>
        </w:tc>
        <w:tc>
          <w:tcPr>
            <w:tcW w:w="184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34DCC454" w14:textId="77777777">
            <w:pPr>
              <w:jc w:val="both"/>
              <w:rPr>
                <w:rFonts w:cs="Arial"/>
                <w:b/>
                <w:bCs/>
                <w:color w:val="212121"/>
                <w:sz w:val="22"/>
                <w:szCs w:val="22"/>
              </w:rPr>
            </w:pPr>
            <w:r w:rsidRPr="003600EF">
              <w:rPr>
                <w:rFonts w:cs="Arial"/>
                <w:b/>
                <w:bCs/>
                <w:color w:val="212121"/>
                <w:sz w:val="22"/>
                <w:szCs w:val="22"/>
              </w:rPr>
              <w:t>Milestone(s) for this review</w:t>
            </w:r>
          </w:p>
        </w:tc>
        <w:tc>
          <w:tcPr>
            <w:tcW w:w="382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691842" w:rsidRDefault="00691842" w14:paraId="14649BD1" w14:textId="77777777">
            <w:pPr>
              <w:jc w:val="both"/>
              <w:rPr>
                <w:rFonts w:cs="Arial"/>
                <w:b/>
                <w:bCs/>
                <w:color w:val="212121"/>
                <w:sz w:val="22"/>
                <w:szCs w:val="22"/>
              </w:rPr>
            </w:pPr>
            <w:r w:rsidRPr="003600EF">
              <w:rPr>
                <w:rFonts w:cs="Arial"/>
                <w:b/>
                <w:bCs/>
                <w:color w:val="212121"/>
                <w:sz w:val="22"/>
                <w:szCs w:val="22"/>
              </w:rPr>
              <w:t xml:space="preserve">Progress </w:t>
            </w:r>
          </w:p>
        </w:tc>
      </w:tr>
      <w:tr w:rsidRPr="001B0614" w:rsidR="00A366BA" w:rsidTr="00C07140" w14:paraId="1A9B1DC3" w14:textId="77777777">
        <w:tc>
          <w:tcPr>
            <w:tcW w:w="339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71BA9FC9" w14:textId="39453DD7">
            <w:pPr>
              <w:jc w:val="both"/>
              <w:rPr>
                <w:rFonts w:cs="Arial"/>
                <w:bCs/>
                <w:iCs/>
                <w:color w:val="212121"/>
                <w:sz w:val="22"/>
                <w:szCs w:val="22"/>
              </w:rPr>
            </w:pPr>
            <w:r w:rsidRPr="003600EF">
              <w:rPr>
                <w:rStyle w:val="normaltextrun"/>
                <w:rFonts w:cs="Arial"/>
                <w:color w:val="212121"/>
                <w:sz w:val="22"/>
                <w:szCs w:val="22"/>
              </w:rPr>
              <w:t>2.1 Number of fund and direct investments for which an Op-scan has been produced.</w:t>
            </w:r>
            <w:r w:rsidRPr="003600EF">
              <w:rPr>
                <w:rStyle w:val="eop"/>
                <w:rFonts w:cs="Arial"/>
                <w:color w:val="212121"/>
                <w:sz w:val="22"/>
                <w:szCs w:val="22"/>
              </w:rPr>
              <w:t> </w:t>
            </w:r>
          </w:p>
        </w:tc>
        <w:tc>
          <w:tcPr>
            <w:tcW w:w="1843"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1F90D257" w14:textId="45AF559F">
            <w:pPr>
              <w:jc w:val="both"/>
              <w:rPr>
                <w:rFonts w:cs="Arial"/>
                <w:bCs/>
                <w:iCs/>
                <w:color w:val="212121"/>
                <w:sz w:val="22"/>
                <w:szCs w:val="22"/>
              </w:rPr>
            </w:pPr>
            <w:r w:rsidRPr="003600EF">
              <w:rPr>
                <w:rStyle w:val="normaltextrun"/>
                <w:rFonts w:cs="Arial"/>
                <w:color w:val="212121"/>
                <w:sz w:val="22"/>
                <w:szCs w:val="22"/>
              </w:rPr>
              <w:t>1</w:t>
            </w:r>
            <w:r w:rsidRPr="003600EF" w:rsidR="00C72D95">
              <w:rPr>
                <w:rStyle w:val="normaltextrun"/>
                <w:rFonts w:cs="Arial"/>
                <w:color w:val="212121"/>
                <w:sz w:val="22"/>
                <w:szCs w:val="22"/>
              </w:rPr>
              <w:t>2</w:t>
            </w:r>
          </w:p>
        </w:tc>
        <w:tc>
          <w:tcPr>
            <w:tcW w:w="3827" w:type="dxa"/>
            <w:tcBorders>
              <w:top w:val="single" w:color="auto" w:sz="4" w:space="0"/>
              <w:left w:val="single" w:color="auto" w:sz="4" w:space="0"/>
              <w:bottom w:val="single" w:color="auto" w:sz="4" w:space="0"/>
              <w:right w:val="single" w:color="auto" w:sz="4" w:space="0"/>
            </w:tcBorders>
          </w:tcPr>
          <w:p w:rsidRPr="003600EF" w:rsidR="00A366BA" w:rsidP="00A366BA" w:rsidRDefault="00CD32D1" w14:paraId="1C0583B9" w14:textId="34AC8D38">
            <w:pPr>
              <w:contextualSpacing/>
              <w:jc w:val="both"/>
              <w:rPr>
                <w:rFonts w:cs="Arial"/>
                <w:bCs/>
                <w:iCs/>
                <w:color w:val="212121"/>
                <w:sz w:val="22"/>
                <w:szCs w:val="22"/>
              </w:rPr>
            </w:pPr>
            <w:r w:rsidRPr="003600EF">
              <w:rPr>
                <w:rFonts w:cs="Arial"/>
                <w:b/>
                <w:bCs/>
                <w:color w:val="212121"/>
                <w:sz w:val="22"/>
                <w:szCs w:val="22"/>
              </w:rPr>
              <w:t>27 — Progress substantially exceeded expectation.</w:t>
            </w:r>
            <w:r w:rsidRPr="003600EF">
              <w:rPr>
                <w:rFonts w:cs="Arial"/>
                <w:color w:val="212121"/>
                <w:sz w:val="22"/>
                <w:szCs w:val="22"/>
              </w:rPr>
              <w:t xml:space="preserve"> </w:t>
            </w:r>
          </w:p>
        </w:tc>
      </w:tr>
      <w:tr w:rsidRPr="001B0614" w:rsidR="00A366BA" w:rsidTr="00C07140" w14:paraId="6F627DFA" w14:textId="77777777">
        <w:tc>
          <w:tcPr>
            <w:tcW w:w="339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4BD1753E" w14:textId="6975358E">
            <w:pPr>
              <w:jc w:val="both"/>
              <w:rPr>
                <w:rFonts w:cs="Arial"/>
                <w:bCs/>
                <w:iCs/>
                <w:color w:val="212121"/>
                <w:sz w:val="22"/>
                <w:szCs w:val="22"/>
              </w:rPr>
            </w:pPr>
            <w:r w:rsidRPr="003600EF">
              <w:rPr>
                <w:rStyle w:val="normaltextrun"/>
                <w:rFonts w:cs="Arial"/>
                <w:color w:val="212121"/>
                <w:sz w:val="22"/>
                <w:szCs w:val="22"/>
              </w:rPr>
              <w:t>2.2 Number of fund and direct investments for which a Clearance in Principle (CIP) [or equivalent] has been approved.</w:t>
            </w:r>
            <w:r w:rsidRPr="003600EF">
              <w:rPr>
                <w:rStyle w:val="eop"/>
                <w:rFonts w:cs="Arial"/>
                <w:color w:val="212121"/>
                <w:sz w:val="22"/>
                <w:szCs w:val="22"/>
              </w:rPr>
              <w:t> </w:t>
            </w:r>
          </w:p>
        </w:tc>
        <w:tc>
          <w:tcPr>
            <w:tcW w:w="1843"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3D8B963A" w14:textId="1EE6EC48">
            <w:pPr>
              <w:jc w:val="both"/>
              <w:rPr>
                <w:rFonts w:cs="Arial"/>
                <w:bCs/>
                <w:iCs/>
                <w:color w:val="212121"/>
                <w:sz w:val="22"/>
                <w:szCs w:val="22"/>
              </w:rPr>
            </w:pPr>
            <w:r w:rsidRPr="003600EF">
              <w:rPr>
                <w:rStyle w:val="normaltextrun"/>
                <w:rFonts w:cs="Arial"/>
                <w:color w:val="212121"/>
                <w:sz w:val="22"/>
                <w:szCs w:val="22"/>
              </w:rPr>
              <w:t>1</w:t>
            </w:r>
            <w:r w:rsidRPr="003600EF" w:rsidR="006E022C">
              <w:rPr>
                <w:rStyle w:val="normaltextrun"/>
                <w:rFonts w:cs="Arial"/>
                <w:color w:val="212121"/>
                <w:sz w:val="22"/>
                <w:szCs w:val="22"/>
              </w:rPr>
              <w:t>2</w:t>
            </w:r>
            <w:r w:rsidRPr="003600EF">
              <w:rPr>
                <w:rStyle w:val="eop"/>
                <w:rFonts w:cs="Arial"/>
                <w:color w:val="212121"/>
                <w:sz w:val="22"/>
                <w:szCs w:val="22"/>
              </w:rPr>
              <w:t> </w:t>
            </w:r>
          </w:p>
        </w:tc>
        <w:tc>
          <w:tcPr>
            <w:tcW w:w="382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2F0F0C95" w14:textId="6EDBF9DE">
            <w:pPr>
              <w:contextualSpacing/>
              <w:jc w:val="both"/>
              <w:rPr>
                <w:rFonts w:cs="Arial"/>
                <w:bCs/>
                <w:iCs/>
                <w:color w:val="212121"/>
                <w:sz w:val="22"/>
                <w:szCs w:val="22"/>
              </w:rPr>
            </w:pPr>
            <w:r w:rsidRPr="003600EF">
              <w:rPr>
                <w:rStyle w:val="normaltextrun"/>
                <w:rFonts w:cs="Arial"/>
                <w:color w:val="212121"/>
                <w:sz w:val="22"/>
                <w:szCs w:val="22"/>
              </w:rPr>
              <w:t>1</w:t>
            </w:r>
            <w:r w:rsidRPr="003600EF" w:rsidR="007520C7">
              <w:rPr>
                <w:rStyle w:val="normaltextrun"/>
                <w:rFonts w:cs="Arial"/>
                <w:color w:val="212121"/>
                <w:sz w:val="22"/>
                <w:szCs w:val="22"/>
              </w:rPr>
              <w:t>5</w:t>
            </w:r>
            <w:r w:rsidRPr="003600EF">
              <w:rPr>
                <w:rStyle w:val="normaltextrun"/>
                <w:rFonts w:cs="Arial"/>
                <w:color w:val="212121"/>
                <w:sz w:val="22"/>
                <w:szCs w:val="22"/>
              </w:rPr>
              <w:t> - Progress </w:t>
            </w:r>
            <w:r w:rsidRPr="003600EF">
              <w:rPr>
                <w:rStyle w:val="normaltextrun"/>
                <w:rFonts w:cs="Arial"/>
                <w:b/>
                <w:bCs/>
                <w:color w:val="212121"/>
                <w:sz w:val="22"/>
                <w:szCs w:val="22"/>
              </w:rPr>
              <w:t>moderately exceeded</w:t>
            </w:r>
            <w:r w:rsidRPr="003600EF">
              <w:rPr>
                <w:rStyle w:val="normaltextrun"/>
                <w:rFonts w:cs="Arial"/>
                <w:color w:val="212121"/>
                <w:sz w:val="22"/>
                <w:szCs w:val="22"/>
              </w:rPr>
              <w:t> expectation.</w:t>
            </w:r>
            <w:r w:rsidRPr="003600EF">
              <w:rPr>
                <w:rStyle w:val="eop"/>
                <w:rFonts w:cs="Arial"/>
                <w:color w:val="212121"/>
                <w:sz w:val="22"/>
                <w:szCs w:val="22"/>
              </w:rPr>
              <w:t> </w:t>
            </w:r>
          </w:p>
        </w:tc>
      </w:tr>
      <w:tr w:rsidRPr="001B0614" w:rsidR="00A366BA" w:rsidTr="00C07140" w14:paraId="2538B77E" w14:textId="77777777">
        <w:tc>
          <w:tcPr>
            <w:tcW w:w="339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368D3F27" w14:textId="40D5C1C7">
            <w:pPr>
              <w:jc w:val="both"/>
              <w:rPr>
                <w:rFonts w:cs="Arial"/>
                <w:bCs/>
                <w:iCs/>
                <w:color w:val="212121"/>
                <w:sz w:val="22"/>
                <w:szCs w:val="22"/>
              </w:rPr>
            </w:pPr>
            <w:r w:rsidRPr="003600EF">
              <w:rPr>
                <w:rStyle w:val="normaltextrun"/>
                <w:rFonts w:cs="Arial"/>
                <w:color w:val="212121"/>
                <w:sz w:val="22"/>
                <w:szCs w:val="22"/>
              </w:rPr>
              <w:t>2.3 Number of fund and direct investments for which a Due Diligence (DD) has been conducted.</w:t>
            </w:r>
            <w:r w:rsidRPr="003600EF">
              <w:rPr>
                <w:rStyle w:val="eop"/>
                <w:rFonts w:cs="Arial"/>
                <w:color w:val="212121"/>
                <w:sz w:val="22"/>
                <w:szCs w:val="22"/>
              </w:rPr>
              <w:t> </w:t>
            </w:r>
          </w:p>
        </w:tc>
        <w:tc>
          <w:tcPr>
            <w:tcW w:w="1843"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63BC923C" w14:textId="2B1123C9">
            <w:pPr>
              <w:jc w:val="both"/>
              <w:rPr>
                <w:rFonts w:cs="Arial"/>
                <w:bCs/>
                <w:iCs/>
                <w:color w:val="212121"/>
                <w:sz w:val="22"/>
                <w:szCs w:val="22"/>
              </w:rPr>
            </w:pPr>
            <w:r w:rsidRPr="003600EF">
              <w:rPr>
                <w:rStyle w:val="normaltextrun"/>
                <w:rFonts w:cs="Arial"/>
                <w:color w:val="212121"/>
                <w:sz w:val="22"/>
                <w:szCs w:val="22"/>
              </w:rPr>
              <w:t>1</w:t>
            </w:r>
            <w:r w:rsidRPr="003600EF" w:rsidR="005A3277">
              <w:rPr>
                <w:rStyle w:val="normaltextrun"/>
                <w:rFonts w:cs="Arial"/>
                <w:color w:val="212121"/>
                <w:sz w:val="22"/>
                <w:szCs w:val="22"/>
              </w:rPr>
              <w:t>2</w:t>
            </w:r>
          </w:p>
        </w:tc>
        <w:tc>
          <w:tcPr>
            <w:tcW w:w="382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5442E42F" w14:textId="0D5E42E3">
            <w:pPr>
              <w:contextualSpacing/>
              <w:jc w:val="both"/>
              <w:rPr>
                <w:rFonts w:cs="Arial"/>
                <w:bCs/>
                <w:iCs/>
                <w:color w:val="212121"/>
                <w:sz w:val="22"/>
                <w:szCs w:val="22"/>
              </w:rPr>
            </w:pPr>
            <w:r w:rsidRPr="003600EF">
              <w:rPr>
                <w:rStyle w:val="normaltextrun"/>
                <w:rFonts w:cs="Arial"/>
                <w:color w:val="212121"/>
                <w:sz w:val="22"/>
                <w:szCs w:val="22"/>
              </w:rPr>
              <w:t>1</w:t>
            </w:r>
            <w:r w:rsidRPr="003600EF" w:rsidR="007520C7">
              <w:rPr>
                <w:rStyle w:val="normaltextrun"/>
                <w:rFonts w:cs="Arial"/>
                <w:color w:val="212121"/>
                <w:sz w:val="22"/>
                <w:szCs w:val="22"/>
              </w:rPr>
              <w:t>4</w:t>
            </w:r>
            <w:r w:rsidRPr="003600EF">
              <w:rPr>
                <w:rStyle w:val="normaltextrun"/>
                <w:rFonts w:cs="Arial"/>
                <w:color w:val="212121"/>
                <w:sz w:val="22"/>
                <w:szCs w:val="22"/>
              </w:rPr>
              <w:t> - Progress </w:t>
            </w:r>
            <w:r w:rsidRPr="003600EF">
              <w:rPr>
                <w:rStyle w:val="normaltextrun"/>
                <w:rFonts w:cs="Arial"/>
                <w:b/>
                <w:bCs/>
                <w:color w:val="212121"/>
                <w:sz w:val="22"/>
                <w:szCs w:val="22"/>
              </w:rPr>
              <w:t>moderately exceeded</w:t>
            </w:r>
            <w:r w:rsidRPr="003600EF">
              <w:rPr>
                <w:rStyle w:val="normaltextrun"/>
                <w:rFonts w:cs="Arial"/>
                <w:color w:val="212121"/>
                <w:sz w:val="22"/>
                <w:szCs w:val="22"/>
              </w:rPr>
              <w:t> expectation.</w:t>
            </w:r>
            <w:r w:rsidRPr="003600EF">
              <w:rPr>
                <w:rStyle w:val="eop"/>
                <w:rFonts w:cs="Arial"/>
                <w:color w:val="212121"/>
                <w:sz w:val="22"/>
                <w:szCs w:val="22"/>
              </w:rPr>
              <w:t> </w:t>
            </w:r>
          </w:p>
        </w:tc>
      </w:tr>
      <w:tr w:rsidRPr="001B0614" w:rsidR="00A366BA" w:rsidTr="00C07140" w14:paraId="5A596FBA" w14:textId="77777777">
        <w:tc>
          <w:tcPr>
            <w:tcW w:w="339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0BE41D24" w14:textId="6A002B12">
            <w:pPr>
              <w:jc w:val="both"/>
              <w:rPr>
                <w:rFonts w:cs="Arial"/>
                <w:bCs/>
                <w:iCs/>
                <w:color w:val="212121"/>
                <w:sz w:val="22"/>
                <w:szCs w:val="22"/>
              </w:rPr>
            </w:pPr>
            <w:r w:rsidRPr="003600EF">
              <w:rPr>
                <w:rStyle w:val="normaltextrun"/>
                <w:rFonts w:cs="Arial"/>
                <w:color w:val="212121"/>
                <w:sz w:val="22"/>
                <w:szCs w:val="22"/>
              </w:rPr>
              <w:t>2.4 Number of fund and direct investments for which a Funding Proposal (FP) has been written.</w:t>
            </w:r>
            <w:r w:rsidRPr="003600EF">
              <w:rPr>
                <w:rStyle w:val="eop"/>
                <w:rFonts w:cs="Arial"/>
                <w:color w:val="212121"/>
                <w:sz w:val="22"/>
                <w:szCs w:val="22"/>
              </w:rPr>
              <w:t> </w:t>
            </w:r>
          </w:p>
        </w:tc>
        <w:tc>
          <w:tcPr>
            <w:tcW w:w="1843" w:type="dxa"/>
            <w:tcBorders>
              <w:top w:val="single" w:color="auto" w:sz="4" w:space="0"/>
              <w:left w:val="single" w:color="auto" w:sz="4" w:space="0"/>
              <w:bottom w:val="single" w:color="auto" w:sz="4" w:space="0"/>
              <w:right w:val="single" w:color="auto" w:sz="4" w:space="0"/>
            </w:tcBorders>
          </w:tcPr>
          <w:p w:rsidRPr="003600EF" w:rsidR="00A366BA" w:rsidP="00A366BA" w:rsidRDefault="005A3277" w14:paraId="493EA2AD" w14:textId="06198EF4">
            <w:pPr>
              <w:jc w:val="both"/>
              <w:rPr>
                <w:rFonts w:cs="Arial"/>
                <w:bCs/>
                <w:iCs/>
                <w:color w:val="212121"/>
                <w:sz w:val="22"/>
                <w:szCs w:val="22"/>
              </w:rPr>
            </w:pPr>
            <w:r w:rsidRPr="003600EF">
              <w:rPr>
                <w:rFonts w:cs="Arial"/>
                <w:bCs/>
                <w:iCs/>
                <w:color w:val="212121"/>
                <w:sz w:val="22"/>
                <w:szCs w:val="22"/>
              </w:rPr>
              <w:t>10</w:t>
            </w:r>
          </w:p>
        </w:tc>
        <w:tc>
          <w:tcPr>
            <w:tcW w:w="382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02F3B452" w14:textId="036A8F6D">
            <w:pPr>
              <w:contextualSpacing/>
              <w:jc w:val="both"/>
              <w:rPr>
                <w:rFonts w:cs="Arial"/>
                <w:bCs/>
                <w:iCs/>
                <w:color w:val="212121"/>
                <w:sz w:val="22"/>
                <w:szCs w:val="22"/>
              </w:rPr>
            </w:pPr>
            <w:r w:rsidRPr="003600EF">
              <w:rPr>
                <w:rStyle w:val="normaltextrun"/>
                <w:rFonts w:cs="Arial"/>
                <w:color w:val="212121"/>
                <w:sz w:val="22"/>
                <w:szCs w:val="22"/>
              </w:rPr>
              <w:t>1</w:t>
            </w:r>
            <w:r w:rsidRPr="003600EF" w:rsidR="005A3277">
              <w:rPr>
                <w:rStyle w:val="normaltextrun"/>
                <w:rFonts w:cs="Arial"/>
                <w:color w:val="212121"/>
                <w:sz w:val="22"/>
                <w:szCs w:val="22"/>
              </w:rPr>
              <w:t>3</w:t>
            </w:r>
            <w:r w:rsidRPr="003600EF">
              <w:rPr>
                <w:rStyle w:val="normaltextrun"/>
                <w:rFonts w:cs="Arial"/>
                <w:color w:val="212121"/>
                <w:sz w:val="22"/>
                <w:szCs w:val="22"/>
              </w:rPr>
              <w:t> - Progress </w:t>
            </w:r>
            <w:r w:rsidRPr="003600EF">
              <w:rPr>
                <w:rStyle w:val="normaltextrun"/>
                <w:rFonts w:cs="Arial"/>
                <w:b/>
                <w:bCs/>
                <w:color w:val="212121"/>
                <w:sz w:val="22"/>
                <w:szCs w:val="22"/>
              </w:rPr>
              <w:t>moderately exceeded</w:t>
            </w:r>
            <w:r w:rsidRPr="003600EF">
              <w:rPr>
                <w:rStyle w:val="normaltextrun"/>
                <w:rFonts w:cs="Arial"/>
                <w:color w:val="212121"/>
                <w:sz w:val="22"/>
                <w:szCs w:val="22"/>
              </w:rPr>
              <w:t> expectation.</w:t>
            </w:r>
            <w:r w:rsidRPr="003600EF">
              <w:rPr>
                <w:rStyle w:val="eop"/>
                <w:rFonts w:cs="Arial"/>
                <w:color w:val="212121"/>
                <w:sz w:val="22"/>
                <w:szCs w:val="22"/>
              </w:rPr>
              <w:t> </w:t>
            </w:r>
          </w:p>
        </w:tc>
      </w:tr>
      <w:tr w:rsidRPr="001B0614" w:rsidR="00A366BA" w:rsidTr="00C07140" w14:paraId="47BCBE6C" w14:textId="77777777">
        <w:tc>
          <w:tcPr>
            <w:tcW w:w="339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41A26DDD" w14:textId="5E11AEE1">
            <w:pPr>
              <w:jc w:val="both"/>
              <w:rPr>
                <w:rFonts w:cs="Arial"/>
                <w:bCs/>
                <w:iCs/>
                <w:color w:val="212121"/>
                <w:sz w:val="22"/>
                <w:szCs w:val="22"/>
              </w:rPr>
            </w:pPr>
            <w:r w:rsidRPr="003600EF">
              <w:rPr>
                <w:rStyle w:val="normaltextrun"/>
                <w:rFonts w:cs="Arial"/>
                <w:color w:val="212121"/>
                <w:sz w:val="22"/>
                <w:szCs w:val="22"/>
              </w:rPr>
              <w:t>2.5 Number of contracts signed. For both direct investments and indirect investments. This includes any Development Contribution (DC) contracts.</w:t>
            </w:r>
            <w:r w:rsidRPr="003600EF">
              <w:rPr>
                <w:rStyle w:val="eop"/>
                <w:rFonts w:cs="Arial"/>
                <w:color w:val="212121"/>
                <w:sz w:val="22"/>
                <w:szCs w:val="22"/>
              </w:rPr>
              <w:t> </w:t>
            </w:r>
          </w:p>
        </w:tc>
        <w:tc>
          <w:tcPr>
            <w:tcW w:w="1843" w:type="dxa"/>
            <w:tcBorders>
              <w:top w:val="single" w:color="auto" w:sz="4" w:space="0"/>
              <w:left w:val="single" w:color="auto" w:sz="4" w:space="0"/>
              <w:bottom w:val="single" w:color="auto" w:sz="4" w:space="0"/>
              <w:right w:val="single" w:color="auto" w:sz="4" w:space="0"/>
            </w:tcBorders>
          </w:tcPr>
          <w:p w:rsidRPr="003600EF" w:rsidR="00A366BA" w:rsidP="00A366BA" w:rsidRDefault="005A3277" w14:paraId="0F5D9027" w14:textId="5616BE54">
            <w:pPr>
              <w:jc w:val="both"/>
              <w:rPr>
                <w:rFonts w:cs="Arial"/>
                <w:bCs/>
                <w:iCs/>
                <w:color w:val="212121"/>
                <w:sz w:val="22"/>
                <w:szCs w:val="22"/>
              </w:rPr>
            </w:pPr>
            <w:r w:rsidRPr="003600EF">
              <w:rPr>
                <w:rFonts w:cs="Arial"/>
                <w:bCs/>
                <w:iCs/>
                <w:color w:val="212121"/>
                <w:sz w:val="22"/>
                <w:szCs w:val="22"/>
              </w:rPr>
              <w:t>1</w:t>
            </w:r>
            <w:r w:rsidRPr="003600EF">
              <w:rPr>
                <w:bCs/>
                <w:iCs/>
                <w:color w:val="212121"/>
              </w:rPr>
              <w:t>0</w:t>
            </w:r>
          </w:p>
        </w:tc>
        <w:tc>
          <w:tcPr>
            <w:tcW w:w="3827" w:type="dxa"/>
            <w:tcBorders>
              <w:top w:val="single" w:color="auto" w:sz="4" w:space="0"/>
              <w:left w:val="single" w:color="auto" w:sz="4" w:space="0"/>
              <w:bottom w:val="single" w:color="auto" w:sz="4" w:space="0"/>
              <w:right w:val="single" w:color="auto" w:sz="4" w:space="0"/>
            </w:tcBorders>
          </w:tcPr>
          <w:p w:rsidRPr="003600EF" w:rsidR="00A366BA" w:rsidP="00A366BA" w:rsidRDefault="005A3277" w14:paraId="136FEBFB" w14:textId="19B8C8AA">
            <w:pPr>
              <w:contextualSpacing/>
              <w:jc w:val="both"/>
              <w:rPr>
                <w:rFonts w:cs="Arial"/>
                <w:bCs/>
                <w:iCs/>
                <w:color w:val="212121"/>
                <w:sz w:val="22"/>
                <w:szCs w:val="22"/>
              </w:rPr>
            </w:pPr>
            <w:r w:rsidRPr="003600EF">
              <w:rPr>
                <w:rStyle w:val="normaltextrun"/>
                <w:rFonts w:cs="Arial"/>
                <w:color w:val="212121"/>
                <w:sz w:val="22"/>
                <w:szCs w:val="22"/>
              </w:rPr>
              <w:t>10</w:t>
            </w:r>
            <w:r w:rsidRPr="003600EF" w:rsidR="00A366BA">
              <w:rPr>
                <w:rStyle w:val="normaltextrun"/>
                <w:rFonts w:cs="Arial"/>
                <w:color w:val="212121"/>
                <w:sz w:val="22"/>
                <w:szCs w:val="22"/>
              </w:rPr>
              <w:t> - Progress </w:t>
            </w:r>
            <w:r w:rsidRPr="003600EF" w:rsidR="00A366BA">
              <w:rPr>
                <w:rStyle w:val="normaltextrun"/>
                <w:rFonts w:cs="Arial"/>
                <w:b/>
                <w:bCs/>
                <w:color w:val="212121"/>
                <w:sz w:val="22"/>
                <w:szCs w:val="22"/>
              </w:rPr>
              <w:t>met </w:t>
            </w:r>
            <w:r w:rsidRPr="003600EF" w:rsidR="00A366BA">
              <w:rPr>
                <w:rStyle w:val="normaltextrun"/>
                <w:rFonts w:cs="Arial"/>
                <w:color w:val="212121"/>
                <w:sz w:val="22"/>
                <w:szCs w:val="22"/>
              </w:rPr>
              <w:t>expectation.</w:t>
            </w:r>
            <w:r w:rsidRPr="003600EF" w:rsidR="00A366BA">
              <w:rPr>
                <w:rStyle w:val="eop"/>
                <w:rFonts w:cs="Arial"/>
                <w:color w:val="212121"/>
                <w:sz w:val="22"/>
                <w:szCs w:val="22"/>
              </w:rPr>
              <w:t> </w:t>
            </w:r>
          </w:p>
        </w:tc>
      </w:tr>
      <w:tr w:rsidRPr="001B0614" w:rsidR="00A366BA" w:rsidTr="00C07140" w14:paraId="5772725D" w14:textId="77777777">
        <w:tc>
          <w:tcPr>
            <w:tcW w:w="3397" w:type="dxa"/>
            <w:tcBorders>
              <w:top w:val="single" w:color="auto" w:sz="4" w:space="0"/>
              <w:left w:val="single" w:color="auto" w:sz="4" w:space="0"/>
              <w:bottom w:val="single" w:color="auto" w:sz="4" w:space="0"/>
              <w:right w:val="single" w:color="auto" w:sz="4" w:space="0"/>
            </w:tcBorders>
          </w:tcPr>
          <w:p w:rsidRPr="003600EF" w:rsidR="00A366BA" w:rsidP="00A366BA" w:rsidRDefault="00A366BA" w14:paraId="7E8AC77E" w14:textId="77777777">
            <w:pPr>
              <w:pStyle w:val="paragraph"/>
              <w:spacing w:before="0" w:beforeAutospacing="0" w:after="0" w:afterAutospacing="0"/>
              <w:textAlignment w:val="baseline"/>
              <w:rPr>
                <w:rFonts w:ascii="Segoe UI" w:hAnsi="Segoe UI" w:cs="Segoe UI"/>
                <w:color w:val="212121"/>
                <w:sz w:val="18"/>
                <w:szCs w:val="18"/>
              </w:rPr>
            </w:pPr>
            <w:r w:rsidRPr="003600EF">
              <w:rPr>
                <w:rStyle w:val="normaltextrun"/>
                <w:rFonts w:ascii="Arial" w:hAnsi="Arial" w:cs="Arial"/>
                <w:color w:val="212121"/>
                <w:sz w:val="22"/>
                <w:szCs w:val="22"/>
              </w:rPr>
              <w:t>2.6 Number of fund and direct investments that are ESG risk category A or B+.</w:t>
            </w:r>
            <w:r w:rsidRPr="003600EF">
              <w:rPr>
                <w:rStyle w:val="eop"/>
                <w:rFonts w:cs="Arial"/>
                <w:color w:val="212121"/>
                <w:sz w:val="22"/>
                <w:szCs w:val="22"/>
              </w:rPr>
              <w:t> </w:t>
            </w:r>
          </w:p>
          <w:p w:rsidRPr="003600EF" w:rsidR="00A366BA" w:rsidP="00A366BA" w:rsidRDefault="00A366BA" w14:paraId="2EE1FE97" w14:textId="2D141DEB">
            <w:pPr>
              <w:jc w:val="both"/>
              <w:rPr>
                <w:rFonts w:cs="Arial"/>
                <w:bCs/>
                <w:iCs/>
                <w:color w:val="212121"/>
                <w:sz w:val="22"/>
                <w:szCs w:val="22"/>
              </w:rPr>
            </w:pPr>
            <w:r w:rsidRPr="003600EF">
              <w:rPr>
                <w:rStyle w:val="eop"/>
                <w:rFonts w:cs="Arial"/>
                <w:color w:val="212121"/>
                <w:sz w:val="22"/>
                <w:szCs w:val="22"/>
              </w:rPr>
              <w:t> </w:t>
            </w:r>
          </w:p>
        </w:tc>
        <w:tc>
          <w:tcPr>
            <w:tcW w:w="1843" w:type="dxa"/>
            <w:tcBorders>
              <w:top w:val="single" w:color="auto" w:sz="4" w:space="0"/>
              <w:left w:val="single" w:color="auto" w:sz="4" w:space="0"/>
              <w:bottom w:val="single" w:color="auto" w:sz="4" w:space="0"/>
              <w:right w:val="single" w:color="auto" w:sz="4" w:space="0"/>
            </w:tcBorders>
          </w:tcPr>
          <w:p w:rsidRPr="003600EF" w:rsidR="00A366BA" w:rsidP="00A366BA" w:rsidRDefault="005A3277" w14:paraId="2EF0BA07" w14:textId="5D11782B">
            <w:pPr>
              <w:jc w:val="both"/>
              <w:rPr>
                <w:rFonts w:cs="Arial"/>
                <w:bCs/>
                <w:iCs/>
                <w:color w:val="212121"/>
                <w:sz w:val="22"/>
                <w:szCs w:val="22"/>
              </w:rPr>
            </w:pPr>
            <w:r w:rsidRPr="003600EF">
              <w:rPr>
                <w:rFonts w:cs="Arial"/>
                <w:bCs/>
                <w:iCs/>
                <w:color w:val="212121"/>
                <w:sz w:val="22"/>
                <w:szCs w:val="22"/>
              </w:rPr>
              <w:t>1</w:t>
            </w:r>
            <w:r w:rsidRPr="003600EF">
              <w:rPr>
                <w:bCs/>
                <w:iCs/>
                <w:color w:val="212121"/>
              </w:rPr>
              <w:t>0</w:t>
            </w:r>
          </w:p>
        </w:tc>
        <w:tc>
          <w:tcPr>
            <w:tcW w:w="3827" w:type="dxa"/>
            <w:tcBorders>
              <w:top w:val="single" w:color="auto" w:sz="4" w:space="0"/>
              <w:left w:val="single" w:color="auto" w:sz="4" w:space="0"/>
              <w:bottom w:val="single" w:color="auto" w:sz="4" w:space="0"/>
              <w:right w:val="single" w:color="auto" w:sz="4" w:space="0"/>
            </w:tcBorders>
          </w:tcPr>
          <w:p w:rsidRPr="003600EF" w:rsidR="00A366BA" w:rsidP="00A366BA" w:rsidRDefault="005A3277" w14:paraId="641D69D8" w14:textId="7F8FAA04">
            <w:pPr>
              <w:contextualSpacing/>
              <w:jc w:val="both"/>
              <w:rPr>
                <w:rFonts w:cs="Arial"/>
                <w:bCs/>
                <w:iCs/>
                <w:color w:val="212121"/>
                <w:sz w:val="22"/>
                <w:szCs w:val="22"/>
              </w:rPr>
            </w:pPr>
            <w:r w:rsidRPr="003600EF">
              <w:rPr>
                <w:rStyle w:val="normaltextrun"/>
                <w:rFonts w:cs="Arial"/>
                <w:color w:val="212121"/>
                <w:sz w:val="22"/>
                <w:szCs w:val="22"/>
              </w:rPr>
              <w:t>10</w:t>
            </w:r>
            <w:r w:rsidRPr="003600EF" w:rsidR="00A366BA">
              <w:rPr>
                <w:rStyle w:val="normaltextrun"/>
                <w:rFonts w:cs="Arial"/>
                <w:color w:val="212121"/>
                <w:sz w:val="22"/>
                <w:szCs w:val="22"/>
              </w:rPr>
              <w:t> - Progress </w:t>
            </w:r>
            <w:r w:rsidRPr="003600EF" w:rsidR="00A366BA">
              <w:rPr>
                <w:rStyle w:val="normaltextrun"/>
                <w:rFonts w:cs="Arial"/>
                <w:b/>
                <w:bCs/>
                <w:color w:val="212121"/>
                <w:sz w:val="22"/>
                <w:szCs w:val="22"/>
              </w:rPr>
              <w:t>met </w:t>
            </w:r>
            <w:r w:rsidRPr="003600EF" w:rsidR="00A366BA">
              <w:rPr>
                <w:rStyle w:val="normaltextrun"/>
                <w:rFonts w:cs="Arial"/>
                <w:color w:val="212121"/>
                <w:sz w:val="22"/>
                <w:szCs w:val="22"/>
              </w:rPr>
              <w:t>expectation.</w:t>
            </w:r>
            <w:r w:rsidRPr="003600EF" w:rsidR="00A366BA">
              <w:rPr>
                <w:rStyle w:val="eop"/>
                <w:rFonts w:cs="Arial"/>
                <w:color w:val="212121"/>
                <w:sz w:val="22"/>
                <w:szCs w:val="22"/>
              </w:rPr>
              <w:t> </w:t>
            </w:r>
          </w:p>
        </w:tc>
      </w:tr>
    </w:tbl>
    <w:p w:rsidRPr="003600EF" w:rsidR="0069691E" w:rsidP="004D5FD5" w:rsidRDefault="0069691E" w14:paraId="4BC449C1" w14:textId="77777777">
      <w:pPr>
        <w:pStyle w:val="Heading2"/>
        <w:jc w:val="both"/>
        <w:rPr>
          <w:color w:val="212121"/>
        </w:rPr>
      </w:pPr>
    </w:p>
    <w:p w:rsidRPr="003600EF" w:rsidR="007047C8" w:rsidP="007047C8" w:rsidRDefault="007047C8" w14:paraId="0261EE24" w14:textId="77777777">
      <w:pPr>
        <w:spacing w:after="160" w:line="259" w:lineRule="auto"/>
        <w:rPr>
          <w:i/>
          <w:iCs/>
          <w:color w:val="212121"/>
        </w:rPr>
      </w:pPr>
      <w:r w:rsidRPr="003600EF">
        <w:rPr>
          <w:b/>
          <w:bCs/>
          <w:i/>
          <w:iCs/>
          <w:color w:val="212121"/>
        </w:rPr>
        <w:t>Output summary and supporting narrative for the score</w:t>
      </w:r>
    </w:p>
    <w:p w:rsidRPr="003600EF" w:rsidR="00274A8B" w:rsidRDefault="007047C8" w14:paraId="625BF798" w14:textId="5AFB03FE">
      <w:pPr>
        <w:spacing w:after="160" w:line="259" w:lineRule="auto"/>
        <w:rPr>
          <w:color w:val="212121"/>
        </w:rPr>
      </w:pPr>
      <w:r w:rsidRPr="003600EF">
        <w:rPr>
          <w:color w:val="212121"/>
        </w:rPr>
        <w:t>Output 2 measures progress in building the MFF investment portfolio through sequential stages of deal development, from initial opportunity scan through to contract signing and ESG engagement</w:t>
      </w:r>
      <w:r w:rsidRPr="003600EF" w:rsidR="00274A8B">
        <w:rPr>
          <w:color w:val="212121"/>
        </w:rPr>
        <w:t xml:space="preserve">. </w:t>
      </w:r>
      <w:r w:rsidRPr="003600EF" w:rsidR="0087732E">
        <w:rPr>
          <w:color w:val="212121"/>
        </w:rPr>
        <w:t>It is</w:t>
      </w:r>
      <w:r w:rsidRPr="003600EF" w:rsidR="00274A8B">
        <w:rPr>
          <w:color w:val="212121"/>
        </w:rPr>
        <w:t xml:space="preserve"> the highest-weighted output at 50% and the primary driver of the programme’s mobilisation impact. </w:t>
      </w:r>
    </w:p>
    <w:p w:rsidRPr="003600EF" w:rsidR="00B82D1D" w:rsidRDefault="00274A8B" w14:paraId="4072A5E7" w14:textId="77777777">
      <w:pPr>
        <w:spacing w:after="160" w:line="259" w:lineRule="auto"/>
        <w:rPr>
          <w:color w:val="212121"/>
        </w:rPr>
      </w:pPr>
      <w:r w:rsidRPr="003600EF">
        <w:rPr>
          <w:color w:val="212121"/>
        </w:rPr>
        <w:t>An overall score of A</w:t>
      </w:r>
      <w:r w:rsidRPr="003600EF" w:rsidR="00CA7DD2">
        <w:rPr>
          <w:color w:val="212121"/>
        </w:rPr>
        <w:t>+</w:t>
      </w:r>
      <w:r w:rsidRPr="003600EF" w:rsidR="00BC318E">
        <w:rPr>
          <w:color w:val="212121"/>
        </w:rPr>
        <w:t xml:space="preserve"> is assigned, reflecting</w:t>
      </w:r>
      <w:r w:rsidRPr="003600EF" w:rsidR="001F2956">
        <w:rPr>
          <w:color w:val="212121"/>
        </w:rPr>
        <w:t xml:space="preserve"> the fact that four of the six indicators exceeded their milestones, with Indicator 2.1 substantially exceeding expectation</w:t>
      </w:r>
      <w:r w:rsidRPr="003600EF" w:rsidR="00CA7DD2">
        <w:rPr>
          <w:color w:val="212121"/>
        </w:rPr>
        <w:t xml:space="preserve">, and the remaining two met their targets exactly. This is an improvement on the A awarded in AR24 and reflects a step change in pipeline activity in 2025. </w:t>
      </w:r>
    </w:p>
    <w:p w:rsidRPr="003600EF" w:rsidR="00B82D1D" w:rsidP="00B82D1D" w:rsidRDefault="00B82D1D" w14:paraId="09113992" w14:textId="003D3C6B">
      <w:pPr>
        <w:spacing w:after="160" w:line="259" w:lineRule="auto"/>
        <w:rPr>
          <w:color w:val="212121"/>
        </w:rPr>
      </w:pPr>
      <w:r w:rsidRPr="003600EF">
        <w:rPr>
          <w:color w:val="212121"/>
        </w:rPr>
        <w:t xml:space="preserve">The standout result is </w:t>
      </w:r>
      <w:r w:rsidRPr="003600EF">
        <w:rPr>
          <w:b/>
          <w:bCs/>
          <w:color w:val="212121"/>
        </w:rPr>
        <w:t>Opportunity Scans: 27 cumulative</w:t>
      </w:r>
      <w:r w:rsidRPr="003600EF">
        <w:rPr>
          <w:color w:val="212121"/>
        </w:rPr>
        <w:t xml:space="preserve"> against a target of 12, with 12 new Op-scans produced in 2025 alone. This more than doubles the target and represents a significant efficiency improvement across investment teams at FMO, indicating that pipeline building capacity has materially increased. This is expected to translate into a stronger contracting pipeline in 2026.</w:t>
      </w:r>
    </w:p>
    <w:p w:rsidRPr="003600EF" w:rsidR="001E1A06" w:rsidRDefault="009938B2" w14:paraId="1CAB9108" w14:textId="1DEC91D9">
      <w:pPr>
        <w:spacing w:after="160" w:line="259" w:lineRule="auto"/>
        <w:rPr>
          <w:color w:val="212121"/>
        </w:rPr>
      </w:pPr>
      <w:r w:rsidRPr="003600EF">
        <w:rPr>
          <w:color w:val="212121"/>
        </w:rPr>
        <w:t xml:space="preserve">Three investments reached financial close in 2025: </w:t>
      </w:r>
      <w:proofErr w:type="spellStart"/>
      <w:r w:rsidRPr="003600EF">
        <w:rPr>
          <w:color w:val="212121"/>
        </w:rPr>
        <w:t>EcoEnterprises</w:t>
      </w:r>
      <w:proofErr w:type="spellEnd"/>
      <w:r w:rsidRPr="003600EF">
        <w:rPr>
          <w:color w:val="212121"/>
        </w:rPr>
        <w:t xml:space="preserve"> Fund IV (USD 15m</w:t>
      </w:r>
      <w:r w:rsidRPr="003600EF" w:rsidR="006B4105">
        <w:rPr>
          <w:color w:val="212121"/>
        </w:rPr>
        <w:t xml:space="preserve"> equity</w:t>
      </w:r>
      <w:r w:rsidRPr="003600EF" w:rsidR="00247A9C">
        <w:rPr>
          <w:color w:val="212121"/>
        </w:rPr>
        <w:t>, t</w:t>
      </w:r>
      <w:r w:rsidRPr="003600EF" w:rsidR="009024F3">
        <w:rPr>
          <w:color w:val="212121"/>
        </w:rPr>
        <w:t>he Responsible Commodities Facility (USD 10m</w:t>
      </w:r>
      <w:r w:rsidRPr="003600EF" w:rsidR="00295C8A">
        <w:rPr>
          <w:color w:val="212121"/>
        </w:rPr>
        <w:t>illion junior/first-loss tranche</w:t>
      </w:r>
      <w:r w:rsidRPr="003600EF" w:rsidR="00564723">
        <w:rPr>
          <w:color w:val="212121"/>
        </w:rPr>
        <w:t xml:space="preserve">), and the </w:t>
      </w:r>
      <w:proofErr w:type="spellStart"/>
      <w:r w:rsidRPr="003600EF" w:rsidR="00564723">
        <w:rPr>
          <w:color w:val="212121"/>
        </w:rPr>
        <w:t>CrossBoundary</w:t>
      </w:r>
      <w:proofErr w:type="spellEnd"/>
      <w:r w:rsidRPr="003600EF" w:rsidR="00564723">
        <w:rPr>
          <w:color w:val="212121"/>
        </w:rPr>
        <w:t xml:space="preserve"> Fund for Nature </w:t>
      </w:r>
      <w:r w:rsidRPr="003600EF" w:rsidR="00F464A1">
        <w:rPr>
          <w:color w:val="212121"/>
        </w:rPr>
        <w:t>D</w:t>
      </w:r>
      <w:r w:rsidRPr="003600EF" w:rsidR="00564723">
        <w:rPr>
          <w:color w:val="212121"/>
        </w:rPr>
        <w:t>C (USD 0.85million</w:t>
      </w:r>
      <w:r w:rsidRPr="003600EF" w:rsidR="00247A9C">
        <w:rPr>
          <w:color w:val="212121"/>
        </w:rPr>
        <w:t xml:space="preserve">). </w:t>
      </w:r>
      <w:r w:rsidRPr="003600EF" w:rsidR="00375D1B">
        <w:rPr>
          <w:color w:val="212121"/>
        </w:rPr>
        <w:t>T</w:t>
      </w:r>
      <w:r w:rsidRPr="003600EF" w:rsidR="00E26F7D">
        <w:rPr>
          <w:color w:val="212121"/>
        </w:rPr>
        <w:t>ogether these bring cumulative deployed capital to over USD 100m</w:t>
      </w:r>
      <w:r w:rsidRPr="003600EF" w:rsidR="001E1A06">
        <w:rPr>
          <w:color w:val="212121"/>
        </w:rPr>
        <w:t xml:space="preserve">, a significant programme milestone. </w:t>
      </w:r>
    </w:p>
    <w:p w:rsidRPr="003600EF" w:rsidR="00B27F39" w:rsidRDefault="001E1A06" w14:paraId="2B24F14A" w14:textId="77777777">
      <w:pPr>
        <w:spacing w:after="160" w:line="259" w:lineRule="auto"/>
        <w:rPr>
          <w:color w:val="212121"/>
        </w:rPr>
      </w:pPr>
      <w:r w:rsidRPr="003600EF">
        <w:rPr>
          <w:color w:val="212121"/>
        </w:rPr>
        <w:t>Indicators 2.5 (contracts signed, 10) and 2.6 (ESG</w:t>
      </w:r>
      <w:r w:rsidRPr="003600EF" w:rsidR="00C8377B">
        <w:rPr>
          <w:color w:val="212121"/>
        </w:rPr>
        <w:t xml:space="preserve"> </w:t>
      </w:r>
      <w:r w:rsidRPr="003600EF">
        <w:rPr>
          <w:color w:val="212121"/>
        </w:rPr>
        <w:t>A/B</w:t>
      </w:r>
      <w:r w:rsidRPr="003600EF" w:rsidR="00C8377B">
        <w:rPr>
          <w:color w:val="212121"/>
        </w:rPr>
        <w:t>+ investments, 10) met their targets exactly, confirming that pipeline momentum is translating into commitments and that MFF continues to operate at the front</w:t>
      </w:r>
      <w:r w:rsidRPr="003600EF" w:rsidR="001D5F8A">
        <w:rPr>
          <w:color w:val="212121"/>
        </w:rPr>
        <w:t xml:space="preserve">ier of high-complexity, high-ESG-risk investments. With 15 CIPs and 13 FPs </w:t>
      </w:r>
      <w:r w:rsidRPr="003600EF" w:rsidR="00C05D48">
        <w:rPr>
          <w:color w:val="212121"/>
        </w:rPr>
        <w:t xml:space="preserve">in the pipeline, the programme is well-positioned for 2026 contracting activity. </w:t>
      </w:r>
    </w:p>
    <w:p w:rsidRPr="003600EF" w:rsidR="00B27F39" w:rsidP="00B27F39" w:rsidRDefault="00B27F39" w14:paraId="5FC8A478" w14:textId="77777777">
      <w:pPr>
        <w:spacing w:after="160" w:line="259" w:lineRule="auto"/>
        <w:rPr>
          <w:i/>
          <w:iCs/>
          <w:color w:val="212121"/>
        </w:rPr>
      </w:pPr>
      <w:r w:rsidRPr="003600EF">
        <w:rPr>
          <w:b/>
          <w:bCs/>
          <w:i/>
          <w:iCs/>
          <w:color w:val="212121"/>
        </w:rPr>
        <w:t>Changes to this output, and any planned changes as a result of this review</w:t>
      </w:r>
    </w:p>
    <w:p w:rsidRPr="003600EF" w:rsidR="00B27F39" w:rsidP="00B27F39" w:rsidRDefault="00B27F39" w14:paraId="2F5A8023" w14:textId="38E7535D">
      <w:pPr>
        <w:spacing w:after="160" w:line="259" w:lineRule="auto"/>
        <w:rPr>
          <w:color w:val="212121"/>
        </w:rPr>
      </w:pPr>
      <w:r w:rsidRPr="003600EF">
        <w:rPr>
          <w:color w:val="212121"/>
        </w:rPr>
        <w:t>No changes have been made to indicators or weightings. Targets rise from 2026 onwards</w:t>
      </w:r>
      <w:r w:rsidRPr="003600EF" w:rsidR="00943ACF">
        <w:rPr>
          <w:color w:val="212121"/>
        </w:rPr>
        <w:t xml:space="preserve">: </w:t>
      </w:r>
      <w:r w:rsidRPr="003600EF">
        <w:rPr>
          <w:color w:val="212121"/>
        </w:rPr>
        <w:t>Op-scans, CIPs and DDs to 17 cumulative; contracts signed, FPs and ESG A/B+ to 14</w:t>
      </w:r>
      <w:r w:rsidRPr="003600EF" w:rsidR="00943ACF">
        <w:rPr>
          <w:color w:val="212121"/>
        </w:rPr>
        <w:t xml:space="preserve">, </w:t>
      </w:r>
      <w:r w:rsidRPr="003600EF">
        <w:rPr>
          <w:color w:val="212121"/>
        </w:rPr>
        <w:t xml:space="preserve">which, given the 2025 overperformance on Op-scans, appear proportionate. </w:t>
      </w:r>
    </w:p>
    <w:p w:rsidRPr="003600EF" w:rsidR="00A932F4" w:rsidP="00A932F4" w:rsidRDefault="00A932F4" w14:paraId="0C071EB3" w14:textId="77777777">
      <w:pPr>
        <w:spacing w:after="160" w:line="259" w:lineRule="auto"/>
        <w:rPr>
          <w:i/>
          <w:iCs/>
          <w:color w:val="212121"/>
        </w:rPr>
      </w:pPr>
      <w:r w:rsidRPr="003600EF">
        <w:rPr>
          <w:b/>
          <w:bCs/>
          <w:i/>
          <w:iCs/>
          <w:color w:val="212121"/>
        </w:rPr>
        <w:t>Progress on recommendations from AR24, lessons learned, and recommendations for the year ahead</w:t>
      </w:r>
    </w:p>
    <w:p w:rsidRPr="003600EF" w:rsidR="00596768" w:rsidP="00B27F39" w:rsidRDefault="00596768" w14:paraId="57E770D4" w14:textId="77777777">
      <w:pPr>
        <w:spacing w:after="160" w:line="259" w:lineRule="auto"/>
        <w:rPr>
          <w:color w:val="212121"/>
        </w:rPr>
      </w:pPr>
      <w:r w:rsidRPr="003600EF">
        <w:rPr>
          <w:color w:val="212121"/>
        </w:rPr>
        <w:t xml:space="preserve">AR24 recommended reviewing </w:t>
      </w:r>
      <w:proofErr w:type="spellStart"/>
      <w:r w:rsidRPr="003600EF">
        <w:rPr>
          <w:color w:val="212121"/>
        </w:rPr>
        <w:t>logframe</w:t>
      </w:r>
      <w:proofErr w:type="spellEnd"/>
      <w:r w:rsidRPr="003600EF">
        <w:rPr>
          <w:color w:val="212121"/>
        </w:rPr>
        <w:t xml:space="preserve"> impact weightings within Output 2 to give more weight to contracting and ESG risk A and B+ deals. This was deferred to 2028 following discussions between IFU and FMO, and that position is maintained. </w:t>
      </w:r>
    </w:p>
    <w:p w:rsidRPr="003600EF" w:rsidR="00C74683" w:rsidP="0063546B" w:rsidRDefault="00596768" w14:paraId="3D368C6B" w14:textId="75587AFC">
      <w:pPr>
        <w:spacing w:after="160" w:line="259" w:lineRule="auto"/>
        <w:rPr>
          <w:color w:val="212121"/>
        </w:rPr>
      </w:pPr>
      <w:r w:rsidRPr="003600EF">
        <w:rPr>
          <w:color w:val="212121"/>
        </w:rPr>
        <w:t>AR24 also noted the risk of portfolio concentration in Latin America</w:t>
      </w:r>
      <w:r w:rsidRPr="003600EF" w:rsidR="0063546B">
        <w:rPr>
          <w:b/>
          <w:bCs/>
          <w:color w:val="212121"/>
        </w:rPr>
        <w:t xml:space="preserve">; </w:t>
      </w:r>
      <w:r w:rsidRPr="003600EF" w:rsidR="00C74683">
        <w:rPr>
          <w:color w:val="212121"/>
        </w:rPr>
        <w:t>this has not meaningfully reduced</w:t>
      </w:r>
      <w:r w:rsidRPr="003600EF" w:rsidR="0063546B">
        <w:rPr>
          <w:color w:val="212121"/>
        </w:rPr>
        <w:t>;</w:t>
      </w:r>
      <w:r w:rsidRPr="003600EF" w:rsidR="00C74683">
        <w:rPr>
          <w:color w:val="212121"/>
        </w:rPr>
        <w:t xml:space="preserve"> 77% of portfolio volume remains committed to Latin America, with Africa at 13% and Asia at 10%. This is not simply a failure of ambition. As FMO set out at the December 2025 half-year meeting, African forestry investment carries systemic structural risks</w:t>
      </w:r>
      <w:r w:rsidRPr="003600EF" w:rsidR="00291D4B">
        <w:rPr>
          <w:color w:val="212121"/>
        </w:rPr>
        <w:t>:</w:t>
      </w:r>
      <w:r w:rsidRPr="003600EF" w:rsidR="00C74683">
        <w:rPr>
          <w:color w:val="212121"/>
        </w:rPr>
        <w:t xml:space="preserve"> weak policy environments, underdeveloped downstream markets, complex land and community dynamics, and a historical track record across the sector of significant capital loss</w:t>
      </w:r>
      <w:r w:rsidRPr="003600EF" w:rsidR="00D7014F">
        <w:rPr>
          <w:color w:val="212121"/>
        </w:rPr>
        <w:t xml:space="preserve">, </w:t>
      </w:r>
      <w:r w:rsidRPr="003600EF" w:rsidR="00C74683">
        <w:rPr>
          <w:color w:val="212121"/>
        </w:rPr>
        <w:t xml:space="preserve"> that make it genuinely harder to originate, structure and close deals</w:t>
      </w:r>
      <w:r w:rsidRPr="003600EF" w:rsidR="00EF5E01">
        <w:rPr>
          <w:color w:val="212121"/>
        </w:rPr>
        <w:t>, particularly that will mobilise private investment,</w:t>
      </w:r>
      <w:r w:rsidRPr="003600EF" w:rsidR="00C74683">
        <w:rPr>
          <w:color w:val="212121"/>
        </w:rPr>
        <w:t xml:space="preserve"> than in Latin America, where enabling conditions are more developed. </w:t>
      </w:r>
      <w:r w:rsidRPr="003600EF" w:rsidR="00EF5E01">
        <w:rPr>
          <w:color w:val="212121"/>
        </w:rPr>
        <w:t>As highlighted in the Gatsby-CAP</w:t>
      </w:r>
      <w:r w:rsidRPr="003600EF" w:rsidR="00EF5E01">
        <w:rPr>
          <w:rStyle w:val="FootnoteReference"/>
          <w:color w:val="212121"/>
        </w:rPr>
        <w:footnoteReference w:id="2"/>
      </w:r>
      <w:r w:rsidRPr="003600EF" w:rsidR="00EF5E01">
        <w:rPr>
          <w:color w:val="212121"/>
        </w:rPr>
        <w:t xml:space="preserve"> report,</w:t>
      </w:r>
      <w:r w:rsidRPr="003600EF" w:rsidR="00C74683">
        <w:rPr>
          <w:color w:val="212121"/>
        </w:rPr>
        <w:t xml:space="preserve"> of approximately USD 1.4 billion</w:t>
      </w:r>
      <w:r w:rsidRPr="003600EF" w:rsidR="00EF5E01">
        <w:rPr>
          <w:color w:val="212121"/>
        </w:rPr>
        <w:t xml:space="preserve"> sector-wide,</w:t>
      </w:r>
      <w:r w:rsidRPr="003600EF" w:rsidR="00C74683">
        <w:rPr>
          <w:color w:val="212121"/>
        </w:rPr>
        <w:t xml:space="preserve"> invested in greenfield commercial forestry in sub-Saharan Africa since 1990, estimated enterprise value is now well below USD 500 million. These are not risks that additional origination effort alone can resolve.</w:t>
      </w:r>
    </w:p>
    <w:p w:rsidRPr="003600EF" w:rsidR="0069691E" w:rsidRDefault="0069691E" w14:paraId="09A70F70" w14:textId="64D2FBDC">
      <w:pPr>
        <w:spacing w:after="160" w:line="259" w:lineRule="auto"/>
        <w:rPr>
          <w:b/>
          <w:i/>
          <w:color w:val="212121"/>
          <w:kern w:val="28"/>
          <w:sz w:val="28"/>
          <w:szCs w:val="28"/>
        </w:rPr>
      </w:pPr>
    </w:p>
    <w:p w:rsidRPr="003600EF" w:rsidR="004A367B" w:rsidP="004D5FD5" w:rsidRDefault="004A367B" w14:paraId="345661C3" w14:textId="5B2078EB">
      <w:pPr>
        <w:pStyle w:val="Heading2"/>
        <w:jc w:val="both"/>
        <w:rPr>
          <w:color w:val="212121"/>
        </w:rPr>
      </w:pPr>
      <w:bookmarkStart w:name="_Toc227234249" w:id="15"/>
      <w:r w:rsidRPr="003600EF">
        <w:rPr>
          <w:color w:val="212121"/>
        </w:rPr>
        <w:t xml:space="preserve">Output 3: </w:t>
      </w:r>
      <w:r w:rsidRPr="003600EF" w:rsidR="00CC4C32">
        <w:rPr>
          <w:color w:val="212121"/>
        </w:rPr>
        <w:t>Technical Assistance Facility</w:t>
      </w:r>
      <w:bookmarkEnd w:id="15"/>
    </w:p>
    <w:p w:rsidRPr="003600EF" w:rsidR="00ED5FD4" w:rsidP="00ED5FD4" w:rsidRDefault="00ED5FD4" w14:paraId="23CF0139" w14:textId="77777777">
      <w:pPr>
        <w:rPr>
          <w:color w:val="212121"/>
        </w:rPr>
      </w:pPr>
    </w:p>
    <w:tbl>
      <w:tblPr>
        <w:tblStyle w:val="TableGrid"/>
        <w:tblW w:w="9072" w:type="dxa"/>
        <w:tblInd w:w="-5" w:type="dxa"/>
        <w:tblLook w:val="04A0" w:firstRow="1" w:lastRow="0" w:firstColumn="1" w:lastColumn="0" w:noHBand="0" w:noVBand="1"/>
      </w:tblPr>
      <w:tblGrid>
        <w:gridCol w:w="2147"/>
        <w:gridCol w:w="1146"/>
        <w:gridCol w:w="2899"/>
        <w:gridCol w:w="2880"/>
      </w:tblGrid>
      <w:tr w:rsidRPr="001B0614" w:rsidR="00E17CC1" w:rsidTr="00456ECF" w14:paraId="343E8A59" w14:textId="77777777">
        <w:trPr>
          <w:trHeight w:val="489"/>
        </w:trPr>
        <w:tc>
          <w:tcPr>
            <w:tcW w:w="214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7F6358D7" w14:textId="445AD8E8">
            <w:pPr>
              <w:jc w:val="both"/>
              <w:rPr>
                <w:rFonts w:cs="Arial"/>
                <w:b/>
                <w:bCs/>
                <w:color w:val="212121"/>
                <w:sz w:val="22"/>
                <w:szCs w:val="22"/>
              </w:rPr>
            </w:pPr>
            <w:r w:rsidRPr="003600EF">
              <w:rPr>
                <w:rFonts w:cs="Arial"/>
                <w:b/>
                <w:bCs/>
                <w:color w:val="212121"/>
                <w:sz w:val="22"/>
                <w:szCs w:val="22"/>
              </w:rPr>
              <w:t xml:space="preserve">Output </w:t>
            </w:r>
            <w:r w:rsidR="00456ECF">
              <w:rPr>
                <w:rFonts w:cs="Arial"/>
                <w:b/>
                <w:bCs/>
                <w:color w:val="212121"/>
                <w:sz w:val="22"/>
                <w:szCs w:val="22"/>
              </w:rPr>
              <w:t>3: Technical Assistance Facility</w:t>
            </w:r>
          </w:p>
        </w:tc>
        <w:tc>
          <w:tcPr>
            <w:tcW w:w="6925"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3600EF" w:rsidR="00ED5FD4" w:rsidRDefault="00CC4C32" w14:paraId="215425E5" w14:textId="24EA3DEF">
            <w:pPr>
              <w:jc w:val="both"/>
              <w:rPr>
                <w:rFonts w:cs="Arial"/>
                <w:bCs/>
                <w:iCs/>
                <w:color w:val="212121"/>
                <w:sz w:val="22"/>
                <w:szCs w:val="22"/>
              </w:rPr>
            </w:pPr>
            <w:r w:rsidRPr="003600EF">
              <w:rPr>
                <w:rFonts w:cs="Arial"/>
                <w:bCs/>
                <w:iCs/>
                <w:color w:val="212121"/>
                <w:sz w:val="22"/>
                <w:szCs w:val="22"/>
              </w:rPr>
              <w:t>The programme supports fund managers and direct investees to scale up invested projects while also promoting activities within the landscape aimed at creating the right enabling market and demand-side conditions for commercial investments.</w:t>
            </w:r>
          </w:p>
        </w:tc>
      </w:tr>
      <w:tr w:rsidRPr="001B0614" w:rsidR="00C52415" w:rsidTr="00456ECF" w14:paraId="0D129A7F" w14:textId="77777777">
        <w:trPr>
          <w:trHeight w:val="347"/>
        </w:trPr>
        <w:tc>
          <w:tcPr>
            <w:tcW w:w="214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5E4E4F19" w14:textId="77777777">
            <w:pPr>
              <w:jc w:val="both"/>
              <w:rPr>
                <w:rFonts w:cs="Arial"/>
                <w:bCs/>
                <w:color w:val="212121"/>
                <w:sz w:val="22"/>
                <w:szCs w:val="22"/>
              </w:rPr>
            </w:pPr>
            <w:r w:rsidRPr="003600EF">
              <w:rPr>
                <w:rFonts w:cs="Arial"/>
                <w:bCs/>
                <w:color w:val="212121"/>
                <w:sz w:val="22"/>
                <w:szCs w:val="22"/>
              </w:rPr>
              <w:t xml:space="preserve">Output number: </w:t>
            </w:r>
          </w:p>
        </w:tc>
        <w:tc>
          <w:tcPr>
            <w:tcW w:w="1146" w:type="dxa"/>
            <w:tcBorders>
              <w:top w:val="single" w:color="auto" w:sz="4" w:space="0"/>
              <w:left w:val="single" w:color="auto" w:sz="4" w:space="0"/>
              <w:bottom w:val="single" w:color="auto" w:sz="4" w:space="0"/>
              <w:right w:val="single" w:color="auto" w:sz="4" w:space="0"/>
            </w:tcBorders>
          </w:tcPr>
          <w:p w:rsidRPr="003600EF" w:rsidR="00ED5FD4" w:rsidRDefault="00CC4C32" w14:paraId="7D3D58F5" w14:textId="07CBA6D1">
            <w:pPr>
              <w:jc w:val="both"/>
              <w:rPr>
                <w:rFonts w:cs="Arial"/>
                <w:color w:val="212121"/>
                <w:sz w:val="22"/>
                <w:szCs w:val="22"/>
              </w:rPr>
            </w:pPr>
            <w:r w:rsidRPr="003600EF">
              <w:rPr>
                <w:rFonts w:cs="Arial"/>
                <w:color w:val="212121"/>
                <w:sz w:val="22"/>
                <w:szCs w:val="22"/>
              </w:rPr>
              <w:t>3</w:t>
            </w:r>
          </w:p>
        </w:tc>
        <w:tc>
          <w:tcPr>
            <w:tcW w:w="289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358A97E8" w14:textId="77777777">
            <w:pPr>
              <w:jc w:val="both"/>
              <w:rPr>
                <w:rFonts w:cs="Arial"/>
                <w:color w:val="212121"/>
                <w:sz w:val="22"/>
                <w:szCs w:val="22"/>
              </w:rPr>
            </w:pPr>
            <w:r w:rsidRPr="003600EF">
              <w:rPr>
                <w:rFonts w:cs="Arial"/>
                <w:bCs/>
                <w:color w:val="212121"/>
                <w:sz w:val="22"/>
                <w:szCs w:val="22"/>
              </w:rPr>
              <w:t xml:space="preserve">Output Score: </w:t>
            </w:r>
          </w:p>
        </w:tc>
        <w:tc>
          <w:tcPr>
            <w:tcW w:w="2880" w:type="dxa"/>
            <w:tcBorders>
              <w:top w:val="single" w:color="auto" w:sz="4" w:space="0"/>
              <w:left w:val="single" w:color="auto" w:sz="4" w:space="0"/>
              <w:bottom w:val="single" w:color="auto" w:sz="4" w:space="0"/>
              <w:right w:val="single" w:color="auto" w:sz="4" w:space="0"/>
            </w:tcBorders>
          </w:tcPr>
          <w:p w:rsidRPr="003600EF" w:rsidR="00ED5FD4" w:rsidRDefault="00C52415" w14:paraId="20F25E26" w14:textId="288AC690">
            <w:pPr>
              <w:jc w:val="both"/>
              <w:rPr>
                <w:rFonts w:cs="Arial"/>
                <w:iCs/>
                <w:color w:val="212121"/>
                <w:sz w:val="22"/>
                <w:szCs w:val="22"/>
              </w:rPr>
            </w:pPr>
            <w:r w:rsidRPr="003600EF">
              <w:rPr>
                <w:rFonts w:cs="Arial"/>
                <w:iCs/>
                <w:color w:val="212121"/>
                <w:sz w:val="22"/>
                <w:szCs w:val="22"/>
              </w:rPr>
              <w:t>A+ (A+</w:t>
            </w:r>
            <w:r w:rsidRPr="003600EF" w:rsidR="003D5877">
              <w:rPr>
                <w:rFonts w:cs="Arial"/>
                <w:iCs/>
                <w:color w:val="212121"/>
                <w:sz w:val="22"/>
                <w:szCs w:val="22"/>
              </w:rPr>
              <w:t xml:space="preserve"> </w:t>
            </w:r>
            <w:r w:rsidRPr="003600EF">
              <w:rPr>
                <w:rFonts w:cs="Arial"/>
                <w:iCs/>
                <w:color w:val="212121"/>
                <w:sz w:val="22"/>
                <w:szCs w:val="22"/>
              </w:rPr>
              <w:t>2024)</w:t>
            </w:r>
          </w:p>
        </w:tc>
      </w:tr>
      <w:tr w:rsidRPr="001B0614" w:rsidR="00C52415" w:rsidTr="00456ECF" w14:paraId="71D6D4AA" w14:textId="77777777">
        <w:trPr>
          <w:trHeight w:val="345"/>
        </w:trPr>
        <w:tc>
          <w:tcPr>
            <w:tcW w:w="2147"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1DBDA094" w14:textId="77777777">
            <w:pPr>
              <w:jc w:val="both"/>
              <w:rPr>
                <w:rFonts w:cs="Arial"/>
                <w:color w:val="212121"/>
                <w:sz w:val="22"/>
                <w:szCs w:val="22"/>
              </w:rPr>
            </w:pPr>
            <w:r w:rsidRPr="003600EF">
              <w:rPr>
                <w:rFonts w:cs="Arial"/>
                <w:bCs/>
                <w:color w:val="212121"/>
                <w:sz w:val="22"/>
                <w:szCs w:val="22"/>
              </w:rPr>
              <w:t xml:space="preserve">Impact weighting (%):  </w:t>
            </w:r>
          </w:p>
        </w:tc>
        <w:tc>
          <w:tcPr>
            <w:tcW w:w="1146" w:type="dxa"/>
            <w:tcBorders>
              <w:top w:val="single" w:color="auto" w:sz="4" w:space="0"/>
              <w:left w:val="single" w:color="auto" w:sz="4" w:space="0"/>
              <w:bottom w:val="single" w:color="auto" w:sz="4" w:space="0"/>
              <w:right w:val="single" w:color="auto" w:sz="4" w:space="0"/>
            </w:tcBorders>
            <w:hideMark/>
          </w:tcPr>
          <w:p w:rsidRPr="003600EF" w:rsidR="00ED5FD4" w:rsidRDefault="00CC4C32" w14:paraId="0EC60837" w14:textId="552609C5">
            <w:pPr>
              <w:jc w:val="both"/>
              <w:rPr>
                <w:rFonts w:cs="Arial"/>
                <w:bCs/>
                <w:color w:val="212121"/>
                <w:sz w:val="22"/>
                <w:szCs w:val="22"/>
              </w:rPr>
            </w:pPr>
            <w:r w:rsidRPr="003600EF">
              <w:rPr>
                <w:rFonts w:cs="Arial"/>
                <w:bCs/>
                <w:color w:val="212121"/>
                <w:sz w:val="22"/>
                <w:szCs w:val="22"/>
              </w:rPr>
              <w:t>25</w:t>
            </w:r>
          </w:p>
        </w:tc>
        <w:tc>
          <w:tcPr>
            <w:tcW w:w="2899"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5E35CD2B" w14:textId="77777777">
            <w:pPr>
              <w:jc w:val="both"/>
              <w:rPr>
                <w:rFonts w:cs="Arial"/>
                <w:bCs/>
                <w:color w:val="212121"/>
                <w:sz w:val="22"/>
                <w:szCs w:val="22"/>
              </w:rPr>
            </w:pPr>
            <w:r w:rsidRPr="003600EF">
              <w:rPr>
                <w:rFonts w:cs="Arial"/>
                <w:bCs/>
                <w:color w:val="212121"/>
                <w:sz w:val="22"/>
                <w:szCs w:val="22"/>
              </w:rPr>
              <w:t xml:space="preserve">Weighting revised since last AR? </w:t>
            </w:r>
          </w:p>
        </w:tc>
        <w:tc>
          <w:tcPr>
            <w:tcW w:w="2880" w:type="dxa"/>
            <w:tcBorders>
              <w:top w:val="single" w:color="auto" w:sz="4" w:space="0"/>
              <w:left w:val="single" w:color="auto" w:sz="4" w:space="0"/>
              <w:bottom w:val="single" w:color="auto" w:sz="4" w:space="0"/>
              <w:right w:val="single" w:color="auto" w:sz="4" w:space="0"/>
            </w:tcBorders>
          </w:tcPr>
          <w:p w:rsidRPr="003600EF" w:rsidR="00ED5FD4" w:rsidRDefault="00CC4C32" w14:paraId="510CC462" w14:textId="6C5341F9">
            <w:pPr>
              <w:jc w:val="both"/>
              <w:rPr>
                <w:rFonts w:cs="Arial"/>
                <w:bCs/>
                <w:color w:val="212121"/>
                <w:sz w:val="22"/>
                <w:szCs w:val="22"/>
              </w:rPr>
            </w:pPr>
            <w:r w:rsidRPr="003600EF">
              <w:rPr>
                <w:rFonts w:cs="Arial"/>
                <w:bCs/>
                <w:color w:val="212121"/>
                <w:sz w:val="22"/>
                <w:szCs w:val="22"/>
              </w:rPr>
              <w:t>No</w:t>
            </w:r>
          </w:p>
        </w:tc>
      </w:tr>
      <w:tr w:rsidRPr="001B0614" w:rsidR="00C52415" w:rsidTr="00456ECF" w14:paraId="13EB579E" w14:textId="77777777">
        <w:trPr>
          <w:trHeight w:val="345"/>
        </w:trPr>
        <w:tc>
          <w:tcPr>
            <w:tcW w:w="214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600EF" w:rsidR="00ED5FD4" w:rsidRDefault="00ED5FD4" w14:paraId="59A981A1" w14:textId="44967B89">
            <w:pPr>
              <w:jc w:val="both"/>
              <w:rPr>
                <w:rFonts w:cs="Arial"/>
                <w:bCs/>
                <w:color w:val="212121"/>
                <w:sz w:val="22"/>
                <w:szCs w:val="22"/>
              </w:rPr>
            </w:pPr>
            <w:r w:rsidRPr="003600EF">
              <w:rPr>
                <w:rFonts w:cs="Arial"/>
                <w:bCs/>
                <w:color w:val="212121"/>
                <w:sz w:val="22"/>
                <w:szCs w:val="22"/>
              </w:rPr>
              <w:t>Risk rating</w:t>
            </w:r>
            <w:r w:rsidRPr="003600EF" w:rsidR="00DB3B57">
              <w:rPr>
                <w:rFonts w:cs="Arial"/>
                <w:bCs/>
                <w:color w:val="212121"/>
                <w:sz w:val="22"/>
                <w:szCs w:val="22"/>
              </w:rPr>
              <w:t>:</w:t>
            </w:r>
          </w:p>
        </w:tc>
        <w:tc>
          <w:tcPr>
            <w:tcW w:w="1146" w:type="dxa"/>
            <w:tcBorders>
              <w:top w:val="single" w:color="auto" w:sz="4" w:space="0"/>
              <w:left w:val="single" w:color="auto" w:sz="4" w:space="0"/>
              <w:bottom w:val="single" w:color="auto" w:sz="4" w:space="0"/>
              <w:right w:val="single" w:color="auto" w:sz="4" w:space="0"/>
            </w:tcBorders>
          </w:tcPr>
          <w:p w:rsidRPr="003600EF" w:rsidR="00ED5FD4" w:rsidRDefault="00421E93" w14:paraId="56DEF1B3" w14:textId="53A0FFDC">
            <w:pPr>
              <w:jc w:val="both"/>
              <w:rPr>
                <w:rFonts w:cs="Arial"/>
                <w:bCs/>
                <w:color w:val="212121"/>
                <w:sz w:val="22"/>
                <w:szCs w:val="22"/>
              </w:rPr>
            </w:pPr>
            <w:r w:rsidRPr="003600EF">
              <w:rPr>
                <w:rFonts w:cs="Arial"/>
                <w:bCs/>
                <w:color w:val="212121"/>
                <w:sz w:val="22"/>
                <w:szCs w:val="22"/>
              </w:rPr>
              <w:t>Moderate</w:t>
            </w:r>
          </w:p>
        </w:tc>
        <w:tc>
          <w:tcPr>
            <w:tcW w:w="289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600EF" w:rsidR="00ED5FD4" w:rsidRDefault="00ED5FD4" w14:paraId="41EB55AA" w14:textId="77777777">
            <w:pPr>
              <w:jc w:val="both"/>
              <w:rPr>
                <w:rFonts w:cs="Arial"/>
                <w:bCs/>
                <w:color w:val="212121"/>
                <w:sz w:val="22"/>
                <w:szCs w:val="22"/>
              </w:rPr>
            </w:pPr>
            <w:r w:rsidRPr="003600EF">
              <w:rPr>
                <w:rFonts w:cs="Arial"/>
                <w:bCs/>
                <w:color w:val="212121"/>
                <w:sz w:val="22"/>
                <w:szCs w:val="22"/>
              </w:rPr>
              <w:t>Risk revised since last AR?</w:t>
            </w:r>
          </w:p>
        </w:tc>
        <w:tc>
          <w:tcPr>
            <w:tcW w:w="2880" w:type="dxa"/>
            <w:tcBorders>
              <w:top w:val="single" w:color="auto" w:sz="4" w:space="0"/>
              <w:left w:val="single" w:color="auto" w:sz="4" w:space="0"/>
              <w:bottom w:val="single" w:color="auto" w:sz="4" w:space="0"/>
              <w:right w:val="single" w:color="auto" w:sz="4" w:space="0"/>
            </w:tcBorders>
          </w:tcPr>
          <w:p w:rsidRPr="003600EF" w:rsidR="00ED5FD4" w:rsidRDefault="00CC4C32" w14:paraId="7C423B56" w14:textId="76A869B9">
            <w:pPr>
              <w:jc w:val="both"/>
              <w:rPr>
                <w:rFonts w:cs="Arial"/>
                <w:bCs/>
                <w:color w:val="212121"/>
                <w:sz w:val="22"/>
                <w:szCs w:val="22"/>
              </w:rPr>
            </w:pPr>
            <w:r w:rsidRPr="003600EF">
              <w:rPr>
                <w:rFonts w:cs="Arial"/>
                <w:bCs/>
                <w:color w:val="212121"/>
                <w:sz w:val="22"/>
                <w:szCs w:val="22"/>
              </w:rPr>
              <w:t>No</w:t>
            </w:r>
          </w:p>
        </w:tc>
      </w:tr>
    </w:tbl>
    <w:p w:rsidRPr="003600EF" w:rsidR="00ED5FD4" w:rsidP="00ED5FD4" w:rsidRDefault="00ED5FD4" w14:paraId="468D082A" w14:textId="77777777">
      <w:pPr>
        <w:jc w:val="both"/>
        <w:rPr>
          <w:rFonts w:cs="Arial"/>
          <w:b/>
          <w:color w:val="212121"/>
          <w:sz w:val="22"/>
          <w:szCs w:val="22"/>
        </w:rPr>
      </w:pPr>
    </w:p>
    <w:p w:rsidRPr="003600EF" w:rsidR="007B604F" w:rsidP="007B604F" w:rsidRDefault="007B604F" w14:paraId="02D7FB3F" w14:textId="77777777">
      <w:pPr>
        <w:jc w:val="both"/>
        <w:rPr>
          <w:rFonts w:cs="Arial"/>
          <w:b/>
          <w:color w:val="212121"/>
          <w:sz w:val="22"/>
          <w:szCs w:val="22"/>
        </w:rPr>
      </w:pPr>
      <w:r w:rsidRPr="003600EF">
        <w:rPr>
          <w:rFonts w:cs="Arial"/>
          <w:b/>
          <w:bCs/>
          <w:color w:val="212121"/>
          <w:sz w:val="22"/>
          <w:szCs w:val="22"/>
        </w:rPr>
        <w:t>Output summary and supporting narrative for the score</w:t>
      </w:r>
    </w:p>
    <w:p w:rsidRPr="003600EF" w:rsidR="007B604F" w:rsidP="00ED5FD4" w:rsidRDefault="007B604F" w14:paraId="06E14E1D" w14:textId="77777777">
      <w:pPr>
        <w:jc w:val="both"/>
        <w:rPr>
          <w:rFonts w:cs="Arial"/>
          <w:b/>
          <w:color w:val="212121"/>
          <w:sz w:val="22"/>
          <w:szCs w:val="22"/>
        </w:rPr>
      </w:pPr>
    </w:p>
    <w:tbl>
      <w:tblPr>
        <w:tblStyle w:val="TableGrid"/>
        <w:tblpPr w:leftFromText="180" w:rightFromText="180" w:vertAnchor="text" w:horzAnchor="page" w:tblpX="1462" w:tblpY="-10"/>
        <w:tblOverlap w:val="never"/>
        <w:tblW w:w="9067" w:type="dxa"/>
        <w:tblLook w:val="04A0" w:firstRow="1" w:lastRow="0" w:firstColumn="1" w:lastColumn="0" w:noHBand="0" w:noVBand="1"/>
      </w:tblPr>
      <w:tblGrid>
        <w:gridCol w:w="3473"/>
        <w:gridCol w:w="2051"/>
        <w:gridCol w:w="3543"/>
      </w:tblGrid>
      <w:tr w:rsidRPr="001B0614" w:rsidR="00A969F9" w:rsidTr="30CB8FA9" w14:paraId="1DCF0917" w14:textId="77777777">
        <w:trPr>
          <w:trHeight w:val="273"/>
        </w:trPr>
        <w:tc>
          <w:tcPr>
            <w:tcW w:w="347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2B7EFCD7" w14:textId="77777777">
            <w:pPr>
              <w:jc w:val="both"/>
              <w:rPr>
                <w:rFonts w:cs="Arial"/>
                <w:b/>
                <w:bCs/>
                <w:color w:val="212121"/>
                <w:sz w:val="22"/>
                <w:szCs w:val="22"/>
              </w:rPr>
            </w:pPr>
            <w:r w:rsidRPr="003600EF">
              <w:rPr>
                <w:rFonts w:cs="Arial"/>
                <w:b/>
                <w:bCs/>
                <w:color w:val="212121"/>
                <w:sz w:val="22"/>
                <w:szCs w:val="22"/>
              </w:rPr>
              <w:t>Indicator(s)</w:t>
            </w:r>
          </w:p>
        </w:tc>
        <w:tc>
          <w:tcPr>
            <w:tcW w:w="2051"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P="00FC1103" w:rsidRDefault="00ED5FD4" w14:paraId="41B685D1" w14:textId="77777777">
            <w:pPr>
              <w:jc w:val="center"/>
              <w:rPr>
                <w:rFonts w:cs="Arial"/>
                <w:b/>
                <w:bCs/>
                <w:color w:val="212121"/>
                <w:sz w:val="22"/>
                <w:szCs w:val="22"/>
              </w:rPr>
            </w:pPr>
            <w:r w:rsidRPr="003600EF">
              <w:rPr>
                <w:rFonts w:cs="Arial"/>
                <w:b/>
                <w:bCs/>
                <w:color w:val="212121"/>
                <w:sz w:val="22"/>
                <w:szCs w:val="22"/>
              </w:rPr>
              <w:t>Milestone(s) for this review</w:t>
            </w:r>
          </w:p>
        </w:tc>
        <w:tc>
          <w:tcPr>
            <w:tcW w:w="3543"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ED5FD4" w:rsidRDefault="00ED5FD4" w14:paraId="1238883B" w14:textId="77777777">
            <w:pPr>
              <w:jc w:val="both"/>
              <w:rPr>
                <w:rFonts w:cs="Arial"/>
                <w:b/>
                <w:bCs/>
                <w:color w:val="212121"/>
                <w:sz w:val="22"/>
                <w:szCs w:val="22"/>
              </w:rPr>
            </w:pPr>
            <w:r w:rsidRPr="003600EF">
              <w:rPr>
                <w:rFonts w:cs="Arial"/>
                <w:b/>
                <w:bCs/>
                <w:color w:val="212121"/>
                <w:sz w:val="22"/>
                <w:szCs w:val="22"/>
              </w:rPr>
              <w:t xml:space="preserve">Progress </w:t>
            </w:r>
          </w:p>
        </w:tc>
      </w:tr>
      <w:tr w:rsidRPr="001B0614" w:rsidR="00657F41" w:rsidTr="30CB8FA9" w14:paraId="0D9D6326" w14:textId="77777777">
        <w:tc>
          <w:tcPr>
            <w:tcW w:w="3473" w:type="dxa"/>
            <w:tcBorders>
              <w:top w:val="single" w:color="auto" w:sz="4" w:space="0"/>
              <w:left w:val="single" w:color="auto" w:sz="4" w:space="0"/>
              <w:bottom w:val="single" w:color="auto" w:sz="4" w:space="0"/>
              <w:right w:val="single" w:color="auto" w:sz="4" w:space="0"/>
            </w:tcBorders>
          </w:tcPr>
          <w:p w:rsidRPr="003600EF" w:rsidR="00657F41" w:rsidP="00657F41" w:rsidRDefault="00657F41" w14:paraId="18EC294B" w14:textId="77777777">
            <w:pPr>
              <w:pStyle w:val="paragraph"/>
              <w:spacing w:before="0" w:beforeAutospacing="0" w:after="0" w:afterAutospacing="0"/>
              <w:textAlignment w:val="baseline"/>
              <w:rPr>
                <w:rFonts w:ascii="Segoe UI" w:hAnsi="Segoe UI" w:cs="Segoe UI"/>
                <w:color w:val="212121"/>
                <w:sz w:val="18"/>
                <w:szCs w:val="18"/>
              </w:rPr>
            </w:pPr>
            <w:r w:rsidRPr="003600EF">
              <w:rPr>
                <w:rStyle w:val="normaltextrun"/>
                <w:rFonts w:ascii="Arial" w:hAnsi="Arial" w:cs="Arial"/>
                <w:color w:val="212121"/>
                <w:sz w:val="22"/>
                <w:szCs w:val="22"/>
              </w:rPr>
              <w:t>3.2 Number and description of cases of projects scaled up, replicated or improved through TA support to MFF investees.</w:t>
            </w:r>
            <w:r w:rsidRPr="003600EF">
              <w:rPr>
                <w:rStyle w:val="eop"/>
                <w:rFonts w:cs="Arial"/>
                <w:color w:val="212121"/>
                <w:sz w:val="22"/>
                <w:szCs w:val="22"/>
              </w:rPr>
              <w:t> </w:t>
            </w:r>
          </w:p>
          <w:p w:rsidRPr="003600EF" w:rsidR="00657F41" w:rsidP="00657F41" w:rsidRDefault="00657F41" w14:paraId="2A9C800A" w14:textId="36F8F15F">
            <w:pPr>
              <w:jc w:val="both"/>
              <w:rPr>
                <w:rFonts w:cs="Arial"/>
                <w:bCs/>
                <w:iCs/>
                <w:color w:val="212121"/>
                <w:sz w:val="22"/>
                <w:szCs w:val="22"/>
              </w:rPr>
            </w:pPr>
            <w:r w:rsidRPr="003600EF">
              <w:rPr>
                <w:rStyle w:val="normaltextrun"/>
                <w:rFonts w:cs="Arial"/>
                <w:color w:val="212121"/>
                <w:sz w:val="22"/>
                <w:szCs w:val="22"/>
              </w:rPr>
              <w:t>(TAF Component 1 or 2)</w:t>
            </w:r>
            <w:r w:rsidRPr="003600EF">
              <w:rPr>
                <w:rStyle w:val="eop"/>
                <w:rFonts w:cs="Arial"/>
                <w:color w:val="212121"/>
                <w:sz w:val="22"/>
                <w:szCs w:val="22"/>
              </w:rPr>
              <w:t> </w:t>
            </w:r>
          </w:p>
        </w:tc>
        <w:tc>
          <w:tcPr>
            <w:tcW w:w="2051" w:type="dxa"/>
            <w:tcBorders>
              <w:top w:val="single" w:color="auto" w:sz="4" w:space="0"/>
              <w:left w:val="single" w:color="auto" w:sz="4" w:space="0"/>
              <w:bottom w:val="single" w:color="auto" w:sz="4" w:space="0"/>
              <w:right w:val="single" w:color="auto" w:sz="4" w:space="0"/>
            </w:tcBorders>
          </w:tcPr>
          <w:p w:rsidRPr="003600EF" w:rsidR="00657F41" w:rsidP="00657F41" w:rsidRDefault="00713B6D" w14:paraId="50E8BA73" w14:textId="64D64811">
            <w:pPr>
              <w:jc w:val="both"/>
              <w:rPr>
                <w:rFonts w:cs="Arial"/>
                <w:bCs/>
                <w:iCs/>
                <w:color w:val="212121"/>
                <w:sz w:val="22"/>
                <w:szCs w:val="22"/>
              </w:rPr>
            </w:pPr>
            <w:r w:rsidRPr="003600EF">
              <w:rPr>
                <w:rFonts w:cs="Arial"/>
                <w:bCs/>
                <w:iCs/>
                <w:color w:val="212121"/>
                <w:sz w:val="22"/>
                <w:szCs w:val="22"/>
              </w:rPr>
              <w:t>6</w:t>
            </w:r>
          </w:p>
        </w:tc>
        <w:tc>
          <w:tcPr>
            <w:tcW w:w="3543" w:type="dxa"/>
            <w:tcBorders>
              <w:top w:val="single" w:color="auto" w:sz="4" w:space="0"/>
              <w:left w:val="single" w:color="auto" w:sz="4" w:space="0"/>
              <w:bottom w:val="single" w:color="auto" w:sz="4" w:space="0"/>
              <w:right w:val="single" w:color="auto" w:sz="4" w:space="0"/>
            </w:tcBorders>
          </w:tcPr>
          <w:p w:rsidRPr="003600EF" w:rsidR="00657F41" w:rsidP="00657F41" w:rsidRDefault="00C41F77" w14:paraId="0B45BE2C" w14:textId="3502DD65">
            <w:pPr>
              <w:contextualSpacing/>
              <w:jc w:val="both"/>
              <w:rPr>
                <w:rFonts w:cs="Arial"/>
                <w:bCs/>
                <w:iCs/>
                <w:color w:val="212121"/>
                <w:sz w:val="22"/>
                <w:szCs w:val="22"/>
              </w:rPr>
            </w:pPr>
            <w:r w:rsidRPr="003600EF">
              <w:rPr>
                <w:rFonts w:cs="Arial"/>
                <w:b/>
                <w:bCs/>
                <w:color w:val="212121"/>
                <w:sz w:val="22"/>
                <w:szCs w:val="22"/>
              </w:rPr>
              <w:t>6 — Progress met expectation.</w:t>
            </w:r>
          </w:p>
        </w:tc>
      </w:tr>
      <w:tr w:rsidRPr="001B0614" w:rsidR="00657F41" w:rsidTr="30CB8FA9" w14:paraId="1F90D51E" w14:textId="77777777">
        <w:tc>
          <w:tcPr>
            <w:tcW w:w="3473" w:type="dxa"/>
            <w:tcBorders>
              <w:top w:val="single" w:color="auto" w:sz="4" w:space="0"/>
              <w:left w:val="single" w:color="auto" w:sz="4" w:space="0"/>
              <w:bottom w:val="single" w:color="auto" w:sz="4" w:space="0"/>
              <w:right w:val="single" w:color="auto" w:sz="4" w:space="0"/>
            </w:tcBorders>
          </w:tcPr>
          <w:p w:rsidRPr="003600EF" w:rsidR="00657F41" w:rsidP="30CB8FA9" w:rsidRDefault="00657F41" w14:paraId="69F14F04" w14:textId="218303F6">
            <w:pPr>
              <w:jc w:val="both"/>
              <w:rPr>
                <w:rFonts w:cs="Arial"/>
                <w:color w:val="212121"/>
                <w:sz w:val="22"/>
                <w:szCs w:val="22"/>
              </w:rPr>
            </w:pPr>
            <w:r w:rsidRPr="003600EF">
              <w:rPr>
                <w:rStyle w:val="normaltextrun"/>
                <w:rFonts w:cs="Arial"/>
                <w:color w:val="212121"/>
                <w:sz w:val="22"/>
                <w:szCs w:val="22"/>
              </w:rPr>
              <w:t>3.3 Number of people reached through convened events, workshops etc. with project developers, investors and the wider investment community  (TAF Component 2)</w:t>
            </w:r>
            <w:r w:rsidRPr="003600EF">
              <w:rPr>
                <w:rStyle w:val="eop"/>
                <w:rFonts w:cs="Arial"/>
                <w:color w:val="212121"/>
                <w:sz w:val="22"/>
                <w:szCs w:val="22"/>
              </w:rPr>
              <w:t> </w:t>
            </w:r>
          </w:p>
        </w:tc>
        <w:tc>
          <w:tcPr>
            <w:tcW w:w="2051" w:type="dxa"/>
            <w:tcBorders>
              <w:top w:val="single" w:color="auto" w:sz="4" w:space="0"/>
              <w:left w:val="single" w:color="auto" w:sz="4" w:space="0"/>
              <w:bottom w:val="single" w:color="auto" w:sz="4" w:space="0"/>
              <w:right w:val="single" w:color="auto" w:sz="4" w:space="0"/>
            </w:tcBorders>
          </w:tcPr>
          <w:p w:rsidRPr="003600EF" w:rsidR="00657F41" w:rsidP="00657F41" w:rsidRDefault="00C41F77" w14:paraId="69713EB7" w14:textId="4EB1B71A">
            <w:pPr>
              <w:jc w:val="both"/>
              <w:rPr>
                <w:rFonts w:cs="Arial"/>
                <w:bCs/>
                <w:iCs/>
                <w:color w:val="212121"/>
                <w:sz w:val="22"/>
                <w:szCs w:val="22"/>
              </w:rPr>
            </w:pPr>
            <w:r w:rsidRPr="003600EF">
              <w:rPr>
                <w:rFonts w:cs="Arial"/>
                <w:bCs/>
                <w:iCs/>
                <w:color w:val="212121"/>
                <w:sz w:val="22"/>
                <w:szCs w:val="22"/>
              </w:rPr>
              <w:t>9</w:t>
            </w:r>
            <w:r w:rsidRPr="003600EF">
              <w:rPr>
                <w:bCs/>
                <w:iCs/>
                <w:color w:val="212121"/>
              </w:rPr>
              <w:t>00</w:t>
            </w:r>
          </w:p>
        </w:tc>
        <w:tc>
          <w:tcPr>
            <w:tcW w:w="3543" w:type="dxa"/>
            <w:tcBorders>
              <w:top w:val="single" w:color="auto" w:sz="4" w:space="0"/>
              <w:left w:val="single" w:color="auto" w:sz="4" w:space="0"/>
              <w:bottom w:val="single" w:color="auto" w:sz="4" w:space="0"/>
              <w:right w:val="single" w:color="auto" w:sz="4" w:space="0"/>
            </w:tcBorders>
          </w:tcPr>
          <w:p w:rsidRPr="003600EF" w:rsidR="00657F41" w:rsidP="00657F41" w:rsidRDefault="00C41F77" w14:paraId="387FF2C2" w14:textId="09D5BD91">
            <w:pPr>
              <w:contextualSpacing/>
              <w:jc w:val="both"/>
              <w:rPr>
                <w:rFonts w:cs="Arial"/>
                <w:bCs/>
                <w:iCs/>
                <w:color w:val="212121"/>
                <w:sz w:val="22"/>
                <w:szCs w:val="22"/>
              </w:rPr>
            </w:pPr>
            <w:r w:rsidRPr="003600EF">
              <w:rPr>
                <w:rFonts w:cs="Arial"/>
                <w:b/>
                <w:bCs/>
                <w:color w:val="212121"/>
                <w:sz w:val="22"/>
                <w:szCs w:val="22"/>
              </w:rPr>
              <w:t>1,004 — Progress moderately exceeded expectation.</w:t>
            </w:r>
          </w:p>
        </w:tc>
      </w:tr>
      <w:tr w:rsidRPr="001B0614" w:rsidR="00657F41" w:rsidTr="30CB8FA9" w14:paraId="35333A65" w14:textId="77777777">
        <w:tc>
          <w:tcPr>
            <w:tcW w:w="3473" w:type="dxa"/>
            <w:tcBorders>
              <w:top w:val="single" w:color="auto" w:sz="4" w:space="0"/>
              <w:left w:val="single" w:color="auto" w:sz="4" w:space="0"/>
              <w:bottom w:val="single" w:color="auto" w:sz="4" w:space="0"/>
              <w:right w:val="single" w:color="auto" w:sz="4" w:space="0"/>
            </w:tcBorders>
          </w:tcPr>
          <w:p w:rsidRPr="003600EF" w:rsidR="00657F41" w:rsidP="00657F41" w:rsidRDefault="00657F41" w14:paraId="6B89F407" w14:textId="1D89FEE7">
            <w:pPr>
              <w:jc w:val="both"/>
              <w:rPr>
                <w:rStyle w:val="normaltextrun"/>
                <w:rFonts w:cs="Arial"/>
                <w:color w:val="212121"/>
                <w:sz w:val="22"/>
                <w:szCs w:val="22"/>
              </w:rPr>
            </w:pPr>
            <w:r w:rsidRPr="003600EF">
              <w:rPr>
                <w:rStyle w:val="normaltextrun"/>
                <w:rFonts w:cs="Arial"/>
                <w:color w:val="212121"/>
                <w:sz w:val="22"/>
                <w:szCs w:val="22"/>
              </w:rPr>
              <w:t>3.4 Number of knowledge products (including case studies (blueprints) of successful business cases) shared with the investment community (and the public). (TAF Component 2)</w:t>
            </w:r>
            <w:r w:rsidRPr="003600EF">
              <w:rPr>
                <w:rStyle w:val="eop"/>
                <w:rFonts w:cs="Arial"/>
                <w:color w:val="212121"/>
                <w:sz w:val="22"/>
                <w:szCs w:val="22"/>
              </w:rPr>
              <w:t> </w:t>
            </w:r>
          </w:p>
        </w:tc>
        <w:tc>
          <w:tcPr>
            <w:tcW w:w="2051" w:type="dxa"/>
            <w:tcBorders>
              <w:top w:val="single" w:color="auto" w:sz="4" w:space="0"/>
              <w:left w:val="single" w:color="auto" w:sz="4" w:space="0"/>
              <w:bottom w:val="single" w:color="auto" w:sz="4" w:space="0"/>
              <w:right w:val="single" w:color="auto" w:sz="4" w:space="0"/>
            </w:tcBorders>
          </w:tcPr>
          <w:p w:rsidRPr="003600EF" w:rsidR="00657F41" w:rsidP="00657F41" w:rsidRDefault="00C41F77" w14:paraId="2663A80E" w14:textId="7847C529">
            <w:pPr>
              <w:jc w:val="both"/>
              <w:rPr>
                <w:rStyle w:val="normaltextrun"/>
                <w:rFonts w:cs="Arial"/>
                <w:color w:val="212121"/>
                <w:sz w:val="22"/>
                <w:szCs w:val="22"/>
              </w:rPr>
            </w:pPr>
            <w:r w:rsidRPr="003600EF">
              <w:rPr>
                <w:rStyle w:val="normaltextrun"/>
                <w:rFonts w:cs="Arial"/>
                <w:color w:val="212121"/>
                <w:sz w:val="22"/>
                <w:szCs w:val="22"/>
              </w:rPr>
              <w:t>14</w:t>
            </w:r>
          </w:p>
        </w:tc>
        <w:tc>
          <w:tcPr>
            <w:tcW w:w="3543" w:type="dxa"/>
            <w:tcBorders>
              <w:top w:val="single" w:color="auto" w:sz="4" w:space="0"/>
              <w:left w:val="single" w:color="auto" w:sz="4" w:space="0"/>
              <w:bottom w:val="single" w:color="auto" w:sz="4" w:space="0"/>
              <w:right w:val="single" w:color="auto" w:sz="4" w:space="0"/>
            </w:tcBorders>
          </w:tcPr>
          <w:p w:rsidRPr="003600EF" w:rsidR="00657F41" w:rsidP="00657F41" w:rsidRDefault="00E65214" w14:paraId="5832F022" w14:textId="1A2BA336">
            <w:pPr>
              <w:contextualSpacing/>
              <w:jc w:val="both"/>
              <w:rPr>
                <w:rStyle w:val="normaltextrun"/>
                <w:rFonts w:cs="Arial"/>
                <w:color w:val="212121"/>
                <w:sz w:val="22"/>
                <w:szCs w:val="22"/>
              </w:rPr>
            </w:pPr>
            <w:r w:rsidRPr="003600EF">
              <w:rPr>
                <w:rFonts w:cs="Arial"/>
                <w:color w:val="212121"/>
                <w:sz w:val="22"/>
                <w:szCs w:val="22"/>
              </w:rPr>
              <w:t>16 — Progress moderately exceeded expectation.</w:t>
            </w:r>
          </w:p>
        </w:tc>
      </w:tr>
      <w:tr w:rsidRPr="001B0614" w:rsidR="00657F41" w:rsidTr="30CB8FA9" w14:paraId="7564ABF6" w14:textId="77777777">
        <w:tc>
          <w:tcPr>
            <w:tcW w:w="3473" w:type="dxa"/>
            <w:tcBorders>
              <w:top w:val="single" w:color="auto" w:sz="4" w:space="0"/>
              <w:left w:val="single" w:color="auto" w:sz="4" w:space="0"/>
              <w:bottom w:val="single" w:color="auto" w:sz="4" w:space="0"/>
              <w:right w:val="single" w:color="auto" w:sz="4" w:space="0"/>
            </w:tcBorders>
          </w:tcPr>
          <w:p w:rsidRPr="003600EF" w:rsidR="00657F41" w:rsidP="00657F41" w:rsidRDefault="00657F41" w14:paraId="0E46B172" w14:textId="77777777">
            <w:pPr>
              <w:pStyle w:val="paragraph"/>
              <w:spacing w:before="0" w:beforeAutospacing="0" w:after="0" w:afterAutospacing="0"/>
              <w:textAlignment w:val="baseline"/>
              <w:rPr>
                <w:rFonts w:ascii="Segoe UI" w:hAnsi="Segoe UI" w:cs="Segoe UI"/>
                <w:color w:val="212121"/>
                <w:sz w:val="18"/>
                <w:szCs w:val="18"/>
              </w:rPr>
            </w:pPr>
            <w:r w:rsidRPr="003600EF">
              <w:rPr>
                <w:rStyle w:val="normaltextrun"/>
                <w:rFonts w:ascii="Arial" w:hAnsi="Arial" w:cs="Arial"/>
                <w:color w:val="212121"/>
                <w:sz w:val="22"/>
                <w:szCs w:val="22"/>
              </w:rPr>
              <w:t>3.5 Number of countries supported by TA.</w:t>
            </w:r>
            <w:r w:rsidRPr="003600EF">
              <w:rPr>
                <w:rStyle w:val="eop"/>
                <w:rFonts w:cs="Arial"/>
                <w:color w:val="212121"/>
                <w:sz w:val="22"/>
                <w:szCs w:val="22"/>
              </w:rPr>
              <w:t> </w:t>
            </w:r>
          </w:p>
          <w:p w:rsidRPr="003600EF" w:rsidR="00657F41" w:rsidP="00657F41" w:rsidRDefault="00657F41" w14:paraId="0953F9B4" w14:textId="49120F72">
            <w:pPr>
              <w:jc w:val="both"/>
              <w:rPr>
                <w:rStyle w:val="normaltextrun"/>
                <w:rFonts w:ascii="Times New Roman" w:hAnsi="Times New Roman" w:cs="Arial"/>
                <w:color w:val="212121"/>
                <w:sz w:val="22"/>
                <w:szCs w:val="22"/>
                <w:lang w:val="fr-FR"/>
              </w:rPr>
            </w:pPr>
            <w:r w:rsidRPr="003600EF">
              <w:rPr>
                <w:rStyle w:val="normaltextrun"/>
                <w:rFonts w:cs="Arial"/>
                <w:color w:val="212121"/>
                <w:sz w:val="22"/>
                <w:szCs w:val="22"/>
                <w:lang w:val="fr-FR"/>
              </w:rPr>
              <w:t>(ICF TA KPI 1) (TAF Component 1)</w:t>
            </w:r>
            <w:r w:rsidRPr="003600EF">
              <w:rPr>
                <w:rStyle w:val="eop"/>
                <w:rFonts w:cs="Arial"/>
                <w:color w:val="212121"/>
                <w:sz w:val="22"/>
                <w:szCs w:val="22"/>
                <w:lang w:val="fr-FR"/>
              </w:rPr>
              <w:t> </w:t>
            </w:r>
          </w:p>
        </w:tc>
        <w:tc>
          <w:tcPr>
            <w:tcW w:w="2051" w:type="dxa"/>
            <w:tcBorders>
              <w:top w:val="single" w:color="auto" w:sz="4" w:space="0"/>
              <w:left w:val="single" w:color="auto" w:sz="4" w:space="0"/>
              <w:bottom w:val="single" w:color="auto" w:sz="4" w:space="0"/>
              <w:right w:val="single" w:color="auto" w:sz="4" w:space="0"/>
            </w:tcBorders>
          </w:tcPr>
          <w:p w:rsidRPr="003600EF" w:rsidR="00657F41" w:rsidP="00657F41" w:rsidRDefault="00E65214" w14:paraId="759F2D07" w14:textId="58D98E78">
            <w:pPr>
              <w:jc w:val="both"/>
              <w:rPr>
                <w:rStyle w:val="normaltextrun"/>
                <w:rFonts w:cs="Arial"/>
                <w:color w:val="212121"/>
                <w:sz w:val="22"/>
                <w:szCs w:val="22"/>
              </w:rPr>
            </w:pPr>
            <w:r w:rsidRPr="003600EF">
              <w:rPr>
                <w:rStyle w:val="normaltextrun"/>
                <w:rFonts w:cs="Arial"/>
                <w:color w:val="212121"/>
                <w:sz w:val="22"/>
                <w:szCs w:val="22"/>
              </w:rPr>
              <w:t>8</w:t>
            </w:r>
          </w:p>
        </w:tc>
        <w:tc>
          <w:tcPr>
            <w:tcW w:w="3543" w:type="dxa"/>
            <w:tcBorders>
              <w:top w:val="single" w:color="auto" w:sz="4" w:space="0"/>
              <w:left w:val="single" w:color="auto" w:sz="4" w:space="0"/>
              <w:bottom w:val="single" w:color="auto" w:sz="4" w:space="0"/>
              <w:right w:val="single" w:color="auto" w:sz="4" w:space="0"/>
            </w:tcBorders>
          </w:tcPr>
          <w:p w:rsidRPr="003600EF" w:rsidR="00657F41" w:rsidP="00657F41" w:rsidRDefault="00E65214" w14:paraId="768F600C" w14:textId="1AA5FD02">
            <w:pPr>
              <w:contextualSpacing/>
              <w:jc w:val="both"/>
              <w:rPr>
                <w:rStyle w:val="normaltextrun"/>
                <w:rFonts w:cs="Arial"/>
                <w:color w:val="212121"/>
                <w:sz w:val="22"/>
                <w:szCs w:val="22"/>
              </w:rPr>
            </w:pPr>
            <w:r w:rsidRPr="003600EF">
              <w:rPr>
                <w:rStyle w:val="normaltextrun"/>
                <w:rFonts w:cs="Arial"/>
                <w:color w:val="212121"/>
                <w:sz w:val="22"/>
                <w:szCs w:val="22"/>
              </w:rPr>
              <w:t>9 -</w:t>
            </w:r>
            <w:r w:rsidRPr="003600EF" w:rsidR="00657F41">
              <w:rPr>
                <w:rStyle w:val="normaltextrun"/>
                <w:rFonts w:cs="Arial"/>
                <w:color w:val="212121"/>
                <w:sz w:val="22"/>
                <w:szCs w:val="22"/>
              </w:rPr>
              <w:t xml:space="preserve"> Progress </w:t>
            </w:r>
            <w:r w:rsidRPr="003600EF" w:rsidR="00657F41">
              <w:rPr>
                <w:rStyle w:val="normaltextrun"/>
                <w:rFonts w:cs="Arial"/>
                <w:b/>
                <w:bCs/>
                <w:color w:val="212121"/>
                <w:sz w:val="22"/>
                <w:szCs w:val="22"/>
              </w:rPr>
              <w:t>moderately exceeded</w:t>
            </w:r>
            <w:r w:rsidRPr="003600EF" w:rsidR="00657F41">
              <w:rPr>
                <w:rStyle w:val="normaltextrun"/>
                <w:rFonts w:cs="Arial"/>
                <w:color w:val="212121"/>
                <w:sz w:val="22"/>
                <w:szCs w:val="22"/>
              </w:rPr>
              <w:t> expectation.</w:t>
            </w:r>
            <w:r w:rsidRPr="003600EF" w:rsidR="00657F41">
              <w:rPr>
                <w:rStyle w:val="eop"/>
                <w:rFonts w:cs="Arial"/>
                <w:color w:val="212121"/>
                <w:sz w:val="22"/>
                <w:szCs w:val="22"/>
              </w:rPr>
              <w:t> </w:t>
            </w:r>
          </w:p>
        </w:tc>
      </w:tr>
    </w:tbl>
    <w:p w:rsidRPr="003600EF" w:rsidR="004A367B" w:rsidP="004D5FD5" w:rsidRDefault="004A367B" w14:paraId="2EFE3995" w14:textId="77777777">
      <w:pPr>
        <w:jc w:val="both"/>
        <w:rPr>
          <w:rFonts w:cs="Arial"/>
          <w:color w:val="212121"/>
          <w:sz w:val="22"/>
          <w:szCs w:val="22"/>
        </w:rPr>
      </w:pPr>
    </w:p>
    <w:p w:rsidRPr="003600EF" w:rsidR="007B604F" w:rsidP="00EF5E01" w:rsidRDefault="007B604F" w14:paraId="7EFDF201" w14:textId="77777777">
      <w:pPr>
        <w:spacing w:after="160" w:line="259" w:lineRule="auto"/>
        <w:jc w:val="both"/>
        <w:rPr>
          <w:i/>
          <w:iCs/>
          <w:color w:val="212121"/>
        </w:rPr>
      </w:pPr>
      <w:r w:rsidRPr="003600EF">
        <w:rPr>
          <w:b/>
          <w:bCs/>
          <w:i/>
          <w:iCs/>
          <w:color w:val="212121"/>
        </w:rPr>
        <w:t>Output summary and supporting narrative for the score</w:t>
      </w:r>
    </w:p>
    <w:p w:rsidRPr="003600EF" w:rsidR="00A06C85" w:rsidP="00EF5E01" w:rsidRDefault="007B604F" w14:paraId="0C59EE78" w14:textId="27FEA191">
      <w:pPr>
        <w:spacing w:after="160" w:line="259" w:lineRule="auto"/>
        <w:jc w:val="both"/>
        <w:rPr>
          <w:color w:val="212121"/>
        </w:rPr>
      </w:pPr>
      <w:r w:rsidRPr="003600EF">
        <w:rPr>
          <w:color w:val="212121"/>
        </w:rPr>
        <w:t>Output 3 measures performance of the Technical</w:t>
      </w:r>
      <w:r w:rsidRPr="003600EF" w:rsidR="00167212">
        <w:rPr>
          <w:color w:val="212121"/>
        </w:rPr>
        <w:t xml:space="preserve"> Assistance Facility (TAF), comprising Component 1 (investment project scale-up and pre-investment advisory</w:t>
      </w:r>
      <w:r w:rsidRPr="003600EF" w:rsidR="004335BE">
        <w:rPr>
          <w:color w:val="212121"/>
        </w:rPr>
        <w:t>, delivered by Niras in consortium with IDH and Form International) and Component 2 (the Learning, Convening and Influencing Platform</w:t>
      </w:r>
      <w:r w:rsidRPr="003600EF" w:rsidR="00A06C85">
        <w:rPr>
          <w:color w:val="212121"/>
        </w:rPr>
        <w:t>, delivered by Palladium</w:t>
      </w:r>
      <w:r w:rsidRPr="003600EF" w:rsidR="007D3514">
        <w:rPr>
          <w:color w:val="212121"/>
        </w:rPr>
        <w:t xml:space="preserve"> in partnership with </w:t>
      </w:r>
      <w:proofErr w:type="spellStart"/>
      <w:r w:rsidRPr="003600EF" w:rsidR="007D3514">
        <w:rPr>
          <w:color w:val="212121"/>
        </w:rPr>
        <w:t>Systemiq</w:t>
      </w:r>
      <w:proofErr w:type="spellEnd"/>
      <w:r w:rsidRPr="003600EF" w:rsidR="00A06C85">
        <w:rPr>
          <w:color w:val="212121"/>
        </w:rPr>
        <w:t xml:space="preserve">). </w:t>
      </w:r>
    </w:p>
    <w:p w:rsidRPr="003600EF" w:rsidR="00192B64" w:rsidP="00EF5E01" w:rsidRDefault="00A06C85" w14:paraId="4E755E40" w14:textId="77777777">
      <w:pPr>
        <w:spacing w:after="160" w:line="259" w:lineRule="auto"/>
        <w:jc w:val="both"/>
        <w:rPr>
          <w:color w:val="212121"/>
        </w:rPr>
      </w:pPr>
      <w:r w:rsidRPr="003600EF">
        <w:rPr>
          <w:color w:val="212121"/>
        </w:rPr>
        <w:t>An overall score of A+ is assigned, consistent with AR24</w:t>
      </w:r>
      <w:r w:rsidRPr="003600EF" w:rsidR="00D12DAD">
        <w:rPr>
          <w:color w:val="212121"/>
        </w:rPr>
        <w:t>. All four indicators met or exceeded their targets. Three of the four exceeded their milestones, and the remaining indicator (3.2) met its target exactly despite TA spending on Component 1 running well below budget,</w:t>
      </w:r>
      <w:r w:rsidRPr="003600EF" w:rsidR="00192B64">
        <w:rPr>
          <w:color w:val="212121"/>
        </w:rPr>
        <w:t xml:space="preserve"> a strong indication of efficient delivery and good targeting of advisory support. </w:t>
      </w:r>
    </w:p>
    <w:p w:rsidRPr="003600EF" w:rsidR="000E1731" w:rsidP="00EF5E01" w:rsidRDefault="00D37AF0" w14:paraId="261429C4" w14:textId="3B21D18A">
      <w:pPr>
        <w:spacing w:after="160" w:line="259" w:lineRule="auto"/>
        <w:jc w:val="both"/>
        <w:rPr>
          <w:color w:val="212121"/>
        </w:rPr>
      </w:pPr>
      <w:r w:rsidRPr="003600EF">
        <w:rPr>
          <w:color w:val="212121"/>
        </w:rPr>
        <w:t xml:space="preserve">The Component 1 </w:t>
      </w:r>
      <w:r w:rsidRPr="003600EF" w:rsidR="00146FD2">
        <w:rPr>
          <w:color w:val="212121"/>
        </w:rPr>
        <w:t xml:space="preserve">team </w:t>
      </w:r>
      <w:r w:rsidRPr="003600EF" w:rsidR="000A5692">
        <w:rPr>
          <w:color w:val="212121"/>
        </w:rPr>
        <w:t xml:space="preserve">has </w:t>
      </w:r>
      <w:r w:rsidRPr="003600EF" w:rsidR="00146FD2">
        <w:rPr>
          <w:color w:val="212121"/>
        </w:rPr>
        <w:t>delivered TA in support of six cases across nine countries (against a target of eight countries), covering a mix of post</w:t>
      </w:r>
      <w:r w:rsidRPr="003600EF" w:rsidR="00C755D9">
        <w:rPr>
          <w:color w:val="212121"/>
        </w:rPr>
        <w:t>-investment and general sector consultancy. Investments receiving TA support in 2025 included continued</w:t>
      </w:r>
      <w:r w:rsidRPr="003600EF" w:rsidR="0052183D">
        <w:rPr>
          <w:color w:val="212121"/>
        </w:rPr>
        <w:t xml:space="preserve"> engagement with &amp;Green investees and new pre-investment support to MFF pipeline prospects. This below-budget, above-target delivery reflects the lean structure of the TAF and the continuing </w:t>
      </w:r>
      <w:r w:rsidRPr="003600EF" w:rsidR="00895F68">
        <w:rPr>
          <w:color w:val="212121"/>
        </w:rPr>
        <w:t>benefit of retaining an experience consortium team with deep sector knowledge. The expanded TA mandate (to include pre-investment support for prospects expected to reach bankability</w:t>
      </w:r>
      <w:r w:rsidRPr="003600EF" w:rsidR="00C31B8B">
        <w:rPr>
          <w:color w:val="212121"/>
        </w:rPr>
        <w:t xml:space="preserve"> within 12 months) agreed in mid-2023 continues to generate efficiencies by brid</w:t>
      </w:r>
      <w:r w:rsidRPr="003600EF" w:rsidR="00EB5835">
        <w:rPr>
          <w:color w:val="212121"/>
        </w:rPr>
        <w:t xml:space="preserve">ging advisory support and investment pipeline development. </w:t>
      </w:r>
    </w:p>
    <w:p w:rsidRPr="003600EF" w:rsidR="004F2081" w:rsidP="00EF5E01" w:rsidRDefault="000E1731" w14:paraId="0349F3DC" w14:textId="77777777">
      <w:pPr>
        <w:spacing w:after="160" w:line="259" w:lineRule="auto"/>
        <w:jc w:val="both"/>
        <w:rPr>
          <w:color w:val="212121"/>
        </w:rPr>
      </w:pPr>
      <w:r w:rsidRPr="003600EF">
        <w:rPr>
          <w:color w:val="212121"/>
        </w:rPr>
        <w:t xml:space="preserve">The LCIP reached a </w:t>
      </w:r>
      <w:r w:rsidRPr="003600EF" w:rsidR="00032DD5">
        <w:rPr>
          <w:color w:val="212121"/>
        </w:rPr>
        <w:t>cumulative</w:t>
      </w:r>
      <w:r w:rsidRPr="003600EF">
        <w:rPr>
          <w:color w:val="212121"/>
        </w:rPr>
        <w:t xml:space="preserve"> total of </w:t>
      </w:r>
      <w:r w:rsidRPr="003600EF" w:rsidR="00032DD5">
        <w:rPr>
          <w:color w:val="212121"/>
        </w:rPr>
        <w:t xml:space="preserve">1,004 individuals against a target of 900, with 201 new attendees in 2025. Key events included the DFI Knowledge Sharing Community of Practice on ESG Risk and Impact Management for Forest </w:t>
      </w:r>
      <w:r w:rsidRPr="003600EF" w:rsidR="006428B5">
        <w:rPr>
          <w:color w:val="212121"/>
        </w:rPr>
        <w:t>Investments (October</w:t>
      </w:r>
      <w:r w:rsidRPr="003600EF" w:rsidR="00165CBC">
        <w:rPr>
          <w:color w:val="212121"/>
        </w:rPr>
        <w:t xml:space="preserve"> 2025</w:t>
      </w:r>
      <w:r w:rsidRPr="003600EF" w:rsidR="007660AC">
        <w:rPr>
          <w:color w:val="212121"/>
        </w:rPr>
        <w:t>, 13 new attendees</w:t>
      </w:r>
      <w:r w:rsidRPr="003600EF" w:rsidR="00165CBC">
        <w:rPr>
          <w:color w:val="212121"/>
        </w:rPr>
        <w:t>)</w:t>
      </w:r>
      <w:r w:rsidRPr="003600EF" w:rsidR="007660AC">
        <w:rPr>
          <w:color w:val="212121"/>
        </w:rPr>
        <w:t>, the GIIN/WBCSD "Financing a Nature-based Net-zero Transition" workshop (April, Montreux, 37 new attendees); a deforestation-free commodities supply chains knowledge exchange (June, London, 16 new attendees); and several smaller convenings and training sessions. The LCIP's ability to convene high-quality audiences at low marginal cost reflects the well-established networks of the Palladium/</w:t>
      </w:r>
      <w:proofErr w:type="spellStart"/>
      <w:r w:rsidRPr="003600EF" w:rsidR="007660AC">
        <w:rPr>
          <w:color w:val="212121"/>
        </w:rPr>
        <w:t>Systemiq</w:t>
      </w:r>
      <w:proofErr w:type="spellEnd"/>
      <w:r w:rsidRPr="003600EF" w:rsidR="007660AC">
        <w:rPr>
          <w:color w:val="212121"/>
        </w:rPr>
        <w:t xml:space="preserve"> team and the FMO co-investor community.</w:t>
      </w:r>
    </w:p>
    <w:p w:rsidRPr="003600EF" w:rsidR="00E7511E" w:rsidP="00EF5E01" w:rsidRDefault="004F2081" w14:paraId="75981B3D" w14:textId="31D27AAF">
      <w:pPr>
        <w:spacing w:after="160" w:line="259" w:lineRule="auto"/>
        <w:jc w:val="both"/>
        <w:rPr>
          <w:color w:val="212121"/>
        </w:rPr>
      </w:pPr>
      <w:r w:rsidRPr="003600EF">
        <w:rPr>
          <w:color w:val="212121"/>
        </w:rPr>
        <w:t xml:space="preserve">Sixteen knowledge products </w:t>
      </w:r>
      <w:r w:rsidRPr="003600EF" w:rsidR="000A5692">
        <w:rPr>
          <w:color w:val="212121"/>
        </w:rPr>
        <w:t xml:space="preserve">had been </w:t>
      </w:r>
      <w:r w:rsidRPr="003600EF">
        <w:rPr>
          <w:color w:val="212121"/>
        </w:rPr>
        <w:t xml:space="preserve">published </w:t>
      </w:r>
      <w:r w:rsidRPr="003600EF" w:rsidR="00C3127A">
        <w:rPr>
          <w:color w:val="212121"/>
        </w:rPr>
        <w:t xml:space="preserve">as of </w:t>
      </w:r>
      <w:r w:rsidRPr="003600EF">
        <w:rPr>
          <w:color w:val="212121"/>
        </w:rPr>
        <w:t>2025 against a target of 14. Headline products included work on deforestation</w:t>
      </w:r>
      <w:r w:rsidRPr="003600EF" w:rsidR="00324A20">
        <w:rPr>
          <w:color w:val="212121"/>
        </w:rPr>
        <w:t>-free supply chains and continued work building on the ESG Guide for Forestry Investments published in 2024. The LCIP’s knowledge products are generating market-level traction</w:t>
      </w:r>
      <w:r w:rsidRPr="003600EF" w:rsidR="00EF5E01">
        <w:rPr>
          <w:color w:val="212121"/>
        </w:rPr>
        <w:t>.</w:t>
      </w:r>
    </w:p>
    <w:p w:rsidRPr="003600EF" w:rsidR="001D6CD6" w:rsidP="00EF5E01" w:rsidRDefault="001D6CD6" w14:paraId="148E7077" w14:textId="77777777">
      <w:pPr>
        <w:spacing w:after="160" w:line="259" w:lineRule="auto"/>
        <w:jc w:val="both"/>
        <w:rPr>
          <w:b/>
          <w:bCs/>
          <w:i/>
          <w:iCs/>
          <w:color w:val="212121"/>
        </w:rPr>
      </w:pPr>
      <w:r w:rsidRPr="003600EF">
        <w:rPr>
          <w:b/>
          <w:bCs/>
          <w:i/>
          <w:iCs/>
          <w:color w:val="212121"/>
        </w:rPr>
        <w:t>Changes to this output, and any planned changes as a result of this review</w:t>
      </w:r>
    </w:p>
    <w:p w:rsidRPr="003600EF" w:rsidR="007B604F" w:rsidP="00975C43" w:rsidRDefault="00C75FFF" w14:paraId="0350946B" w14:textId="294C9115">
      <w:pPr>
        <w:jc w:val="both"/>
        <w:rPr>
          <w:color w:val="212121"/>
        </w:rPr>
      </w:pPr>
      <w:r w:rsidRPr="003600EF">
        <w:rPr>
          <w:color w:val="212121"/>
        </w:rPr>
        <w:t>The AR24 recommendation to revise upwards the milestones for Indicators 3.3 and 3.4</w:t>
      </w:r>
      <w:r w:rsidRPr="003600EF" w:rsidR="00FE5A27">
        <w:rPr>
          <w:color w:val="212121"/>
        </w:rPr>
        <w:t xml:space="preserve">, </w:t>
      </w:r>
      <w:r w:rsidRPr="003600EF">
        <w:rPr>
          <w:color w:val="212121"/>
        </w:rPr>
        <w:t>both of which have been substantially exceeded in consecutive years</w:t>
      </w:r>
      <w:r w:rsidRPr="003600EF" w:rsidR="00FE5A27">
        <w:rPr>
          <w:color w:val="212121"/>
        </w:rPr>
        <w:t xml:space="preserve">, </w:t>
      </w:r>
      <w:r w:rsidRPr="003600EF">
        <w:rPr>
          <w:color w:val="212121"/>
        </w:rPr>
        <w:t xml:space="preserve">has been acted upon: the 2025 targets were increased (from 120 to 900 for 3.3 and from 3 to 14 for 3.4). Both have again been exceeded, </w:t>
      </w:r>
      <w:r w:rsidRPr="003600EF" w:rsidR="00FE5A27">
        <w:rPr>
          <w:color w:val="212121"/>
        </w:rPr>
        <w:t xml:space="preserve">but by much smaller </w:t>
      </w:r>
      <w:r w:rsidRPr="003600EF" w:rsidR="002127A9">
        <w:rPr>
          <w:color w:val="212121"/>
        </w:rPr>
        <w:t>margins</w:t>
      </w:r>
      <w:r w:rsidRPr="003600EF" w:rsidR="00FE5A27">
        <w:rPr>
          <w:color w:val="212121"/>
        </w:rPr>
        <w:t xml:space="preserve"> </w:t>
      </w:r>
      <w:r w:rsidRPr="003600EF" w:rsidR="00767679">
        <w:rPr>
          <w:color w:val="212121"/>
        </w:rPr>
        <w:t>(</w:t>
      </w:r>
      <w:r w:rsidRPr="003600EF" w:rsidR="004323B8">
        <w:rPr>
          <w:color w:val="212121"/>
        </w:rPr>
        <w:t xml:space="preserve">900 – 1004 for 3.3 and 14 – 16 for 3.4.), therefore another increase in target at this stage is not recommended. </w:t>
      </w:r>
    </w:p>
    <w:p w:rsidRPr="003600EF" w:rsidR="002127A9" w:rsidP="00975C43" w:rsidRDefault="002127A9" w14:paraId="5E2D36BB" w14:textId="77777777">
      <w:pPr>
        <w:jc w:val="both"/>
        <w:rPr>
          <w:color w:val="212121"/>
        </w:rPr>
      </w:pPr>
    </w:p>
    <w:p w:rsidRPr="003600EF" w:rsidR="002127A9" w:rsidP="00975C43" w:rsidRDefault="002127A9" w14:paraId="3A9E7274" w14:textId="29DEF34F">
      <w:pPr>
        <w:jc w:val="both"/>
        <w:rPr>
          <w:color w:val="212121"/>
        </w:rPr>
      </w:pPr>
      <w:r w:rsidRPr="003600EF">
        <w:rPr>
          <w:color w:val="212121"/>
        </w:rPr>
        <w:t>The TAF mandate changes agreed in 2025</w:t>
      </w:r>
      <w:r w:rsidRPr="003600EF" w:rsidR="001800A2">
        <w:rPr>
          <w:color w:val="212121"/>
        </w:rPr>
        <w:t xml:space="preserve">, </w:t>
      </w:r>
      <w:r w:rsidRPr="003600EF">
        <w:rPr>
          <w:color w:val="212121"/>
        </w:rPr>
        <w:t>including pre-investment TA for short-horizon prospects</w:t>
      </w:r>
      <w:r w:rsidRPr="003600EF" w:rsidR="0027451A">
        <w:rPr>
          <w:color w:val="212121"/>
        </w:rPr>
        <w:t xml:space="preserve"> (agreed </w:t>
      </w:r>
      <w:r w:rsidRPr="003600EF" w:rsidR="00FF3472">
        <w:rPr>
          <w:color w:val="212121"/>
        </w:rPr>
        <w:t>since</w:t>
      </w:r>
      <w:r w:rsidRPr="003600EF" w:rsidR="0027451A">
        <w:rPr>
          <w:color w:val="212121"/>
        </w:rPr>
        <w:t xml:space="preserve"> 2023), the ability to </w:t>
      </w:r>
      <w:r w:rsidRPr="003600EF" w:rsidR="00941F90">
        <w:rPr>
          <w:color w:val="212121"/>
        </w:rPr>
        <w:t xml:space="preserve">provide </w:t>
      </w:r>
      <w:r w:rsidRPr="003600EF" w:rsidR="001159B2">
        <w:rPr>
          <w:color w:val="212121"/>
        </w:rPr>
        <w:t>grant</w:t>
      </w:r>
      <w:r w:rsidRPr="003600EF" w:rsidR="00941F90">
        <w:rPr>
          <w:color w:val="212121"/>
        </w:rPr>
        <w:t xml:space="preserve"> funding to MFF fund manager’s ‘Delegated TA Facilities’</w:t>
      </w:r>
      <w:r w:rsidRPr="003600EF" w:rsidR="001159B2">
        <w:rPr>
          <w:color w:val="212121"/>
        </w:rPr>
        <w:t xml:space="preserve"> and ecosystem-level ‘strategic TA’ initiatives,</w:t>
      </w:r>
      <w:r w:rsidRPr="003600EF" w:rsidR="00FF3472">
        <w:rPr>
          <w:color w:val="212121"/>
        </w:rPr>
        <w:t xml:space="preserve"> </w:t>
      </w:r>
      <w:r w:rsidRPr="003600EF">
        <w:rPr>
          <w:color w:val="212121"/>
        </w:rPr>
        <w:t>and the addition of DC execution capacity funded from the TAF budget</w:t>
      </w:r>
      <w:r w:rsidRPr="003600EF" w:rsidR="001800A2">
        <w:rPr>
          <w:color w:val="212121"/>
        </w:rPr>
        <w:t xml:space="preserve">, </w:t>
      </w:r>
      <w:r w:rsidRPr="003600EF">
        <w:rPr>
          <w:color w:val="212121"/>
        </w:rPr>
        <w:t>are now embedded in the updated Contribution Agreement.</w:t>
      </w:r>
    </w:p>
    <w:p w:rsidRPr="003600EF" w:rsidR="002127A9" w:rsidP="004D5FD5" w:rsidRDefault="002127A9" w14:paraId="72D0CAD1" w14:textId="77777777">
      <w:pPr>
        <w:jc w:val="both"/>
        <w:rPr>
          <w:color w:val="212121"/>
        </w:rPr>
      </w:pPr>
    </w:p>
    <w:p w:rsidRPr="003600EF" w:rsidR="001800A2" w:rsidP="001800A2" w:rsidRDefault="001800A2" w14:paraId="059E167C" w14:textId="77777777">
      <w:pPr>
        <w:rPr>
          <w:i/>
          <w:iCs/>
          <w:color w:val="212121"/>
        </w:rPr>
      </w:pPr>
      <w:r w:rsidRPr="003600EF">
        <w:rPr>
          <w:b/>
          <w:bCs/>
          <w:i/>
          <w:iCs/>
          <w:color w:val="212121"/>
        </w:rPr>
        <w:t>Progress on recommendations from AR24, lessons learned, and recommendations for the year ahead</w:t>
      </w:r>
    </w:p>
    <w:p w:rsidRPr="003600EF" w:rsidR="00C75FFF" w:rsidP="004D5FD5" w:rsidRDefault="00D9083A" w14:paraId="13143338" w14:textId="44809AD6">
      <w:pPr>
        <w:jc w:val="both"/>
        <w:rPr>
          <w:color w:val="212121"/>
        </w:rPr>
      </w:pPr>
      <w:r w:rsidRPr="003600EF">
        <w:rPr>
          <w:color w:val="212121"/>
        </w:rPr>
        <w:t>AR24 recommended that the LCIP sharpen its thematic focus and develop closer institutional linkages with other programmes (including IFSLU2 and P4F). Progress has been made: a step-back meeting with Palladium in October 2025 produced follow-up actions, and a dedicated synergies session was held at the December 2025 half-year meeting. This should be continued and formalised in 2026.</w:t>
      </w:r>
    </w:p>
    <w:p w:rsidRPr="003600EF" w:rsidR="008776EB" w:rsidP="004D5FD5" w:rsidRDefault="008776EB" w14:paraId="5945B839" w14:textId="77777777">
      <w:pPr>
        <w:jc w:val="both"/>
        <w:rPr>
          <w:rFonts w:cs="Arial"/>
          <w:i/>
          <w:iCs/>
          <w:color w:val="212121"/>
          <w:sz w:val="22"/>
          <w:szCs w:val="22"/>
        </w:rPr>
      </w:pPr>
    </w:p>
    <w:p w:rsidRPr="003600EF" w:rsidR="008776EB" w:rsidP="004D5FD5" w:rsidRDefault="008776EB" w14:paraId="7BE683E4" w14:textId="77777777">
      <w:pPr>
        <w:jc w:val="both"/>
        <w:rPr>
          <w:rFonts w:cs="Arial"/>
          <w:i/>
          <w:iCs/>
          <w:color w:val="212121"/>
          <w:sz w:val="22"/>
          <w:szCs w:val="22"/>
        </w:rPr>
      </w:pPr>
    </w:p>
    <w:p w:rsidRPr="003600EF" w:rsidR="008776EB" w:rsidP="004D5FD5" w:rsidRDefault="008776EB" w14:paraId="0FFA1A88" w14:textId="77777777">
      <w:pPr>
        <w:jc w:val="both"/>
        <w:rPr>
          <w:rFonts w:cs="Arial"/>
          <w:color w:val="212121"/>
          <w:sz w:val="22"/>
          <w:szCs w:val="22"/>
        </w:rPr>
      </w:pPr>
    </w:p>
    <w:tbl>
      <w:tblPr>
        <w:tblStyle w:val="TableGrid"/>
        <w:tblW w:w="0" w:type="auto"/>
        <w:tblLook w:val="04A0" w:firstRow="1" w:lastRow="0" w:firstColumn="1" w:lastColumn="0" w:noHBand="0" w:noVBand="1"/>
      </w:tblPr>
      <w:tblGrid>
        <w:gridCol w:w="9016"/>
      </w:tblGrid>
      <w:tr w:rsidRPr="001B0614" w:rsidR="006100E3" w:rsidTr="1E906FAD" w14:paraId="625A7711" w14:textId="77777777">
        <w:tc>
          <w:tcPr>
            <w:tcW w:w="9016" w:type="dxa"/>
            <w:shd w:val="clear" w:color="auto" w:fill="DEEAF6" w:themeFill="accent5" w:themeFillTint="33"/>
          </w:tcPr>
          <w:p w:rsidRPr="003600EF" w:rsidR="00CB2873" w:rsidP="004D5FD5" w:rsidRDefault="2C7057B1" w14:paraId="78474CCE" w14:textId="6FF3A058">
            <w:pPr>
              <w:jc w:val="both"/>
              <w:rPr>
                <w:color w:val="212121"/>
              </w:rPr>
            </w:pPr>
            <w:bookmarkStart w:name="_Toc227234250" w:id="16"/>
            <w:r w:rsidRPr="003600EF">
              <w:rPr>
                <w:rStyle w:val="Heading1Char"/>
                <w:rFonts w:ascii="Arial" w:hAnsi="Arial" w:cs="Arial"/>
                <w:b/>
                <w:bCs/>
                <w:color w:val="212121"/>
              </w:rPr>
              <w:t xml:space="preserve">Section D: </w:t>
            </w:r>
            <w:r w:rsidRPr="003600EF" w:rsidR="3713721B">
              <w:rPr>
                <w:rStyle w:val="Heading1Char"/>
                <w:rFonts w:ascii="Arial" w:hAnsi="Arial" w:cs="Arial"/>
                <w:b/>
                <w:bCs/>
                <w:color w:val="212121"/>
              </w:rPr>
              <w:t>Programme</w:t>
            </w:r>
            <w:r w:rsidRPr="003600EF" w:rsidR="001330CE">
              <w:rPr>
                <w:rStyle w:val="Heading1Char"/>
                <w:rFonts w:ascii="Arial" w:hAnsi="Arial" w:cs="Arial"/>
                <w:b/>
                <w:bCs/>
                <w:color w:val="212121"/>
              </w:rPr>
              <w:t xml:space="preserve"> </w:t>
            </w:r>
            <w:r w:rsidRPr="003600EF">
              <w:rPr>
                <w:rStyle w:val="Heading1Char"/>
                <w:rFonts w:ascii="Arial" w:hAnsi="Arial" w:cs="Arial"/>
                <w:b/>
                <w:bCs/>
                <w:color w:val="212121"/>
              </w:rPr>
              <w:t>performance not captured by outputs</w:t>
            </w:r>
            <w:bookmarkEnd w:id="16"/>
            <w:r w:rsidRPr="003600EF">
              <w:rPr>
                <w:color w:val="212121"/>
              </w:rPr>
              <w:t xml:space="preserve"> </w:t>
            </w:r>
          </w:p>
        </w:tc>
      </w:tr>
    </w:tbl>
    <w:p w:rsidRPr="003600EF" w:rsidR="00CB2873" w:rsidP="004D5FD5" w:rsidRDefault="00CB2873" w14:paraId="358B70D4" w14:textId="77777777">
      <w:pPr>
        <w:jc w:val="both"/>
        <w:rPr>
          <w:rFonts w:cs="Arial"/>
          <w:color w:val="212121"/>
          <w:sz w:val="22"/>
          <w:szCs w:val="22"/>
        </w:rPr>
      </w:pPr>
    </w:p>
    <w:p w:rsidRPr="003600EF" w:rsidR="003D222C" w:rsidP="004D5FD5" w:rsidRDefault="00A63D3E" w14:paraId="1B63C618" w14:textId="742B0881">
      <w:pPr>
        <w:jc w:val="both"/>
        <w:rPr>
          <w:rFonts w:cs="Arial"/>
          <w:color w:val="212121"/>
          <w:sz w:val="22"/>
          <w:szCs w:val="22"/>
        </w:rPr>
      </w:pPr>
      <w:r w:rsidRPr="003600EF">
        <w:rPr>
          <w:rFonts w:cs="Arial"/>
          <w:color w:val="212121"/>
          <w:sz w:val="22"/>
          <w:szCs w:val="22"/>
        </w:rPr>
        <w:t>The Dutch Ministry of Foreign Affairs' USD 33.5m contribution became fully operational under a new MoU signed in November 2025, strengthening MFF's multi-donor platform and positioning it for future expansion. This was a significant governance milestone: 2025 was the first full year in which both UK and Dutch funding partners were invested, requiring alignment of expectations, governance structures, and operational processes. Progress was substantive.</w:t>
      </w:r>
    </w:p>
    <w:p w:rsidRPr="003600EF" w:rsidR="00B67A2F" w:rsidP="004D5FD5" w:rsidRDefault="00B67A2F" w14:paraId="3EAB5831" w14:textId="77777777">
      <w:pPr>
        <w:jc w:val="both"/>
        <w:rPr>
          <w:rFonts w:cs="Arial"/>
          <w:color w:val="212121"/>
          <w:sz w:val="22"/>
          <w:szCs w:val="22"/>
        </w:rPr>
      </w:pPr>
    </w:p>
    <w:p w:rsidRPr="003600EF" w:rsidR="00B67A2F" w:rsidP="004D5FD5" w:rsidRDefault="008924DF" w14:paraId="58C54275" w14:textId="742B9CF0">
      <w:pPr>
        <w:jc w:val="both"/>
        <w:rPr>
          <w:rFonts w:cs="Arial"/>
          <w:color w:val="212121"/>
          <w:sz w:val="22"/>
          <w:szCs w:val="22"/>
        </w:rPr>
      </w:pPr>
      <w:r w:rsidRPr="003600EF">
        <w:rPr>
          <w:rFonts w:cs="Arial"/>
          <w:color w:val="212121"/>
          <w:sz w:val="22"/>
          <w:szCs w:val="22"/>
        </w:rPr>
        <w:t>In 2025, an important accomplishment was the visibility of MFF within FMO’s COP30 engagement. A lot of MFF investees were featured and we held several MFF events in Sao Paulo.</w:t>
      </w:r>
    </w:p>
    <w:p w:rsidRPr="003600EF" w:rsidR="008924DF" w:rsidP="004D5FD5" w:rsidRDefault="008924DF" w14:paraId="027586BE" w14:textId="77777777">
      <w:pPr>
        <w:jc w:val="both"/>
        <w:rPr>
          <w:rFonts w:cs="Arial"/>
          <w:color w:val="212121"/>
          <w:sz w:val="22"/>
          <w:szCs w:val="22"/>
        </w:rPr>
      </w:pPr>
    </w:p>
    <w:p w:rsidRPr="003600EF" w:rsidR="00B67A2F" w:rsidP="004D5FD5" w:rsidRDefault="00D50B28" w14:paraId="5F519764" w14:textId="6B5BC14B">
      <w:pPr>
        <w:jc w:val="both"/>
        <w:rPr>
          <w:rFonts w:cs="Arial"/>
          <w:color w:val="212121"/>
          <w:sz w:val="22"/>
          <w:szCs w:val="22"/>
        </w:rPr>
      </w:pPr>
      <w:r w:rsidRPr="003600EF">
        <w:rPr>
          <w:rFonts w:cs="Arial"/>
          <w:color w:val="212121"/>
          <w:sz w:val="22"/>
          <w:szCs w:val="22"/>
        </w:rPr>
        <w:t>The Initial Programme Evaluation and Biodiversity Positive Impact Study, both published in Q3 2025, collectively strengthen the evidence base and provide useful design inputs for MFF’s sister programme, that is currently being developed by the Mobilising Private Finance Team in the IFU. The biodiversity study's finding that biodiversity impact is systematically undermeasured across the sector is an important sector-level insight that MFF is well-placed to address through targeted TA investment.</w:t>
      </w:r>
    </w:p>
    <w:p w:rsidRPr="003600EF" w:rsidR="00D50B28" w:rsidP="004D5FD5" w:rsidRDefault="00D50B28" w14:paraId="12344E87" w14:textId="77777777">
      <w:pPr>
        <w:jc w:val="both"/>
        <w:rPr>
          <w:rFonts w:cs="Arial"/>
          <w:color w:val="212121"/>
          <w:sz w:val="22"/>
          <w:szCs w:val="22"/>
        </w:rPr>
      </w:pPr>
    </w:p>
    <w:tbl>
      <w:tblPr>
        <w:tblStyle w:val="TableGrid"/>
        <w:tblW w:w="0" w:type="auto"/>
        <w:tblLook w:val="04A0" w:firstRow="1" w:lastRow="0" w:firstColumn="1" w:lastColumn="0" w:noHBand="0" w:noVBand="1"/>
      </w:tblPr>
      <w:tblGrid>
        <w:gridCol w:w="9016"/>
      </w:tblGrid>
      <w:tr w:rsidRPr="001B0614" w:rsidR="006100E3" w:rsidTr="527A8EFF" w14:paraId="406A1DDB" w14:textId="77777777">
        <w:tc>
          <w:tcPr>
            <w:tcW w:w="9016" w:type="dxa"/>
            <w:shd w:val="clear" w:color="auto" w:fill="DEEAF6" w:themeFill="accent5" w:themeFillTint="33"/>
          </w:tcPr>
          <w:p w:rsidRPr="003600EF" w:rsidR="00CB2873" w:rsidP="004D5FD5" w:rsidRDefault="2C7057B1" w14:paraId="5F18405D" w14:textId="7BD16CC0">
            <w:pPr>
              <w:jc w:val="both"/>
              <w:rPr>
                <w:color w:val="212121"/>
              </w:rPr>
            </w:pPr>
            <w:bookmarkStart w:name="_Toc227234251" w:id="17"/>
            <w:r w:rsidRPr="003600EF">
              <w:rPr>
                <w:rStyle w:val="Heading1Char"/>
                <w:rFonts w:ascii="Arial" w:hAnsi="Arial" w:cs="Arial"/>
                <w:b/>
                <w:bCs/>
                <w:color w:val="212121"/>
              </w:rPr>
              <w:t>Section E: Risk</w:t>
            </w:r>
            <w:bookmarkEnd w:id="17"/>
            <w:r w:rsidRPr="003600EF">
              <w:rPr>
                <w:color w:val="212121"/>
              </w:rPr>
              <w:t xml:space="preserve"> </w:t>
            </w:r>
          </w:p>
        </w:tc>
      </w:tr>
    </w:tbl>
    <w:p w:rsidRPr="003600EF" w:rsidR="003D222C" w:rsidP="004D5FD5" w:rsidRDefault="003D222C" w14:paraId="7D07A5C2" w14:textId="77777777">
      <w:pPr>
        <w:jc w:val="both"/>
        <w:rPr>
          <w:rFonts w:cs="Arial"/>
          <w:b/>
          <w:bCs/>
          <w:color w:val="212121"/>
          <w:sz w:val="22"/>
          <w:szCs w:val="22"/>
        </w:rPr>
      </w:pPr>
    </w:p>
    <w:p w:rsidRPr="003600EF" w:rsidR="00B74143" w:rsidP="527A8EFF" w:rsidRDefault="00B74143" w14:paraId="7CBD3830" w14:textId="179DC624">
      <w:pPr>
        <w:contextualSpacing/>
        <w:jc w:val="both"/>
        <w:rPr>
          <w:rFonts w:cs="Arial"/>
          <w:b/>
          <w:bCs/>
          <w:color w:val="212121"/>
          <w:sz w:val="22"/>
          <w:szCs w:val="22"/>
        </w:rPr>
      </w:pPr>
      <w:bookmarkStart w:name="_Toc227234252" w:id="18"/>
      <w:r w:rsidRPr="003600EF">
        <w:rPr>
          <w:rStyle w:val="Heading2Char"/>
          <w:color w:val="212121"/>
        </w:rPr>
        <w:t>Overall risk rating</w:t>
      </w:r>
      <w:bookmarkEnd w:id="18"/>
      <w:r w:rsidRPr="003600EF" w:rsidR="00FE156A">
        <w:rPr>
          <w:rFonts w:cs="Arial"/>
          <w:b/>
          <w:bCs/>
          <w:color w:val="212121"/>
          <w:sz w:val="22"/>
          <w:szCs w:val="22"/>
        </w:rPr>
        <w:t xml:space="preserve">: </w:t>
      </w:r>
      <w:r w:rsidRPr="003600EF" w:rsidR="00FE156A">
        <w:rPr>
          <w:rFonts w:cs="Arial"/>
          <w:b/>
          <w:bCs/>
          <w:i/>
          <w:iCs/>
          <w:color w:val="212121"/>
          <w:sz w:val="28"/>
          <w:szCs w:val="28"/>
        </w:rPr>
        <w:t>Major</w:t>
      </w:r>
      <w:r w:rsidRPr="003600EF" w:rsidR="00FE156A">
        <w:rPr>
          <w:rFonts w:cs="Arial"/>
          <w:b/>
          <w:bCs/>
          <w:color w:val="212121"/>
          <w:sz w:val="22"/>
          <w:szCs w:val="22"/>
        </w:rPr>
        <w:t xml:space="preserve"> </w:t>
      </w:r>
    </w:p>
    <w:p w:rsidRPr="003600EF" w:rsidR="008D339B" w:rsidP="527A8EFF" w:rsidRDefault="008D339B" w14:paraId="1738E6CD" w14:textId="77777777">
      <w:pPr>
        <w:contextualSpacing/>
        <w:jc w:val="both"/>
        <w:rPr>
          <w:rFonts w:cs="Arial"/>
          <w:b/>
          <w:bCs/>
          <w:color w:val="212121"/>
          <w:sz w:val="22"/>
          <w:szCs w:val="22"/>
        </w:rPr>
      </w:pPr>
    </w:p>
    <w:p w:rsidRPr="003600EF" w:rsidR="00FE156A" w:rsidP="527A8EFF" w:rsidRDefault="008D339B" w14:paraId="60DA612E" w14:textId="3B0A1325">
      <w:pPr>
        <w:contextualSpacing/>
        <w:jc w:val="both"/>
        <w:rPr>
          <w:rFonts w:cs="Arial"/>
          <w:color w:val="212121"/>
          <w:sz w:val="22"/>
          <w:szCs w:val="22"/>
        </w:rPr>
      </w:pPr>
      <w:r w:rsidRPr="003600EF">
        <w:rPr>
          <w:rFonts w:cs="Arial"/>
          <w:color w:val="212121"/>
          <w:sz w:val="22"/>
          <w:szCs w:val="22"/>
        </w:rPr>
        <w:t>This is consistent with all previous years (2021–2024). The programme operates in inherently complex and politically sensitive geographies, with long investment timelines and exposure to macro-level ODA funding uncertainty.</w:t>
      </w:r>
    </w:p>
    <w:p w:rsidRPr="003600EF" w:rsidR="00B74143" w:rsidP="004D5FD5" w:rsidRDefault="00B74143" w14:paraId="3C5CF6C8" w14:textId="77777777">
      <w:pPr>
        <w:jc w:val="both"/>
        <w:rPr>
          <w:rFonts w:cs="Arial"/>
          <w:b/>
          <w:bCs/>
          <w:color w:val="212121"/>
          <w:sz w:val="22"/>
          <w:szCs w:val="22"/>
        </w:rPr>
      </w:pPr>
    </w:p>
    <w:p w:rsidRPr="003600EF" w:rsidR="00B74143" w:rsidP="004D5FD5" w:rsidRDefault="00B74143" w14:paraId="55743C55" w14:textId="53930D8E">
      <w:pPr>
        <w:jc w:val="both"/>
        <w:rPr>
          <w:rFonts w:cs="Arial"/>
          <w:color w:val="212121"/>
          <w:sz w:val="22"/>
          <w:szCs w:val="22"/>
        </w:rPr>
      </w:pPr>
      <w:bookmarkStart w:name="_Toc227234253" w:id="19"/>
      <w:r w:rsidRPr="003600EF">
        <w:rPr>
          <w:rStyle w:val="Heading2Char"/>
          <w:color w:val="212121"/>
        </w:rPr>
        <w:t>Overview of risk management</w:t>
      </w:r>
      <w:bookmarkEnd w:id="19"/>
      <w:r w:rsidRPr="003600EF">
        <w:rPr>
          <w:rFonts w:cs="Arial"/>
          <w:color w:val="212121"/>
          <w:sz w:val="22"/>
          <w:szCs w:val="22"/>
        </w:rPr>
        <w:t xml:space="preserve"> </w:t>
      </w:r>
    </w:p>
    <w:p w:rsidRPr="003600EF" w:rsidR="005462BE" w:rsidP="004D5FD5" w:rsidRDefault="005462BE" w14:paraId="6C48D8CE" w14:textId="4398A204">
      <w:pPr>
        <w:contextualSpacing/>
        <w:jc w:val="both"/>
        <w:rPr>
          <w:rFonts w:cs="Arial"/>
          <w:color w:val="212121"/>
          <w:sz w:val="22"/>
          <w:szCs w:val="22"/>
        </w:rPr>
      </w:pPr>
      <w:r w:rsidRPr="003600EF">
        <w:rPr>
          <w:rFonts w:cs="Arial"/>
          <w:color w:val="212121"/>
          <w:sz w:val="22"/>
          <w:szCs w:val="22"/>
        </w:rPr>
        <w:t>The risk environment in 2025 was dominated by two macro-level developments: the UK Government's March 2025 announcement of a reduction in ODA from 0.5% to 0.3% of GNI by 2027, and the shift in the global donor landscape (US aid cuts, uncertainty around other bilateral donors). Both have been escalated appropriately. FMO</w:t>
      </w:r>
      <w:r w:rsidRPr="003600EF" w:rsidR="008924DF">
        <w:rPr>
          <w:rFonts w:cs="Arial"/>
          <w:color w:val="212121"/>
          <w:sz w:val="22"/>
          <w:szCs w:val="22"/>
        </w:rPr>
        <w:t xml:space="preserve"> and IFU</w:t>
      </w:r>
      <w:r w:rsidRPr="003600EF">
        <w:rPr>
          <w:rFonts w:cs="Arial"/>
          <w:color w:val="212121"/>
          <w:sz w:val="22"/>
          <w:szCs w:val="22"/>
        </w:rPr>
        <w:t xml:space="preserve"> will </w:t>
      </w:r>
      <w:r w:rsidRPr="003600EF" w:rsidR="008924DF">
        <w:rPr>
          <w:rFonts w:cs="Arial"/>
          <w:color w:val="212121"/>
          <w:sz w:val="22"/>
          <w:szCs w:val="22"/>
        </w:rPr>
        <w:t>continue to engage with</w:t>
      </w:r>
      <w:r w:rsidRPr="003600EF">
        <w:rPr>
          <w:rFonts w:cs="Arial"/>
          <w:color w:val="212121"/>
          <w:sz w:val="22"/>
          <w:szCs w:val="22"/>
        </w:rPr>
        <w:t xml:space="preserve"> potential future MFF donors in</w:t>
      </w:r>
      <w:r w:rsidRPr="003600EF" w:rsidR="008924DF">
        <w:rPr>
          <w:rFonts w:cs="Arial"/>
          <w:color w:val="212121"/>
          <w:sz w:val="22"/>
          <w:szCs w:val="22"/>
        </w:rPr>
        <w:t xml:space="preserve"> </w:t>
      </w:r>
      <w:r w:rsidRPr="003600EF">
        <w:rPr>
          <w:rFonts w:cs="Arial"/>
          <w:color w:val="212121"/>
          <w:sz w:val="22"/>
          <w:szCs w:val="22"/>
        </w:rPr>
        <w:t>2026</w:t>
      </w:r>
      <w:r w:rsidRPr="003600EF" w:rsidR="008924DF">
        <w:rPr>
          <w:rFonts w:cs="Arial"/>
          <w:color w:val="212121"/>
          <w:sz w:val="22"/>
          <w:szCs w:val="22"/>
        </w:rPr>
        <w:t>/7</w:t>
      </w:r>
      <w:r w:rsidRPr="003600EF">
        <w:rPr>
          <w:rFonts w:cs="Arial"/>
          <w:color w:val="212121"/>
          <w:sz w:val="22"/>
          <w:szCs w:val="22"/>
        </w:rPr>
        <w:t>.</w:t>
      </w:r>
    </w:p>
    <w:p w:rsidRPr="003600EF" w:rsidR="005462BE" w:rsidP="004D5FD5" w:rsidRDefault="005462BE" w14:paraId="5D22017E" w14:textId="77777777">
      <w:pPr>
        <w:jc w:val="both"/>
        <w:rPr>
          <w:rFonts w:cs="Arial"/>
          <w:color w:val="212121"/>
          <w:sz w:val="22"/>
          <w:szCs w:val="22"/>
        </w:rPr>
      </w:pPr>
    </w:p>
    <w:p w:rsidRPr="003600EF" w:rsidR="008924DF" w:rsidRDefault="008924DF" w14:paraId="19768C59" w14:textId="77777777">
      <w:pPr>
        <w:jc w:val="both"/>
        <w:rPr>
          <w:color w:val="212121"/>
          <w:kern w:val="2"/>
          <w:lang w:eastAsia="en-GB"/>
          <w14:ligatures w14:val="standardContextual"/>
        </w:rPr>
      </w:pPr>
      <w:r w:rsidRPr="003600EF">
        <w:rPr>
          <w:color w:val="212121"/>
          <w:sz w:val="22"/>
          <w:szCs w:val="22"/>
        </w:rPr>
        <w:t xml:space="preserve">At portfolio level, the concentration of investments in Latin America (particularly Brazil) remains a structural concern. A geographically concentrated portfolio increases vulnerability to country-specific shocks and concentrates exposure to BRL currency movements, regulatory change, and reputational risk (including risks linked to the illicit economy and supply chain integrity). </w:t>
      </w:r>
    </w:p>
    <w:p w:rsidRPr="003600EF" w:rsidR="00B74143" w:rsidP="004D5FD5" w:rsidRDefault="00B74143" w14:paraId="673B755F" w14:textId="77777777">
      <w:pPr>
        <w:jc w:val="both"/>
        <w:rPr>
          <w:rFonts w:cs="Arial"/>
          <w:color w:val="212121"/>
          <w:sz w:val="22"/>
          <w:szCs w:val="22"/>
        </w:rPr>
      </w:pPr>
    </w:p>
    <w:p w:rsidRPr="003600EF" w:rsidR="0061743C" w:rsidP="004D5FD5" w:rsidRDefault="008D339B" w14:paraId="6C590FC3" w14:textId="1AA41F90">
      <w:pPr>
        <w:jc w:val="both"/>
        <w:rPr>
          <w:rFonts w:cs="Arial"/>
          <w:color w:val="212121"/>
          <w:sz w:val="22"/>
          <w:szCs w:val="22"/>
        </w:rPr>
      </w:pPr>
      <w:r w:rsidRPr="003600EF">
        <w:rPr>
          <w:rFonts w:cs="Arial"/>
          <w:color w:val="212121"/>
          <w:sz w:val="22"/>
          <w:szCs w:val="22"/>
        </w:rPr>
        <w:t>The programme's safeguarding record remains clean. Monthly check-ins with FMO flagged no SEAH concerns in 2025.</w:t>
      </w:r>
    </w:p>
    <w:p w:rsidRPr="003600EF" w:rsidR="0061743C" w:rsidP="004D5FD5" w:rsidRDefault="0061743C" w14:paraId="13C77D16" w14:textId="77777777">
      <w:pPr>
        <w:jc w:val="both"/>
        <w:rPr>
          <w:rFonts w:cs="Arial"/>
          <w:color w:val="212121"/>
          <w:sz w:val="22"/>
          <w:szCs w:val="22"/>
        </w:rPr>
      </w:pPr>
    </w:p>
    <w:p w:rsidRPr="003600EF" w:rsidR="0061743C" w:rsidP="004D5FD5" w:rsidRDefault="0061743C" w14:paraId="64F14FE3" w14:textId="77AA08B0">
      <w:pPr>
        <w:jc w:val="both"/>
        <w:rPr>
          <w:rFonts w:cs="Arial"/>
          <w:color w:val="212121"/>
          <w:sz w:val="22"/>
          <w:szCs w:val="22"/>
        </w:rPr>
      </w:pPr>
      <w:r w:rsidRPr="003600EF">
        <w:rPr>
          <w:rFonts w:cs="Arial"/>
          <w:color w:val="212121"/>
          <w:sz w:val="22"/>
          <w:szCs w:val="22"/>
        </w:rPr>
        <w:t>Fraud risk assessment participation was completed in December 2025. Fiduciary risk remains low with robust financial management procedures in place.</w:t>
      </w:r>
    </w:p>
    <w:p w:rsidRPr="003600EF" w:rsidR="00B74143" w:rsidP="004D5FD5" w:rsidRDefault="00B74143" w14:paraId="6553C2DF" w14:textId="77777777">
      <w:pPr>
        <w:pStyle w:val="Heading2"/>
        <w:jc w:val="both"/>
        <w:rPr>
          <w:color w:val="212121"/>
        </w:rPr>
      </w:pPr>
      <w:bookmarkStart w:name="_Toc227234254" w:id="20"/>
      <w:r w:rsidRPr="003600EF">
        <w:rPr>
          <w:color w:val="212121"/>
        </w:rPr>
        <w:t>Current risks</w:t>
      </w:r>
      <w:bookmarkEnd w:id="20"/>
    </w:p>
    <w:p w:rsidRPr="003600EF" w:rsidR="00B74143" w:rsidP="004D5FD5" w:rsidRDefault="00B74143" w14:paraId="5967C405" w14:textId="77777777">
      <w:pPr>
        <w:contextualSpacing/>
        <w:jc w:val="both"/>
        <w:rPr>
          <w:rFonts w:cs="Arial"/>
          <w:color w:val="212121"/>
          <w:sz w:val="22"/>
          <w:szCs w:val="22"/>
        </w:rPr>
      </w:pPr>
      <w:r w:rsidRPr="003600EF">
        <w:rPr>
          <w:rFonts w:cs="Arial"/>
          <w:color w:val="212121"/>
          <w:sz w:val="22"/>
          <w:szCs w:val="22"/>
        </w:rPr>
        <w:t>A description of current risks should be set out below, along with mitigations and residual risk. Mitigations should include clear timeframes and action owners.</w:t>
      </w:r>
    </w:p>
    <w:p w:rsidRPr="003600EF" w:rsidR="00B74143" w:rsidP="004D5FD5" w:rsidRDefault="00B74143" w14:paraId="7CD7D9F1" w14:textId="77777777">
      <w:pPr>
        <w:contextualSpacing/>
        <w:jc w:val="both"/>
        <w:rPr>
          <w:rFonts w:cs="Arial"/>
          <w:i/>
          <w:iCs/>
          <w:color w:val="212121"/>
          <w:sz w:val="22"/>
          <w:szCs w:val="22"/>
        </w:rPr>
      </w:pPr>
    </w:p>
    <w:tbl>
      <w:tblPr>
        <w:tblStyle w:val="TableGrid"/>
        <w:tblW w:w="0" w:type="auto"/>
        <w:jc w:val="center"/>
        <w:tblLook w:val="04A0" w:firstRow="1" w:lastRow="0" w:firstColumn="1" w:lastColumn="0" w:noHBand="0" w:noVBand="1"/>
      </w:tblPr>
      <w:tblGrid>
        <w:gridCol w:w="3030"/>
        <w:gridCol w:w="3021"/>
        <w:gridCol w:w="2965"/>
      </w:tblGrid>
      <w:tr w:rsidRPr="001B0614" w:rsidR="00A37158" w:rsidTr="00B24C78" w14:paraId="44DB7905" w14:textId="77777777">
        <w:trPr>
          <w:jc w:val="center"/>
        </w:trPr>
        <w:tc>
          <w:tcPr>
            <w:tcW w:w="3030" w:type="dxa"/>
            <w:shd w:val="clear" w:color="auto" w:fill="DEEAF6" w:themeFill="accent5" w:themeFillTint="33"/>
          </w:tcPr>
          <w:p w:rsidRPr="003600EF" w:rsidR="00B74143" w:rsidP="004D5FD5" w:rsidRDefault="00B74143" w14:paraId="7FD0E27D" w14:textId="77777777">
            <w:pPr>
              <w:contextualSpacing/>
              <w:jc w:val="both"/>
              <w:rPr>
                <w:rFonts w:cs="Arial"/>
                <w:b/>
                <w:bCs/>
                <w:color w:val="212121"/>
                <w:sz w:val="22"/>
                <w:szCs w:val="22"/>
              </w:rPr>
            </w:pPr>
            <w:r w:rsidRPr="003600EF">
              <w:rPr>
                <w:rFonts w:cs="Arial"/>
                <w:b/>
                <w:bCs/>
                <w:color w:val="212121"/>
                <w:sz w:val="22"/>
                <w:szCs w:val="22"/>
              </w:rPr>
              <w:t xml:space="preserve">Risk description </w:t>
            </w:r>
          </w:p>
        </w:tc>
        <w:tc>
          <w:tcPr>
            <w:tcW w:w="3021" w:type="dxa"/>
            <w:shd w:val="clear" w:color="auto" w:fill="DEEAF6" w:themeFill="accent5" w:themeFillTint="33"/>
          </w:tcPr>
          <w:p w:rsidRPr="003600EF" w:rsidR="00B74143" w:rsidP="004D5FD5" w:rsidRDefault="00B74143" w14:paraId="0B8DE401" w14:textId="77777777">
            <w:pPr>
              <w:contextualSpacing/>
              <w:jc w:val="both"/>
              <w:rPr>
                <w:rFonts w:cs="Arial"/>
                <w:b/>
                <w:bCs/>
                <w:color w:val="212121"/>
                <w:sz w:val="22"/>
                <w:szCs w:val="22"/>
              </w:rPr>
            </w:pPr>
            <w:r w:rsidRPr="003600EF">
              <w:rPr>
                <w:rFonts w:cs="Arial"/>
                <w:b/>
                <w:bCs/>
                <w:color w:val="212121"/>
                <w:sz w:val="22"/>
                <w:szCs w:val="22"/>
              </w:rPr>
              <w:t xml:space="preserve">Mitigation strategy </w:t>
            </w:r>
          </w:p>
        </w:tc>
        <w:tc>
          <w:tcPr>
            <w:tcW w:w="2965" w:type="dxa"/>
            <w:shd w:val="clear" w:color="auto" w:fill="DEEAF6" w:themeFill="accent5" w:themeFillTint="33"/>
          </w:tcPr>
          <w:p w:rsidRPr="003600EF" w:rsidR="00B74143" w:rsidP="004D5FD5" w:rsidRDefault="00B74143" w14:paraId="5D70A0F3" w14:textId="77777777">
            <w:pPr>
              <w:contextualSpacing/>
              <w:jc w:val="both"/>
              <w:rPr>
                <w:rFonts w:cs="Arial"/>
                <w:b/>
                <w:bCs/>
                <w:color w:val="212121"/>
                <w:sz w:val="22"/>
                <w:szCs w:val="22"/>
              </w:rPr>
            </w:pPr>
            <w:r w:rsidRPr="003600EF">
              <w:rPr>
                <w:rFonts w:cs="Arial"/>
                <w:b/>
                <w:bCs/>
                <w:color w:val="212121"/>
                <w:sz w:val="22"/>
                <w:szCs w:val="22"/>
              </w:rPr>
              <w:t>Residual Risk rating</w:t>
            </w:r>
          </w:p>
        </w:tc>
      </w:tr>
      <w:tr w:rsidRPr="001B0614" w:rsidR="00A37158" w:rsidTr="00045756" w14:paraId="38C3D524" w14:textId="77777777">
        <w:trPr>
          <w:jc w:val="center"/>
        </w:trPr>
        <w:tc>
          <w:tcPr>
            <w:tcW w:w="3030" w:type="dxa"/>
            <w:shd w:val="clear" w:color="auto" w:fill="BDD6EE" w:themeFill="accent5" w:themeFillTint="66"/>
          </w:tcPr>
          <w:p w:rsidRPr="003600EF" w:rsidR="00B74143" w:rsidP="001E44D8" w:rsidRDefault="001E44D8" w14:paraId="32BEA07D" w14:textId="39A2026D">
            <w:pPr>
              <w:contextualSpacing/>
              <w:rPr>
                <w:rFonts w:cs="Arial"/>
                <w:color w:val="212121"/>
                <w:sz w:val="20"/>
                <w:szCs w:val="20"/>
              </w:rPr>
            </w:pPr>
            <w:r w:rsidRPr="003600EF">
              <w:rPr>
                <w:rFonts w:cs="Arial"/>
                <w:b/>
                <w:bCs/>
                <w:color w:val="212121"/>
                <w:sz w:val="20"/>
                <w:szCs w:val="20"/>
              </w:rPr>
              <w:t>UK ODA funding reduction</w:t>
            </w:r>
            <w:r w:rsidRPr="003600EF">
              <w:rPr>
                <w:rFonts w:cs="Arial"/>
                <w:color w:val="212121"/>
                <w:sz w:val="20"/>
                <w:szCs w:val="20"/>
              </w:rPr>
              <w:t xml:space="preserve"> (0.5% to 0.3% by 2027) creates uncertainty over future MFF capital deployment</w:t>
            </w:r>
            <w:r w:rsidRPr="003600EF" w:rsidR="00417D65">
              <w:rPr>
                <w:rFonts w:cs="Arial"/>
                <w:color w:val="212121"/>
                <w:sz w:val="20"/>
                <w:szCs w:val="20"/>
              </w:rPr>
              <w:t xml:space="preserve">. The risk to capital deployment (CDEL) is more contained: MFF's investment window closes in </w:t>
            </w:r>
            <w:r w:rsidRPr="003600EF" w:rsidR="008924DF">
              <w:rPr>
                <w:rFonts w:cs="Arial"/>
                <w:color w:val="212121"/>
                <w:sz w:val="20"/>
                <w:szCs w:val="20"/>
              </w:rPr>
              <w:t xml:space="preserve">February </w:t>
            </w:r>
            <w:r w:rsidRPr="003600EF" w:rsidR="00417D65">
              <w:rPr>
                <w:rFonts w:cs="Arial"/>
                <w:color w:val="212121"/>
                <w:sz w:val="20"/>
                <w:szCs w:val="20"/>
              </w:rPr>
              <w:t>2028</w:t>
            </w:r>
            <w:r w:rsidRPr="003600EF" w:rsidR="00EB6D30">
              <w:rPr>
                <w:rFonts w:cs="Arial"/>
                <w:color w:val="212121"/>
                <w:sz w:val="20"/>
                <w:szCs w:val="20"/>
              </w:rPr>
              <w:t xml:space="preserve">. </w:t>
            </w:r>
            <w:r w:rsidRPr="003600EF" w:rsidR="00417D65">
              <w:rPr>
                <w:rFonts w:cs="Arial"/>
                <w:color w:val="212121"/>
                <w:sz w:val="20"/>
                <w:szCs w:val="20"/>
              </w:rPr>
              <w:t>No CDEL is budgeted beyond 2028 in any case.</w:t>
            </w:r>
            <w:r w:rsidRPr="003600EF" w:rsidR="00EB6D30">
              <w:rPr>
                <w:rFonts w:cs="Arial"/>
                <w:color w:val="212121"/>
                <w:sz w:val="20"/>
                <w:szCs w:val="20"/>
              </w:rPr>
              <w:t xml:space="preserve"> The more pressing near-term risk is therefore to RDEL budgets in FY27/28 and beyond, which fund ongoing programme management costs, TA delivery and M&amp;E — including activities needed to monitor and steward a portfolio that will continue operating until 2038.</w:t>
            </w:r>
          </w:p>
        </w:tc>
        <w:tc>
          <w:tcPr>
            <w:tcW w:w="3021" w:type="dxa"/>
            <w:shd w:val="clear" w:color="auto" w:fill="BDD6EE" w:themeFill="accent5" w:themeFillTint="66"/>
          </w:tcPr>
          <w:p w:rsidRPr="003600EF" w:rsidR="00B74143" w:rsidP="004D5FD5" w:rsidRDefault="00E872D7" w14:paraId="561FB5EC" w14:textId="616653DE">
            <w:pPr>
              <w:contextualSpacing/>
              <w:jc w:val="both"/>
              <w:rPr>
                <w:rFonts w:cs="Arial"/>
                <w:color w:val="212121"/>
                <w:sz w:val="20"/>
                <w:szCs w:val="20"/>
              </w:rPr>
            </w:pPr>
            <w:r w:rsidRPr="003600EF">
              <w:rPr>
                <w:rFonts w:cs="Arial"/>
                <w:color w:val="212121"/>
                <w:sz w:val="20"/>
                <w:szCs w:val="20"/>
              </w:rPr>
              <w:t>Prioritisation exercise underway to establish the spending envelope across future financial years. Funding confirmed for FY25/26. DESNZ engaging internally on out-year position.</w:t>
            </w:r>
          </w:p>
        </w:tc>
        <w:tc>
          <w:tcPr>
            <w:tcW w:w="2965" w:type="dxa"/>
            <w:shd w:val="clear" w:color="auto" w:fill="FF6600"/>
          </w:tcPr>
          <w:p w:rsidRPr="003600EF" w:rsidR="00B74143" w:rsidP="004D5FD5" w:rsidRDefault="00EB6D30" w14:paraId="199308C3" w14:textId="1970999B">
            <w:pPr>
              <w:contextualSpacing/>
              <w:jc w:val="both"/>
              <w:rPr>
                <w:rFonts w:cs="Arial"/>
                <w:color w:val="212121"/>
                <w:sz w:val="22"/>
                <w:szCs w:val="22"/>
              </w:rPr>
            </w:pPr>
            <w:r w:rsidRPr="003600EF">
              <w:rPr>
                <w:rFonts w:cs="Arial"/>
                <w:color w:val="212121"/>
                <w:sz w:val="22"/>
                <w:szCs w:val="22"/>
              </w:rPr>
              <w:t>Major</w:t>
            </w:r>
          </w:p>
        </w:tc>
      </w:tr>
      <w:tr w:rsidRPr="001B0614" w:rsidR="00A37158" w:rsidTr="00045756" w14:paraId="4130C0B9" w14:textId="77777777">
        <w:trPr>
          <w:jc w:val="center"/>
        </w:trPr>
        <w:tc>
          <w:tcPr>
            <w:tcW w:w="3030" w:type="dxa"/>
            <w:shd w:val="clear" w:color="auto" w:fill="BDD6EE" w:themeFill="accent5" w:themeFillTint="66"/>
          </w:tcPr>
          <w:p w:rsidRPr="003600EF" w:rsidR="00D0302B" w:rsidP="009A4C7E" w:rsidRDefault="004B111D" w14:paraId="16302730" w14:textId="2718B852">
            <w:pPr>
              <w:contextualSpacing/>
              <w:rPr>
                <w:rFonts w:cs="Arial"/>
                <w:color w:val="212121"/>
                <w:sz w:val="20"/>
                <w:szCs w:val="20"/>
              </w:rPr>
            </w:pPr>
            <w:r w:rsidRPr="003600EF">
              <w:rPr>
                <w:rFonts w:cs="Arial"/>
                <w:b/>
                <w:bCs/>
                <w:color w:val="212121"/>
                <w:sz w:val="20"/>
                <w:szCs w:val="20"/>
              </w:rPr>
              <w:t>FMO management fees</w:t>
            </w:r>
            <w:r w:rsidRPr="003600EF" w:rsidR="009A4C7E">
              <w:rPr>
                <w:rFonts w:cs="Arial"/>
                <w:b/>
                <w:bCs/>
                <w:color w:val="212121"/>
                <w:sz w:val="20"/>
                <w:szCs w:val="20"/>
              </w:rPr>
              <w:t>:</w:t>
            </w:r>
            <w:r w:rsidRPr="003600EF">
              <w:rPr>
                <w:rFonts w:cs="Arial"/>
                <w:b/>
                <w:bCs/>
                <w:color w:val="212121"/>
                <w:sz w:val="20"/>
                <w:szCs w:val="20"/>
              </w:rPr>
              <w:t xml:space="preserve"> RDEL/CDEL accounting treatment.</w:t>
            </w:r>
            <w:r w:rsidRPr="003600EF">
              <w:rPr>
                <w:rFonts w:cs="Arial"/>
                <w:color w:val="212121"/>
                <w:sz w:val="20"/>
                <w:szCs w:val="20"/>
              </w:rPr>
              <w:t xml:space="preserve"> There is uncertainty over whether FMO management fees should be classified as RDEL or CDEL under IFRS9. If management fees are reclassified as RDEL going forward, this could constrain the programme's ability to fund both planned TA activities and programme fees within existing RDEL budgets.</w:t>
            </w:r>
          </w:p>
        </w:tc>
        <w:tc>
          <w:tcPr>
            <w:tcW w:w="3021" w:type="dxa"/>
            <w:shd w:val="clear" w:color="auto" w:fill="BDD6EE" w:themeFill="accent5" w:themeFillTint="66"/>
          </w:tcPr>
          <w:p w:rsidRPr="003600EF" w:rsidR="00D0302B" w:rsidP="004D5FD5" w:rsidRDefault="006264DE" w14:paraId="505C27D1" w14:textId="35D4B0DF">
            <w:pPr>
              <w:contextualSpacing/>
              <w:jc w:val="both"/>
              <w:rPr>
                <w:rFonts w:cs="Arial"/>
                <w:color w:val="212121"/>
                <w:sz w:val="20"/>
                <w:szCs w:val="20"/>
              </w:rPr>
            </w:pPr>
            <w:r w:rsidRPr="003600EF">
              <w:rPr>
                <w:rFonts w:cs="Arial"/>
                <w:color w:val="212121"/>
                <w:sz w:val="20"/>
                <w:szCs w:val="20"/>
              </w:rPr>
              <w:t>Working with DESNZ Finance and Accounting team to find precedent from comparable ICF programmes and make the case that management fees align with IFRS9 CDEL classification. In a worst-case scenario, ICF has sufficient RDEL underspend carried over into FY26/27 to cover both TA and programme fees in the near term. Position in future years remains uncertain and will need to be resolved.</w:t>
            </w:r>
          </w:p>
        </w:tc>
        <w:tc>
          <w:tcPr>
            <w:tcW w:w="2965" w:type="dxa"/>
            <w:shd w:val="clear" w:color="auto" w:fill="FF6600"/>
          </w:tcPr>
          <w:p w:rsidRPr="003600EF" w:rsidR="00D0302B" w:rsidP="004D5FD5" w:rsidRDefault="00ED29A4" w14:paraId="7A704C6C" w14:textId="5A3FDD4B">
            <w:pPr>
              <w:contextualSpacing/>
              <w:jc w:val="both"/>
              <w:rPr>
                <w:rFonts w:cs="Arial"/>
                <w:color w:val="212121"/>
                <w:sz w:val="22"/>
                <w:szCs w:val="22"/>
              </w:rPr>
            </w:pPr>
            <w:r w:rsidRPr="003600EF">
              <w:rPr>
                <w:rFonts w:cs="Arial"/>
                <w:color w:val="212121"/>
                <w:sz w:val="22"/>
                <w:szCs w:val="22"/>
              </w:rPr>
              <w:t>Major</w:t>
            </w:r>
          </w:p>
        </w:tc>
      </w:tr>
      <w:tr w:rsidRPr="001B0614" w:rsidR="00A37158" w:rsidTr="00045756" w14:paraId="7BF9B575" w14:textId="77777777">
        <w:trPr>
          <w:jc w:val="center"/>
        </w:trPr>
        <w:tc>
          <w:tcPr>
            <w:tcW w:w="3030" w:type="dxa"/>
            <w:shd w:val="clear" w:color="auto" w:fill="BDD6EE" w:themeFill="accent5" w:themeFillTint="66"/>
          </w:tcPr>
          <w:p w:rsidRPr="003600EF" w:rsidR="00D0302B" w:rsidP="00E245A1" w:rsidRDefault="00E245A1" w14:paraId="6D2C275E" w14:textId="0F1D3BD8">
            <w:pPr>
              <w:contextualSpacing/>
              <w:rPr>
                <w:rFonts w:cs="Arial"/>
                <w:color w:val="212121"/>
                <w:sz w:val="20"/>
                <w:szCs w:val="20"/>
              </w:rPr>
            </w:pPr>
            <w:r w:rsidRPr="003600EF">
              <w:rPr>
                <w:rFonts w:cs="Arial"/>
                <w:b/>
                <w:bCs/>
                <w:color w:val="212121"/>
                <w:sz w:val="20"/>
                <w:szCs w:val="20"/>
              </w:rPr>
              <w:t xml:space="preserve">Donor funding landscape: </w:t>
            </w:r>
            <w:r w:rsidRPr="003600EF">
              <w:rPr>
                <w:rFonts w:cs="Arial"/>
                <w:color w:val="212121"/>
                <w:sz w:val="20"/>
                <w:szCs w:val="20"/>
              </w:rPr>
              <w:t>US aid cuts and political uncertainty in the Netherlands could limit future MFF expansion and constrain the successor programme fundraising environment. Reduction in multilateral climate finance more broadly may reduce co-investment appetite.</w:t>
            </w:r>
          </w:p>
        </w:tc>
        <w:tc>
          <w:tcPr>
            <w:tcW w:w="3021" w:type="dxa"/>
            <w:shd w:val="clear" w:color="auto" w:fill="BDD6EE" w:themeFill="accent5" w:themeFillTint="66"/>
          </w:tcPr>
          <w:p w:rsidRPr="003600EF" w:rsidR="00D0302B" w:rsidP="00D37912" w:rsidRDefault="00D37912" w14:paraId="51EF2C12" w14:textId="679D8819">
            <w:pPr>
              <w:contextualSpacing/>
              <w:rPr>
                <w:rFonts w:cs="Arial"/>
                <w:color w:val="212121"/>
                <w:sz w:val="20"/>
                <w:szCs w:val="20"/>
              </w:rPr>
            </w:pPr>
            <w:r w:rsidRPr="003600EF">
              <w:rPr>
                <w:rFonts w:cs="Arial"/>
                <w:color w:val="212121"/>
                <w:sz w:val="20"/>
                <w:szCs w:val="20"/>
              </w:rPr>
              <w:t>FMO engaging</w:t>
            </w:r>
            <w:r w:rsidRPr="003600EF" w:rsidR="008924DF">
              <w:rPr>
                <w:rFonts w:cs="Arial"/>
                <w:color w:val="212121"/>
                <w:sz w:val="20"/>
                <w:szCs w:val="20"/>
              </w:rPr>
              <w:t xml:space="preserve"> other potential donors </w:t>
            </w:r>
            <w:r w:rsidRPr="003600EF">
              <w:rPr>
                <w:rFonts w:cs="Arial"/>
                <w:color w:val="212121"/>
                <w:sz w:val="20"/>
                <w:szCs w:val="20"/>
              </w:rPr>
              <w:t>Q1 2026 as potential future donors. Reprioritising engagement with partner countries. Wider funding landscape analysis planned for 2026.</w:t>
            </w:r>
          </w:p>
        </w:tc>
        <w:tc>
          <w:tcPr>
            <w:tcW w:w="2965" w:type="dxa"/>
            <w:shd w:val="clear" w:color="auto" w:fill="FFCE3C"/>
          </w:tcPr>
          <w:p w:rsidRPr="003600EF" w:rsidR="00D0302B" w:rsidP="004D5FD5" w:rsidRDefault="00D37912" w14:paraId="5F7A902B" w14:textId="3BF17C1B">
            <w:pPr>
              <w:contextualSpacing/>
              <w:jc w:val="both"/>
              <w:rPr>
                <w:rFonts w:cs="Arial"/>
                <w:color w:val="212121"/>
                <w:sz w:val="22"/>
                <w:szCs w:val="22"/>
              </w:rPr>
            </w:pPr>
            <w:r w:rsidRPr="003600EF">
              <w:rPr>
                <w:rFonts w:cs="Arial"/>
                <w:color w:val="212121"/>
                <w:sz w:val="22"/>
                <w:szCs w:val="22"/>
              </w:rPr>
              <w:t>Moderate</w:t>
            </w:r>
          </w:p>
        </w:tc>
      </w:tr>
      <w:tr w:rsidRPr="001B0614" w:rsidR="00B24C78" w:rsidTr="00045756" w14:paraId="6D2AC164" w14:textId="77777777">
        <w:trPr>
          <w:jc w:val="center"/>
        </w:trPr>
        <w:tc>
          <w:tcPr>
            <w:tcW w:w="3030" w:type="dxa"/>
            <w:shd w:val="clear" w:color="auto" w:fill="BDD6EE" w:themeFill="accent5" w:themeFillTint="66"/>
          </w:tcPr>
          <w:p w:rsidRPr="003600EF" w:rsidR="00B24C78" w:rsidP="00E245A1" w:rsidRDefault="00B24C78" w14:paraId="66C02E3E" w14:textId="6A49A85D">
            <w:pPr>
              <w:contextualSpacing/>
              <w:rPr>
                <w:rFonts w:cs="Arial"/>
                <w:color w:val="212121"/>
                <w:sz w:val="20"/>
                <w:szCs w:val="20"/>
              </w:rPr>
            </w:pPr>
            <w:r w:rsidRPr="003600EF">
              <w:rPr>
                <w:rFonts w:cs="Arial"/>
                <w:b/>
                <w:bCs/>
                <w:color w:val="212121"/>
                <w:sz w:val="20"/>
                <w:szCs w:val="20"/>
              </w:rPr>
              <w:t>Macro-economic and political risk in target countries</w:t>
            </w:r>
            <w:r w:rsidRPr="003600EF">
              <w:rPr>
                <w:rFonts w:cs="Arial"/>
                <w:color w:val="212121"/>
                <w:sz w:val="20"/>
                <w:szCs w:val="20"/>
              </w:rPr>
              <w:t xml:space="preserve">. MFF invests in volatile economies where political instability, regulatory change, or economic shocks could slow or impair investments, reduce co-investor risk appetite, or make specific markets temporarily un-investable. </w:t>
            </w:r>
            <w:r w:rsidRPr="003600EF" w:rsidR="008924DF">
              <w:rPr>
                <w:rFonts w:cs="Arial"/>
                <w:color w:val="212121"/>
                <w:sz w:val="20"/>
                <w:szCs w:val="20"/>
              </w:rPr>
              <w:t>One country’s unrest</w:t>
            </w:r>
            <w:r w:rsidRPr="003600EF">
              <w:rPr>
                <w:rFonts w:cs="Arial"/>
                <w:color w:val="212121"/>
                <w:sz w:val="20"/>
                <w:szCs w:val="20"/>
              </w:rPr>
              <w:t xml:space="preserve"> </w:t>
            </w:r>
            <w:r w:rsidRPr="003600EF" w:rsidR="008924DF">
              <w:rPr>
                <w:rFonts w:cs="Arial"/>
                <w:color w:val="212121"/>
                <w:sz w:val="20"/>
                <w:szCs w:val="20"/>
              </w:rPr>
              <w:t xml:space="preserve">affected an MFF investee, </w:t>
            </w:r>
            <w:r w:rsidRPr="003600EF" w:rsidR="009C7C84">
              <w:rPr>
                <w:rFonts w:cs="Arial"/>
                <w:color w:val="212121"/>
                <w:sz w:val="20"/>
                <w:szCs w:val="20"/>
              </w:rPr>
              <w:t>an El Nino</w:t>
            </w:r>
            <w:r w:rsidRPr="003600EF" w:rsidR="004F626B">
              <w:rPr>
                <w:rFonts w:cs="Arial"/>
                <w:color w:val="212121"/>
                <w:sz w:val="20"/>
                <w:szCs w:val="20"/>
              </w:rPr>
              <w:t xml:space="preserve"> is expected in June 2026, which could impact numerous programmes under MFF’s portfolio, </w:t>
            </w:r>
            <w:r w:rsidRPr="003600EF">
              <w:rPr>
                <w:rFonts w:cs="Arial"/>
                <w:color w:val="212121"/>
                <w:sz w:val="20"/>
                <w:szCs w:val="20"/>
              </w:rPr>
              <w:t>broader political risk across target geographies remains elevated.</w:t>
            </w:r>
          </w:p>
        </w:tc>
        <w:tc>
          <w:tcPr>
            <w:tcW w:w="3021" w:type="dxa"/>
            <w:shd w:val="clear" w:color="auto" w:fill="BDD6EE" w:themeFill="accent5" w:themeFillTint="66"/>
          </w:tcPr>
          <w:p w:rsidRPr="003600EF" w:rsidR="00B24C78" w:rsidP="00D37912" w:rsidRDefault="00500DA2" w14:paraId="75BADE2E" w14:textId="4ED33F8C">
            <w:pPr>
              <w:contextualSpacing/>
              <w:rPr>
                <w:rFonts w:cs="Arial"/>
                <w:color w:val="212121"/>
                <w:sz w:val="20"/>
                <w:szCs w:val="20"/>
              </w:rPr>
            </w:pPr>
            <w:r w:rsidRPr="003600EF">
              <w:rPr>
                <w:rFonts w:cs="Arial"/>
                <w:color w:val="212121"/>
                <w:sz w:val="20"/>
                <w:szCs w:val="20"/>
              </w:rPr>
              <w:t>Portfolio diversified across multiple countries and geographies to provide resilience. Focus on private sector-led solutions reduces exposure to political change. DESNZ monitors political milestones through Post network and FMO investment teams. Limited ability to fully mitigate; managed through geographic spread.</w:t>
            </w:r>
          </w:p>
        </w:tc>
        <w:tc>
          <w:tcPr>
            <w:tcW w:w="2965" w:type="dxa"/>
            <w:shd w:val="clear" w:color="auto" w:fill="FFCE3C"/>
          </w:tcPr>
          <w:p w:rsidRPr="003600EF" w:rsidR="00B24C78" w:rsidP="004D5FD5" w:rsidRDefault="00500DA2" w14:paraId="1CEA8CDD" w14:textId="6CD62BCC">
            <w:pPr>
              <w:contextualSpacing/>
              <w:jc w:val="both"/>
              <w:rPr>
                <w:rFonts w:cs="Arial"/>
                <w:color w:val="212121"/>
                <w:sz w:val="22"/>
                <w:szCs w:val="22"/>
              </w:rPr>
            </w:pPr>
            <w:r w:rsidRPr="003600EF">
              <w:rPr>
                <w:rFonts w:cs="Arial"/>
                <w:color w:val="212121"/>
                <w:sz w:val="22"/>
                <w:szCs w:val="22"/>
              </w:rPr>
              <w:t xml:space="preserve">Moderate </w:t>
            </w:r>
          </w:p>
        </w:tc>
      </w:tr>
      <w:tr w:rsidRPr="001B0614" w:rsidR="00B24C78" w:rsidTr="00045756" w14:paraId="689A9554" w14:textId="77777777">
        <w:trPr>
          <w:jc w:val="center"/>
        </w:trPr>
        <w:tc>
          <w:tcPr>
            <w:tcW w:w="3030" w:type="dxa"/>
            <w:shd w:val="clear" w:color="auto" w:fill="BDD6EE" w:themeFill="accent5" w:themeFillTint="66"/>
          </w:tcPr>
          <w:p w:rsidRPr="003600EF" w:rsidR="00B24C78" w:rsidP="00E245A1" w:rsidRDefault="00500DA2" w14:paraId="16920A94" w14:textId="62B9596D">
            <w:pPr>
              <w:contextualSpacing/>
              <w:rPr>
                <w:rFonts w:cs="Arial"/>
                <w:color w:val="212121"/>
                <w:sz w:val="20"/>
                <w:szCs w:val="20"/>
              </w:rPr>
            </w:pPr>
            <w:r w:rsidRPr="003600EF">
              <w:rPr>
                <w:rFonts w:cs="Arial"/>
                <w:b/>
                <w:bCs/>
                <w:color w:val="212121"/>
                <w:sz w:val="20"/>
                <w:szCs w:val="20"/>
                <w:lang w:val="es-ES"/>
              </w:rPr>
              <w:t>Portfolio concentration</w:t>
            </w:r>
            <w:r w:rsidRPr="003600EF" w:rsidR="001E0C2E">
              <w:rPr>
                <w:rFonts w:cs="Arial"/>
                <w:b/>
                <w:bCs/>
                <w:color w:val="212121"/>
                <w:sz w:val="20"/>
                <w:szCs w:val="20"/>
                <w:lang w:val="es-ES"/>
              </w:rPr>
              <w:t xml:space="preserve">: </w:t>
            </w:r>
            <w:r w:rsidRPr="003600EF">
              <w:rPr>
                <w:rFonts w:cs="Arial"/>
                <w:b/>
                <w:bCs/>
                <w:color w:val="212121"/>
                <w:sz w:val="20"/>
                <w:szCs w:val="20"/>
                <w:lang w:val="es-ES"/>
              </w:rPr>
              <w:t>Latin America/Brazil.</w:t>
            </w:r>
            <w:r w:rsidRPr="003600EF">
              <w:rPr>
                <w:rFonts w:cs="Arial"/>
                <w:color w:val="212121"/>
                <w:sz w:val="20"/>
                <w:szCs w:val="20"/>
                <w:lang w:val="es-ES"/>
              </w:rPr>
              <w:t xml:space="preserve"> </w:t>
            </w:r>
            <w:r w:rsidRPr="003600EF">
              <w:rPr>
                <w:rFonts w:cs="Arial"/>
                <w:color w:val="212121"/>
                <w:sz w:val="20"/>
                <w:szCs w:val="20"/>
              </w:rPr>
              <w:t>Approximately 77% of MFF portfolio volume is committed to Latin America, with limited Africa and Asia exposure. This concentrates BRL currency risk, regulatory risk and reputational risk.</w:t>
            </w:r>
          </w:p>
        </w:tc>
        <w:tc>
          <w:tcPr>
            <w:tcW w:w="3021" w:type="dxa"/>
            <w:shd w:val="clear" w:color="auto" w:fill="BDD6EE" w:themeFill="accent5" w:themeFillTint="66"/>
          </w:tcPr>
          <w:p w:rsidRPr="003600EF" w:rsidR="00B24C78" w:rsidP="00D37912" w:rsidRDefault="001E0C2E" w14:paraId="7BAC8004" w14:textId="04DA27B9">
            <w:pPr>
              <w:contextualSpacing/>
              <w:rPr>
                <w:rFonts w:cs="Arial"/>
                <w:color w:val="212121"/>
                <w:sz w:val="20"/>
                <w:szCs w:val="20"/>
              </w:rPr>
            </w:pPr>
            <w:r w:rsidRPr="003600EF">
              <w:rPr>
                <w:rFonts w:cs="Arial"/>
                <w:color w:val="212121"/>
                <w:sz w:val="20"/>
                <w:szCs w:val="20"/>
              </w:rPr>
              <w:t xml:space="preserve">Stronger steer to FMO on DC origination outside </w:t>
            </w:r>
            <w:proofErr w:type="spellStart"/>
            <w:r w:rsidRPr="003600EF">
              <w:rPr>
                <w:rFonts w:cs="Arial"/>
                <w:color w:val="212121"/>
                <w:sz w:val="20"/>
                <w:szCs w:val="20"/>
              </w:rPr>
              <w:t>LatAm</w:t>
            </w:r>
            <w:proofErr w:type="spellEnd"/>
            <w:r w:rsidRPr="003600EF">
              <w:rPr>
                <w:rFonts w:cs="Arial"/>
                <w:color w:val="212121"/>
                <w:sz w:val="20"/>
                <w:szCs w:val="20"/>
              </w:rPr>
              <w:t>; DC pipeline for 2026 is entirely outside Latin America. Informal Africa/Asia pipeline ambition to be agreed at 2026 annual meeting. Risk appetite discussion on structural barriers to Africa/Asia investment planned.</w:t>
            </w:r>
          </w:p>
        </w:tc>
        <w:tc>
          <w:tcPr>
            <w:tcW w:w="2965" w:type="dxa"/>
            <w:shd w:val="clear" w:color="auto" w:fill="FFCE3C"/>
          </w:tcPr>
          <w:p w:rsidRPr="003600EF" w:rsidR="00B24C78" w:rsidP="004D5FD5" w:rsidRDefault="001E0C2E" w14:paraId="23B818C2" w14:textId="74F97AED">
            <w:pPr>
              <w:contextualSpacing/>
              <w:jc w:val="both"/>
              <w:rPr>
                <w:rFonts w:cs="Arial"/>
                <w:color w:val="212121"/>
                <w:sz w:val="22"/>
                <w:szCs w:val="22"/>
              </w:rPr>
            </w:pPr>
            <w:r w:rsidRPr="003600EF">
              <w:rPr>
                <w:rFonts w:cs="Arial"/>
                <w:color w:val="212121"/>
                <w:sz w:val="22"/>
                <w:szCs w:val="22"/>
              </w:rPr>
              <w:t>Moderate</w:t>
            </w:r>
          </w:p>
        </w:tc>
      </w:tr>
      <w:tr w:rsidRPr="001B0614" w:rsidR="00B24C78" w:rsidTr="00045756" w14:paraId="24958E82" w14:textId="77777777">
        <w:trPr>
          <w:jc w:val="center"/>
        </w:trPr>
        <w:tc>
          <w:tcPr>
            <w:tcW w:w="3030" w:type="dxa"/>
            <w:shd w:val="clear" w:color="auto" w:fill="BDD6EE" w:themeFill="accent5" w:themeFillTint="66"/>
          </w:tcPr>
          <w:p w:rsidRPr="003600EF" w:rsidR="00B24C78" w:rsidP="00E245A1" w:rsidRDefault="001E0C2E" w14:paraId="5BA8CA07" w14:textId="05E52E51">
            <w:pPr>
              <w:contextualSpacing/>
              <w:rPr>
                <w:rFonts w:cs="Arial"/>
                <w:color w:val="212121"/>
                <w:sz w:val="20"/>
                <w:szCs w:val="20"/>
              </w:rPr>
            </w:pPr>
            <w:r w:rsidRPr="003600EF">
              <w:rPr>
                <w:rFonts w:cs="Arial"/>
                <w:b/>
                <w:bCs/>
                <w:color w:val="212121"/>
                <w:sz w:val="20"/>
                <w:szCs w:val="20"/>
              </w:rPr>
              <w:t>Delivery</w:t>
            </w:r>
            <w:r w:rsidRPr="003600EF">
              <w:rPr>
                <w:rFonts w:cs="Arial"/>
                <w:color w:val="212121"/>
                <w:sz w:val="20"/>
                <w:szCs w:val="20"/>
              </w:rPr>
              <w:t>: failure to mobilise sufficient commercial co-investment. There is a risk that MFF investees are unable to attract adequate commercial investment, particularly at direct/project level where mobilisation has underperformed to date. Risk is compounded if FMO-A does not co-invest, making the case for commercial investors harder.</w:t>
            </w:r>
          </w:p>
        </w:tc>
        <w:tc>
          <w:tcPr>
            <w:tcW w:w="3021" w:type="dxa"/>
            <w:shd w:val="clear" w:color="auto" w:fill="BDD6EE" w:themeFill="accent5" w:themeFillTint="66"/>
          </w:tcPr>
          <w:p w:rsidRPr="003600EF" w:rsidR="00B24C78" w:rsidP="00D37912" w:rsidRDefault="00A1761E" w14:paraId="755B4AB4" w14:textId="5BBC7816">
            <w:pPr>
              <w:contextualSpacing/>
              <w:rPr>
                <w:rFonts w:cs="Arial"/>
                <w:color w:val="212121"/>
                <w:sz w:val="20"/>
                <w:szCs w:val="20"/>
              </w:rPr>
            </w:pPr>
            <w:r w:rsidRPr="003600EF">
              <w:rPr>
                <w:rFonts w:cs="Arial"/>
                <w:color w:val="212121"/>
                <w:sz w:val="20"/>
                <w:szCs w:val="20"/>
              </w:rPr>
              <w:t>IFU and FMO have made mobilisation a primary strategic concern. LCIP knowledge products, investor convening and matchmaking activities directly address this. FMO-A co-investment rationale reviewed at CIP stage. TRF's USD 600m+ fundraise demonstrates blended finance model can work at scale; replication is the challenge.</w:t>
            </w:r>
          </w:p>
        </w:tc>
        <w:tc>
          <w:tcPr>
            <w:tcW w:w="2965" w:type="dxa"/>
            <w:shd w:val="clear" w:color="auto" w:fill="FFCE3C"/>
          </w:tcPr>
          <w:p w:rsidRPr="003600EF" w:rsidR="00B24C78" w:rsidP="004D5FD5" w:rsidRDefault="00A1761E" w14:paraId="4A4DC544" w14:textId="26FD8E93">
            <w:pPr>
              <w:contextualSpacing/>
              <w:jc w:val="both"/>
              <w:rPr>
                <w:rFonts w:cs="Arial"/>
                <w:color w:val="212121"/>
                <w:sz w:val="22"/>
                <w:szCs w:val="22"/>
              </w:rPr>
            </w:pPr>
            <w:r w:rsidRPr="003600EF">
              <w:rPr>
                <w:rFonts w:cs="Arial"/>
                <w:color w:val="212121"/>
                <w:sz w:val="22"/>
                <w:szCs w:val="22"/>
              </w:rPr>
              <w:t>Moderate</w:t>
            </w:r>
          </w:p>
        </w:tc>
      </w:tr>
      <w:tr w:rsidRPr="001B0614" w:rsidR="00B24C78" w:rsidTr="00045756" w14:paraId="6D9AD5F8" w14:textId="77777777">
        <w:trPr>
          <w:jc w:val="center"/>
        </w:trPr>
        <w:tc>
          <w:tcPr>
            <w:tcW w:w="3030" w:type="dxa"/>
            <w:shd w:val="clear" w:color="auto" w:fill="BDD6EE" w:themeFill="accent5" w:themeFillTint="66"/>
          </w:tcPr>
          <w:p w:rsidRPr="003600EF" w:rsidR="00B24C78" w:rsidP="00E245A1" w:rsidRDefault="00936DBF" w14:paraId="1888CBAC" w14:textId="1453EE86">
            <w:pPr>
              <w:contextualSpacing/>
              <w:rPr>
                <w:rFonts w:cs="Arial"/>
                <w:color w:val="212121"/>
                <w:sz w:val="20"/>
                <w:szCs w:val="20"/>
              </w:rPr>
            </w:pPr>
            <w:r w:rsidRPr="003600EF">
              <w:rPr>
                <w:rFonts w:cs="Arial"/>
                <w:b/>
                <w:bCs/>
                <w:color w:val="212121"/>
                <w:sz w:val="20"/>
                <w:szCs w:val="20"/>
              </w:rPr>
              <w:t>Delivery: FMO and fund managers fail to deliver required investments</w:t>
            </w:r>
            <w:r w:rsidRPr="003600EF">
              <w:rPr>
                <w:rFonts w:cs="Arial"/>
                <w:color w:val="212121"/>
                <w:sz w:val="20"/>
                <w:szCs w:val="20"/>
              </w:rPr>
              <w:t>. Slow deal origination, complex due diligence processes, or market conditions could result in capital remaining undeployed by the end of the investment period (February 2028), particularly with only approximately USD 38m remaining unallocated after existing CIPs are executed.</w:t>
            </w:r>
          </w:p>
        </w:tc>
        <w:tc>
          <w:tcPr>
            <w:tcW w:w="3021" w:type="dxa"/>
            <w:shd w:val="clear" w:color="auto" w:fill="BDD6EE" w:themeFill="accent5" w:themeFillTint="66"/>
          </w:tcPr>
          <w:p w:rsidRPr="003600EF" w:rsidR="00B24C78" w:rsidP="00D37912" w:rsidRDefault="008924DF" w14:paraId="52FA5309" w14:textId="74C83B24">
            <w:pPr>
              <w:contextualSpacing/>
              <w:rPr>
                <w:rFonts w:cs="Arial"/>
                <w:color w:val="212121"/>
                <w:sz w:val="20"/>
                <w:szCs w:val="20"/>
              </w:rPr>
            </w:pPr>
            <w:r w:rsidRPr="003600EF">
              <w:rPr>
                <w:rFonts w:cs="Arial"/>
                <w:color w:val="212121"/>
                <w:sz w:val="20"/>
                <w:szCs w:val="20"/>
              </w:rPr>
              <w:t>IFU</w:t>
            </w:r>
            <w:r w:rsidRPr="003600EF" w:rsidR="00936DBF">
              <w:rPr>
                <w:rFonts w:cs="Arial"/>
                <w:color w:val="212121"/>
                <w:sz w:val="20"/>
                <w:szCs w:val="20"/>
              </w:rPr>
              <w:t xml:space="preserve"> monitors deal origination at </w:t>
            </w:r>
            <w:r w:rsidRPr="003600EF">
              <w:rPr>
                <w:rFonts w:cs="Arial"/>
                <w:color w:val="212121"/>
                <w:sz w:val="20"/>
                <w:szCs w:val="20"/>
              </w:rPr>
              <w:t>monthly strategy meetings,</w:t>
            </w:r>
            <w:r w:rsidRPr="003600EF" w:rsidR="00936DBF">
              <w:rPr>
                <w:rFonts w:cs="Arial"/>
                <w:color w:val="212121"/>
                <w:sz w:val="20"/>
                <w:szCs w:val="20"/>
              </w:rPr>
              <w:t xml:space="preserve"> and half-year</w:t>
            </w:r>
            <w:r w:rsidRPr="003600EF">
              <w:rPr>
                <w:rFonts w:cs="Arial"/>
                <w:color w:val="212121"/>
                <w:sz w:val="20"/>
                <w:szCs w:val="20"/>
              </w:rPr>
              <w:t>/annual meetings</w:t>
            </w:r>
            <w:r w:rsidRPr="003600EF" w:rsidR="00936DBF">
              <w:rPr>
                <w:rFonts w:cs="Arial"/>
                <w:color w:val="212121"/>
                <w:sz w:val="20"/>
                <w:szCs w:val="20"/>
              </w:rPr>
              <w:t>. Additional E&amp;S personnel hired by FMO in 2025. Strong Op-scan pipeline (27 cumulative) provides forward visibility.</w:t>
            </w:r>
          </w:p>
        </w:tc>
        <w:tc>
          <w:tcPr>
            <w:tcW w:w="2965" w:type="dxa"/>
            <w:shd w:val="clear" w:color="auto" w:fill="FFCE3C"/>
          </w:tcPr>
          <w:p w:rsidRPr="003600EF" w:rsidR="00B24C78" w:rsidP="004D5FD5" w:rsidRDefault="00936DBF" w14:paraId="68505A08" w14:textId="1506ECAC">
            <w:pPr>
              <w:contextualSpacing/>
              <w:jc w:val="both"/>
              <w:rPr>
                <w:rFonts w:cs="Arial"/>
                <w:color w:val="212121"/>
                <w:sz w:val="22"/>
                <w:szCs w:val="22"/>
              </w:rPr>
            </w:pPr>
            <w:r w:rsidRPr="003600EF">
              <w:rPr>
                <w:rFonts w:cs="Arial"/>
                <w:color w:val="212121"/>
                <w:sz w:val="22"/>
                <w:szCs w:val="22"/>
              </w:rPr>
              <w:t>Moderate</w:t>
            </w:r>
          </w:p>
        </w:tc>
      </w:tr>
    </w:tbl>
    <w:p w:rsidRPr="003600EF" w:rsidR="00975C43" w:rsidP="00EE0E15" w:rsidRDefault="00975C43" w14:paraId="24277CBB" w14:textId="77777777">
      <w:pPr>
        <w:contextualSpacing/>
        <w:jc w:val="both"/>
        <w:rPr>
          <w:rStyle w:val="Heading2Char"/>
          <w:color w:val="212121"/>
        </w:rPr>
      </w:pPr>
      <w:bookmarkStart w:name="_Toc227234255" w:id="21"/>
    </w:p>
    <w:p w:rsidRPr="003600EF" w:rsidR="003D222C" w:rsidP="00EE0E15" w:rsidRDefault="00B74143" w14:paraId="42867710" w14:textId="47410346">
      <w:pPr>
        <w:contextualSpacing/>
        <w:jc w:val="both"/>
        <w:rPr>
          <w:rFonts w:cs="Arial"/>
          <w:color w:val="212121"/>
          <w:sz w:val="22"/>
          <w:szCs w:val="22"/>
        </w:rPr>
      </w:pPr>
      <w:r w:rsidRPr="003600EF">
        <w:rPr>
          <w:rStyle w:val="Heading2Char"/>
          <w:color w:val="212121"/>
        </w:rPr>
        <w:t>Outstanding actions from risk assessment</w:t>
      </w:r>
      <w:bookmarkEnd w:id="21"/>
      <w:r w:rsidRPr="003600EF">
        <w:rPr>
          <w:rFonts w:cs="Arial"/>
          <w:b/>
          <w:bCs/>
          <w:color w:val="212121"/>
          <w:sz w:val="22"/>
          <w:szCs w:val="22"/>
        </w:rPr>
        <w:t xml:space="preserve"> </w:t>
      </w:r>
    </w:p>
    <w:p w:rsidRPr="003600EF" w:rsidR="00EE0E15" w:rsidP="00EE0E15" w:rsidRDefault="006E6C92" w14:paraId="685AF818" w14:textId="66CE28E2">
      <w:pPr>
        <w:contextualSpacing/>
        <w:jc w:val="both"/>
        <w:rPr>
          <w:rFonts w:cs="Arial"/>
          <w:color w:val="212121"/>
          <w:sz w:val="22"/>
          <w:szCs w:val="22"/>
        </w:rPr>
      </w:pPr>
      <w:r w:rsidRPr="003600EF">
        <w:rPr>
          <w:rFonts w:cs="Arial"/>
          <w:color w:val="212121"/>
          <w:sz w:val="22"/>
          <w:szCs w:val="22"/>
        </w:rPr>
        <w:t>The RDEL/CDEL accounting treatment of FMO management fees requires resolution as a priority in Q1/Q2 2026, with a clear position agreed with DESNZ Finance before the next financial year planning cycle.</w:t>
      </w:r>
    </w:p>
    <w:p w:rsidRPr="003600EF" w:rsidR="00CB2873" w:rsidP="004D5FD5" w:rsidRDefault="00CB2873" w14:paraId="4ED4E9FA" w14:textId="59210279">
      <w:pPr>
        <w:jc w:val="both"/>
        <w:rPr>
          <w:rFonts w:cs="Arial"/>
          <w:bCs/>
          <w:color w:val="212121"/>
          <w:sz w:val="22"/>
          <w:szCs w:val="22"/>
        </w:rPr>
      </w:pPr>
    </w:p>
    <w:p w:rsidRPr="003600EF" w:rsidR="00975C43" w:rsidP="004D5FD5" w:rsidRDefault="00975C43" w14:paraId="031BAC42" w14:textId="77777777">
      <w:pPr>
        <w:jc w:val="both"/>
        <w:rPr>
          <w:rFonts w:cs="Arial"/>
          <w:bCs/>
          <w:color w:val="212121"/>
          <w:sz w:val="22"/>
          <w:szCs w:val="22"/>
        </w:rPr>
      </w:pPr>
    </w:p>
    <w:tbl>
      <w:tblPr>
        <w:tblStyle w:val="TableGrid"/>
        <w:tblW w:w="0" w:type="auto"/>
        <w:tblLook w:val="04A0" w:firstRow="1" w:lastRow="0" w:firstColumn="1" w:lastColumn="0" w:noHBand="0" w:noVBand="1"/>
      </w:tblPr>
      <w:tblGrid>
        <w:gridCol w:w="9016"/>
      </w:tblGrid>
      <w:tr w:rsidRPr="001B0614" w:rsidR="006100E3" w:rsidTr="1E906FAD" w14:paraId="3775346F" w14:textId="77777777">
        <w:tc>
          <w:tcPr>
            <w:tcW w:w="9016" w:type="dxa"/>
            <w:shd w:val="clear" w:color="auto" w:fill="DEEAF6" w:themeFill="accent5" w:themeFillTint="33"/>
          </w:tcPr>
          <w:p w:rsidRPr="003600EF" w:rsidR="00CB2873" w:rsidP="004D5FD5" w:rsidRDefault="2C7057B1" w14:paraId="64B9656F" w14:textId="355E6156">
            <w:pPr>
              <w:jc w:val="both"/>
              <w:rPr>
                <w:color w:val="212121"/>
              </w:rPr>
            </w:pPr>
            <w:bookmarkStart w:name="_Toc227234256" w:id="22"/>
            <w:r w:rsidRPr="003600EF">
              <w:rPr>
                <w:rStyle w:val="Heading1Char"/>
                <w:rFonts w:ascii="Arial" w:hAnsi="Arial" w:cs="Arial"/>
                <w:b/>
                <w:bCs/>
                <w:color w:val="212121"/>
              </w:rPr>
              <w:t xml:space="preserve">Section F: </w:t>
            </w:r>
            <w:r w:rsidRPr="003600EF" w:rsidR="3713721B">
              <w:rPr>
                <w:rStyle w:val="Heading1Char"/>
                <w:rFonts w:ascii="Arial" w:hAnsi="Arial" w:cs="Arial"/>
                <w:b/>
                <w:bCs/>
                <w:color w:val="212121"/>
              </w:rPr>
              <w:t>Programme</w:t>
            </w:r>
            <w:r w:rsidRPr="003600EF">
              <w:rPr>
                <w:rStyle w:val="Heading1Char"/>
                <w:rFonts w:ascii="Arial" w:hAnsi="Arial" w:cs="Arial"/>
                <w:b/>
                <w:bCs/>
                <w:color w:val="212121"/>
              </w:rPr>
              <w:t xml:space="preserve"> management: delivery, </w:t>
            </w:r>
            <w:proofErr w:type="spellStart"/>
            <w:r w:rsidRPr="003600EF">
              <w:rPr>
                <w:rStyle w:val="Heading1Char"/>
                <w:rFonts w:ascii="Arial" w:hAnsi="Arial" w:cs="Arial"/>
                <w:b/>
                <w:bCs/>
                <w:color w:val="212121"/>
              </w:rPr>
              <w:t>VfM</w:t>
            </w:r>
            <w:proofErr w:type="spellEnd"/>
            <w:r w:rsidRPr="003600EF">
              <w:rPr>
                <w:rStyle w:val="Heading1Char"/>
                <w:rFonts w:ascii="Arial" w:hAnsi="Arial" w:cs="Arial"/>
                <w:b/>
                <w:bCs/>
                <w:color w:val="212121"/>
              </w:rPr>
              <w:t>, commercial and financial performance</w:t>
            </w:r>
            <w:bookmarkEnd w:id="22"/>
            <w:r w:rsidRPr="003600EF">
              <w:rPr>
                <w:color w:val="212121"/>
              </w:rPr>
              <w:t xml:space="preserve"> </w:t>
            </w:r>
          </w:p>
        </w:tc>
      </w:tr>
    </w:tbl>
    <w:p w:rsidRPr="003600EF" w:rsidR="00CB2873" w:rsidP="004D5FD5" w:rsidRDefault="00CB2873" w14:paraId="6268AFF3" w14:textId="7623B8C4">
      <w:pPr>
        <w:jc w:val="both"/>
        <w:rPr>
          <w:rFonts w:cs="Arial"/>
          <w:bCs/>
          <w:color w:val="212121"/>
          <w:sz w:val="22"/>
          <w:szCs w:val="22"/>
        </w:rPr>
      </w:pPr>
    </w:p>
    <w:p w:rsidRPr="003600EF" w:rsidR="3F76CE01" w:rsidP="00976A9B" w:rsidRDefault="003D222C" w14:paraId="0B2310F8" w14:textId="61998E37">
      <w:pPr>
        <w:jc w:val="both"/>
        <w:rPr>
          <w:rFonts w:cs="Arial"/>
          <w:b/>
          <w:bCs/>
          <w:color w:val="212121"/>
          <w:sz w:val="22"/>
          <w:szCs w:val="22"/>
        </w:rPr>
      </w:pPr>
      <w:bookmarkStart w:name="_Toc227234257" w:id="23"/>
      <w:r w:rsidRPr="003600EF">
        <w:rPr>
          <w:rStyle w:val="Heading2Char"/>
          <w:color w:val="212121"/>
        </w:rPr>
        <w:t>Summa</w:t>
      </w:r>
      <w:r w:rsidRPr="003600EF" w:rsidR="00272DF1">
        <w:rPr>
          <w:rStyle w:val="Heading2Char"/>
          <w:color w:val="212121"/>
        </w:rPr>
        <w:t>ry of</w:t>
      </w:r>
      <w:r w:rsidRPr="003600EF">
        <w:rPr>
          <w:rStyle w:val="Heading2Char"/>
          <w:color w:val="212121"/>
        </w:rPr>
        <w:t xml:space="preserve"> the performance of partners and </w:t>
      </w:r>
      <w:r w:rsidRPr="003600EF" w:rsidR="00BF633B">
        <w:rPr>
          <w:rStyle w:val="Heading2Char"/>
          <w:color w:val="212121"/>
        </w:rPr>
        <w:t>DESNZ</w:t>
      </w:r>
      <w:r w:rsidRPr="003600EF">
        <w:rPr>
          <w:rStyle w:val="Heading2Char"/>
          <w:color w:val="212121"/>
        </w:rPr>
        <w:t xml:space="preserve">, notably on commercial and financial issues, and including consideration of </w:t>
      </w:r>
      <w:proofErr w:type="spellStart"/>
      <w:r w:rsidRPr="003600EF">
        <w:rPr>
          <w:rStyle w:val="Heading2Char"/>
          <w:color w:val="212121"/>
        </w:rPr>
        <w:t>VfM</w:t>
      </w:r>
      <w:proofErr w:type="spellEnd"/>
      <w:r w:rsidRPr="003600EF">
        <w:rPr>
          <w:rStyle w:val="Heading2Char"/>
          <w:color w:val="212121"/>
        </w:rPr>
        <w:t>.</w:t>
      </w:r>
      <w:bookmarkEnd w:id="23"/>
      <w:r w:rsidRPr="003600EF">
        <w:rPr>
          <w:rFonts w:cs="Arial"/>
          <w:b/>
          <w:bCs/>
          <w:color w:val="212121"/>
          <w:sz w:val="22"/>
          <w:szCs w:val="22"/>
        </w:rPr>
        <w:t xml:space="preserve"> </w:t>
      </w:r>
    </w:p>
    <w:p w:rsidRPr="003600EF" w:rsidR="00B809AC" w:rsidP="00976A9B" w:rsidRDefault="00B809AC" w14:paraId="2E0BAB4D" w14:textId="77777777">
      <w:pPr>
        <w:jc w:val="both"/>
        <w:rPr>
          <w:rFonts w:cs="Arial"/>
          <w:b/>
          <w:bCs/>
          <w:color w:val="212121"/>
          <w:sz w:val="22"/>
          <w:szCs w:val="22"/>
        </w:rPr>
      </w:pPr>
    </w:p>
    <w:p w:rsidRPr="003600EF" w:rsidR="00B809AC" w:rsidP="0052139C" w:rsidRDefault="00B809AC" w14:paraId="67792164" w14:textId="04B2E321">
      <w:pPr>
        <w:jc w:val="both"/>
        <w:rPr>
          <w:rFonts w:cs="Arial"/>
          <w:i/>
          <w:iCs/>
          <w:color w:val="212121"/>
          <w:sz w:val="22"/>
          <w:szCs w:val="22"/>
        </w:rPr>
      </w:pPr>
      <w:r w:rsidRPr="003600EF">
        <w:rPr>
          <w:rFonts w:cs="Arial"/>
          <w:b/>
          <w:bCs/>
          <w:i/>
          <w:iCs/>
          <w:color w:val="212121"/>
          <w:sz w:val="22"/>
          <w:szCs w:val="22"/>
        </w:rPr>
        <w:t>Delivery and governance</w:t>
      </w:r>
    </w:p>
    <w:p w:rsidRPr="003600EF" w:rsidR="00976A9B" w:rsidP="0052139C" w:rsidRDefault="00976A9B" w14:paraId="751F5946" w14:textId="77777777">
      <w:pPr>
        <w:jc w:val="both"/>
        <w:rPr>
          <w:rFonts w:cs="Arial"/>
          <w:color w:val="212121"/>
          <w:sz w:val="22"/>
          <w:szCs w:val="22"/>
        </w:rPr>
      </w:pPr>
    </w:p>
    <w:p w:rsidRPr="003600EF" w:rsidR="001B5BE0" w:rsidP="0052139C" w:rsidRDefault="001B5BE0" w14:paraId="715508F2" w14:textId="77777777">
      <w:pPr>
        <w:jc w:val="both"/>
        <w:rPr>
          <w:rFonts w:eastAsia="Arial" w:cs="Arial"/>
          <w:color w:val="212121"/>
          <w:sz w:val="22"/>
          <w:szCs w:val="22"/>
        </w:rPr>
      </w:pPr>
      <w:r w:rsidRPr="003600EF">
        <w:rPr>
          <w:rFonts w:eastAsia="Arial" w:cs="Arial"/>
          <w:color w:val="212121"/>
          <w:sz w:val="22"/>
          <w:szCs w:val="22"/>
        </w:rPr>
        <w:t xml:space="preserve">FMO has continued to perform well as a delivery partner in 2025. Core programme teams maintained productive weekly online meetings, well attended and constructive, with notes recorded to add rigour without placing unnecessary administrative burden on teams. FMO supplied </w:t>
      </w:r>
      <w:proofErr w:type="spellStart"/>
      <w:r w:rsidRPr="003600EF">
        <w:rPr>
          <w:rFonts w:eastAsia="Arial" w:cs="Arial"/>
          <w:color w:val="212121"/>
          <w:sz w:val="22"/>
          <w:szCs w:val="22"/>
        </w:rPr>
        <w:t>logframe</w:t>
      </w:r>
      <w:proofErr w:type="spellEnd"/>
      <w:r w:rsidRPr="003600EF">
        <w:rPr>
          <w:rFonts w:eastAsia="Arial" w:cs="Arial"/>
          <w:color w:val="212121"/>
          <w:sz w:val="22"/>
          <w:szCs w:val="22"/>
        </w:rPr>
        <w:t xml:space="preserve"> results in a timely manner and their annual report was thorough and factually accurate. They remain receptive to requests, transparent and collaborative. The TAF service providers (Niras/IDH/Form International for Component 1; Palladium/</w:t>
      </w:r>
      <w:proofErr w:type="spellStart"/>
      <w:r w:rsidRPr="003600EF">
        <w:rPr>
          <w:rFonts w:eastAsia="Arial" w:cs="Arial"/>
          <w:color w:val="212121"/>
          <w:sz w:val="22"/>
          <w:szCs w:val="22"/>
        </w:rPr>
        <w:t>Systemiq</w:t>
      </w:r>
      <w:proofErr w:type="spellEnd"/>
      <w:r w:rsidRPr="003600EF">
        <w:rPr>
          <w:rFonts w:eastAsia="Arial" w:cs="Arial"/>
          <w:color w:val="212121"/>
          <w:sz w:val="22"/>
          <w:szCs w:val="22"/>
        </w:rPr>
        <w:t xml:space="preserve"> for the LCIP) have continued to perform well, with Output 3 overperforming against all milestones.</w:t>
      </w:r>
    </w:p>
    <w:p w:rsidRPr="003600EF" w:rsidR="00976A9B" w:rsidP="0052139C" w:rsidRDefault="00976A9B" w14:paraId="71483A1D" w14:textId="77777777">
      <w:pPr>
        <w:jc w:val="both"/>
        <w:rPr>
          <w:rFonts w:eastAsia="Arial" w:cs="Arial"/>
          <w:color w:val="212121"/>
          <w:sz w:val="22"/>
          <w:szCs w:val="22"/>
          <w:highlight w:val="yellow"/>
        </w:rPr>
      </w:pPr>
    </w:p>
    <w:p w:rsidRPr="003600EF" w:rsidR="0040497A" w:rsidP="0052139C" w:rsidRDefault="0040497A" w14:paraId="664510B1" w14:textId="77777777">
      <w:pPr>
        <w:jc w:val="both"/>
        <w:rPr>
          <w:rFonts w:eastAsia="Arial" w:cs="Arial"/>
          <w:color w:val="212121"/>
          <w:sz w:val="22"/>
          <w:szCs w:val="22"/>
        </w:rPr>
      </w:pPr>
      <w:r w:rsidRPr="003600EF">
        <w:rPr>
          <w:rFonts w:eastAsia="Arial" w:cs="Arial"/>
          <w:color w:val="212121"/>
          <w:sz w:val="22"/>
          <w:szCs w:val="22"/>
        </w:rPr>
        <w:t>The six-monthly end-of-year and half-year meeting rhythm continued, with both the December 2025 half-year meeting and the July 2025 annual meeting well attended at senior and working level. The Dutch MFA participated in both meetings, reflecting the increasingly multi-donor character of the programme. 2025 was the first full year of the multi-donor structure in practice, and significant progress was made in aligning governance, expectations and operational processes between UK and Dutch partners, including finalising the MoU in November 2025 and updating the Contribution Agreement to reflect both the UK extension and improved investment governance arrangements.</w:t>
      </w:r>
    </w:p>
    <w:p w:rsidRPr="003600EF" w:rsidR="0040497A" w:rsidP="0052139C" w:rsidRDefault="0040497A" w14:paraId="67A17961" w14:textId="77777777">
      <w:pPr>
        <w:jc w:val="both"/>
        <w:rPr>
          <w:rFonts w:eastAsia="Arial" w:cs="Arial"/>
          <w:color w:val="212121"/>
          <w:sz w:val="22"/>
          <w:szCs w:val="22"/>
          <w:highlight w:val="yellow"/>
        </w:rPr>
      </w:pPr>
    </w:p>
    <w:p w:rsidRPr="003600EF" w:rsidR="002A765C" w:rsidP="0052139C" w:rsidRDefault="002A765C" w14:paraId="70B5F25F" w14:textId="77777777">
      <w:pPr>
        <w:jc w:val="both"/>
        <w:rPr>
          <w:rFonts w:eastAsia="Arial" w:cs="Arial"/>
          <w:color w:val="212121"/>
          <w:sz w:val="22"/>
          <w:szCs w:val="22"/>
        </w:rPr>
      </w:pPr>
      <w:r w:rsidRPr="003600EF">
        <w:rPr>
          <w:rFonts w:eastAsia="Arial" w:cs="Arial"/>
          <w:color w:val="212121"/>
          <w:sz w:val="22"/>
          <w:szCs w:val="22"/>
        </w:rPr>
        <w:t xml:space="preserve">Monthly MEL meetings between IFU and FMO continued throughout 2025, with productive engagement on </w:t>
      </w:r>
      <w:proofErr w:type="spellStart"/>
      <w:r w:rsidRPr="003600EF">
        <w:rPr>
          <w:rFonts w:eastAsia="Arial" w:cs="Arial"/>
          <w:color w:val="212121"/>
          <w:sz w:val="22"/>
          <w:szCs w:val="22"/>
        </w:rPr>
        <w:t>logframe</w:t>
      </w:r>
      <w:proofErr w:type="spellEnd"/>
      <w:r w:rsidRPr="003600EF">
        <w:rPr>
          <w:rFonts w:eastAsia="Arial" w:cs="Arial"/>
          <w:color w:val="212121"/>
          <w:sz w:val="22"/>
          <w:szCs w:val="22"/>
        </w:rPr>
        <w:t xml:space="preserve"> results, KPI methodology (particularly KPI 8) and reporting improvements. FMO's E&amp;S team was expanded with an additional hire in early 2025, which has had a positive impact on due diligence timelines and E&amp;S monitoring quality. Field visits were conducted to Mozambique (</w:t>
      </w:r>
      <w:proofErr w:type="spellStart"/>
      <w:r w:rsidRPr="003600EF">
        <w:rPr>
          <w:rFonts w:eastAsia="Arial" w:cs="Arial"/>
          <w:color w:val="212121"/>
          <w:sz w:val="22"/>
          <w:szCs w:val="22"/>
        </w:rPr>
        <w:t>Levasflor</w:t>
      </w:r>
      <w:proofErr w:type="spellEnd"/>
      <w:r w:rsidRPr="003600EF">
        <w:rPr>
          <w:rFonts w:eastAsia="Arial" w:cs="Arial"/>
          <w:color w:val="212121"/>
          <w:sz w:val="22"/>
          <w:szCs w:val="22"/>
        </w:rPr>
        <w:t>, Q3) and to TRF portfolio sites (Q4), informing ongoing portfolio management and risk assessment.</w:t>
      </w:r>
    </w:p>
    <w:p w:rsidRPr="003600EF" w:rsidR="002A765C" w:rsidP="0052139C" w:rsidRDefault="002A765C" w14:paraId="19C19480" w14:textId="77777777">
      <w:pPr>
        <w:jc w:val="both"/>
        <w:rPr>
          <w:rFonts w:eastAsia="Arial" w:cs="Arial"/>
          <w:color w:val="212121"/>
          <w:sz w:val="22"/>
          <w:szCs w:val="22"/>
          <w:highlight w:val="yellow"/>
        </w:rPr>
      </w:pPr>
    </w:p>
    <w:p w:rsidRPr="003600EF" w:rsidR="008409F5" w:rsidP="0052139C" w:rsidRDefault="008409F5" w14:paraId="2CFCDF52" w14:textId="7BE59F83">
      <w:pPr>
        <w:jc w:val="both"/>
        <w:rPr>
          <w:rFonts w:eastAsia="Arial" w:cs="Arial"/>
          <w:b/>
          <w:bCs/>
          <w:i/>
          <w:iCs/>
          <w:color w:val="212121"/>
          <w:sz w:val="22"/>
          <w:szCs w:val="22"/>
        </w:rPr>
      </w:pPr>
      <w:r w:rsidRPr="003600EF">
        <w:rPr>
          <w:rFonts w:eastAsia="Arial" w:cs="Arial"/>
          <w:b/>
          <w:bCs/>
          <w:i/>
          <w:iCs/>
          <w:color w:val="212121"/>
          <w:sz w:val="22"/>
          <w:szCs w:val="22"/>
        </w:rPr>
        <w:t>Value for Money</w:t>
      </w:r>
    </w:p>
    <w:p w:rsidRPr="003600EF" w:rsidR="24958D28" w:rsidP="0052139C" w:rsidRDefault="24958D28" w14:paraId="1F62E269" w14:textId="4AE082DB">
      <w:pPr>
        <w:tabs>
          <w:tab w:val="right" w:leader="dot" w:pos="9710"/>
        </w:tabs>
        <w:contextualSpacing/>
        <w:jc w:val="both"/>
        <w:rPr>
          <w:rFonts w:eastAsia="Arial" w:cs="Arial"/>
          <w:color w:val="212121"/>
          <w:sz w:val="22"/>
          <w:szCs w:val="22"/>
        </w:rPr>
      </w:pPr>
    </w:p>
    <w:p w:rsidRPr="003600EF" w:rsidR="00C30267" w:rsidP="0052139C" w:rsidRDefault="00C30267" w14:paraId="2740ADB8" w14:textId="77777777">
      <w:pPr>
        <w:contextualSpacing/>
        <w:jc w:val="both"/>
        <w:rPr>
          <w:rFonts w:eastAsia="Arial" w:cs="Arial"/>
          <w:color w:val="212121"/>
          <w:sz w:val="22"/>
          <w:szCs w:val="22"/>
        </w:rPr>
      </w:pPr>
      <w:proofErr w:type="spellStart"/>
      <w:r w:rsidRPr="003600EF">
        <w:rPr>
          <w:rFonts w:eastAsia="Arial" w:cs="Arial"/>
          <w:color w:val="212121"/>
          <w:sz w:val="22"/>
          <w:szCs w:val="22"/>
        </w:rPr>
        <w:t>VfM</w:t>
      </w:r>
      <w:proofErr w:type="spellEnd"/>
      <w:r w:rsidRPr="003600EF">
        <w:rPr>
          <w:rFonts w:eastAsia="Arial" w:cs="Arial"/>
          <w:color w:val="212121"/>
          <w:sz w:val="22"/>
          <w:szCs w:val="22"/>
        </w:rPr>
        <w:t xml:space="preserve"> is assessed using the four Es framework: Economy, Efficiency, Effectiveness and Equity. MFF's overall </w:t>
      </w:r>
      <w:proofErr w:type="spellStart"/>
      <w:r w:rsidRPr="003600EF">
        <w:rPr>
          <w:rFonts w:eastAsia="Arial" w:cs="Arial"/>
          <w:color w:val="212121"/>
          <w:sz w:val="22"/>
          <w:szCs w:val="22"/>
        </w:rPr>
        <w:t>VfM</w:t>
      </w:r>
      <w:proofErr w:type="spellEnd"/>
      <w:r w:rsidRPr="003600EF">
        <w:rPr>
          <w:rFonts w:eastAsia="Arial" w:cs="Arial"/>
          <w:color w:val="212121"/>
          <w:sz w:val="22"/>
          <w:szCs w:val="22"/>
        </w:rPr>
        <w:t xml:space="preserve"> remains as envisaged in the business case.</w:t>
      </w:r>
    </w:p>
    <w:p w:rsidRPr="003600EF" w:rsidR="5F6FB9E8" w:rsidP="0052139C" w:rsidRDefault="5ACFF221" w14:paraId="1E68019B" w14:textId="7F50DC9F">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5521BE2C" w14:textId="6E24988E">
      <w:pPr>
        <w:contextualSpacing/>
        <w:jc w:val="both"/>
        <w:rPr>
          <w:rFonts w:eastAsia="Arial" w:cs="Arial"/>
          <w:color w:val="212121"/>
          <w:sz w:val="22"/>
          <w:szCs w:val="22"/>
        </w:rPr>
      </w:pPr>
      <w:r w:rsidRPr="003600EF">
        <w:rPr>
          <w:rFonts w:eastAsia="Arial" w:cs="Arial"/>
          <w:color w:val="212121"/>
          <w:sz w:val="22"/>
          <w:szCs w:val="22"/>
        </w:rPr>
        <w:t xml:space="preserve">In its fifth year, the MFF </w:t>
      </w:r>
      <w:r w:rsidRPr="003600EF" w:rsidR="3713721B">
        <w:rPr>
          <w:rFonts w:eastAsia="Arial" w:cs="Arial"/>
          <w:color w:val="212121"/>
          <w:sz w:val="22"/>
          <w:szCs w:val="22"/>
        </w:rPr>
        <w:t>programme</w:t>
      </w:r>
      <w:r w:rsidRPr="003600EF">
        <w:rPr>
          <w:rFonts w:eastAsia="Arial" w:cs="Arial"/>
          <w:color w:val="212121"/>
          <w:sz w:val="22"/>
          <w:szCs w:val="22"/>
        </w:rPr>
        <w:t xml:space="preserve"> focused on contracting as well as continuing to build and progress new and existing opportunities in the pipeline. MFF deployed two large investments in </w:t>
      </w:r>
      <w:proofErr w:type="spellStart"/>
      <w:r w:rsidRPr="003600EF">
        <w:rPr>
          <w:rFonts w:eastAsia="Arial" w:cs="Arial"/>
          <w:color w:val="212121"/>
          <w:sz w:val="22"/>
          <w:szCs w:val="22"/>
        </w:rPr>
        <w:t>EcoEnterprises</w:t>
      </w:r>
      <w:proofErr w:type="spellEnd"/>
      <w:r w:rsidRPr="003600EF">
        <w:rPr>
          <w:rFonts w:eastAsia="Arial" w:cs="Arial"/>
          <w:color w:val="212121"/>
          <w:sz w:val="22"/>
          <w:szCs w:val="22"/>
        </w:rPr>
        <w:t xml:space="preserve"> Fund IV and the Responsible Commodities Facility in Latin America, as well as one smaller innovative fund investment through a Development Contribution to help support the set-up of </w:t>
      </w:r>
      <w:proofErr w:type="spellStart"/>
      <w:r w:rsidRPr="003600EF">
        <w:rPr>
          <w:rFonts w:eastAsia="Arial" w:cs="Arial"/>
          <w:color w:val="212121"/>
          <w:sz w:val="22"/>
          <w:szCs w:val="22"/>
        </w:rPr>
        <w:t>CrossBoundary’s</w:t>
      </w:r>
      <w:proofErr w:type="spellEnd"/>
      <w:r w:rsidRPr="003600EF">
        <w:rPr>
          <w:rFonts w:eastAsia="Arial" w:cs="Arial"/>
          <w:color w:val="212121"/>
          <w:sz w:val="22"/>
          <w:szCs w:val="22"/>
        </w:rPr>
        <w:t xml:space="preserve"> Fund for Nature.</w:t>
      </w:r>
    </w:p>
    <w:p w:rsidRPr="003600EF" w:rsidR="5F6FB9E8" w:rsidP="0052139C" w:rsidRDefault="5ACFF221" w14:paraId="6259B07B" w14:textId="67BC1800">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2198F83D" w14:textId="2C0A1723">
      <w:pPr>
        <w:contextualSpacing/>
        <w:jc w:val="both"/>
        <w:rPr>
          <w:color w:val="212121"/>
          <w:sz w:val="22"/>
          <w:szCs w:val="22"/>
        </w:rPr>
      </w:pPr>
      <w:r w:rsidRPr="003600EF">
        <w:rPr>
          <w:rFonts w:eastAsia="Arial" w:cs="Arial"/>
          <w:b/>
          <w:bCs/>
          <w:color w:val="212121"/>
          <w:sz w:val="22"/>
          <w:szCs w:val="22"/>
        </w:rPr>
        <w:t>Economy</w:t>
      </w:r>
    </w:p>
    <w:p w:rsidRPr="003600EF" w:rsidR="5F6FB9E8" w:rsidP="13EFCE8C" w:rsidRDefault="5FBF6007" w14:paraId="3D8BB847" w14:textId="36211773">
      <w:pPr>
        <w:contextualSpacing/>
        <w:jc w:val="both"/>
        <w:rPr>
          <w:rFonts w:eastAsia="Arial" w:cs="Arial"/>
          <w:color w:val="212121"/>
          <w:sz w:val="22"/>
          <w:szCs w:val="22"/>
        </w:rPr>
      </w:pPr>
      <w:r w:rsidRPr="003600EF">
        <w:rPr>
          <w:rFonts w:eastAsia="Arial" w:cs="Arial"/>
          <w:color w:val="212121"/>
          <w:sz w:val="22"/>
          <w:szCs w:val="22"/>
        </w:rPr>
        <w:t xml:space="preserve">In 2025, FMO’s management costs, one of the main drivers of costs for the </w:t>
      </w:r>
      <w:r w:rsidRPr="003600EF" w:rsidR="3713721B">
        <w:rPr>
          <w:rFonts w:eastAsia="Arial" w:cs="Arial"/>
          <w:color w:val="212121"/>
          <w:sz w:val="22"/>
          <w:szCs w:val="22"/>
        </w:rPr>
        <w:t>programme</w:t>
      </w:r>
      <w:r w:rsidRPr="003600EF">
        <w:rPr>
          <w:rFonts w:eastAsia="Arial" w:cs="Arial"/>
          <w:color w:val="212121"/>
          <w:sz w:val="22"/>
          <w:szCs w:val="22"/>
        </w:rPr>
        <w:t xml:space="preserve">, remained in line with 2024 </w:t>
      </w:r>
      <w:r w:rsidRPr="003600EF" w:rsidR="31675D7E">
        <w:rPr>
          <w:rFonts w:eastAsia="Arial" w:cs="Arial"/>
          <w:color w:val="212121"/>
          <w:sz w:val="22"/>
          <w:szCs w:val="22"/>
        </w:rPr>
        <w:t xml:space="preserve">costs. </w:t>
      </w:r>
      <w:r w:rsidRPr="003600EF" w:rsidR="2C335853">
        <w:rPr>
          <w:rFonts w:eastAsia="Arial" w:cs="Arial"/>
          <w:color w:val="212121"/>
          <w:sz w:val="22"/>
          <w:szCs w:val="22"/>
        </w:rPr>
        <w:t>The latest information on MFF programme spend calculates FMO</w:t>
      </w:r>
      <w:r w:rsidRPr="003600EF" w:rsidR="2A1369FE">
        <w:rPr>
          <w:rFonts w:eastAsia="Arial" w:cs="Arial"/>
          <w:color w:val="212121"/>
          <w:sz w:val="22"/>
          <w:szCs w:val="22"/>
        </w:rPr>
        <w:t xml:space="preserve"> total</w:t>
      </w:r>
      <w:r w:rsidRPr="003600EF" w:rsidR="2C335853">
        <w:rPr>
          <w:rFonts w:eastAsia="Arial" w:cs="Arial"/>
          <w:color w:val="212121"/>
          <w:sz w:val="22"/>
          <w:szCs w:val="22"/>
        </w:rPr>
        <w:t xml:space="preserve"> management fees as</w:t>
      </w:r>
      <w:r w:rsidRPr="003600EF" w:rsidR="4A10A09D">
        <w:rPr>
          <w:rFonts w:eastAsia="Arial" w:cs="Arial"/>
          <w:color w:val="212121"/>
          <w:sz w:val="22"/>
          <w:szCs w:val="22"/>
        </w:rPr>
        <w:t xml:space="preserve"> roughly 7%</w:t>
      </w:r>
      <w:r w:rsidRPr="003600EF" w:rsidR="2C335853">
        <w:rPr>
          <w:rFonts w:eastAsia="Arial" w:cs="Arial"/>
          <w:color w:val="212121"/>
          <w:sz w:val="22"/>
          <w:szCs w:val="22"/>
        </w:rPr>
        <w:t xml:space="preserve"> of total programme spend</w:t>
      </w:r>
      <w:r w:rsidRPr="003600EF" w:rsidR="4EF958FE">
        <w:rPr>
          <w:rFonts w:eastAsia="Arial" w:cs="Arial"/>
          <w:color w:val="212121"/>
          <w:sz w:val="22"/>
          <w:szCs w:val="22"/>
        </w:rPr>
        <w:t xml:space="preserve">. </w:t>
      </w:r>
      <w:r w:rsidRPr="003600EF" w:rsidR="52F00851">
        <w:rPr>
          <w:rFonts w:eastAsia="Arial" w:cs="Arial"/>
          <w:color w:val="212121"/>
          <w:sz w:val="22"/>
          <w:szCs w:val="22"/>
        </w:rPr>
        <w:t>This is competitive when compared across HMG’s forest portfolio.</w:t>
      </w:r>
    </w:p>
    <w:p w:rsidRPr="003600EF" w:rsidR="5F6FB9E8" w:rsidP="0052139C" w:rsidRDefault="5ACFF221" w14:paraId="1409EB34" w14:textId="2124248E">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2D53C23A" w14:textId="1F8AB63C">
      <w:pPr>
        <w:contextualSpacing/>
        <w:jc w:val="both"/>
        <w:rPr>
          <w:rFonts w:eastAsia="Arial" w:cs="Arial"/>
          <w:color w:val="212121"/>
          <w:sz w:val="22"/>
          <w:szCs w:val="22"/>
        </w:rPr>
      </w:pPr>
      <w:r w:rsidRPr="003600EF">
        <w:rPr>
          <w:rFonts w:eastAsia="Arial" w:cs="Arial"/>
          <w:color w:val="212121"/>
          <w:sz w:val="22"/>
          <w:szCs w:val="22"/>
        </w:rPr>
        <w:t xml:space="preserve">Fee rates used for consultants under the TA facility have remained fixed at the levels agreed in early 2022 despite a period of high inflation. Furthermore, the TAF </w:t>
      </w:r>
      <w:r w:rsidRPr="003600EF" w:rsidR="3713721B">
        <w:rPr>
          <w:rFonts w:eastAsia="Arial" w:cs="Arial"/>
          <w:color w:val="212121"/>
          <w:sz w:val="22"/>
          <w:szCs w:val="22"/>
        </w:rPr>
        <w:t>programme</w:t>
      </w:r>
      <w:r w:rsidRPr="003600EF">
        <w:rPr>
          <w:rFonts w:eastAsia="Arial" w:cs="Arial"/>
          <w:color w:val="212121"/>
          <w:sz w:val="22"/>
          <w:szCs w:val="22"/>
        </w:rPr>
        <w:t xml:space="preserve"> management structure has continued to operate with a lean structure. Prior to commencement, it was estimated that 10% of budget for TA Component 1 would be allocated to </w:t>
      </w:r>
      <w:r w:rsidRPr="003600EF" w:rsidR="3713721B">
        <w:rPr>
          <w:rFonts w:eastAsia="Arial" w:cs="Arial"/>
          <w:color w:val="212121"/>
          <w:sz w:val="22"/>
          <w:szCs w:val="22"/>
        </w:rPr>
        <w:t>programme</w:t>
      </w:r>
      <w:r w:rsidRPr="003600EF">
        <w:rPr>
          <w:rFonts w:eastAsia="Arial" w:cs="Arial"/>
          <w:color w:val="212121"/>
          <w:sz w:val="22"/>
          <w:szCs w:val="22"/>
        </w:rPr>
        <w:t xml:space="preserve"> management costs, however with four years of the contract complete only 6% of the budget has been used for this purpose. Time delivered by IDH</w:t>
      </w:r>
      <w:r w:rsidRPr="003600EF" w:rsidR="00591540">
        <w:rPr>
          <w:rFonts w:eastAsia="Arial" w:cs="Arial"/>
          <w:color w:val="212121"/>
          <w:sz w:val="22"/>
          <w:szCs w:val="22"/>
        </w:rPr>
        <w:t xml:space="preserve">, a non-profit organisation, </w:t>
      </w:r>
      <w:r w:rsidRPr="003600EF">
        <w:rPr>
          <w:rFonts w:eastAsia="Arial" w:cs="Arial"/>
          <w:color w:val="212121"/>
          <w:sz w:val="22"/>
          <w:szCs w:val="22"/>
        </w:rPr>
        <w:t>continues to be invoiced at cost, such that the overall level of effort for IDH funded activity is in effect greater than the number of days paid for in relation to TA support to &amp;Green. Where third-party consultants from outside the consortium are hired to deliver TA, FMO together with Niras (as the consortium lead and head contractor) continue to drive for competitive rates and scrutinize expense budgets.</w:t>
      </w:r>
    </w:p>
    <w:p w:rsidRPr="003600EF" w:rsidR="5F6FB9E8" w:rsidP="0052139C" w:rsidRDefault="5ACFF221" w14:paraId="580E3FCA" w14:textId="7979A273">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0E368CB6" w14:textId="0E3747F1">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67239F44" w14:textId="08CA1295">
      <w:pPr>
        <w:contextualSpacing/>
        <w:jc w:val="both"/>
        <w:rPr>
          <w:color w:val="212121"/>
          <w:sz w:val="22"/>
          <w:szCs w:val="22"/>
        </w:rPr>
      </w:pPr>
      <w:r w:rsidRPr="003600EF">
        <w:rPr>
          <w:rFonts w:eastAsia="Arial" w:cs="Arial"/>
          <w:b/>
          <w:bCs/>
          <w:color w:val="212121"/>
          <w:sz w:val="22"/>
          <w:szCs w:val="22"/>
        </w:rPr>
        <w:t xml:space="preserve">Efficiency </w:t>
      </w:r>
    </w:p>
    <w:p w:rsidRPr="003600EF" w:rsidR="5F6FB9E8" w:rsidP="0052139C" w:rsidRDefault="5ACFF221" w14:paraId="7E83810C" w14:textId="4FAA99FF">
      <w:pPr>
        <w:contextualSpacing/>
        <w:jc w:val="both"/>
        <w:rPr>
          <w:rFonts w:eastAsia="Arial" w:cs="Arial"/>
          <w:color w:val="212121"/>
          <w:sz w:val="22"/>
          <w:szCs w:val="22"/>
        </w:rPr>
      </w:pPr>
      <w:r w:rsidRPr="003600EF">
        <w:rPr>
          <w:rFonts w:eastAsia="Arial" w:cs="Arial"/>
          <w:color w:val="212121"/>
          <w:sz w:val="22"/>
          <w:szCs w:val="22"/>
        </w:rPr>
        <w:t xml:space="preserve">In addition to the deployment of two fund investments and one new Development Contribution (DC), MFF continued to progress in moving opportunities through the investment pipeline. As a result, MFF met or exceeded its output targets for CIPs and FPs </w:t>
      </w:r>
      <w:r w:rsidRPr="003600EF" w:rsidR="68EAB593">
        <w:rPr>
          <w:rFonts w:eastAsia="Arial" w:cs="Arial"/>
          <w:color w:val="212121"/>
          <w:sz w:val="22"/>
          <w:szCs w:val="22"/>
        </w:rPr>
        <w:t>produced and</w:t>
      </w:r>
      <w:r w:rsidRPr="003600EF">
        <w:rPr>
          <w:rFonts w:eastAsia="Arial" w:cs="Arial"/>
          <w:color w:val="212121"/>
          <w:sz w:val="22"/>
          <w:szCs w:val="22"/>
        </w:rPr>
        <w:t xml:space="preserve"> is starting 2026 on track to meet or exceed outputs for the coming year. The FMO investment teams (AFF Debt and AFF Equity) have delivered on a far larger number of Opportunity Scans in 2025 which indicates an increase in efficiency in both teams. In 2025, MFF delivered a total of 12 Opportunity Scans which brings the total to 27, thereby strongly outperforming this year’s cumulative target of 12 Opportunity Scans. This is expected to result in a greater number of investments executed in 2026. For the DC facility, the successful contracting of one additional DC has further increased interest and excitement in this product within FMO’s investment teams. MFF now has an increased pipeline of DCs across geographies, with particularly strong pipeline in Africa and Asia, to prioritize in line with its developing portfolio ambitions.  </w:t>
      </w:r>
    </w:p>
    <w:p w:rsidRPr="003600EF" w:rsidR="5F6FB9E8" w:rsidP="0052139C" w:rsidRDefault="5ACFF221" w14:paraId="275CF9DC" w14:textId="4B200857">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77B8A430" w14:textId="2E3D964C">
      <w:pPr>
        <w:contextualSpacing/>
        <w:jc w:val="both"/>
        <w:rPr>
          <w:rFonts w:eastAsia="Arial" w:cs="Arial"/>
          <w:color w:val="212121"/>
          <w:sz w:val="22"/>
          <w:szCs w:val="22"/>
        </w:rPr>
      </w:pPr>
      <w:r w:rsidRPr="003600EF">
        <w:rPr>
          <w:rFonts w:eastAsia="Arial" w:cs="Arial"/>
          <w:color w:val="212121"/>
          <w:sz w:val="22"/>
          <w:szCs w:val="22"/>
        </w:rPr>
        <w:t xml:space="preserve">For TA component 1 (Advisory Services) the MFF </w:t>
      </w:r>
      <w:r w:rsidRPr="003600EF" w:rsidR="7E4B9743">
        <w:rPr>
          <w:rFonts w:eastAsia="Arial" w:cs="Arial"/>
          <w:color w:val="212121"/>
          <w:sz w:val="22"/>
          <w:szCs w:val="22"/>
        </w:rPr>
        <w:t>programme</w:t>
      </w:r>
      <w:r w:rsidRPr="003600EF">
        <w:rPr>
          <w:rFonts w:eastAsia="Arial" w:cs="Arial"/>
          <w:color w:val="212121"/>
          <w:sz w:val="22"/>
          <w:szCs w:val="22"/>
        </w:rPr>
        <w:t xml:space="preserve"> delivered its target of six cases for the indicator ‘"Number and description of cases of projects scaled up, replicated or improved through TA support to MFF investees" by the end of 2025. This represented delivery of TA support to (entities in) nine different MFF target countries, against a target of eight by the end of 2025. This has been delivered despite spending on this TA component being well below budget, representing efficient conversion of inputs to outputs.</w:t>
      </w:r>
    </w:p>
    <w:p w:rsidRPr="003600EF" w:rsidR="5F6FB9E8" w:rsidP="0052139C" w:rsidRDefault="5ACFF221" w14:paraId="7B651F0C" w14:textId="647776F3">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0633763B" w14:textId="71476633">
      <w:pPr>
        <w:contextualSpacing/>
        <w:jc w:val="both"/>
        <w:rPr>
          <w:rFonts w:eastAsia="Arial" w:cs="Arial"/>
          <w:color w:val="212121"/>
          <w:sz w:val="22"/>
          <w:szCs w:val="22"/>
        </w:rPr>
      </w:pPr>
      <w:r w:rsidRPr="003600EF">
        <w:rPr>
          <w:rFonts w:eastAsia="Arial" w:cs="Arial"/>
          <w:color w:val="212121"/>
          <w:sz w:val="22"/>
          <w:szCs w:val="22"/>
        </w:rPr>
        <w:t xml:space="preserve">In 2025, the LCIP continued to deliver a greater volume of Knowledge Products (16 vs a revised and increased </w:t>
      </w:r>
      <w:proofErr w:type="spellStart"/>
      <w:r w:rsidRPr="003600EF">
        <w:rPr>
          <w:rFonts w:eastAsia="Arial" w:cs="Arial"/>
          <w:color w:val="212121"/>
          <w:sz w:val="22"/>
          <w:szCs w:val="22"/>
        </w:rPr>
        <w:t>logframe</w:t>
      </w:r>
      <w:proofErr w:type="spellEnd"/>
      <w:r w:rsidRPr="003600EF">
        <w:rPr>
          <w:rFonts w:eastAsia="Arial" w:cs="Arial"/>
          <w:color w:val="212121"/>
          <w:sz w:val="22"/>
          <w:szCs w:val="22"/>
        </w:rPr>
        <w:t xml:space="preserve"> target of 14), and convened more target stakeholders at its events (1,004 vs a revised and increased </w:t>
      </w:r>
      <w:proofErr w:type="spellStart"/>
      <w:r w:rsidRPr="003600EF">
        <w:rPr>
          <w:rFonts w:eastAsia="Arial" w:cs="Arial"/>
          <w:color w:val="212121"/>
          <w:sz w:val="22"/>
          <w:szCs w:val="22"/>
        </w:rPr>
        <w:t>logframe</w:t>
      </w:r>
      <w:proofErr w:type="spellEnd"/>
      <w:r w:rsidRPr="003600EF">
        <w:rPr>
          <w:rFonts w:eastAsia="Arial" w:cs="Arial"/>
          <w:color w:val="212121"/>
          <w:sz w:val="22"/>
          <w:szCs w:val="22"/>
        </w:rPr>
        <w:t xml:space="preserve"> target of 900) compared to the </w:t>
      </w:r>
      <w:r w:rsidRPr="003600EF" w:rsidR="22183D5F">
        <w:rPr>
          <w:rFonts w:eastAsia="Arial" w:cs="Arial"/>
          <w:color w:val="212121"/>
          <w:sz w:val="22"/>
          <w:szCs w:val="22"/>
        </w:rPr>
        <w:t>programme</w:t>
      </w:r>
      <w:r w:rsidRPr="003600EF">
        <w:rPr>
          <w:rFonts w:eastAsia="Arial" w:cs="Arial"/>
          <w:color w:val="212121"/>
          <w:sz w:val="22"/>
          <w:szCs w:val="22"/>
        </w:rPr>
        <w:t xml:space="preserve"> targets set, at no additional cost. The value is being generated by retaining a highly motivated and well-connected LCIP team of consultants from Palladium and </w:t>
      </w:r>
      <w:proofErr w:type="spellStart"/>
      <w:r w:rsidRPr="003600EF">
        <w:rPr>
          <w:rFonts w:eastAsia="Arial" w:cs="Arial"/>
          <w:color w:val="212121"/>
          <w:sz w:val="22"/>
          <w:szCs w:val="22"/>
        </w:rPr>
        <w:t>Systemiq</w:t>
      </w:r>
      <w:proofErr w:type="spellEnd"/>
      <w:r w:rsidRPr="003600EF">
        <w:rPr>
          <w:rFonts w:eastAsia="Arial" w:cs="Arial"/>
          <w:color w:val="212121"/>
          <w:sz w:val="22"/>
          <w:szCs w:val="22"/>
        </w:rPr>
        <w:t xml:space="preserve"> for a number of years now. Under FMO’s management and drawing on our network of co-investors and clients, the LCIP team has been able to leverage different partnerships and networks to convene a higher number of high-quality events, or event contributions, for relatively low effort. The strong working relationship that has been built up between the LCIP team, FMO and the UK government is enabling efficient delivery, now also complemented by the addition of the Dutch MFA.</w:t>
      </w:r>
    </w:p>
    <w:p w:rsidRPr="003600EF" w:rsidR="5F6FB9E8" w:rsidP="0052139C" w:rsidRDefault="5ACFF221" w14:paraId="6FB8B234" w14:textId="63B8A4CE">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73ABF389" w14:textId="67D06EBE">
      <w:pPr>
        <w:contextualSpacing/>
        <w:jc w:val="both"/>
        <w:rPr>
          <w:rFonts w:eastAsia="Arial" w:cs="Arial"/>
          <w:color w:val="212121"/>
          <w:sz w:val="22"/>
          <w:szCs w:val="22"/>
        </w:rPr>
      </w:pPr>
      <w:r w:rsidRPr="003600EF">
        <w:rPr>
          <w:rFonts w:eastAsia="Arial" w:cs="Arial"/>
          <w:color w:val="212121"/>
          <w:sz w:val="22"/>
          <w:szCs w:val="22"/>
        </w:rPr>
        <w:t xml:space="preserve">Finally, 2025 marked the first full year in which both the UK Government and the Dutch Ministry of Foreign Affairs were invested in the </w:t>
      </w:r>
      <w:r w:rsidRPr="003600EF" w:rsidR="22183D5F">
        <w:rPr>
          <w:rFonts w:eastAsia="Arial" w:cs="Arial"/>
          <w:color w:val="212121"/>
          <w:sz w:val="22"/>
          <w:szCs w:val="22"/>
        </w:rPr>
        <w:t>programme</w:t>
      </w:r>
      <w:r w:rsidRPr="003600EF">
        <w:rPr>
          <w:rFonts w:eastAsia="Arial" w:cs="Arial"/>
          <w:color w:val="212121"/>
          <w:sz w:val="22"/>
          <w:szCs w:val="22"/>
        </w:rPr>
        <w:t xml:space="preserve">, making it a pivotal year for putting the multi-funding partner structure into practice. Significant progress was made in aligning expectations, governance, and operational processes across the two partners which will positively impact the efficiency of running the </w:t>
      </w:r>
      <w:r w:rsidRPr="003600EF" w:rsidR="22183D5F">
        <w:rPr>
          <w:rFonts w:eastAsia="Arial" w:cs="Arial"/>
          <w:color w:val="212121"/>
          <w:sz w:val="22"/>
          <w:szCs w:val="22"/>
        </w:rPr>
        <w:t>programme</w:t>
      </w:r>
      <w:r w:rsidRPr="003600EF">
        <w:rPr>
          <w:rFonts w:eastAsia="Arial" w:cs="Arial"/>
          <w:color w:val="212121"/>
          <w:sz w:val="22"/>
          <w:szCs w:val="22"/>
        </w:rPr>
        <w:t xml:space="preserve"> going forward. Together, these efforts laid a solid foundation for welcoming additional funding partners in the future.</w:t>
      </w:r>
    </w:p>
    <w:p w:rsidRPr="003600EF" w:rsidR="5F6FB9E8" w:rsidP="0052139C" w:rsidRDefault="5ACFF221" w14:paraId="2CABFCAA" w14:textId="630A1F86">
      <w:pPr>
        <w:contextualSpacing/>
        <w:jc w:val="both"/>
        <w:rPr>
          <w:color w:val="212121"/>
          <w:sz w:val="22"/>
          <w:szCs w:val="22"/>
        </w:rPr>
      </w:pPr>
      <w:r w:rsidRPr="003600EF">
        <w:rPr>
          <w:rFonts w:eastAsia="Arial" w:cs="Arial"/>
          <w:color w:val="212121"/>
          <w:sz w:val="22"/>
          <w:szCs w:val="22"/>
        </w:rPr>
        <w:t xml:space="preserve"> </w:t>
      </w:r>
    </w:p>
    <w:p w:rsidRPr="003600EF" w:rsidR="5F6FB9E8" w:rsidP="0052139C" w:rsidRDefault="5ACFF221" w14:paraId="7BC2742E" w14:textId="0EB4FEB1">
      <w:pPr>
        <w:contextualSpacing/>
        <w:jc w:val="both"/>
        <w:rPr>
          <w:color w:val="212121"/>
          <w:sz w:val="22"/>
          <w:szCs w:val="22"/>
        </w:rPr>
      </w:pPr>
      <w:r w:rsidRPr="003600EF">
        <w:rPr>
          <w:rFonts w:eastAsia="Arial" w:cs="Arial"/>
          <w:b/>
          <w:bCs/>
          <w:color w:val="212121"/>
          <w:sz w:val="22"/>
          <w:szCs w:val="22"/>
        </w:rPr>
        <w:t>Effectiveness</w:t>
      </w:r>
    </w:p>
    <w:p w:rsidRPr="003600EF" w:rsidR="5F6FB9E8" w:rsidP="0052139C" w:rsidRDefault="5ACFF221" w14:paraId="3003E24B" w14:textId="45AFD09E">
      <w:pPr>
        <w:spacing w:after="160" w:line="257" w:lineRule="auto"/>
        <w:contextualSpacing/>
        <w:jc w:val="both"/>
        <w:rPr>
          <w:rFonts w:eastAsia="Arial" w:cs="Arial"/>
          <w:color w:val="212121"/>
          <w:sz w:val="22"/>
          <w:szCs w:val="22"/>
        </w:rPr>
      </w:pPr>
      <w:r w:rsidRPr="003600EF">
        <w:rPr>
          <w:rFonts w:eastAsia="Arial" w:cs="Arial"/>
          <w:color w:val="212121"/>
          <w:sz w:val="22"/>
          <w:szCs w:val="22"/>
        </w:rPr>
        <w:t xml:space="preserve">The MFF </w:t>
      </w:r>
      <w:r w:rsidRPr="003600EF" w:rsidR="22183D5F">
        <w:rPr>
          <w:rFonts w:eastAsia="Arial" w:cs="Arial"/>
          <w:color w:val="212121"/>
          <w:sz w:val="22"/>
          <w:szCs w:val="22"/>
        </w:rPr>
        <w:t>programme</w:t>
      </w:r>
      <w:r w:rsidRPr="003600EF">
        <w:rPr>
          <w:rFonts w:eastAsia="Arial" w:cs="Arial"/>
          <w:color w:val="212121"/>
          <w:sz w:val="22"/>
          <w:szCs w:val="22"/>
        </w:rPr>
        <w:t xml:space="preserve"> aims to scale the forestry sector by mobilising additional financing into high impact companies and funds. We are seeing strong progress in the number of private investors mobilized into MFF-supported investments, as well as meaningful engagement by our E&amp;S officers with investees. While it remains too early in the </w:t>
      </w:r>
      <w:r w:rsidRPr="003600EF" w:rsidR="22183D5F">
        <w:rPr>
          <w:rFonts w:eastAsia="Arial" w:cs="Arial"/>
          <w:color w:val="212121"/>
          <w:sz w:val="22"/>
          <w:szCs w:val="22"/>
        </w:rPr>
        <w:t>programm</w:t>
      </w:r>
      <w:r w:rsidRPr="003600EF">
        <w:rPr>
          <w:rFonts w:eastAsia="Arial" w:cs="Arial"/>
          <w:color w:val="212121"/>
          <w:sz w:val="22"/>
          <w:szCs w:val="22"/>
        </w:rPr>
        <w:t xml:space="preserve">e cycle to determine whether the underlying investments will actually be effective in achieving their target IRRs or whether all loans will ultimately be repaid, we are increasingly seeing projects in the portfolio and the advanced pipeline that are targeting competitive returns that should be appealing to private investors. </w:t>
      </w:r>
    </w:p>
    <w:p w:rsidRPr="003600EF" w:rsidR="5F6FB9E8" w:rsidP="0052139C" w:rsidRDefault="5ACFF221" w14:paraId="630D78A7" w14:textId="5EB0C340">
      <w:pPr>
        <w:pStyle w:val="ListParagraph"/>
        <w:numPr>
          <w:ilvl w:val="0"/>
          <w:numId w:val="1"/>
        </w:numPr>
        <w:spacing w:after="0"/>
        <w:jc w:val="both"/>
        <w:rPr>
          <w:rFonts w:eastAsia="Arial" w:cs="Arial"/>
          <w:color w:val="212121"/>
          <w:sz w:val="22"/>
          <w:szCs w:val="22"/>
        </w:rPr>
      </w:pPr>
      <w:r w:rsidRPr="003600EF">
        <w:rPr>
          <w:rFonts w:eastAsia="Arial" w:cs="Arial"/>
          <w:color w:val="212121"/>
          <w:sz w:val="22"/>
          <w:szCs w:val="22"/>
        </w:rPr>
        <w:t>The Reforestation Fund (TRF), into which MFF committed USD $ 40 million in first-loss capital, illustrates the catalytic contribution that MFF can make. Building on this foundation, TRF sustained strong fundraising momentum throughout 2025 and has now signed more than $ 600 million in total commitments to its fund strategy, thereby welcoming 22 private investors.</w:t>
      </w:r>
    </w:p>
    <w:p w:rsidRPr="003600EF" w:rsidR="5F6FB9E8" w:rsidP="0052139C" w:rsidRDefault="5ACFF221" w14:paraId="3E57ABF6" w14:textId="02CB0057">
      <w:pPr>
        <w:pStyle w:val="ListParagraph"/>
        <w:numPr>
          <w:ilvl w:val="0"/>
          <w:numId w:val="1"/>
        </w:numPr>
        <w:spacing w:after="0" w:line="257" w:lineRule="auto"/>
        <w:jc w:val="both"/>
        <w:rPr>
          <w:rFonts w:eastAsia="Arial" w:cs="Arial"/>
          <w:color w:val="212121"/>
          <w:sz w:val="22"/>
          <w:szCs w:val="22"/>
        </w:rPr>
      </w:pPr>
      <w:proofErr w:type="spellStart"/>
      <w:r w:rsidRPr="003600EF">
        <w:rPr>
          <w:rFonts w:eastAsia="Arial" w:cs="Arial"/>
          <w:color w:val="212121"/>
          <w:sz w:val="22"/>
          <w:szCs w:val="22"/>
        </w:rPr>
        <w:t>EcoEnterprises</w:t>
      </w:r>
      <w:proofErr w:type="spellEnd"/>
      <w:r w:rsidRPr="003600EF">
        <w:rPr>
          <w:rFonts w:eastAsia="Arial" w:cs="Arial"/>
          <w:color w:val="212121"/>
          <w:sz w:val="22"/>
          <w:szCs w:val="22"/>
        </w:rPr>
        <w:t xml:space="preserve"> Fund IV has demonstrated a similarly positive fundraising trajectory. The fund announced a new close in 2025, bringing total committed capital to $ 109 million, including commitments from seven private investors. The participation of this growing group of private actors underscores the continued relevance of MFF’s blended finance approach to mobilizing commercial capital into FSLU solutions.</w:t>
      </w:r>
    </w:p>
    <w:p w:rsidRPr="003600EF" w:rsidR="4CF836FD" w:rsidP="0052139C" w:rsidRDefault="4CF836FD" w14:paraId="4E85E02C" w14:textId="2FE1709A">
      <w:pPr>
        <w:pStyle w:val="ListParagraph"/>
        <w:spacing w:after="0"/>
        <w:ind w:hanging="360"/>
        <w:jc w:val="both"/>
        <w:rPr>
          <w:rFonts w:eastAsia="Arial" w:cs="Arial"/>
          <w:color w:val="212121"/>
          <w:sz w:val="22"/>
          <w:szCs w:val="22"/>
        </w:rPr>
      </w:pPr>
    </w:p>
    <w:p w:rsidRPr="003600EF" w:rsidR="5F6FB9E8" w:rsidP="0052139C" w:rsidRDefault="5ACFF221" w14:paraId="3498AC87" w14:textId="35E91F1D">
      <w:pPr>
        <w:spacing w:after="160" w:line="257" w:lineRule="auto"/>
        <w:contextualSpacing/>
        <w:jc w:val="both"/>
        <w:rPr>
          <w:color w:val="212121"/>
          <w:sz w:val="22"/>
          <w:szCs w:val="22"/>
        </w:rPr>
      </w:pPr>
      <w:r w:rsidRPr="003600EF">
        <w:rPr>
          <w:rFonts w:eastAsia="Arial" w:cs="Arial"/>
          <w:color w:val="212121"/>
          <w:sz w:val="22"/>
          <w:szCs w:val="22"/>
        </w:rPr>
        <w:t>Both fund managers will continue their fundraising efforts into 2026 as they work toward final closes of their respective vehicles, with MFF’s catalytic contributions continuing to play a central role in effectively attracting additional private investment.</w:t>
      </w:r>
    </w:p>
    <w:p w:rsidRPr="003600EF" w:rsidR="4CF836FD" w:rsidP="0052139C" w:rsidRDefault="4CF836FD" w14:paraId="1CA61BBF" w14:textId="187C6753">
      <w:pPr>
        <w:spacing w:after="160" w:line="257" w:lineRule="auto"/>
        <w:contextualSpacing/>
        <w:jc w:val="both"/>
        <w:rPr>
          <w:rFonts w:eastAsia="Arial" w:cs="Arial"/>
          <w:color w:val="212121"/>
          <w:sz w:val="22"/>
          <w:szCs w:val="22"/>
        </w:rPr>
      </w:pPr>
    </w:p>
    <w:p w:rsidRPr="003600EF" w:rsidR="5F6FB9E8" w:rsidP="0052139C" w:rsidRDefault="5ACFF221" w14:paraId="4C5479FD" w14:textId="607F7F5B">
      <w:pPr>
        <w:contextualSpacing/>
        <w:jc w:val="both"/>
        <w:rPr>
          <w:rFonts w:eastAsia="Arial" w:cs="Arial"/>
          <w:color w:val="212121"/>
          <w:sz w:val="22"/>
          <w:szCs w:val="22"/>
        </w:rPr>
      </w:pPr>
      <w:r w:rsidRPr="003600EF">
        <w:rPr>
          <w:rFonts w:eastAsia="Arial" w:cs="Arial"/>
          <w:color w:val="212121"/>
          <w:sz w:val="22"/>
          <w:szCs w:val="22"/>
        </w:rPr>
        <w:t xml:space="preserve">As the investment portfolio grows, MFF is also seeing increased results across key impact outcomes such as hectares under sustainable forest management and sustainable agriculture and jobs supported by the </w:t>
      </w:r>
      <w:r w:rsidRPr="003600EF" w:rsidR="3713721B">
        <w:rPr>
          <w:rFonts w:eastAsia="Arial" w:cs="Arial"/>
          <w:color w:val="212121"/>
          <w:sz w:val="22"/>
          <w:szCs w:val="22"/>
        </w:rPr>
        <w:t>programme</w:t>
      </w:r>
      <w:r w:rsidRPr="003600EF">
        <w:rPr>
          <w:rFonts w:eastAsia="Arial" w:cs="Arial"/>
          <w:color w:val="212121"/>
          <w:sz w:val="22"/>
          <w:szCs w:val="22"/>
        </w:rPr>
        <w:t xml:space="preserve">. </w:t>
      </w:r>
    </w:p>
    <w:p w:rsidRPr="003600EF" w:rsidR="4CF836FD" w:rsidP="0052139C" w:rsidRDefault="5ACFF221" w14:paraId="651967C4" w14:textId="6659960D">
      <w:pPr>
        <w:contextualSpacing/>
        <w:jc w:val="both"/>
        <w:rPr>
          <w:color w:val="212121"/>
          <w:sz w:val="22"/>
          <w:szCs w:val="22"/>
        </w:rPr>
      </w:pPr>
      <w:r w:rsidRPr="003600EF">
        <w:rPr>
          <w:rFonts w:eastAsia="Arial" w:cs="Arial"/>
          <w:b/>
          <w:bCs/>
          <w:color w:val="212121"/>
          <w:sz w:val="22"/>
          <w:szCs w:val="22"/>
        </w:rPr>
        <w:t xml:space="preserve"> </w:t>
      </w:r>
    </w:p>
    <w:p w:rsidRPr="003600EF" w:rsidR="4CF836FD" w:rsidP="0052139C" w:rsidRDefault="4CF836FD" w14:paraId="48781D89" w14:textId="392CC6F2">
      <w:pPr>
        <w:contextualSpacing/>
        <w:jc w:val="both"/>
        <w:rPr>
          <w:rFonts w:eastAsia="Arial" w:cs="Arial"/>
          <w:b/>
          <w:bCs/>
          <w:color w:val="212121"/>
          <w:sz w:val="22"/>
          <w:szCs w:val="22"/>
        </w:rPr>
      </w:pPr>
    </w:p>
    <w:p w:rsidRPr="003600EF" w:rsidR="5F6FB9E8" w:rsidP="0052139C" w:rsidRDefault="5ACFF221" w14:paraId="3208C023" w14:textId="0FDF7992">
      <w:pPr>
        <w:contextualSpacing/>
        <w:jc w:val="both"/>
        <w:rPr>
          <w:color w:val="212121"/>
          <w:sz w:val="22"/>
          <w:szCs w:val="22"/>
        </w:rPr>
      </w:pPr>
      <w:r w:rsidRPr="003600EF">
        <w:rPr>
          <w:rFonts w:eastAsia="Arial" w:cs="Arial"/>
          <w:b/>
          <w:bCs/>
          <w:color w:val="212121"/>
          <w:sz w:val="22"/>
          <w:szCs w:val="22"/>
        </w:rPr>
        <w:t>Equity</w:t>
      </w:r>
    </w:p>
    <w:p w:rsidRPr="003600EF" w:rsidR="5F6FB9E8" w:rsidP="0052139C" w:rsidRDefault="5ACFF221" w14:paraId="3057F875" w14:textId="01CD0E50">
      <w:pPr>
        <w:contextualSpacing/>
        <w:jc w:val="both"/>
        <w:rPr>
          <w:rFonts w:eastAsia="Arial" w:cs="Arial"/>
          <w:color w:val="212121"/>
          <w:sz w:val="22"/>
          <w:szCs w:val="22"/>
        </w:rPr>
      </w:pPr>
      <w:r w:rsidRPr="003600EF">
        <w:rPr>
          <w:rFonts w:eastAsia="Arial" w:cs="Arial"/>
          <w:color w:val="212121"/>
          <w:sz w:val="22"/>
          <w:szCs w:val="22"/>
        </w:rPr>
        <w:t xml:space="preserve">In 2021 a gender section was added in the MFF </w:t>
      </w:r>
      <w:r w:rsidRPr="003600EF" w:rsidR="3713721B">
        <w:rPr>
          <w:rFonts w:eastAsia="Arial" w:cs="Arial"/>
          <w:color w:val="212121"/>
          <w:sz w:val="22"/>
          <w:szCs w:val="22"/>
        </w:rPr>
        <w:t>Programme</w:t>
      </w:r>
      <w:r w:rsidRPr="003600EF">
        <w:rPr>
          <w:rFonts w:eastAsia="Arial" w:cs="Arial"/>
          <w:color w:val="212121"/>
          <w:sz w:val="22"/>
          <w:szCs w:val="22"/>
        </w:rPr>
        <w:t xml:space="preserve"> Evaluation Form that complements CIP reporting processes. This section ensures that gender equality and gender strategies / policies are a part of potential investees’ evaluation at an early stage. In 2022, an additional section on gender requirements has been drafted in the MFF Investment Criteria. The section is meant to further incentivize Investment Officers to discuss opportunities to promote gender equality with clients. Equity and fairness (beyond gender equity) is also an E&amp;S standard commonly assessed and promoted by FMO’s investment teams. In 2025 these sections continued to be used in the MFF investment process. </w:t>
      </w:r>
    </w:p>
    <w:p w:rsidRPr="003600EF" w:rsidR="5F6FB9E8" w:rsidP="0052139C" w:rsidRDefault="5ACFF221" w14:paraId="57BA9DEA" w14:textId="71ED4AEF">
      <w:pPr>
        <w:contextualSpacing/>
        <w:jc w:val="both"/>
        <w:rPr>
          <w:color w:val="212121"/>
          <w:sz w:val="22"/>
          <w:szCs w:val="22"/>
        </w:rPr>
      </w:pPr>
      <w:r w:rsidRPr="003600EF">
        <w:rPr>
          <w:rFonts w:eastAsia="Arial" w:cs="Arial"/>
          <w:color w:val="212121"/>
          <w:sz w:val="22"/>
          <w:szCs w:val="22"/>
        </w:rPr>
        <w:t xml:space="preserve"> </w:t>
      </w:r>
    </w:p>
    <w:p w:rsidR="00784BC2" w:rsidRDefault="00784BC2" w14:paraId="649EE0A2" w14:textId="77777777">
      <w:pPr>
        <w:jc w:val="both"/>
        <w:rPr>
          <w:kern w:val="2"/>
          <w:lang w:eastAsia="en-GB"/>
          <w14:ligatures w14:val="standardContextual"/>
        </w:rPr>
      </w:pPr>
      <w:r>
        <w:rPr>
          <w:color w:val="212121"/>
          <w:sz w:val="22"/>
          <w:szCs w:val="22"/>
        </w:rPr>
        <w:t>In terms of Equity, FMO follows the IFC Performance standards for environmental and social sustainability and we require our investees to adhere to these standards. As part of these requirements, our clients must for instance undertake a Stakeholder Engagement Planning exercise and a Social Mapping in areas influenced by projects. These exercises aim at identifying and working with vulnerable groups, identifying potential negative impacts, as well as positive opportunities to work with local communities. In addition to the development of a Stakeholder Engagement Plan, IFC PS4 requires the development of a Community Health and Safety Management Plan that aims to outline activities that can be implemented to address inequalities. Throughout their monitoring, clients must report on socio-economic indicators, adjust practices to avoid the worsening of inequality or identified new risks, and implement programmes that address identified issues, and that aim at reducing inequalities and promoting inclusiveness. MFF promoted these standards beyond our investments in 2025 through knowledge products produced by the LCIP, and through contribution to events and Communities of Practice, such as the DFI Knowledge Sharing Community of Practice on ESG Risk &amp; Impact Management for Forestry Investments which was held in October this year at the FMO offices. This session brought together E&amp;S staff from multiple European DFIs to, among others, discuss the importance of equity through proper E&amp;S management in forestry investments. </w:t>
      </w:r>
    </w:p>
    <w:p w:rsidRPr="003600EF" w:rsidR="5F6FB9E8" w:rsidP="5F6FB9E8" w:rsidRDefault="5F6FB9E8" w14:paraId="6DA5457E" w14:textId="16C67CC2">
      <w:pPr>
        <w:tabs>
          <w:tab w:val="right" w:leader="dot" w:pos="9710"/>
        </w:tabs>
        <w:contextualSpacing/>
        <w:jc w:val="both"/>
        <w:rPr>
          <w:rFonts w:eastAsia="Arial" w:cs="Arial"/>
          <w:color w:val="212121"/>
          <w:sz w:val="22"/>
          <w:szCs w:val="22"/>
        </w:rPr>
      </w:pPr>
    </w:p>
    <w:p w:rsidRPr="003600EF" w:rsidR="5F6FB9E8" w:rsidP="5F6FB9E8" w:rsidRDefault="5F6FB9E8" w14:paraId="246E905D" w14:textId="75B88216">
      <w:pPr>
        <w:tabs>
          <w:tab w:val="right" w:leader="dot" w:pos="9710"/>
        </w:tabs>
        <w:contextualSpacing/>
        <w:jc w:val="both"/>
        <w:rPr>
          <w:rFonts w:eastAsia="Arial" w:cs="Arial"/>
          <w:color w:val="212121"/>
          <w:sz w:val="22"/>
          <w:szCs w:val="22"/>
        </w:rPr>
      </w:pPr>
    </w:p>
    <w:p w:rsidRPr="003600EF" w:rsidR="5F6FB9E8" w:rsidP="5F6FB9E8" w:rsidRDefault="00B67EF4" w14:paraId="0F2C8F7A" w14:textId="70CB3AD5">
      <w:pPr>
        <w:tabs>
          <w:tab w:val="right" w:leader="dot" w:pos="9710"/>
        </w:tabs>
        <w:contextualSpacing/>
        <w:jc w:val="both"/>
        <w:rPr>
          <w:rFonts w:eastAsia="Arial" w:cs="Arial"/>
          <w:b/>
          <w:bCs/>
          <w:i/>
          <w:iCs/>
          <w:color w:val="212121"/>
          <w:sz w:val="22"/>
          <w:szCs w:val="22"/>
        </w:rPr>
      </w:pPr>
      <w:r w:rsidRPr="003600EF">
        <w:rPr>
          <w:rFonts w:eastAsia="Arial" w:cs="Arial"/>
          <w:b/>
          <w:bCs/>
          <w:i/>
          <w:iCs/>
          <w:color w:val="212121"/>
          <w:sz w:val="22"/>
          <w:szCs w:val="22"/>
        </w:rPr>
        <w:t>Paris Alignment</w:t>
      </w:r>
    </w:p>
    <w:p w:rsidRPr="003600EF" w:rsidR="00B67EF4" w:rsidP="5F6FB9E8" w:rsidRDefault="00B67EF4" w14:paraId="693051C7" w14:textId="77777777">
      <w:pPr>
        <w:tabs>
          <w:tab w:val="right" w:leader="dot" w:pos="9710"/>
        </w:tabs>
        <w:contextualSpacing/>
        <w:jc w:val="both"/>
        <w:rPr>
          <w:rFonts w:eastAsia="Arial" w:cs="Arial"/>
          <w:b/>
          <w:bCs/>
          <w:i/>
          <w:iCs/>
          <w:color w:val="212121"/>
          <w:sz w:val="22"/>
          <w:szCs w:val="22"/>
        </w:rPr>
      </w:pPr>
    </w:p>
    <w:p w:rsidRPr="003600EF" w:rsidR="00B67EF4" w:rsidP="5F6FB9E8" w:rsidRDefault="00B67EF4" w14:paraId="0696BCD0" w14:textId="31730F01">
      <w:pPr>
        <w:tabs>
          <w:tab w:val="right" w:leader="dot" w:pos="9710"/>
        </w:tabs>
        <w:contextualSpacing/>
        <w:jc w:val="both"/>
        <w:rPr>
          <w:rFonts w:eastAsia="Arial" w:cs="Arial"/>
          <w:color w:val="212121"/>
          <w:sz w:val="22"/>
          <w:szCs w:val="22"/>
        </w:rPr>
      </w:pPr>
      <w:r w:rsidRPr="003600EF">
        <w:rPr>
          <w:rFonts w:eastAsia="Arial" w:cs="Arial"/>
          <w:color w:val="212121"/>
          <w:sz w:val="22"/>
          <w:szCs w:val="22"/>
        </w:rPr>
        <w:t>This programme does not go against HMG's fossil fuel policy, nor does it go against partner countries' own climate plans. An assessment against DESNZ's Paris Alignment principles has been undertaken and climate and environment risks have been identified as within acceptable tolerances, consistent with prior assessments.</w:t>
      </w:r>
    </w:p>
    <w:p w:rsidRPr="003600EF" w:rsidR="3F76CE01" w:rsidP="662399CC" w:rsidRDefault="3F76CE01" w14:paraId="4F23DEC2" w14:textId="3F9CFBDC">
      <w:pPr>
        <w:tabs>
          <w:tab w:val="right" w:leader="dot" w:pos="9710"/>
        </w:tabs>
        <w:contextualSpacing/>
        <w:jc w:val="both"/>
        <w:rPr>
          <w:rFonts w:eastAsia="Arial" w:cs="Arial"/>
          <w:color w:val="21212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8"/>
        <w:gridCol w:w="4508"/>
      </w:tblGrid>
      <w:tr w:rsidRPr="001B0614" w:rsidR="24958D28" w:rsidTr="1E906FAD" w14:paraId="36D3E058"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3A09DD08" w14:textId="578BBF12">
            <w:pPr>
              <w:spacing w:line="276" w:lineRule="auto"/>
              <w:rPr>
                <w:rFonts w:eastAsia="Arial" w:cs="Arial"/>
                <w:color w:val="212121"/>
                <w:sz w:val="22"/>
                <w:szCs w:val="22"/>
              </w:rPr>
            </w:pPr>
            <w:r w:rsidRPr="001B0614">
              <w:rPr>
                <w:rFonts w:eastAsia="Arial" w:cs="Arial"/>
                <w:b/>
                <w:bCs/>
                <w:color w:val="212121"/>
                <w:sz w:val="22"/>
                <w:szCs w:val="22"/>
              </w:rPr>
              <w:t>Paris alignment pillar</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5BAE3890" w14:textId="4ABF44DD">
            <w:pPr>
              <w:spacing w:line="276" w:lineRule="auto"/>
              <w:rPr>
                <w:rFonts w:eastAsia="Arial" w:cs="Arial"/>
                <w:color w:val="212121"/>
                <w:sz w:val="22"/>
                <w:szCs w:val="22"/>
              </w:rPr>
            </w:pPr>
            <w:r w:rsidRPr="001B0614">
              <w:rPr>
                <w:rFonts w:eastAsia="Arial" w:cs="Arial"/>
                <w:b/>
                <w:bCs/>
                <w:color w:val="212121"/>
                <w:sz w:val="22"/>
                <w:szCs w:val="22"/>
              </w:rPr>
              <w:t>Description of activity</w:t>
            </w:r>
          </w:p>
        </w:tc>
      </w:tr>
      <w:tr w:rsidRPr="001B0614" w:rsidR="24958D28" w:rsidTr="1E906FAD" w14:paraId="74634EF1"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74026F1A" w14:textId="628C2CE7">
            <w:pPr>
              <w:spacing w:line="276" w:lineRule="auto"/>
              <w:rPr>
                <w:rFonts w:eastAsia="Arial" w:cs="Arial"/>
                <w:color w:val="212121"/>
                <w:sz w:val="22"/>
                <w:szCs w:val="22"/>
              </w:rPr>
            </w:pPr>
            <w:r w:rsidRPr="001B0614">
              <w:rPr>
                <w:rFonts w:eastAsia="Arial" w:cs="Arial"/>
                <w:color w:val="212121"/>
                <w:sz w:val="22"/>
                <w:szCs w:val="22"/>
              </w:rPr>
              <w:t>How have you taken a proportional approach to climate and environment risk assurance?</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206AEC96" w14:textId="23B51A95">
            <w:pPr>
              <w:spacing w:line="276" w:lineRule="auto"/>
              <w:rPr>
                <w:rFonts w:eastAsia="Arial" w:cs="Arial"/>
                <w:color w:val="212121"/>
                <w:sz w:val="22"/>
                <w:szCs w:val="22"/>
              </w:rPr>
            </w:pPr>
            <w:r w:rsidRPr="001B0614">
              <w:rPr>
                <w:rFonts w:eastAsia="Arial" w:cs="Arial"/>
                <w:color w:val="212121"/>
                <w:sz w:val="22"/>
                <w:szCs w:val="22"/>
              </w:rPr>
              <w:t xml:space="preserve"> </w:t>
            </w:r>
            <w:r w:rsidRPr="001B0614" w:rsidR="0013582F">
              <w:rPr>
                <w:rFonts w:eastAsia="Arial" w:cs="Arial"/>
                <w:color w:val="212121"/>
                <w:sz w:val="22"/>
                <w:szCs w:val="22"/>
              </w:rPr>
              <w:t>A Climate and Environment Risk Assessment was undertaken; risk was identified as major but within acceptable tolerances. All investments are screened against IFC Performance Standards, which include climate risk assessment requirements.</w:t>
            </w:r>
          </w:p>
        </w:tc>
      </w:tr>
      <w:tr w:rsidRPr="001B0614" w:rsidR="24958D28" w:rsidTr="1E906FAD" w14:paraId="24F160CD"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37F94F6E" w14:textId="4E36E106">
            <w:pPr>
              <w:spacing w:line="276" w:lineRule="auto"/>
              <w:rPr>
                <w:rFonts w:eastAsia="Arial" w:cs="Arial"/>
                <w:color w:val="212121"/>
                <w:sz w:val="22"/>
                <w:szCs w:val="22"/>
              </w:rPr>
            </w:pPr>
            <w:r w:rsidRPr="001B0614">
              <w:rPr>
                <w:rFonts w:eastAsia="Arial" w:cs="Arial"/>
                <w:color w:val="212121"/>
                <w:sz w:val="22"/>
                <w:szCs w:val="22"/>
              </w:rPr>
              <w:t>How have you taken a proportional approach to using shadow carbon pricing?</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0013582F" w14:paraId="1043457E" w14:textId="23F3FAE2">
            <w:pPr>
              <w:spacing w:line="276" w:lineRule="auto"/>
              <w:rPr>
                <w:rFonts w:eastAsia="Arial" w:cs="Arial"/>
                <w:color w:val="212121"/>
                <w:sz w:val="22"/>
                <w:szCs w:val="22"/>
              </w:rPr>
            </w:pPr>
            <w:r w:rsidRPr="001B0614">
              <w:rPr>
                <w:rFonts w:eastAsia="Arial" w:cs="Arial"/>
                <w:color w:val="212121"/>
                <w:sz w:val="22"/>
                <w:szCs w:val="22"/>
              </w:rPr>
              <w:t>Carbon pricing has been incorporated into the economic appraisal for the MFF Extension Business Case. Not required for individual investment decisions, which are assessed by FMO using market-based return criteria.</w:t>
            </w:r>
          </w:p>
        </w:tc>
      </w:tr>
      <w:tr w:rsidRPr="001B0614" w:rsidR="24958D28" w:rsidTr="1E906FAD" w14:paraId="3A0589D5" w14:textId="77777777">
        <w:trPr>
          <w:trHeight w:val="30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51F4163E" w14:textId="7A3B8384">
            <w:pPr>
              <w:spacing w:line="276" w:lineRule="auto"/>
              <w:rPr>
                <w:rFonts w:eastAsia="Arial" w:cs="Arial"/>
                <w:color w:val="212121"/>
                <w:sz w:val="22"/>
                <w:szCs w:val="22"/>
              </w:rPr>
            </w:pPr>
            <w:r w:rsidRPr="001B0614">
              <w:rPr>
                <w:rFonts w:eastAsia="Arial" w:cs="Arial"/>
                <w:color w:val="212121"/>
                <w:sz w:val="22"/>
                <w:szCs w:val="22"/>
              </w:rPr>
              <w:t xml:space="preserve">Does the </w:t>
            </w:r>
            <w:r w:rsidRPr="001B0614" w:rsidR="3713721B">
              <w:rPr>
                <w:rFonts w:eastAsia="Arial" w:cs="Arial"/>
                <w:color w:val="212121"/>
                <w:sz w:val="22"/>
                <w:szCs w:val="22"/>
              </w:rPr>
              <w:t>programme</w:t>
            </w:r>
            <w:r w:rsidRPr="001B0614">
              <w:rPr>
                <w:rFonts w:eastAsia="Arial" w:cs="Arial"/>
                <w:color w:val="212121"/>
                <w:sz w:val="22"/>
                <w:szCs w:val="22"/>
              </w:rPr>
              <w:t xml:space="preserve"> adhere to HMG’s fossil fuel policy?</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0013582F" w14:paraId="4D99C99B" w14:textId="404C6F07">
            <w:pPr>
              <w:spacing w:line="276" w:lineRule="auto"/>
              <w:rPr>
                <w:rFonts w:eastAsia="Arial" w:cs="Arial"/>
                <w:color w:val="212121"/>
                <w:sz w:val="22"/>
                <w:szCs w:val="22"/>
              </w:rPr>
            </w:pPr>
            <w:r w:rsidRPr="001B0614">
              <w:rPr>
                <w:rFonts w:eastAsia="Arial" w:cs="Arial"/>
                <w:color w:val="212121"/>
                <w:sz w:val="22"/>
                <w:szCs w:val="22"/>
              </w:rPr>
              <w:t>Yes. MFF does not include any elements relating to fossil fuel support and is fully consistent with HMG's fossil fuel policy.</w:t>
            </w:r>
          </w:p>
        </w:tc>
      </w:tr>
      <w:tr w:rsidRPr="001B0614" w:rsidR="24958D28" w:rsidTr="1E906FAD" w14:paraId="5AFB0C88" w14:textId="77777777">
        <w:trPr>
          <w:trHeight w:val="990"/>
        </w:trPr>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24958D28" w14:paraId="046BB519" w14:textId="7FAC40AE">
            <w:pPr>
              <w:spacing w:line="276" w:lineRule="auto"/>
              <w:rPr>
                <w:rFonts w:eastAsia="Arial" w:cs="Arial"/>
                <w:color w:val="212121"/>
                <w:sz w:val="22"/>
                <w:szCs w:val="22"/>
              </w:rPr>
            </w:pPr>
            <w:r w:rsidRPr="001B0614">
              <w:rPr>
                <w:rFonts w:eastAsia="Arial" w:cs="Arial"/>
                <w:color w:val="212121"/>
                <w:sz w:val="22"/>
                <w:szCs w:val="22"/>
              </w:rPr>
              <w:t xml:space="preserve">Are you ensuring the </w:t>
            </w:r>
            <w:r w:rsidRPr="001B0614" w:rsidR="3713721B">
              <w:rPr>
                <w:rFonts w:eastAsia="Arial" w:cs="Arial"/>
                <w:color w:val="212121"/>
                <w:sz w:val="22"/>
                <w:szCs w:val="22"/>
              </w:rPr>
              <w:t>programme</w:t>
            </w:r>
            <w:r w:rsidRPr="001B0614">
              <w:rPr>
                <w:rFonts w:eastAsia="Arial" w:cs="Arial"/>
                <w:color w:val="212121"/>
                <w:sz w:val="22"/>
                <w:szCs w:val="22"/>
              </w:rPr>
              <w:t xml:space="preserve"> does not undermine impacted countries climate plans?</w:t>
            </w:r>
          </w:p>
        </w:tc>
        <w:tc>
          <w:tcPr>
            <w:tcW w:w="4508" w:type="dxa"/>
            <w:tcBorders>
              <w:top w:val="single" w:color="A3A3A3" w:sz="6" w:space="0"/>
              <w:left w:val="single" w:color="A3A3A3" w:sz="6" w:space="0"/>
              <w:bottom w:val="single" w:color="A3A3A3" w:sz="6" w:space="0"/>
              <w:right w:val="single" w:color="A3A3A3" w:sz="6" w:space="0"/>
            </w:tcBorders>
            <w:tcMar>
              <w:top w:w="75" w:type="dxa"/>
              <w:left w:w="75" w:type="dxa"/>
              <w:bottom w:w="75" w:type="dxa"/>
              <w:right w:w="75" w:type="dxa"/>
            </w:tcMar>
          </w:tcPr>
          <w:p w:rsidRPr="001B0614" w:rsidR="24958D28" w:rsidP="662399CC" w:rsidRDefault="00B52D14" w14:paraId="6B3574C7" w14:textId="10B21914">
            <w:pPr>
              <w:spacing w:line="276" w:lineRule="auto"/>
              <w:rPr>
                <w:rFonts w:eastAsia="Arial" w:cs="Arial"/>
                <w:color w:val="212121"/>
                <w:sz w:val="22"/>
                <w:szCs w:val="22"/>
              </w:rPr>
            </w:pPr>
            <w:r w:rsidRPr="001B0614">
              <w:rPr>
                <w:rFonts w:eastAsia="Arial" w:cs="Arial"/>
                <w:color w:val="212121"/>
                <w:sz w:val="22"/>
                <w:szCs w:val="22"/>
              </w:rPr>
              <w:t>MFF investments are aligned with host countries' NDC commitments. Investments are required to support forest protection or sustainable land use in ways that complement rather than undermine national climate and forest policies. Assessment against NDCs is delegated to FMO and embedded in the investment due diligence process, as agreed in the Contribution Agreement.</w:t>
            </w:r>
          </w:p>
        </w:tc>
      </w:tr>
    </w:tbl>
    <w:p w:rsidRPr="003600EF" w:rsidR="24958D28" w:rsidP="24958D28" w:rsidRDefault="24958D28" w14:paraId="54553C26" w14:textId="50981ECF">
      <w:pPr>
        <w:jc w:val="both"/>
        <w:rPr>
          <w:rFonts w:cs="Arial"/>
          <w:color w:val="212121"/>
          <w:sz w:val="22"/>
          <w:szCs w:val="22"/>
        </w:rPr>
      </w:pPr>
    </w:p>
    <w:p w:rsidRPr="003600EF" w:rsidR="24958D28" w:rsidP="24958D28" w:rsidRDefault="24958D28" w14:paraId="31875769" w14:textId="07D42045">
      <w:pPr>
        <w:jc w:val="both"/>
        <w:rPr>
          <w:rFonts w:cs="Arial"/>
          <w:color w:val="212121"/>
          <w:sz w:val="22"/>
          <w:szCs w:val="22"/>
        </w:rPr>
      </w:pPr>
    </w:p>
    <w:tbl>
      <w:tblPr>
        <w:tblStyle w:val="TableGrid"/>
        <w:tblW w:w="0" w:type="auto"/>
        <w:tblInd w:w="-5" w:type="dxa"/>
        <w:tblLook w:val="04A0" w:firstRow="1" w:lastRow="0" w:firstColumn="1" w:lastColumn="0" w:noHBand="0" w:noVBand="1"/>
      </w:tblPr>
      <w:tblGrid>
        <w:gridCol w:w="4508"/>
        <w:gridCol w:w="2268"/>
      </w:tblGrid>
      <w:tr w:rsidRPr="001B0614" w:rsidR="005B2819" w:rsidTr="00995F8D" w14:paraId="237FE329"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31FF5132" w14:textId="77777777">
            <w:pPr>
              <w:jc w:val="both"/>
              <w:rPr>
                <w:rFonts w:cs="Arial"/>
                <w:color w:val="212121"/>
                <w:sz w:val="22"/>
                <w:szCs w:val="22"/>
              </w:rPr>
            </w:pPr>
            <w:r w:rsidRPr="003600EF">
              <w:rPr>
                <w:rFonts w:cs="Arial"/>
                <w:color w:val="212121"/>
                <w:sz w:val="22"/>
                <w:szCs w:val="22"/>
              </w:rPr>
              <w:t>Date of last narrative financial report</w:t>
            </w:r>
          </w:p>
        </w:tc>
        <w:tc>
          <w:tcPr>
            <w:tcW w:w="2268" w:type="dxa"/>
            <w:tcBorders>
              <w:top w:val="single" w:color="auto" w:sz="4" w:space="0"/>
              <w:left w:val="single" w:color="auto" w:sz="4" w:space="0"/>
              <w:bottom w:val="single" w:color="auto" w:sz="4" w:space="0"/>
              <w:right w:val="single" w:color="auto" w:sz="4" w:space="0"/>
            </w:tcBorders>
          </w:tcPr>
          <w:p w:rsidRPr="003600EF" w:rsidR="003D222C" w:rsidP="004D5FD5" w:rsidRDefault="00172A48" w14:paraId="2ADAB5DF" w14:textId="5DE227D7">
            <w:pPr>
              <w:jc w:val="both"/>
              <w:rPr>
                <w:rFonts w:cs="Arial"/>
                <w:color w:val="212121"/>
                <w:sz w:val="22"/>
                <w:szCs w:val="22"/>
              </w:rPr>
            </w:pPr>
            <w:r w:rsidRPr="003600EF">
              <w:rPr>
                <w:rFonts w:cs="Arial"/>
                <w:color w:val="212121"/>
                <w:sz w:val="22"/>
                <w:szCs w:val="22"/>
              </w:rPr>
              <w:t>31/03/2026</w:t>
            </w:r>
          </w:p>
        </w:tc>
      </w:tr>
      <w:tr w:rsidRPr="001B0614" w:rsidR="005B2819" w:rsidTr="00995F8D" w14:paraId="1FE89B21" w14:textId="77777777">
        <w:tc>
          <w:tcPr>
            <w:tcW w:w="4508"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600EF" w:rsidR="003D222C" w:rsidP="004D5FD5" w:rsidRDefault="003D222C" w14:paraId="7C3A69BE" w14:textId="77777777">
            <w:pPr>
              <w:jc w:val="both"/>
              <w:rPr>
                <w:rFonts w:cs="Arial"/>
                <w:color w:val="212121"/>
                <w:sz w:val="22"/>
                <w:szCs w:val="22"/>
              </w:rPr>
            </w:pPr>
            <w:r w:rsidRPr="003600EF">
              <w:rPr>
                <w:rFonts w:cs="Arial"/>
                <w:color w:val="212121"/>
                <w:sz w:val="22"/>
                <w:szCs w:val="22"/>
              </w:rPr>
              <w:t>Date of last audited annual statement</w:t>
            </w:r>
          </w:p>
        </w:tc>
        <w:tc>
          <w:tcPr>
            <w:tcW w:w="2268" w:type="dxa"/>
            <w:tcBorders>
              <w:top w:val="single" w:color="auto" w:sz="4" w:space="0"/>
              <w:left w:val="single" w:color="auto" w:sz="4" w:space="0"/>
              <w:bottom w:val="single" w:color="auto" w:sz="4" w:space="0"/>
              <w:right w:val="single" w:color="auto" w:sz="4" w:space="0"/>
            </w:tcBorders>
          </w:tcPr>
          <w:p w:rsidRPr="003600EF" w:rsidR="003D222C" w:rsidP="004D5FD5" w:rsidRDefault="00172A48" w14:paraId="67F793A9" w14:textId="66A8AD50">
            <w:pPr>
              <w:jc w:val="both"/>
              <w:rPr>
                <w:rFonts w:cs="Arial"/>
                <w:color w:val="212121"/>
                <w:sz w:val="22"/>
                <w:szCs w:val="22"/>
              </w:rPr>
            </w:pPr>
            <w:r w:rsidRPr="003600EF">
              <w:rPr>
                <w:rFonts w:cs="Arial"/>
                <w:color w:val="212121"/>
                <w:sz w:val="22"/>
                <w:szCs w:val="22"/>
              </w:rPr>
              <w:t>31/03/2026</w:t>
            </w:r>
          </w:p>
        </w:tc>
      </w:tr>
    </w:tbl>
    <w:p w:rsidRPr="003600EF" w:rsidR="003D222C" w:rsidP="004D5FD5" w:rsidRDefault="003D222C" w14:paraId="39940792" w14:textId="77777777">
      <w:pPr>
        <w:spacing w:after="160" w:line="259" w:lineRule="auto"/>
        <w:jc w:val="both"/>
        <w:rPr>
          <w:rFonts w:cs="Arial"/>
          <w:color w:val="212121"/>
          <w:sz w:val="22"/>
          <w:szCs w:val="22"/>
        </w:rPr>
      </w:pPr>
    </w:p>
    <w:p w:rsidRPr="003600EF" w:rsidR="003D222C" w:rsidP="004D5FD5" w:rsidRDefault="003D222C" w14:paraId="4AB97E44" w14:textId="77777777">
      <w:pPr>
        <w:jc w:val="both"/>
        <w:rPr>
          <w:rFonts w:cs="Arial"/>
          <w:color w:val="212121"/>
          <w:sz w:val="22"/>
          <w:szCs w:val="22"/>
        </w:rPr>
      </w:pPr>
    </w:p>
    <w:sectPr w:rsidRPr="003600EF" w:rsidR="003D222C" w:rsidSect="001C6CE4">
      <w:headerReference w:type="default" r:id="rId19"/>
      <w:footerReference w:type="default" r:id="rId20"/>
      <w:headerReference w:type="first" r:id="rId21"/>
      <w:footerReference w:type="first" r:id="rId22"/>
      <w:pgSz w:w="11906" w:h="16838" w:orient="portrait"/>
      <w:pgMar w:top="709" w:right="1440" w:bottom="709" w:left="1440"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240" w:rsidP="003D222C" w:rsidRDefault="00390240" w14:paraId="6F316E68" w14:textId="77777777">
      <w:r>
        <w:separator/>
      </w:r>
    </w:p>
  </w:endnote>
  <w:endnote w:type="continuationSeparator" w:id="0">
    <w:p w:rsidR="00390240" w:rsidP="003D222C" w:rsidRDefault="00390240" w14:paraId="0C70E5A5" w14:textId="77777777">
      <w:r>
        <w:continuationSeparator/>
      </w:r>
    </w:p>
  </w:endnote>
  <w:endnote w:type="continuationNotice" w:id="1">
    <w:p w:rsidR="00390240" w:rsidRDefault="00390240" w14:paraId="00334E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779427"/>
      <w:docPartObj>
        <w:docPartGallery w:val="Page Numbers (Bottom of Page)"/>
        <w:docPartUnique/>
      </w:docPartObj>
    </w:sdtPr>
    <w:sdtEndPr>
      <w:rPr>
        <w:noProof/>
      </w:rPr>
    </w:sdtEndPr>
    <w:sdtContent>
      <w:p w:rsidR="00920D19" w:rsidRDefault="00920D19" w14:paraId="6505D46B" w14:textId="26A3B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0D19" w:rsidRDefault="00920D19" w14:paraId="1D8727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0217" w:rsidP="00090217" w:rsidRDefault="5D4E727A" w14:paraId="368DDCA5" w14:textId="38BCC023">
    <w:pPr>
      <w:pStyle w:val="BEISDate"/>
    </w:pPr>
    <w:r>
      <w:t>April 2026</w:t>
    </w:r>
  </w:p>
  <w:p w:rsidR="00090217" w:rsidRDefault="00090217" w14:paraId="4E83EF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240" w:rsidP="003D222C" w:rsidRDefault="00390240" w14:paraId="00CAAC2E" w14:textId="77777777">
      <w:r>
        <w:separator/>
      </w:r>
    </w:p>
  </w:footnote>
  <w:footnote w:type="continuationSeparator" w:id="0">
    <w:p w:rsidR="00390240" w:rsidP="003D222C" w:rsidRDefault="00390240" w14:paraId="6EF071D1" w14:textId="77777777">
      <w:r>
        <w:continuationSeparator/>
      </w:r>
    </w:p>
  </w:footnote>
  <w:footnote w:type="continuationNotice" w:id="1">
    <w:p w:rsidR="00390240" w:rsidRDefault="00390240" w14:paraId="7BD8035F" w14:textId="77777777"/>
  </w:footnote>
  <w:footnote w:id="2">
    <w:p w:rsidR="00EF5E01" w:rsidRDefault="00EF5E01" w14:paraId="5E7304AA" w14:textId="446B9B04">
      <w:pPr>
        <w:pStyle w:val="FootnoteText"/>
      </w:pPr>
      <w:r>
        <w:rPr>
          <w:rStyle w:val="FootnoteReference"/>
        </w:rPr>
        <w:footnoteRef/>
      </w:r>
      <w:r>
        <w:t xml:space="preserve"> </w:t>
      </w:r>
      <w:hyperlink w:history="1" r:id="rId1">
        <w:r w:rsidRPr="00EF5E01">
          <w:rPr>
            <w:rStyle w:val="Hyperlink"/>
          </w:rPr>
          <w:t>Lessons from 30 years of African commercial forestry investments and implications for the future</w:t>
        </w:r>
        <w:r>
          <w:rPr>
            <w:rStyle w:val="Hyperlink"/>
          </w:rPr>
          <w:t xml:space="preserve">: </w:t>
        </w:r>
        <w:r w:rsidRPr="00EF5E01">
          <w:rPr>
            <w:rStyle w:val="Hyperlink"/>
          </w:rPr>
          <w:t xml:space="preserve"> Gatsby Africa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9F6F154" w:rsidP="39F6F154" w:rsidRDefault="39F6F154" w14:paraId="639BB7A7" w14:textId="0703BC68">
    <w:pPr>
      <w:pStyle w:val="Header"/>
      <w:pBdr>
        <w:bottom w:val="single" w:color="2B7EE2" w:sz="2" w:space="3"/>
      </w:pBdr>
      <w:rPr>
        <w:color w:val="041E42"/>
        <w:sz w:val="22"/>
        <w:szCs w:val="22"/>
      </w:rPr>
    </w:pPr>
    <w:r w:rsidRPr="39F6F154">
      <w:rPr>
        <w:color w:val="041E42"/>
        <w:sz w:val="22"/>
        <w:szCs w:val="22"/>
      </w:rPr>
      <w:t>Mobilising Finance for Forests Annual Review 2025</w:t>
    </w:r>
  </w:p>
  <w:p w:rsidR="00164467" w:rsidRDefault="00164467" w14:paraId="0FC91CB9" w14:textId="2FF51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7FEB" w:rsidRDefault="00E64702" w14:paraId="227BA78C" w14:textId="2ECCA5CD">
    <w:pPr>
      <w:pStyle w:val="Header"/>
    </w:pPr>
    <w:r>
      <w:rPr>
        <w:noProof/>
      </w:rPr>
      <w:drawing>
        <wp:inline distT="0" distB="0" distL="0" distR="0" wp14:anchorId="653BEA8C" wp14:editId="2F7827DB">
          <wp:extent cx="2131029" cy="936702"/>
          <wp:effectExtent l="0" t="0" r="0" b="0"/>
          <wp:docPr id="1165208529" name="Picture 11652085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0852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930" cy="944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CDC1"/>
    <w:multiLevelType w:val="hybridMultilevel"/>
    <w:tmpl w:val="FFFFFFFF"/>
    <w:lvl w:ilvl="0" w:tplc="1660B43A">
      <w:start w:val="1"/>
      <w:numFmt w:val="bullet"/>
      <w:lvlText w:val=""/>
      <w:lvlJc w:val="left"/>
      <w:pPr>
        <w:ind w:left="720" w:hanging="360"/>
      </w:pPr>
      <w:rPr>
        <w:rFonts w:hint="default" w:ascii="Symbol" w:hAnsi="Symbol"/>
      </w:rPr>
    </w:lvl>
    <w:lvl w:ilvl="1" w:tplc="91005948">
      <w:start w:val="1"/>
      <w:numFmt w:val="bullet"/>
      <w:lvlText w:val="o"/>
      <w:lvlJc w:val="left"/>
      <w:pPr>
        <w:ind w:left="1009" w:hanging="363"/>
      </w:pPr>
      <w:rPr>
        <w:rFonts w:hint="default" w:ascii="Courier New" w:hAnsi="Courier New"/>
      </w:rPr>
    </w:lvl>
    <w:lvl w:ilvl="2" w:tplc="8F6A8264">
      <w:start w:val="1"/>
      <w:numFmt w:val="bullet"/>
      <w:lvlText w:val=""/>
      <w:lvlJc w:val="left"/>
      <w:pPr>
        <w:ind w:left="2160" w:hanging="360"/>
      </w:pPr>
      <w:rPr>
        <w:rFonts w:hint="default" w:ascii="Wingdings" w:hAnsi="Wingdings"/>
      </w:rPr>
    </w:lvl>
    <w:lvl w:ilvl="3" w:tplc="C33C9152">
      <w:start w:val="1"/>
      <w:numFmt w:val="bullet"/>
      <w:lvlText w:val=""/>
      <w:lvlJc w:val="left"/>
      <w:pPr>
        <w:ind w:left="2880" w:hanging="360"/>
      </w:pPr>
      <w:rPr>
        <w:rFonts w:hint="default" w:ascii="Symbol" w:hAnsi="Symbol"/>
      </w:rPr>
    </w:lvl>
    <w:lvl w:ilvl="4" w:tplc="91001D70">
      <w:start w:val="1"/>
      <w:numFmt w:val="bullet"/>
      <w:lvlText w:val="o"/>
      <w:lvlJc w:val="left"/>
      <w:pPr>
        <w:ind w:left="3600" w:hanging="360"/>
      </w:pPr>
      <w:rPr>
        <w:rFonts w:hint="default" w:ascii="Courier New" w:hAnsi="Courier New"/>
      </w:rPr>
    </w:lvl>
    <w:lvl w:ilvl="5" w:tplc="A634C5A2">
      <w:start w:val="1"/>
      <w:numFmt w:val="bullet"/>
      <w:lvlText w:val=""/>
      <w:lvlJc w:val="left"/>
      <w:pPr>
        <w:ind w:left="4320" w:hanging="360"/>
      </w:pPr>
      <w:rPr>
        <w:rFonts w:hint="default" w:ascii="Wingdings" w:hAnsi="Wingdings"/>
      </w:rPr>
    </w:lvl>
    <w:lvl w:ilvl="6" w:tplc="78E8C1B6">
      <w:start w:val="1"/>
      <w:numFmt w:val="bullet"/>
      <w:lvlText w:val=""/>
      <w:lvlJc w:val="left"/>
      <w:pPr>
        <w:ind w:left="5040" w:hanging="360"/>
      </w:pPr>
      <w:rPr>
        <w:rFonts w:hint="default" w:ascii="Symbol" w:hAnsi="Symbol"/>
      </w:rPr>
    </w:lvl>
    <w:lvl w:ilvl="7" w:tplc="F3245FA2">
      <w:start w:val="1"/>
      <w:numFmt w:val="bullet"/>
      <w:lvlText w:val="o"/>
      <w:lvlJc w:val="left"/>
      <w:pPr>
        <w:ind w:left="5760" w:hanging="360"/>
      </w:pPr>
      <w:rPr>
        <w:rFonts w:hint="default" w:ascii="Courier New" w:hAnsi="Courier New"/>
      </w:rPr>
    </w:lvl>
    <w:lvl w:ilvl="8" w:tplc="3FFADDC4">
      <w:start w:val="1"/>
      <w:numFmt w:val="bullet"/>
      <w:lvlText w:val=""/>
      <w:lvlJc w:val="left"/>
      <w:pPr>
        <w:ind w:left="6480" w:hanging="360"/>
      </w:pPr>
      <w:rPr>
        <w:rFonts w:hint="default" w:ascii="Wingdings" w:hAnsi="Wingdings"/>
      </w:rPr>
    </w:lvl>
  </w:abstractNum>
  <w:abstractNum w:abstractNumId="1" w15:restartNumberingAfterBreak="0">
    <w:nsid w:val="093050B8"/>
    <w:multiLevelType w:val="hybridMultilevel"/>
    <w:tmpl w:val="98F8EE70"/>
    <w:lvl w:ilvl="0" w:tplc="C688E352">
      <w:start w:val="1"/>
      <w:numFmt w:val="bullet"/>
      <w:lvlText w:val=""/>
      <w:lvlJc w:val="left"/>
      <w:pPr>
        <w:ind w:left="720" w:hanging="360"/>
      </w:pPr>
      <w:rPr>
        <w:rFonts w:hint="default" w:ascii="Symbol" w:hAnsi="Symbol"/>
      </w:rPr>
    </w:lvl>
    <w:lvl w:ilvl="1" w:tplc="48E4C3B8">
      <w:start w:val="1"/>
      <w:numFmt w:val="bullet"/>
      <w:lvlText w:val="o"/>
      <w:lvlJc w:val="left"/>
      <w:pPr>
        <w:ind w:left="1440" w:hanging="360"/>
      </w:pPr>
      <w:rPr>
        <w:rFonts w:hint="default" w:ascii="Courier New" w:hAnsi="Courier New"/>
      </w:rPr>
    </w:lvl>
    <w:lvl w:ilvl="2" w:tplc="1C1CA3FE">
      <w:start w:val="1"/>
      <w:numFmt w:val="bullet"/>
      <w:lvlText w:val=""/>
      <w:lvlJc w:val="left"/>
      <w:pPr>
        <w:ind w:left="2160" w:hanging="360"/>
      </w:pPr>
      <w:rPr>
        <w:rFonts w:hint="default" w:ascii="Wingdings" w:hAnsi="Wingdings"/>
      </w:rPr>
    </w:lvl>
    <w:lvl w:ilvl="3" w:tplc="D4E026EA">
      <w:start w:val="1"/>
      <w:numFmt w:val="bullet"/>
      <w:lvlText w:val=""/>
      <w:lvlJc w:val="left"/>
      <w:pPr>
        <w:ind w:left="2880" w:hanging="360"/>
      </w:pPr>
      <w:rPr>
        <w:rFonts w:hint="default" w:ascii="Symbol" w:hAnsi="Symbol"/>
      </w:rPr>
    </w:lvl>
    <w:lvl w:ilvl="4" w:tplc="2AD82904">
      <w:start w:val="1"/>
      <w:numFmt w:val="bullet"/>
      <w:lvlText w:val="o"/>
      <w:lvlJc w:val="left"/>
      <w:pPr>
        <w:ind w:left="3600" w:hanging="360"/>
      </w:pPr>
      <w:rPr>
        <w:rFonts w:hint="default" w:ascii="Courier New" w:hAnsi="Courier New"/>
      </w:rPr>
    </w:lvl>
    <w:lvl w:ilvl="5" w:tplc="E780D8C6">
      <w:start w:val="1"/>
      <w:numFmt w:val="bullet"/>
      <w:lvlText w:val=""/>
      <w:lvlJc w:val="left"/>
      <w:pPr>
        <w:ind w:left="4320" w:hanging="360"/>
      </w:pPr>
      <w:rPr>
        <w:rFonts w:hint="default" w:ascii="Wingdings" w:hAnsi="Wingdings"/>
      </w:rPr>
    </w:lvl>
    <w:lvl w:ilvl="6" w:tplc="DB6A01E4">
      <w:start w:val="1"/>
      <w:numFmt w:val="bullet"/>
      <w:lvlText w:val=""/>
      <w:lvlJc w:val="left"/>
      <w:pPr>
        <w:ind w:left="5040" w:hanging="360"/>
      </w:pPr>
      <w:rPr>
        <w:rFonts w:hint="default" w:ascii="Symbol" w:hAnsi="Symbol"/>
      </w:rPr>
    </w:lvl>
    <w:lvl w:ilvl="7" w:tplc="DA9ABE7E">
      <w:start w:val="1"/>
      <w:numFmt w:val="bullet"/>
      <w:lvlText w:val="o"/>
      <w:lvlJc w:val="left"/>
      <w:pPr>
        <w:ind w:left="5760" w:hanging="360"/>
      </w:pPr>
      <w:rPr>
        <w:rFonts w:hint="default" w:ascii="Courier New" w:hAnsi="Courier New"/>
      </w:rPr>
    </w:lvl>
    <w:lvl w:ilvl="8" w:tplc="A1769A2C">
      <w:start w:val="1"/>
      <w:numFmt w:val="bullet"/>
      <w:lvlText w:val=""/>
      <w:lvlJc w:val="left"/>
      <w:pPr>
        <w:ind w:left="6480" w:hanging="360"/>
      </w:pPr>
      <w:rPr>
        <w:rFonts w:hint="default" w:ascii="Wingdings" w:hAnsi="Wingdings"/>
      </w:rPr>
    </w:lvl>
  </w:abstractNum>
  <w:abstractNum w:abstractNumId="2" w15:restartNumberingAfterBreak="0">
    <w:nsid w:val="123D226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C35234"/>
    <w:multiLevelType w:val="hybridMultilevel"/>
    <w:tmpl w:val="C9B8428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D862167"/>
    <w:multiLevelType w:val="multilevel"/>
    <w:tmpl w:val="FFFFFFFF"/>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5" w15:restartNumberingAfterBreak="0">
    <w:nsid w:val="21B13E5F"/>
    <w:multiLevelType w:val="hybridMultilevel"/>
    <w:tmpl w:val="1EDE7E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2356490D"/>
    <w:multiLevelType w:val="hybridMultilevel"/>
    <w:tmpl w:val="90A452C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87063C7"/>
    <w:multiLevelType w:val="multilevel"/>
    <w:tmpl w:val="FFFFFFFF"/>
    <w:lvl w:ilvl="0">
      <w:start w:val="3"/>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8" w15:restartNumberingAfterBreak="0">
    <w:nsid w:val="2C12A8B1"/>
    <w:multiLevelType w:val="hybridMultilevel"/>
    <w:tmpl w:val="FFFFFFFF"/>
    <w:lvl w:ilvl="0" w:tplc="ADA042A8">
      <w:start w:val="1"/>
      <w:numFmt w:val="bullet"/>
      <w:lvlText w:val=""/>
      <w:lvlJc w:val="left"/>
      <w:pPr>
        <w:ind w:left="855" w:hanging="360"/>
      </w:pPr>
      <w:rPr>
        <w:rFonts w:hint="default" w:ascii="Symbol" w:hAnsi="Symbol"/>
      </w:rPr>
    </w:lvl>
    <w:lvl w:ilvl="1" w:tplc="B3D8DE5C">
      <w:start w:val="1"/>
      <w:numFmt w:val="bullet"/>
      <w:lvlText w:val="o"/>
      <w:lvlJc w:val="left"/>
      <w:pPr>
        <w:ind w:left="1440" w:hanging="360"/>
      </w:pPr>
      <w:rPr>
        <w:rFonts w:hint="default" w:ascii="Courier New" w:hAnsi="Courier New"/>
      </w:rPr>
    </w:lvl>
    <w:lvl w:ilvl="2" w:tplc="EB966FB2">
      <w:start w:val="1"/>
      <w:numFmt w:val="bullet"/>
      <w:lvlText w:val=""/>
      <w:lvlJc w:val="left"/>
      <w:pPr>
        <w:ind w:left="2160" w:hanging="360"/>
      </w:pPr>
      <w:rPr>
        <w:rFonts w:hint="default" w:ascii="Wingdings" w:hAnsi="Wingdings"/>
      </w:rPr>
    </w:lvl>
    <w:lvl w:ilvl="3" w:tplc="8A26432C">
      <w:start w:val="1"/>
      <w:numFmt w:val="bullet"/>
      <w:lvlText w:val=""/>
      <w:lvlJc w:val="left"/>
      <w:pPr>
        <w:ind w:left="2880" w:hanging="360"/>
      </w:pPr>
      <w:rPr>
        <w:rFonts w:hint="default" w:ascii="Symbol" w:hAnsi="Symbol"/>
      </w:rPr>
    </w:lvl>
    <w:lvl w:ilvl="4" w:tplc="663A5348">
      <w:start w:val="1"/>
      <w:numFmt w:val="bullet"/>
      <w:lvlText w:val="o"/>
      <w:lvlJc w:val="left"/>
      <w:pPr>
        <w:ind w:left="3600" w:hanging="360"/>
      </w:pPr>
      <w:rPr>
        <w:rFonts w:hint="default" w:ascii="Courier New" w:hAnsi="Courier New"/>
      </w:rPr>
    </w:lvl>
    <w:lvl w:ilvl="5" w:tplc="6C0EDF9E">
      <w:start w:val="1"/>
      <w:numFmt w:val="bullet"/>
      <w:lvlText w:val=""/>
      <w:lvlJc w:val="left"/>
      <w:pPr>
        <w:ind w:left="4320" w:hanging="360"/>
      </w:pPr>
      <w:rPr>
        <w:rFonts w:hint="default" w:ascii="Wingdings" w:hAnsi="Wingdings"/>
      </w:rPr>
    </w:lvl>
    <w:lvl w:ilvl="6" w:tplc="3ACADAFC">
      <w:start w:val="1"/>
      <w:numFmt w:val="bullet"/>
      <w:lvlText w:val=""/>
      <w:lvlJc w:val="left"/>
      <w:pPr>
        <w:ind w:left="5040" w:hanging="360"/>
      </w:pPr>
      <w:rPr>
        <w:rFonts w:hint="default" w:ascii="Symbol" w:hAnsi="Symbol"/>
      </w:rPr>
    </w:lvl>
    <w:lvl w:ilvl="7" w:tplc="93B0552C">
      <w:start w:val="1"/>
      <w:numFmt w:val="bullet"/>
      <w:lvlText w:val="o"/>
      <w:lvlJc w:val="left"/>
      <w:pPr>
        <w:ind w:left="5760" w:hanging="360"/>
      </w:pPr>
      <w:rPr>
        <w:rFonts w:hint="default" w:ascii="Courier New" w:hAnsi="Courier New"/>
      </w:rPr>
    </w:lvl>
    <w:lvl w:ilvl="8" w:tplc="F61657F4">
      <w:start w:val="1"/>
      <w:numFmt w:val="bullet"/>
      <w:lvlText w:val=""/>
      <w:lvlJc w:val="left"/>
      <w:pPr>
        <w:ind w:left="6480" w:hanging="360"/>
      </w:pPr>
      <w:rPr>
        <w:rFonts w:hint="default" w:ascii="Wingdings" w:hAnsi="Wingdings"/>
      </w:rPr>
    </w:lvl>
  </w:abstractNum>
  <w:abstractNum w:abstractNumId="9" w15:restartNumberingAfterBreak="0">
    <w:nsid w:val="31774C53"/>
    <w:multiLevelType w:val="multilevel"/>
    <w:tmpl w:val="FFFFFFFF"/>
    <w:lvl w:ilvl="0">
      <w:start w:val="4"/>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15:restartNumberingAfterBreak="0">
    <w:nsid w:val="345426D5"/>
    <w:multiLevelType w:val="hybridMultilevel"/>
    <w:tmpl w:val="0ABA05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8B1824"/>
    <w:multiLevelType w:val="hybridMultilevel"/>
    <w:tmpl w:val="B2DE6B7C"/>
    <w:lvl w:ilvl="0" w:tplc="F1EA3112">
      <w:start w:val="1"/>
      <w:numFmt w:val="decimal"/>
      <w:lvlText w:val="%1."/>
      <w:lvlJc w:val="left"/>
      <w:pPr>
        <w:ind w:left="1020" w:hanging="360"/>
      </w:pPr>
    </w:lvl>
    <w:lvl w:ilvl="1" w:tplc="048E0C26">
      <w:start w:val="1"/>
      <w:numFmt w:val="decimal"/>
      <w:lvlText w:val="%2."/>
      <w:lvlJc w:val="left"/>
      <w:pPr>
        <w:ind w:left="1020" w:hanging="360"/>
      </w:pPr>
    </w:lvl>
    <w:lvl w:ilvl="2" w:tplc="7C960A96">
      <w:start w:val="1"/>
      <w:numFmt w:val="decimal"/>
      <w:lvlText w:val="%3."/>
      <w:lvlJc w:val="left"/>
      <w:pPr>
        <w:ind w:left="1020" w:hanging="360"/>
      </w:pPr>
    </w:lvl>
    <w:lvl w:ilvl="3" w:tplc="80CA29BC">
      <w:start w:val="1"/>
      <w:numFmt w:val="decimal"/>
      <w:lvlText w:val="%4."/>
      <w:lvlJc w:val="left"/>
      <w:pPr>
        <w:ind w:left="1020" w:hanging="360"/>
      </w:pPr>
    </w:lvl>
    <w:lvl w:ilvl="4" w:tplc="8B7238F8">
      <w:start w:val="1"/>
      <w:numFmt w:val="decimal"/>
      <w:lvlText w:val="%5."/>
      <w:lvlJc w:val="left"/>
      <w:pPr>
        <w:ind w:left="1020" w:hanging="360"/>
      </w:pPr>
    </w:lvl>
    <w:lvl w:ilvl="5" w:tplc="E4FC3F74">
      <w:start w:val="1"/>
      <w:numFmt w:val="decimal"/>
      <w:lvlText w:val="%6."/>
      <w:lvlJc w:val="left"/>
      <w:pPr>
        <w:ind w:left="1020" w:hanging="360"/>
      </w:pPr>
    </w:lvl>
    <w:lvl w:ilvl="6" w:tplc="A52CFFFC">
      <w:start w:val="1"/>
      <w:numFmt w:val="decimal"/>
      <w:lvlText w:val="%7."/>
      <w:lvlJc w:val="left"/>
      <w:pPr>
        <w:ind w:left="1020" w:hanging="360"/>
      </w:pPr>
    </w:lvl>
    <w:lvl w:ilvl="7" w:tplc="3502D480">
      <w:start w:val="1"/>
      <w:numFmt w:val="decimal"/>
      <w:lvlText w:val="%8."/>
      <w:lvlJc w:val="left"/>
      <w:pPr>
        <w:ind w:left="1020" w:hanging="360"/>
      </w:pPr>
    </w:lvl>
    <w:lvl w:ilvl="8" w:tplc="ABE87F02">
      <w:start w:val="1"/>
      <w:numFmt w:val="decimal"/>
      <w:lvlText w:val="%9."/>
      <w:lvlJc w:val="left"/>
      <w:pPr>
        <w:ind w:left="1020" w:hanging="360"/>
      </w:pPr>
    </w:lvl>
  </w:abstractNum>
  <w:abstractNum w:abstractNumId="12" w15:restartNumberingAfterBreak="0">
    <w:nsid w:val="3F8C445E"/>
    <w:multiLevelType w:val="multilevel"/>
    <w:tmpl w:val="FFFFFFFF"/>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10B1514"/>
    <w:multiLevelType w:val="multilevel"/>
    <w:tmpl w:val="FFFFFFFF"/>
    <w:lvl w:ilvl="0">
      <w:start w:val="2"/>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4" w15:restartNumberingAfterBreak="0">
    <w:nsid w:val="42A9E51D"/>
    <w:multiLevelType w:val="multilevel"/>
    <w:tmpl w:val="FFFFFFFF"/>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4467EE2"/>
    <w:multiLevelType w:val="hybridMultilevel"/>
    <w:tmpl w:val="148C98AA"/>
    <w:lvl w:ilvl="0" w:tplc="D63693FC">
      <w:start w:val="1"/>
      <w:numFmt w:val="bullet"/>
      <w:lvlText w:val="-"/>
      <w:lvlJc w:val="left"/>
      <w:pPr>
        <w:ind w:left="1080" w:hanging="360"/>
      </w:pPr>
      <w:rPr>
        <w:rFonts w:hint="default" w:ascii="Courier New" w:hAnsi="Courier New"/>
      </w:rPr>
    </w:lvl>
    <w:lvl w:ilvl="1" w:tplc="D63693FC">
      <w:start w:val="1"/>
      <w:numFmt w:val="bullet"/>
      <w:lvlText w:val="-"/>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6F97A37"/>
    <w:multiLevelType w:val="hybridMultilevel"/>
    <w:tmpl w:val="B3068798"/>
    <w:lvl w:ilvl="0" w:tplc="D63693FC">
      <w:start w:val="1"/>
      <w:numFmt w:val="bullet"/>
      <w:lvlText w:val="-"/>
      <w:lvlJc w:val="left"/>
      <w:pPr>
        <w:ind w:left="1080" w:hanging="360"/>
      </w:pPr>
      <w:rPr>
        <w:rFonts w:hint="default" w:ascii="Courier New" w:hAnsi="Courier New"/>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52001B62"/>
    <w:multiLevelType w:val="hybridMultilevel"/>
    <w:tmpl w:val="735AD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8C8E66B"/>
    <w:multiLevelType w:val="multilevel"/>
    <w:tmpl w:val="FFFFFFFF"/>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1ED2999"/>
    <w:multiLevelType w:val="hybridMultilevel"/>
    <w:tmpl w:val="CCE028C2"/>
    <w:lvl w:ilvl="0" w:tplc="E8B4E63C">
      <w:start w:val="1"/>
      <w:numFmt w:val="bullet"/>
      <w:lvlText w:val="·"/>
      <w:lvlJc w:val="left"/>
      <w:pPr>
        <w:ind w:left="720" w:hanging="360"/>
      </w:pPr>
      <w:rPr>
        <w:rFonts w:hint="default" w:ascii="Symbol" w:hAnsi="Symbol"/>
      </w:rPr>
    </w:lvl>
    <w:lvl w:ilvl="1" w:tplc="2B3CFA02">
      <w:start w:val="1"/>
      <w:numFmt w:val="bullet"/>
      <w:lvlText w:val="o"/>
      <w:lvlJc w:val="left"/>
      <w:pPr>
        <w:ind w:left="1440" w:hanging="360"/>
      </w:pPr>
      <w:rPr>
        <w:rFonts w:hint="default" w:ascii="Courier New" w:hAnsi="Courier New"/>
      </w:rPr>
    </w:lvl>
    <w:lvl w:ilvl="2" w:tplc="E5B2754C">
      <w:start w:val="1"/>
      <w:numFmt w:val="bullet"/>
      <w:lvlText w:val=""/>
      <w:lvlJc w:val="left"/>
      <w:pPr>
        <w:ind w:left="2160" w:hanging="360"/>
      </w:pPr>
      <w:rPr>
        <w:rFonts w:hint="default" w:ascii="Wingdings" w:hAnsi="Wingdings"/>
      </w:rPr>
    </w:lvl>
    <w:lvl w:ilvl="3" w:tplc="73E6D6F2">
      <w:start w:val="1"/>
      <w:numFmt w:val="bullet"/>
      <w:lvlText w:val=""/>
      <w:lvlJc w:val="left"/>
      <w:pPr>
        <w:ind w:left="2880" w:hanging="360"/>
      </w:pPr>
      <w:rPr>
        <w:rFonts w:hint="default" w:ascii="Symbol" w:hAnsi="Symbol"/>
      </w:rPr>
    </w:lvl>
    <w:lvl w:ilvl="4" w:tplc="80108502">
      <w:start w:val="1"/>
      <w:numFmt w:val="bullet"/>
      <w:lvlText w:val="o"/>
      <w:lvlJc w:val="left"/>
      <w:pPr>
        <w:ind w:left="3600" w:hanging="360"/>
      </w:pPr>
      <w:rPr>
        <w:rFonts w:hint="default" w:ascii="Courier New" w:hAnsi="Courier New"/>
      </w:rPr>
    </w:lvl>
    <w:lvl w:ilvl="5" w:tplc="3CF03F0C">
      <w:start w:val="1"/>
      <w:numFmt w:val="bullet"/>
      <w:lvlText w:val=""/>
      <w:lvlJc w:val="left"/>
      <w:pPr>
        <w:ind w:left="4320" w:hanging="360"/>
      </w:pPr>
      <w:rPr>
        <w:rFonts w:hint="default" w:ascii="Wingdings" w:hAnsi="Wingdings"/>
      </w:rPr>
    </w:lvl>
    <w:lvl w:ilvl="6" w:tplc="28CA11C2">
      <w:start w:val="1"/>
      <w:numFmt w:val="bullet"/>
      <w:lvlText w:val=""/>
      <w:lvlJc w:val="left"/>
      <w:pPr>
        <w:ind w:left="5040" w:hanging="360"/>
      </w:pPr>
      <w:rPr>
        <w:rFonts w:hint="default" w:ascii="Symbol" w:hAnsi="Symbol"/>
      </w:rPr>
    </w:lvl>
    <w:lvl w:ilvl="7" w:tplc="B21C6740">
      <w:start w:val="1"/>
      <w:numFmt w:val="bullet"/>
      <w:lvlText w:val="o"/>
      <w:lvlJc w:val="left"/>
      <w:pPr>
        <w:ind w:left="5760" w:hanging="360"/>
      </w:pPr>
      <w:rPr>
        <w:rFonts w:hint="default" w:ascii="Courier New" w:hAnsi="Courier New"/>
      </w:rPr>
    </w:lvl>
    <w:lvl w:ilvl="8" w:tplc="63A8A5E4">
      <w:start w:val="1"/>
      <w:numFmt w:val="bullet"/>
      <w:lvlText w:val=""/>
      <w:lvlJc w:val="left"/>
      <w:pPr>
        <w:ind w:left="6480" w:hanging="360"/>
      </w:pPr>
      <w:rPr>
        <w:rFonts w:hint="default" w:ascii="Wingdings" w:hAnsi="Wingdings"/>
      </w:rPr>
    </w:lvl>
  </w:abstractNum>
  <w:abstractNum w:abstractNumId="20" w15:restartNumberingAfterBreak="0">
    <w:nsid w:val="6C204850"/>
    <w:multiLevelType w:val="hybridMultilevel"/>
    <w:tmpl w:val="7D26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C47874"/>
    <w:multiLevelType w:val="hybridMultilevel"/>
    <w:tmpl w:val="814A9D24"/>
    <w:lvl w:ilvl="0" w:tplc="1B24A4EC">
      <w:start w:val="1"/>
      <w:numFmt w:val="decimal"/>
      <w:lvlText w:val="%1."/>
      <w:lvlJc w:val="left"/>
      <w:pPr>
        <w:ind w:left="1020" w:hanging="360"/>
      </w:pPr>
    </w:lvl>
    <w:lvl w:ilvl="1" w:tplc="82CC2D02">
      <w:start w:val="1"/>
      <w:numFmt w:val="decimal"/>
      <w:lvlText w:val="%2."/>
      <w:lvlJc w:val="left"/>
      <w:pPr>
        <w:ind w:left="1020" w:hanging="360"/>
      </w:pPr>
    </w:lvl>
    <w:lvl w:ilvl="2" w:tplc="EFE4B334">
      <w:start w:val="1"/>
      <w:numFmt w:val="decimal"/>
      <w:lvlText w:val="%3."/>
      <w:lvlJc w:val="left"/>
      <w:pPr>
        <w:ind w:left="1020" w:hanging="360"/>
      </w:pPr>
    </w:lvl>
    <w:lvl w:ilvl="3" w:tplc="7C80C158">
      <w:start w:val="1"/>
      <w:numFmt w:val="decimal"/>
      <w:lvlText w:val="%4."/>
      <w:lvlJc w:val="left"/>
      <w:pPr>
        <w:ind w:left="1020" w:hanging="360"/>
      </w:pPr>
    </w:lvl>
    <w:lvl w:ilvl="4" w:tplc="BEC659D0">
      <w:start w:val="1"/>
      <w:numFmt w:val="decimal"/>
      <w:lvlText w:val="%5."/>
      <w:lvlJc w:val="left"/>
      <w:pPr>
        <w:ind w:left="1020" w:hanging="360"/>
      </w:pPr>
    </w:lvl>
    <w:lvl w:ilvl="5" w:tplc="DCCAD95A">
      <w:start w:val="1"/>
      <w:numFmt w:val="decimal"/>
      <w:lvlText w:val="%6."/>
      <w:lvlJc w:val="left"/>
      <w:pPr>
        <w:ind w:left="1020" w:hanging="360"/>
      </w:pPr>
    </w:lvl>
    <w:lvl w:ilvl="6" w:tplc="F6943DAE">
      <w:start w:val="1"/>
      <w:numFmt w:val="decimal"/>
      <w:lvlText w:val="%7."/>
      <w:lvlJc w:val="left"/>
      <w:pPr>
        <w:ind w:left="1020" w:hanging="360"/>
      </w:pPr>
    </w:lvl>
    <w:lvl w:ilvl="7" w:tplc="CF7686BC">
      <w:start w:val="1"/>
      <w:numFmt w:val="decimal"/>
      <w:lvlText w:val="%8."/>
      <w:lvlJc w:val="left"/>
      <w:pPr>
        <w:ind w:left="1020" w:hanging="360"/>
      </w:pPr>
    </w:lvl>
    <w:lvl w:ilvl="8" w:tplc="632AD584">
      <w:start w:val="1"/>
      <w:numFmt w:val="decimal"/>
      <w:lvlText w:val="%9."/>
      <w:lvlJc w:val="left"/>
      <w:pPr>
        <w:ind w:left="1020" w:hanging="360"/>
      </w:pPr>
    </w:lvl>
  </w:abstractNum>
  <w:abstractNum w:abstractNumId="22" w15:restartNumberingAfterBreak="0">
    <w:nsid w:val="70B659C7"/>
    <w:multiLevelType w:val="hybridMultilevel"/>
    <w:tmpl w:val="FFFFFFFF"/>
    <w:lvl w:ilvl="0" w:tplc="5852A780">
      <w:start w:val="1"/>
      <w:numFmt w:val="bullet"/>
      <w:lvlText w:val=""/>
      <w:lvlJc w:val="left"/>
      <w:pPr>
        <w:ind w:left="720" w:hanging="360"/>
      </w:pPr>
      <w:rPr>
        <w:rFonts w:hint="default" w:ascii="Symbol" w:hAnsi="Symbol"/>
      </w:rPr>
    </w:lvl>
    <w:lvl w:ilvl="1" w:tplc="83469120">
      <w:start w:val="1"/>
      <w:numFmt w:val="bullet"/>
      <w:lvlText w:val="o"/>
      <w:lvlJc w:val="left"/>
      <w:pPr>
        <w:ind w:left="1009" w:hanging="363"/>
      </w:pPr>
      <w:rPr>
        <w:rFonts w:hint="default" w:ascii="Courier New" w:hAnsi="Courier New"/>
      </w:rPr>
    </w:lvl>
    <w:lvl w:ilvl="2" w:tplc="09E026D8">
      <w:start w:val="1"/>
      <w:numFmt w:val="bullet"/>
      <w:lvlText w:val=""/>
      <w:lvlJc w:val="left"/>
      <w:pPr>
        <w:ind w:left="2160" w:hanging="360"/>
      </w:pPr>
      <w:rPr>
        <w:rFonts w:hint="default" w:ascii="Wingdings" w:hAnsi="Wingdings"/>
      </w:rPr>
    </w:lvl>
    <w:lvl w:ilvl="3" w:tplc="A26A6ADA">
      <w:start w:val="1"/>
      <w:numFmt w:val="bullet"/>
      <w:lvlText w:val=""/>
      <w:lvlJc w:val="left"/>
      <w:pPr>
        <w:ind w:left="2880" w:hanging="360"/>
      </w:pPr>
      <w:rPr>
        <w:rFonts w:hint="default" w:ascii="Symbol" w:hAnsi="Symbol"/>
      </w:rPr>
    </w:lvl>
    <w:lvl w:ilvl="4" w:tplc="A2865FF8">
      <w:start w:val="1"/>
      <w:numFmt w:val="bullet"/>
      <w:lvlText w:val="o"/>
      <w:lvlJc w:val="left"/>
      <w:pPr>
        <w:ind w:left="3600" w:hanging="360"/>
      </w:pPr>
      <w:rPr>
        <w:rFonts w:hint="default" w:ascii="Courier New" w:hAnsi="Courier New"/>
      </w:rPr>
    </w:lvl>
    <w:lvl w:ilvl="5" w:tplc="47060242">
      <w:start w:val="1"/>
      <w:numFmt w:val="bullet"/>
      <w:lvlText w:val=""/>
      <w:lvlJc w:val="left"/>
      <w:pPr>
        <w:ind w:left="4320" w:hanging="360"/>
      </w:pPr>
      <w:rPr>
        <w:rFonts w:hint="default" w:ascii="Wingdings" w:hAnsi="Wingdings"/>
      </w:rPr>
    </w:lvl>
    <w:lvl w:ilvl="6" w:tplc="F97E15C2">
      <w:start w:val="1"/>
      <w:numFmt w:val="bullet"/>
      <w:lvlText w:val=""/>
      <w:lvlJc w:val="left"/>
      <w:pPr>
        <w:ind w:left="5040" w:hanging="360"/>
      </w:pPr>
      <w:rPr>
        <w:rFonts w:hint="default" w:ascii="Symbol" w:hAnsi="Symbol"/>
      </w:rPr>
    </w:lvl>
    <w:lvl w:ilvl="7" w:tplc="2280FEEC">
      <w:start w:val="1"/>
      <w:numFmt w:val="bullet"/>
      <w:lvlText w:val="o"/>
      <w:lvlJc w:val="left"/>
      <w:pPr>
        <w:ind w:left="5760" w:hanging="360"/>
      </w:pPr>
      <w:rPr>
        <w:rFonts w:hint="default" w:ascii="Courier New" w:hAnsi="Courier New"/>
      </w:rPr>
    </w:lvl>
    <w:lvl w:ilvl="8" w:tplc="2B76BFF8">
      <w:start w:val="1"/>
      <w:numFmt w:val="bullet"/>
      <w:lvlText w:val=""/>
      <w:lvlJc w:val="left"/>
      <w:pPr>
        <w:ind w:left="6480" w:hanging="360"/>
      </w:pPr>
      <w:rPr>
        <w:rFonts w:hint="default" w:ascii="Wingdings" w:hAnsi="Wingdings"/>
      </w:rPr>
    </w:lvl>
  </w:abstractNum>
  <w:abstractNum w:abstractNumId="23" w15:restartNumberingAfterBreak="0">
    <w:nsid w:val="7346855F"/>
    <w:multiLevelType w:val="multilevel"/>
    <w:tmpl w:val="FFFFFFFF"/>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239095944">
    <w:abstractNumId w:val="19"/>
  </w:num>
  <w:num w:numId="2" w16cid:durableId="1183397702">
    <w:abstractNumId w:val="0"/>
  </w:num>
  <w:num w:numId="3" w16cid:durableId="1315063852">
    <w:abstractNumId w:val="8"/>
  </w:num>
  <w:num w:numId="4" w16cid:durableId="910627168">
    <w:abstractNumId w:val="18"/>
  </w:num>
  <w:num w:numId="5" w16cid:durableId="1441491218">
    <w:abstractNumId w:val="12"/>
  </w:num>
  <w:num w:numId="6" w16cid:durableId="1547137026">
    <w:abstractNumId w:val="14"/>
  </w:num>
  <w:num w:numId="7" w16cid:durableId="1776631928">
    <w:abstractNumId w:val="2"/>
  </w:num>
  <w:num w:numId="8" w16cid:durableId="1851338002">
    <w:abstractNumId w:val="22"/>
  </w:num>
  <w:num w:numId="9" w16cid:durableId="1602643484">
    <w:abstractNumId w:val="9"/>
  </w:num>
  <w:num w:numId="10" w16cid:durableId="476263862">
    <w:abstractNumId w:val="7"/>
  </w:num>
  <w:num w:numId="11" w16cid:durableId="497574361">
    <w:abstractNumId w:val="13"/>
  </w:num>
  <w:num w:numId="12" w16cid:durableId="1510872749">
    <w:abstractNumId w:val="4"/>
  </w:num>
  <w:num w:numId="13" w16cid:durableId="1598714425">
    <w:abstractNumId w:val="23"/>
  </w:num>
  <w:num w:numId="14" w16cid:durableId="1048920116">
    <w:abstractNumId w:val="5"/>
  </w:num>
  <w:num w:numId="15" w16cid:durableId="714812672">
    <w:abstractNumId w:val="17"/>
  </w:num>
  <w:num w:numId="16" w16cid:durableId="748505300">
    <w:abstractNumId w:val="10"/>
  </w:num>
  <w:num w:numId="17" w16cid:durableId="1302731980">
    <w:abstractNumId w:val="16"/>
  </w:num>
  <w:num w:numId="18" w16cid:durableId="554388160">
    <w:abstractNumId w:val="6"/>
  </w:num>
  <w:num w:numId="19" w16cid:durableId="1329014394">
    <w:abstractNumId w:val="3"/>
  </w:num>
  <w:num w:numId="20" w16cid:durableId="611786646">
    <w:abstractNumId w:val="15"/>
  </w:num>
  <w:num w:numId="21" w16cid:durableId="1058548682">
    <w:abstractNumId w:val="1"/>
  </w:num>
  <w:num w:numId="22" w16cid:durableId="1615670966">
    <w:abstractNumId w:val="20"/>
  </w:num>
  <w:num w:numId="23" w16cid:durableId="1487746146">
    <w:abstractNumId w:val="21"/>
  </w:num>
  <w:num w:numId="24" w16cid:durableId="203588289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238C"/>
    <w:rsid w:val="000035B3"/>
    <w:rsid w:val="0000367F"/>
    <w:rsid w:val="00003D7E"/>
    <w:rsid w:val="00004515"/>
    <w:rsid w:val="00005956"/>
    <w:rsid w:val="00012100"/>
    <w:rsid w:val="00016B3E"/>
    <w:rsid w:val="000208A6"/>
    <w:rsid w:val="0002157B"/>
    <w:rsid w:val="000224C1"/>
    <w:rsid w:val="00022999"/>
    <w:rsid w:val="00023069"/>
    <w:rsid w:val="000230E2"/>
    <w:rsid w:val="00024DBC"/>
    <w:rsid w:val="00025BD9"/>
    <w:rsid w:val="00025CA7"/>
    <w:rsid w:val="00032DD5"/>
    <w:rsid w:val="00036A0D"/>
    <w:rsid w:val="00037102"/>
    <w:rsid w:val="0003752E"/>
    <w:rsid w:val="00040486"/>
    <w:rsid w:val="000425EB"/>
    <w:rsid w:val="0004262D"/>
    <w:rsid w:val="00042CDC"/>
    <w:rsid w:val="00043D8E"/>
    <w:rsid w:val="00045756"/>
    <w:rsid w:val="00053D51"/>
    <w:rsid w:val="000540FC"/>
    <w:rsid w:val="00056DD5"/>
    <w:rsid w:val="000575AC"/>
    <w:rsid w:val="00057D2F"/>
    <w:rsid w:val="0006055E"/>
    <w:rsid w:val="00060A60"/>
    <w:rsid w:val="000616E1"/>
    <w:rsid w:val="00062F3F"/>
    <w:rsid w:val="000630C0"/>
    <w:rsid w:val="00063E8B"/>
    <w:rsid w:val="00065F60"/>
    <w:rsid w:val="00071234"/>
    <w:rsid w:val="00071640"/>
    <w:rsid w:val="0007203F"/>
    <w:rsid w:val="00072BF6"/>
    <w:rsid w:val="000745A9"/>
    <w:rsid w:val="00075614"/>
    <w:rsid w:val="000760B7"/>
    <w:rsid w:val="00077D8F"/>
    <w:rsid w:val="00080399"/>
    <w:rsid w:val="00080C85"/>
    <w:rsid w:val="0008189F"/>
    <w:rsid w:val="000818FF"/>
    <w:rsid w:val="0008249F"/>
    <w:rsid w:val="00083E43"/>
    <w:rsid w:val="00084FA2"/>
    <w:rsid w:val="00085F47"/>
    <w:rsid w:val="0008607E"/>
    <w:rsid w:val="00087485"/>
    <w:rsid w:val="00087D12"/>
    <w:rsid w:val="00090217"/>
    <w:rsid w:val="00090952"/>
    <w:rsid w:val="0009350E"/>
    <w:rsid w:val="00093CA3"/>
    <w:rsid w:val="000A2A84"/>
    <w:rsid w:val="000A3464"/>
    <w:rsid w:val="000A4120"/>
    <w:rsid w:val="000A5692"/>
    <w:rsid w:val="000A5D80"/>
    <w:rsid w:val="000B07E4"/>
    <w:rsid w:val="000B0BAC"/>
    <w:rsid w:val="000B1CF0"/>
    <w:rsid w:val="000B2958"/>
    <w:rsid w:val="000B480D"/>
    <w:rsid w:val="000B5680"/>
    <w:rsid w:val="000B5A29"/>
    <w:rsid w:val="000B6A70"/>
    <w:rsid w:val="000B753D"/>
    <w:rsid w:val="000C0216"/>
    <w:rsid w:val="000C2765"/>
    <w:rsid w:val="000D14B2"/>
    <w:rsid w:val="000D226D"/>
    <w:rsid w:val="000D23E4"/>
    <w:rsid w:val="000D37E9"/>
    <w:rsid w:val="000D47D2"/>
    <w:rsid w:val="000D7044"/>
    <w:rsid w:val="000D74D0"/>
    <w:rsid w:val="000E0563"/>
    <w:rsid w:val="000E1731"/>
    <w:rsid w:val="000E1B49"/>
    <w:rsid w:val="000E2ED3"/>
    <w:rsid w:val="000E3431"/>
    <w:rsid w:val="000E366F"/>
    <w:rsid w:val="000E59D9"/>
    <w:rsid w:val="000E5B69"/>
    <w:rsid w:val="000F110A"/>
    <w:rsid w:val="000F3EBA"/>
    <w:rsid w:val="000F6CEA"/>
    <w:rsid w:val="00103A41"/>
    <w:rsid w:val="001055D3"/>
    <w:rsid w:val="00106691"/>
    <w:rsid w:val="00110EE8"/>
    <w:rsid w:val="00112E33"/>
    <w:rsid w:val="0011523D"/>
    <w:rsid w:val="001159B2"/>
    <w:rsid w:val="001169F1"/>
    <w:rsid w:val="00116D0F"/>
    <w:rsid w:val="00117660"/>
    <w:rsid w:val="00117B84"/>
    <w:rsid w:val="00120DB0"/>
    <w:rsid w:val="001247CB"/>
    <w:rsid w:val="00125931"/>
    <w:rsid w:val="001330CE"/>
    <w:rsid w:val="001331F4"/>
    <w:rsid w:val="001337F2"/>
    <w:rsid w:val="00134C86"/>
    <w:rsid w:val="001356EA"/>
    <w:rsid w:val="0013582F"/>
    <w:rsid w:val="00136B79"/>
    <w:rsid w:val="00140962"/>
    <w:rsid w:val="0014235B"/>
    <w:rsid w:val="001423E0"/>
    <w:rsid w:val="00146939"/>
    <w:rsid w:val="00146FD2"/>
    <w:rsid w:val="00152714"/>
    <w:rsid w:val="00152FAA"/>
    <w:rsid w:val="00155152"/>
    <w:rsid w:val="0015535E"/>
    <w:rsid w:val="00156A82"/>
    <w:rsid w:val="0016149B"/>
    <w:rsid w:val="00163099"/>
    <w:rsid w:val="00163381"/>
    <w:rsid w:val="00163A99"/>
    <w:rsid w:val="00164467"/>
    <w:rsid w:val="00165BDC"/>
    <w:rsid w:val="00165CBC"/>
    <w:rsid w:val="00167212"/>
    <w:rsid w:val="00172753"/>
    <w:rsid w:val="00172A48"/>
    <w:rsid w:val="00173E7E"/>
    <w:rsid w:val="0017525A"/>
    <w:rsid w:val="00175A5A"/>
    <w:rsid w:val="001800A2"/>
    <w:rsid w:val="00180577"/>
    <w:rsid w:val="00181BCE"/>
    <w:rsid w:val="00181F4B"/>
    <w:rsid w:val="00183370"/>
    <w:rsid w:val="0018701E"/>
    <w:rsid w:val="001874B7"/>
    <w:rsid w:val="00192B64"/>
    <w:rsid w:val="0019486D"/>
    <w:rsid w:val="00197B7A"/>
    <w:rsid w:val="001A1A17"/>
    <w:rsid w:val="001A2AA0"/>
    <w:rsid w:val="001A42EC"/>
    <w:rsid w:val="001A44AB"/>
    <w:rsid w:val="001A4AA4"/>
    <w:rsid w:val="001A6611"/>
    <w:rsid w:val="001A6992"/>
    <w:rsid w:val="001B0614"/>
    <w:rsid w:val="001B0A2A"/>
    <w:rsid w:val="001B12D9"/>
    <w:rsid w:val="001B14BA"/>
    <w:rsid w:val="001B2832"/>
    <w:rsid w:val="001B2BCC"/>
    <w:rsid w:val="001B5BE0"/>
    <w:rsid w:val="001C2AD7"/>
    <w:rsid w:val="001C6CE4"/>
    <w:rsid w:val="001C71A1"/>
    <w:rsid w:val="001C7810"/>
    <w:rsid w:val="001C7B32"/>
    <w:rsid w:val="001D180B"/>
    <w:rsid w:val="001D5F8A"/>
    <w:rsid w:val="001D616A"/>
    <w:rsid w:val="001D6958"/>
    <w:rsid w:val="001D6CD6"/>
    <w:rsid w:val="001E0C2E"/>
    <w:rsid w:val="001E1A06"/>
    <w:rsid w:val="001E2AC1"/>
    <w:rsid w:val="001E306B"/>
    <w:rsid w:val="001E44D8"/>
    <w:rsid w:val="001E778F"/>
    <w:rsid w:val="001F15AC"/>
    <w:rsid w:val="001F2169"/>
    <w:rsid w:val="001F232D"/>
    <w:rsid w:val="001F28DB"/>
    <w:rsid w:val="001F2956"/>
    <w:rsid w:val="001F2F19"/>
    <w:rsid w:val="001F3284"/>
    <w:rsid w:val="001F4362"/>
    <w:rsid w:val="001F5F02"/>
    <w:rsid w:val="001F68E4"/>
    <w:rsid w:val="001F7029"/>
    <w:rsid w:val="002035A0"/>
    <w:rsid w:val="00206235"/>
    <w:rsid w:val="002108CD"/>
    <w:rsid w:val="002122ED"/>
    <w:rsid w:val="002127A9"/>
    <w:rsid w:val="00213B35"/>
    <w:rsid w:val="002176A4"/>
    <w:rsid w:val="002203D5"/>
    <w:rsid w:val="00223F05"/>
    <w:rsid w:val="0022420B"/>
    <w:rsid w:val="00225D4D"/>
    <w:rsid w:val="00227DDB"/>
    <w:rsid w:val="00230200"/>
    <w:rsid w:val="00230B3B"/>
    <w:rsid w:val="0023129B"/>
    <w:rsid w:val="002319E7"/>
    <w:rsid w:val="00234902"/>
    <w:rsid w:val="00234FB1"/>
    <w:rsid w:val="002354E9"/>
    <w:rsid w:val="0023756C"/>
    <w:rsid w:val="002408B0"/>
    <w:rsid w:val="0024206C"/>
    <w:rsid w:val="002435D3"/>
    <w:rsid w:val="0024598E"/>
    <w:rsid w:val="00245B85"/>
    <w:rsid w:val="00247A9C"/>
    <w:rsid w:val="00250AD6"/>
    <w:rsid w:val="00250C43"/>
    <w:rsid w:val="002511B2"/>
    <w:rsid w:val="002531A3"/>
    <w:rsid w:val="0025477E"/>
    <w:rsid w:val="00256A6D"/>
    <w:rsid w:val="00257826"/>
    <w:rsid w:val="00257D59"/>
    <w:rsid w:val="00260F62"/>
    <w:rsid w:val="00262184"/>
    <w:rsid w:val="00262EEF"/>
    <w:rsid w:val="0026385F"/>
    <w:rsid w:val="002658E6"/>
    <w:rsid w:val="00265CB3"/>
    <w:rsid w:val="00265EDC"/>
    <w:rsid w:val="002679D6"/>
    <w:rsid w:val="0027139D"/>
    <w:rsid w:val="00272DF1"/>
    <w:rsid w:val="00273CA1"/>
    <w:rsid w:val="00273EBD"/>
    <w:rsid w:val="0027451A"/>
    <w:rsid w:val="00274A8B"/>
    <w:rsid w:val="002763E6"/>
    <w:rsid w:val="00276517"/>
    <w:rsid w:val="002765E9"/>
    <w:rsid w:val="00277DDE"/>
    <w:rsid w:val="00282DA0"/>
    <w:rsid w:val="00284405"/>
    <w:rsid w:val="00284EE9"/>
    <w:rsid w:val="00286CE7"/>
    <w:rsid w:val="00287B3E"/>
    <w:rsid w:val="00291D4B"/>
    <w:rsid w:val="00292068"/>
    <w:rsid w:val="00292560"/>
    <w:rsid w:val="00293529"/>
    <w:rsid w:val="0029494A"/>
    <w:rsid w:val="002955D1"/>
    <w:rsid w:val="002959C2"/>
    <w:rsid w:val="00295C8A"/>
    <w:rsid w:val="002A3541"/>
    <w:rsid w:val="002A765C"/>
    <w:rsid w:val="002A7C24"/>
    <w:rsid w:val="002B0507"/>
    <w:rsid w:val="002B0644"/>
    <w:rsid w:val="002B1760"/>
    <w:rsid w:val="002B326A"/>
    <w:rsid w:val="002B411A"/>
    <w:rsid w:val="002B53A3"/>
    <w:rsid w:val="002B564A"/>
    <w:rsid w:val="002B63A1"/>
    <w:rsid w:val="002C18C4"/>
    <w:rsid w:val="002C2DB9"/>
    <w:rsid w:val="002C3DB4"/>
    <w:rsid w:val="002C51D2"/>
    <w:rsid w:val="002C651F"/>
    <w:rsid w:val="002C7238"/>
    <w:rsid w:val="002D09A5"/>
    <w:rsid w:val="002D1D7E"/>
    <w:rsid w:val="002D2967"/>
    <w:rsid w:val="002E0A24"/>
    <w:rsid w:val="002E1B6E"/>
    <w:rsid w:val="002E34F8"/>
    <w:rsid w:val="002E380F"/>
    <w:rsid w:val="002E47F9"/>
    <w:rsid w:val="002E7988"/>
    <w:rsid w:val="002F237E"/>
    <w:rsid w:val="002F4F91"/>
    <w:rsid w:val="002F7768"/>
    <w:rsid w:val="0030176F"/>
    <w:rsid w:val="003022BA"/>
    <w:rsid w:val="00307002"/>
    <w:rsid w:val="003104A3"/>
    <w:rsid w:val="00310CD1"/>
    <w:rsid w:val="003110B0"/>
    <w:rsid w:val="00313D72"/>
    <w:rsid w:val="00315D7B"/>
    <w:rsid w:val="00317176"/>
    <w:rsid w:val="003205D7"/>
    <w:rsid w:val="0032085E"/>
    <w:rsid w:val="00321EB1"/>
    <w:rsid w:val="003220E3"/>
    <w:rsid w:val="003220EB"/>
    <w:rsid w:val="0032342F"/>
    <w:rsid w:val="00324A20"/>
    <w:rsid w:val="00325BE6"/>
    <w:rsid w:val="00326154"/>
    <w:rsid w:val="0032704D"/>
    <w:rsid w:val="00327188"/>
    <w:rsid w:val="00330DF1"/>
    <w:rsid w:val="00331D9D"/>
    <w:rsid w:val="003330BA"/>
    <w:rsid w:val="00334D0C"/>
    <w:rsid w:val="00337CC5"/>
    <w:rsid w:val="0034120C"/>
    <w:rsid w:val="00342E10"/>
    <w:rsid w:val="00344F07"/>
    <w:rsid w:val="00346ABA"/>
    <w:rsid w:val="00350CA4"/>
    <w:rsid w:val="00351576"/>
    <w:rsid w:val="00351A86"/>
    <w:rsid w:val="00351E39"/>
    <w:rsid w:val="00354560"/>
    <w:rsid w:val="003548CD"/>
    <w:rsid w:val="0035726D"/>
    <w:rsid w:val="003600EF"/>
    <w:rsid w:val="00360D04"/>
    <w:rsid w:val="00360DF7"/>
    <w:rsid w:val="00360E63"/>
    <w:rsid w:val="00361B82"/>
    <w:rsid w:val="00362234"/>
    <w:rsid w:val="00363B1A"/>
    <w:rsid w:val="00364AEF"/>
    <w:rsid w:val="00366297"/>
    <w:rsid w:val="00367E2A"/>
    <w:rsid w:val="003703C9"/>
    <w:rsid w:val="00371759"/>
    <w:rsid w:val="003720F9"/>
    <w:rsid w:val="00375D1B"/>
    <w:rsid w:val="003762B8"/>
    <w:rsid w:val="00376877"/>
    <w:rsid w:val="00377A2A"/>
    <w:rsid w:val="0038038D"/>
    <w:rsid w:val="00384C5A"/>
    <w:rsid w:val="00386DFC"/>
    <w:rsid w:val="00387148"/>
    <w:rsid w:val="00387FE5"/>
    <w:rsid w:val="00390240"/>
    <w:rsid w:val="003976D5"/>
    <w:rsid w:val="003A04B6"/>
    <w:rsid w:val="003A1454"/>
    <w:rsid w:val="003A3C1A"/>
    <w:rsid w:val="003A4191"/>
    <w:rsid w:val="003A4E36"/>
    <w:rsid w:val="003A6000"/>
    <w:rsid w:val="003A60E2"/>
    <w:rsid w:val="003A6286"/>
    <w:rsid w:val="003B0E1B"/>
    <w:rsid w:val="003B195F"/>
    <w:rsid w:val="003B21B0"/>
    <w:rsid w:val="003B22CB"/>
    <w:rsid w:val="003B33CD"/>
    <w:rsid w:val="003B6584"/>
    <w:rsid w:val="003B6755"/>
    <w:rsid w:val="003B7C59"/>
    <w:rsid w:val="003C071B"/>
    <w:rsid w:val="003C1077"/>
    <w:rsid w:val="003C1B0A"/>
    <w:rsid w:val="003C36D6"/>
    <w:rsid w:val="003C685C"/>
    <w:rsid w:val="003C6B65"/>
    <w:rsid w:val="003D0215"/>
    <w:rsid w:val="003D1895"/>
    <w:rsid w:val="003D20ED"/>
    <w:rsid w:val="003D222C"/>
    <w:rsid w:val="003D2AC5"/>
    <w:rsid w:val="003D2F90"/>
    <w:rsid w:val="003D305C"/>
    <w:rsid w:val="003D5877"/>
    <w:rsid w:val="003D5F2E"/>
    <w:rsid w:val="003E15C1"/>
    <w:rsid w:val="003E37BB"/>
    <w:rsid w:val="003E3A00"/>
    <w:rsid w:val="003E453A"/>
    <w:rsid w:val="003E798B"/>
    <w:rsid w:val="003F07F7"/>
    <w:rsid w:val="003F09AF"/>
    <w:rsid w:val="003F0B34"/>
    <w:rsid w:val="003F0EFA"/>
    <w:rsid w:val="003F206E"/>
    <w:rsid w:val="003F3341"/>
    <w:rsid w:val="003F3586"/>
    <w:rsid w:val="003F4326"/>
    <w:rsid w:val="003F6641"/>
    <w:rsid w:val="003F6F96"/>
    <w:rsid w:val="003F75EC"/>
    <w:rsid w:val="003F7DC6"/>
    <w:rsid w:val="0040073E"/>
    <w:rsid w:val="004009BC"/>
    <w:rsid w:val="00401217"/>
    <w:rsid w:val="0040138E"/>
    <w:rsid w:val="00402699"/>
    <w:rsid w:val="00402C29"/>
    <w:rsid w:val="00403DC3"/>
    <w:rsid w:val="0040497A"/>
    <w:rsid w:val="0040686C"/>
    <w:rsid w:val="00407665"/>
    <w:rsid w:val="00413A41"/>
    <w:rsid w:val="00417D65"/>
    <w:rsid w:val="0042022A"/>
    <w:rsid w:val="0042103E"/>
    <w:rsid w:val="00421E93"/>
    <w:rsid w:val="004241B6"/>
    <w:rsid w:val="00425238"/>
    <w:rsid w:val="0042602B"/>
    <w:rsid w:val="00426604"/>
    <w:rsid w:val="00426B1D"/>
    <w:rsid w:val="00431FA3"/>
    <w:rsid w:val="004323B8"/>
    <w:rsid w:val="004335BE"/>
    <w:rsid w:val="0043483B"/>
    <w:rsid w:val="0044072B"/>
    <w:rsid w:val="00442B10"/>
    <w:rsid w:val="004433D5"/>
    <w:rsid w:val="004443AC"/>
    <w:rsid w:val="00444F25"/>
    <w:rsid w:val="004455DE"/>
    <w:rsid w:val="004467DE"/>
    <w:rsid w:val="00447959"/>
    <w:rsid w:val="004503C7"/>
    <w:rsid w:val="00456ECF"/>
    <w:rsid w:val="00463B74"/>
    <w:rsid w:val="00466203"/>
    <w:rsid w:val="004663E0"/>
    <w:rsid w:val="0046733D"/>
    <w:rsid w:val="004674E7"/>
    <w:rsid w:val="00471B51"/>
    <w:rsid w:val="00471EC8"/>
    <w:rsid w:val="00472912"/>
    <w:rsid w:val="00472F1F"/>
    <w:rsid w:val="00473784"/>
    <w:rsid w:val="00476185"/>
    <w:rsid w:val="0047699B"/>
    <w:rsid w:val="00476B67"/>
    <w:rsid w:val="0048181E"/>
    <w:rsid w:val="00481EEA"/>
    <w:rsid w:val="0048217A"/>
    <w:rsid w:val="0048381E"/>
    <w:rsid w:val="004846CF"/>
    <w:rsid w:val="00484A78"/>
    <w:rsid w:val="004865B2"/>
    <w:rsid w:val="00486EFD"/>
    <w:rsid w:val="0048748F"/>
    <w:rsid w:val="004918E4"/>
    <w:rsid w:val="0049222B"/>
    <w:rsid w:val="004924B0"/>
    <w:rsid w:val="004925C2"/>
    <w:rsid w:val="00492B07"/>
    <w:rsid w:val="00493962"/>
    <w:rsid w:val="00494565"/>
    <w:rsid w:val="00495286"/>
    <w:rsid w:val="00495B2F"/>
    <w:rsid w:val="004965E1"/>
    <w:rsid w:val="004A014F"/>
    <w:rsid w:val="004A1B04"/>
    <w:rsid w:val="004A30E6"/>
    <w:rsid w:val="004A367B"/>
    <w:rsid w:val="004A6062"/>
    <w:rsid w:val="004A6BED"/>
    <w:rsid w:val="004A6F84"/>
    <w:rsid w:val="004A7090"/>
    <w:rsid w:val="004A7253"/>
    <w:rsid w:val="004B01A0"/>
    <w:rsid w:val="004B0289"/>
    <w:rsid w:val="004B111D"/>
    <w:rsid w:val="004B2DD7"/>
    <w:rsid w:val="004B32D1"/>
    <w:rsid w:val="004B39AF"/>
    <w:rsid w:val="004B3D87"/>
    <w:rsid w:val="004B6106"/>
    <w:rsid w:val="004B7A63"/>
    <w:rsid w:val="004C19F2"/>
    <w:rsid w:val="004C4FCF"/>
    <w:rsid w:val="004C7115"/>
    <w:rsid w:val="004C7604"/>
    <w:rsid w:val="004C7B47"/>
    <w:rsid w:val="004D14A5"/>
    <w:rsid w:val="004D2202"/>
    <w:rsid w:val="004D2FC0"/>
    <w:rsid w:val="004D33A8"/>
    <w:rsid w:val="004D3D67"/>
    <w:rsid w:val="004D47FE"/>
    <w:rsid w:val="004D4ED1"/>
    <w:rsid w:val="004D5FD5"/>
    <w:rsid w:val="004E106C"/>
    <w:rsid w:val="004E129D"/>
    <w:rsid w:val="004E1C6C"/>
    <w:rsid w:val="004E4D1E"/>
    <w:rsid w:val="004E58C7"/>
    <w:rsid w:val="004E5D8A"/>
    <w:rsid w:val="004E7E69"/>
    <w:rsid w:val="004F1C3B"/>
    <w:rsid w:val="004F2081"/>
    <w:rsid w:val="004F328E"/>
    <w:rsid w:val="004F3759"/>
    <w:rsid w:val="004F514C"/>
    <w:rsid w:val="004F626B"/>
    <w:rsid w:val="004F6655"/>
    <w:rsid w:val="005006C9"/>
    <w:rsid w:val="00500DA2"/>
    <w:rsid w:val="00500F83"/>
    <w:rsid w:val="00504998"/>
    <w:rsid w:val="00504FC4"/>
    <w:rsid w:val="005059E7"/>
    <w:rsid w:val="00506BA7"/>
    <w:rsid w:val="005076F2"/>
    <w:rsid w:val="0051011A"/>
    <w:rsid w:val="00511130"/>
    <w:rsid w:val="00511364"/>
    <w:rsid w:val="0051336C"/>
    <w:rsid w:val="005150E9"/>
    <w:rsid w:val="00515E3D"/>
    <w:rsid w:val="00516BC9"/>
    <w:rsid w:val="0052110E"/>
    <w:rsid w:val="0052139C"/>
    <w:rsid w:val="005213FE"/>
    <w:rsid w:val="0052183D"/>
    <w:rsid w:val="00522EEF"/>
    <w:rsid w:val="00523527"/>
    <w:rsid w:val="0052479C"/>
    <w:rsid w:val="00524B15"/>
    <w:rsid w:val="00526B11"/>
    <w:rsid w:val="0053168F"/>
    <w:rsid w:val="00532EA9"/>
    <w:rsid w:val="00536028"/>
    <w:rsid w:val="00540DCC"/>
    <w:rsid w:val="005462BE"/>
    <w:rsid w:val="0054649C"/>
    <w:rsid w:val="00546684"/>
    <w:rsid w:val="005506F0"/>
    <w:rsid w:val="00551E53"/>
    <w:rsid w:val="00553503"/>
    <w:rsid w:val="005576C5"/>
    <w:rsid w:val="0055784F"/>
    <w:rsid w:val="00560631"/>
    <w:rsid w:val="00561C60"/>
    <w:rsid w:val="00561E9A"/>
    <w:rsid w:val="0056249A"/>
    <w:rsid w:val="005627DE"/>
    <w:rsid w:val="00562946"/>
    <w:rsid w:val="00564723"/>
    <w:rsid w:val="00564A54"/>
    <w:rsid w:val="00565601"/>
    <w:rsid w:val="005656DD"/>
    <w:rsid w:val="00565D66"/>
    <w:rsid w:val="00567665"/>
    <w:rsid w:val="00571904"/>
    <w:rsid w:val="00572005"/>
    <w:rsid w:val="00573FB2"/>
    <w:rsid w:val="005747AE"/>
    <w:rsid w:val="0057533F"/>
    <w:rsid w:val="00575672"/>
    <w:rsid w:val="005759C9"/>
    <w:rsid w:val="00577A4E"/>
    <w:rsid w:val="00580CC4"/>
    <w:rsid w:val="0058567A"/>
    <w:rsid w:val="00590070"/>
    <w:rsid w:val="00591540"/>
    <w:rsid w:val="005938E9"/>
    <w:rsid w:val="00594E32"/>
    <w:rsid w:val="005956F6"/>
    <w:rsid w:val="00595A07"/>
    <w:rsid w:val="00595AA4"/>
    <w:rsid w:val="00596768"/>
    <w:rsid w:val="005976C6"/>
    <w:rsid w:val="005A03BE"/>
    <w:rsid w:val="005A226C"/>
    <w:rsid w:val="005A25BA"/>
    <w:rsid w:val="005A3277"/>
    <w:rsid w:val="005A49B1"/>
    <w:rsid w:val="005A6136"/>
    <w:rsid w:val="005A6A36"/>
    <w:rsid w:val="005A6D7E"/>
    <w:rsid w:val="005A72B9"/>
    <w:rsid w:val="005A7820"/>
    <w:rsid w:val="005A7E49"/>
    <w:rsid w:val="005B044A"/>
    <w:rsid w:val="005B0586"/>
    <w:rsid w:val="005B191D"/>
    <w:rsid w:val="005B2819"/>
    <w:rsid w:val="005B33CA"/>
    <w:rsid w:val="005B5BF1"/>
    <w:rsid w:val="005C0B77"/>
    <w:rsid w:val="005C22E2"/>
    <w:rsid w:val="005C2CD1"/>
    <w:rsid w:val="005C3040"/>
    <w:rsid w:val="005C33CD"/>
    <w:rsid w:val="005C3539"/>
    <w:rsid w:val="005C3AA3"/>
    <w:rsid w:val="005C41AA"/>
    <w:rsid w:val="005C7A13"/>
    <w:rsid w:val="005D34A2"/>
    <w:rsid w:val="005D3DAC"/>
    <w:rsid w:val="005D7AAC"/>
    <w:rsid w:val="005E134F"/>
    <w:rsid w:val="005E3D0E"/>
    <w:rsid w:val="005E4CFD"/>
    <w:rsid w:val="005E53FC"/>
    <w:rsid w:val="005E7765"/>
    <w:rsid w:val="005E7D15"/>
    <w:rsid w:val="005F0053"/>
    <w:rsid w:val="005F02BC"/>
    <w:rsid w:val="005F113B"/>
    <w:rsid w:val="005F2FB9"/>
    <w:rsid w:val="005F2FE7"/>
    <w:rsid w:val="005F3722"/>
    <w:rsid w:val="005F3B5C"/>
    <w:rsid w:val="005F5C2E"/>
    <w:rsid w:val="005F5D83"/>
    <w:rsid w:val="006005E7"/>
    <w:rsid w:val="00601C22"/>
    <w:rsid w:val="00602756"/>
    <w:rsid w:val="006030BE"/>
    <w:rsid w:val="006068C1"/>
    <w:rsid w:val="00607668"/>
    <w:rsid w:val="006100E3"/>
    <w:rsid w:val="00611197"/>
    <w:rsid w:val="00613B37"/>
    <w:rsid w:val="00614870"/>
    <w:rsid w:val="00615081"/>
    <w:rsid w:val="00615AF9"/>
    <w:rsid w:val="00615B46"/>
    <w:rsid w:val="0061743C"/>
    <w:rsid w:val="00621165"/>
    <w:rsid w:val="006223FF"/>
    <w:rsid w:val="00622D2E"/>
    <w:rsid w:val="00623167"/>
    <w:rsid w:val="00623772"/>
    <w:rsid w:val="00625670"/>
    <w:rsid w:val="00625D59"/>
    <w:rsid w:val="006264DE"/>
    <w:rsid w:val="00626AE1"/>
    <w:rsid w:val="006313D2"/>
    <w:rsid w:val="00631B50"/>
    <w:rsid w:val="00633718"/>
    <w:rsid w:val="006347AD"/>
    <w:rsid w:val="00634DAB"/>
    <w:rsid w:val="0063508C"/>
    <w:rsid w:val="0063546B"/>
    <w:rsid w:val="0063799D"/>
    <w:rsid w:val="0064114E"/>
    <w:rsid w:val="006415FE"/>
    <w:rsid w:val="00641AC1"/>
    <w:rsid w:val="0064238D"/>
    <w:rsid w:val="006428B5"/>
    <w:rsid w:val="00643617"/>
    <w:rsid w:val="00644021"/>
    <w:rsid w:val="006473E7"/>
    <w:rsid w:val="0064782A"/>
    <w:rsid w:val="00651E49"/>
    <w:rsid w:val="00655E68"/>
    <w:rsid w:val="00657F41"/>
    <w:rsid w:val="0066219D"/>
    <w:rsid w:val="00664E0D"/>
    <w:rsid w:val="006672CF"/>
    <w:rsid w:val="00670978"/>
    <w:rsid w:val="006735F6"/>
    <w:rsid w:val="00673D8C"/>
    <w:rsid w:val="00676B1C"/>
    <w:rsid w:val="00676D32"/>
    <w:rsid w:val="00677C9F"/>
    <w:rsid w:val="00681EC5"/>
    <w:rsid w:val="00682382"/>
    <w:rsid w:val="00683BCB"/>
    <w:rsid w:val="00684787"/>
    <w:rsid w:val="00684826"/>
    <w:rsid w:val="00684D59"/>
    <w:rsid w:val="00685302"/>
    <w:rsid w:val="00685675"/>
    <w:rsid w:val="0068656A"/>
    <w:rsid w:val="00690170"/>
    <w:rsid w:val="00691842"/>
    <w:rsid w:val="00693916"/>
    <w:rsid w:val="006961DA"/>
    <w:rsid w:val="0069691E"/>
    <w:rsid w:val="00697D4D"/>
    <w:rsid w:val="006A06DD"/>
    <w:rsid w:val="006A328C"/>
    <w:rsid w:val="006A4B70"/>
    <w:rsid w:val="006A4F96"/>
    <w:rsid w:val="006A79E4"/>
    <w:rsid w:val="006B0218"/>
    <w:rsid w:val="006B04A3"/>
    <w:rsid w:val="006B0BFA"/>
    <w:rsid w:val="006B4105"/>
    <w:rsid w:val="006B45B9"/>
    <w:rsid w:val="006B4D5C"/>
    <w:rsid w:val="006B538E"/>
    <w:rsid w:val="006B6BBD"/>
    <w:rsid w:val="006C2C19"/>
    <w:rsid w:val="006C3AF2"/>
    <w:rsid w:val="006C516E"/>
    <w:rsid w:val="006C7273"/>
    <w:rsid w:val="006D0E6C"/>
    <w:rsid w:val="006D0EEA"/>
    <w:rsid w:val="006D17BC"/>
    <w:rsid w:val="006D2505"/>
    <w:rsid w:val="006D401C"/>
    <w:rsid w:val="006D5C9E"/>
    <w:rsid w:val="006D77D3"/>
    <w:rsid w:val="006E022C"/>
    <w:rsid w:val="006E0B69"/>
    <w:rsid w:val="006E226A"/>
    <w:rsid w:val="006E2605"/>
    <w:rsid w:val="006E3A30"/>
    <w:rsid w:val="006E5864"/>
    <w:rsid w:val="006E6C92"/>
    <w:rsid w:val="006F02EF"/>
    <w:rsid w:val="006F0435"/>
    <w:rsid w:val="006F10C2"/>
    <w:rsid w:val="006F423B"/>
    <w:rsid w:val="006F4436"/>
    <w:rsid w:val="006F5A99"/>
    <w:rsid w:val="007001CD"/>
    <w:rsid w:val="0070421A"/>
    <w:rsid w:val="007047C8"/>
    <w:rsid w:val="007057CA"/>
    <w:rsid w:val="00705A62"/>
    <w:rsid w:val="007127B3"/>
    <w:rsid w:val="00713B6D"/>
    <w:rsid w:val="00715948"/>
    <w:rsid w:val="00715A7E"/>
    <w:rsid w:val="007235DD"/>
    <w:rsid w:val="007236D3"/>
    <w:rsid w:val="00727A2C"/>
    <w:rsid w:val="0073210F"/>
    <w:rsid w:val="00733468"/>
    <w:rsid w:val="007346E7"/>
    <w:rsid w:val="00734B0D"/>
    <w:rsid w:val="00734E9D"/>
    <w:rsid w:val="00737215"/>
    <w:rsid w:val="00740805"/>
    <w:rsid w:val="00740EAA"/>
    <w:rsid w:val="00740F70"/>
    <w:rsid w:val="00741ED4"/>
    <w:rsid w:val="007430D1"/>
    <w:rsid w:val="0074379B"/>
    <w:rsid w:val="00743D95"/>
    <w:rsid w:val="00746645"/>
    <w:rsid w:val="0075155D"/>
    <w:rsid w:val="007520C7"/>
    <w:rsid w:val="00753948"/>
    <w:rsid w:val="00755330"/>
    <w:rsid w:val="0075564B"/>
    <w:rsid w:val="007567C5"/>
    <w:rsid w:val="007600AE"/>
    <w:rsid w:val="00760C30"/>
    <w:rsid w:val="00762601"/>
    <w:rsid w:val="00762C4B"/>
    <w:rsid w:val="00763186"/>
    <w:rsid w:val="007632E2"/>
    <w:rsid w:val="00765353"/>
    <w:rsid w:val="007660AC"/>
    <w:rsid w:val="007668AD"/>
    <w:rsid w:val="00767615"/>
    <w:rsid w:val="00767679"/>
    <w:rsid w:val="00771BF4"/>
    <w:rsid w:val="00771E26"/>
    <w:rsid w:val="00772DC8"/>
    <w:rsid w:val="007730C7"/>
    <w:rsid w:val="00773DCE"/>
    <w:rsid w:val="007746C6"/>
    <w:rsid w:val="0077473F"/>
    <w:rsid w:val="00774FE6"/>
    <w:rsid w:val="00775B91"/>
    <w:rsid w:val="00775C77"/>
    <w:rsid w:val="0077690E"/>
    <w:rsid w:val="00776AF4"/>
    <w:rsid w:val="00777266"/>
    <w:rsid w:val="0077756C"/>
    <w:rsid w:val="00777ADD"/>
    <w:rsid w:val="00780402"/>
    <w:rsid w:val="00781A7B"/>
    <w:rsid w:val="007822C1"/>
    <w:rsid w:val="007843D4"/>
    <w:rsid w:val="00784BC2"/>
    <w:rsid w:val="00791BD8"/>
    <w:rsid w:val="007922BB"/>
    <w:rsid w:val="00792B52"/>
    <w:rsid w:val="00794D58"/>
    <w:rsid w:val="00796FE0"/>
    <w:rsid w:val="0079738E"/>
    <w:rsid w:val="007A2FAE"/>
    <w:rsid w:val="007A3325"/>
    <w:rsid w:val="007A34A8"/>
    <w:rsid w:val="007A5E38"/>
    <w:rsid w:val="007A7254"/>
    <w:rsid w:val="007A79C8"/>
    <w:rsid w:val="007B2B9F"/>
    <w:rsid w:val="007B4682"/>
    <w:rsid w:val="007B604F"/>
    <w:rsid w:val="007B6CA1"/>
    <w:rsid w:val="007B751E"/>
    <w:rsid w:val="007C16AC"/>
    <w:rsid w:val="007C1877"/>
    <w:rsid w:val="007C18E4"/>
    <w:rsid w:val="007C2CAA"/>
    <w:rsid w:val="007C6CE4"/>
    <w:rsid w:val="007D1563"/>
    <w:rsid w:val="007D1D64"/>
    <w:rsid w:val="007D2169"/>
    <w:rsid w:val="007D3514"/>
    <w:rsid w:val="007D3848"/>
    <w:rsid w:val="007D577B"/>
    <w:rsid w:val="007D6095"/>
    <w:rsid w:val="007D6C3D"/>
    <w:rsid w:val="007E2D4A"/>
    <w:rsid w:val="007E3656"/>
    <w:rsid w:val="007E3F3C"/>
    <w:rsid w:val="007E4263"/>
    <w:rsid w:val="007E677F"/>
    <w:rsid w:val="007E760E"/>
    <w:rsid w:val="007F25EE"/>
    <w:rsid w:val="007F3CB4"/>
    <w:rsid w:val="007F58BE"/>
    <w:rsid w:val="007F5EFA"/>
    <w:rsid w:val="007F7295"/>
    <w:rsid w:val="00807A14"/>
    <w:rsid w:val="00810107"/>
    <w:rsid w:val="008119BC"/>
    <w:rsid w:val="00811BF3"/>
    <w:rsid w:val="0081375D"/>
    <w:rsid w:val="00817763"/>
    <w:rsid w:val="00820E6A"/>
    <w:rsid w:val="00825B07"/>
    <w:rsid w:val="00826C33"/>
    <w:rsid w:val="00827256"/>
    <w:rsid w:val="00827285"/>
    <w:rsid w:val="00827DDC"/>
    <w:rsid w:val="00830D08"/>
    <w:rsid w:val="00830E8A"/>
    <w:rsid w:val="008346C8"/>
    <w:rsid w:val="00835CA7"/>
    <w:rsid w:val="008371F1"/>
    <w:rsid w:val="008409F5"/>
    <w:rsid w:val="00842C58"/>
    <w:rsid w:val="00843631"/>
    <w:rsid w:val="00844D89"/>
    <w:rsid w:val="00844E1E"/>
    <w:rsid w:val="00844E88"/>
    <w:rsid w:val="00845CB8"/>
    <w:rsid w:val="00846D91"/>
    <w:rsid w:val="00847246"/>
    <w:rsid w:val="00847A81"/>
    <w:rsid w:val="00853EBB"/>
    <w:rsid w:val="008545EA"/>
    <w:rsid w:val="00855CC3"/>
    <w:rsid w:val="00855E37"/>
    <w:rsid w:val="0085716B"/>
    <w:rsid w:val="008603A7"/>
    <w:rsid w:val="008627C3"/>
    <w:rsid w:val="00862842"/>
    <w:rsid w:val="00864911"/>
    <w:rsid w:val="0086548F"/>
    <w:rsid w:val="00865B2F"/>
    <w:rsid w:val="00865F25"/>
    <w:rsid w:val="00867245"/>
    <w:rsid w:val="00872DAF"/>
    <w:rsid w:val="00872F0F"/>
    <w:rsid w:val="00873874"/>
    <w:rsid w:val="00876BEE"/>
    <w:rsid w:val="0087732E"/>
    <w:rsid w:val="008776EB"/>
    <w:rsid w:val="0088001B"/>
    <w:rsid w:val="00881659"/>
    <w:rsid w:val="008831E5"/>
    <w:rsid w:val="008852DD"/>
    <w:rsid w:val="00885669"/>
    <w:rsid w:val="00885747"/>
    <w:rsid w:val="00885BB9"/>
    <w:rsid w:val="0088600D"/>
    <w:rsid w:val="00890E9F"/>
    <w:rsid w:val="00891BE2"/>
    <w:rsid w:val="00891F5B"/>
    <w:rsid w:val="008924DF"/>
    <w:rsid w:val="00892F08"/>
    <w:rsid w:val="00894AA7"/>
    <w:rsid w:val="00894B39"/>
    <w:rsid w:val="00894DAE"/>
    <w:rsid w:val="00895F68"/>
    <w:rsid w:val="0089618B"/>
    <w:rsid w:val="008A1F25"/>
    <w:rsid w:val="008A3CB2"/>
    <w:rsid w:val="008A5FEA"/>
    <w:rsid w:val="008A62F5"/>
    <w:rsid w:val="008B1D52"/>
    <w:rsid w:val="008B4D89"/>
    <w:rsid w:val="008B52CD"/>
    <w:rsid w:val="008B73FA"/>
    <w:rsid w:val="008C0734"/>
    <w:rsid w:val="008C0AA7"/>
    <w:rsid w:val="008C1833"/>
    <w:rsid w:val="008C2358"/>
    <w:rsid w:val="008C2927"/>
    <w:rsid w:val="008C6AA9"/>
    <w:rsid w:val="008D3049"/>
    <w:rsid w:val="008D339B"/>
    <w:rsid w:val="008D6AA6"/>
    <w:rsid w:val="008E2CF0"/>
    <w:rsid w:val="008E50B1"/>
    <w:rsid w:val="008E7200"/>
    <w:rsid w:val="008F0171"/>
    <w:rsid w:val="008F0F4F"/>
    <w:rsid w:val="008F1C1A"/>
    <w:rsid w:val="008F24AA"/>
    <w:rsid w:val="008F3210"/>
    <w:rsid w:val="008F52C2"/>
    <w:rsid w:val="008F56A7"/>
    <w:rsid w:val="008F57B0"/>
    <w:rsid w:val="008F679E"/>
    <w:rsid w:val="008F6D07"/>
    <w:rsid w:val="00900F1E"/>
    <w:rsid w:val="009024F3"/>
    <w:rsid w:val="0090320F"/>
    <w:rsid w:val="0090384E"/>
    <w:rsid w:val="00904F57"/>
    <w:rsid w:val="00905060"/>
    <w:rsid w:val="00907BA2"/>
    <w:rsid w:val="00911343"/>
    <w:rsid w:val="00914C43"/>
    <w:rsid w:val="00914FC0"/>
    <w:rsid w:val="00920D19"/>
    <w:rsid w:val="009218DF"/>
    <w:rsid w:val="00923E61"/>
    <w:rsid w:val="009241EB"/>
    <w:rsid w:val="00924226"/>
    <w:rsid w:val="0092429F"/>
    <w:rsid w:val="00924BC6"/>
    <w:rsid w:val="009307F4"/>
    <w:rsid w:val="009310F0"/>
    <w:rsid w:val="009351E1"/>
    <w:rsid w:val="00936DBF"/>
    <w:rsid w:val="00936E45"/>
    <w:rsid w:val="00941F90"/>
    <w:rsid w:val="0094214C"/>
    <w:rsid w:val="00943488"/>
    <w:rsid w:val="00943ACF"/>
    <w:rsid w:val="00943EEA"/>
    <w:rsid w:val="00945233"/>
    <w:rsid w:val="00946997"/>
    <w:rsid w:val="00947045"/>
    <w:rsid w:val="00952F01"/>
    <w:rsid w:val="00953846"/>
    <w:rsid w:val="0095623A"/>
    <w:rsid w:val="009621DE"/>
    <w:rsid w:val="00964968"/>
    <w:rsid w:val="00975C43"/>
    <w:rsid w:val="00975DCB"/>
    <w:rsid w:val="009769DF"/>
    <w:rsid w:val="00976A9B"/>
    <w:rsid w:val="00980883"/>
    <w:rsid w:val="0098153F"/>
    <w:rsid w:val="00981E6F"/>
    <w:rsid w:val="009836F7"/>
    <w:rsid w:val="00984441"/>
    <w:rsid w:val="00986764"/>
    <w:rsid w:val="00987D8E"/>
    <w:rsid w:val="00987DDD"/>
    <w:rsid w:val="009909B0"/>
    <w:rsid w:val="00991473"/>
    <w:rsid w:val="009929D7"/>
    <w:rsid w:val="009938B2"/>
    <w:rsid w:val="00995F8D"/>
    <w:rsid w:val="00997FE5"/>
    <w:rsid w:val="009A2822"/>
    <w:rsid w:val="009A3297"/>
    <w:rsid w:val="009A4C7E"/>
    <w:rsid w:val="009A53BD"/>
    <w:rsid w:val="009A5B7B"/>
    <w:rsid w:val="009A5DC8"/>
    <w:rsid w:val="009A5F33"/>
    <w:rsid w:val="009A7D7F"/>
    <w:rsid w:val="009B0F50"/>
    <w:rsid w:val="009B1315"/>
    <w:rsid w:val="009B21AB"/>
    <w:rsid w:val="009B2390"/>
    <w:rsid w:val="009B3442"/>
    <w:rsid w:val="009B611E"/>
    <w:rsid w:val="009C2703"/>
    <w:rsid w:val="009C350B"/>
    <w:rsid w:val="009C44DB"/>
    <w:rsid w:val="009C712F"/>
    <w:rsid w:val="009C7C84"/>
    <w:rsid w:val="009D1396"/>
    <w:rsid w:val="009D28E4"/>
    <w:rsid w:val="009D5C36"/>
    <w:rsid w:val="009D6988"/>
    <w:rsid w:val="009D6C61"/>
    <w:rsid w:val="009E0664"/>
    <w:rsid w:val="009E1EAF"/>
    <w:rsid w:val="009E2BD1"/>
    <w:rsid w:val="009E3F6E"/>
    <w:rsid w:val="009E520E"/>
    <w:rsid w:val="009E56C8"/>
    <w:rsid w:val="009E67C7"/>
    <w:rsid w:val="009E7313"/>
    <w:rsid w:val="009E7F1E"/>
    <w:rsid w:val="009F0E6A"/>
    <w:rsid w:val="009F24C8"/>
    <w:rsid w:val="009F3C86"/>
    <w:rsid w:val="009F5591"/>
    <w:rsid w:val="009F6294"/>
    <w:rsid w:val="009F66D6"/>
    <w:rsid w:val="009F7981"/>
    <w:rsid w:val="00A0024D"/>
    <w:rsid w:val="00A00F6B"/>
    <w:rsid w:val="00A04016"/>
    <w:rsid w:val="00A0539E"/>
    <w:rsid w:val="00A0621F"/>
    <w:rsid w:val="00A06C85"/>
    <w:rsid w:val="00A10BDB"/>
    <w:rsid w:val="00A11C5A"/>
    <w:rsid w:val="00A12934"/>
    <w:rsid w:val="00A12D28"/>
    <w:rsid w:val="00A14BC9"/>
    <w:rsid w:val="00A1508C"/>
    <w:rsid w:val="00A15325"/>
    <w:rsid w:val="00A16514"/>
    <w:rsid w:val="00A16E9E"/>
    <w:rsid w:val="00A1761E"/>
    <w:rsid w:val="00A20412"/>
    <w:rsid w:val="00A22AC8"/>
    <w:rsid w:val="00A249C2"/>
    <w:rsid w:val="00A27525"/>
    <w:rsid w:val="00A366BA"/>
    <w:rsid w:val="00A3711A"/>
    <w:rsid w:val="00A37158"/>
    <w:rsid w:val="00A41895"/>
    <w:rsid w:val="00A42718"/>
    <w:rsid w:val="00A44750"/>
    <w:rsid w:val="00A5180E"/>
    <w:rsid w:val="00A522C9"/>
    <w:rsid w:val="00A52CF0"/>
    <w:rsid w:val="00A53739"/>
    <w:rsid w:val="00A57989"/>
    <w:rsid w:val="00A62D44"/>
    <w:rsid w:val="00A63D3E"/>
    <w:rsid w:val="00A63F52"/>
    <w:rsid w:val="00A66609"/>
    <w:rsid w:val="00A66FFE"/>
    <w:rsid w:val="00A6791F"/>
    <w:rsid w:val="00A70853"/>
    <w:rsid w:val="00A7122A"/>
    <w:rsid w:val="00A712B0"/>
    <w:rsid w:val="00A773A8"/>
    <w:rsid w:val="00A77681"/>
    <w:rsid w:val="00A77A55"/>
    <w:rsid w:val="00A8001C"/>
    <w:rsid w:val="00A82E8D"/>
    <w:rsid w:val="00A8590E"/>
    <w:rsid w:val="00A86616"/>
    <w:rsid w:val="00A86D1A"/>
    <w:rsid w:val="00A87E3E"/>
    <w:rsid w:val="00A90165"/>
    <w:rsid w:val="00A932F4"/>
    <w:rsid w:val="00A94624"/>
    <w:rsid w:val="00A94CA9"/>
    <w:rsid w:val="00A94F28"/>
    <w:rsid w:val="00A95D0D"/>
    <w:rsid w:val="00A969F9"/>
    <w:rsid w:val="00A9728F"/>
    <w:rsid w:val="00AA0943"/>
    <w:rsid w:val="00AA1B7C"/>
    <w:rsid w:val="00AA2F52"/>
    <w:rsid w:val="00AA4465"/>
    <w:rsid w:val="00AA51F8"/>
    <w:rsid w:val="00AA718D"/>
    <w:rsid w:val="00AB0245"/>
    <w:rsid w:val="00AB29F6"/>
    <w:rsid w:val="00AB4A59"/>
    <w:rsid w:val="00AB76D1"/>
    <w:rsid w:val="00AB7ED6"/>
    <w:rsid w:val="00AC11A5"/>
    <w:rsid w:val="00AC1B13"/>
    <w:rsid w:val="00AC3AC7"/>
    <w:rsid w:val="00AC3F1F"/>
    <w:rsid w:val="00AC611E"/>
    <w:rsid w:val="00AC6292"/>
    <w:rsid w:val="00AC6AA2"/>
    <w:rsid w:val="00AD39BD"/>
    <w:rsid w:val="00AD3BE6"/>
    <w:rsid w:val="00AD50F1"/>
    <w:rsid w:val="00AD7699"/>
    <w:rsid w:val="00AE1CB4"/>
    <w:rsid w:val="00AE4FF6"/>
    <w:rsid w:val="00AE72A7"/>
    <w:rsid w:val="00AF170C"/>
    <w:rsid w:val="00AF1A2B"/>
    <w:rsid w:val="00AF1FFA"/>
    <w:rsid w:val="00AF2963"/>
    <w:rsid w:val="00AF376F"/>
    <w:rsid w:val="00B0022C"/>
    <w:rsid w:val="00B00320"/>
    <w:rsid w:val="00B02027"/>
    <w:rsid w:val="00B0230F"/>
    <w:rsid w:val="00B04F41"/>
    <w:rsid w:val="00B063A5"/>
    <w:rsid w:val="00B063C1"/>
    <w:rsid w:val="00B06671"/>
    <w:rsid w:val="00B07918"/>
    <w:rsid w:val="00B21CFC"/>
    <w:rsid w:val="00B220E7"/>
    <w:rsid w:val="00B23823"/>
    <w:rsid w:val="00B24C78"/>
    <w:rsid w:val="00B251EC"/>
    <w:rsid w:val="00B25753"/>
    <w:rsid w:val="00B27F39"/>
    <w:rsid w:val="00B31A88"/>
    <w:rsid w:val="00B32F55"/>
    <w:rsid w:val="00B34EB5"/>
    <w:rsid w:val="00B35AD2"/>
    <w:rsid w:val="00B36D62"/>
    <w:rsid w:val="00B37339"/>
    <w:rsid w:val="00B4058D"/>
    <w:rsid w:val="00B448EA"/>
    <w:rsid w:val="00B4593F"/>
    <w:rsid w:val="00B47B5E"/>
    <w:rsid w:val="00B52D14"/>
    <w:rsid w:val="00B606D1"/>
    <w:rsid w:val="00B60C14"/>
    <w:rsid w:val="00B63E5C"/>
    <w:rsid w:val="00B679B4"/>
    <w:rsid w:val="00B67A2F"/>
    <w:rsid w:val="00B67EF4"/>
    <w:rsid w:val="00B7146B"/>
    <w:rsid w:val="00B72A1D"/>
    <w:rsid w:val="00B74143"/>
    <w:rsid w:val="00B75FD7"/>
    <w:rsid w:val="00B76350"/>
    <w:rsid w:val="00B809AC"/>
    <w:rsid w:val="00B82D1D"/>
    <w:rsid w:val="00B837DE"/>
    <w:rsid w:val="00B83B4F"/>
    <w:rsid w:val="00B848B8"/>
    <w:rsid w:val="00B86312"/>
    <w:rsid w:val="00B87276"/>
    <w:rsid w:val="00B91FAD"/>
    <w:rsid w:val="00B95736"/>
    <w:rsid w:val="00B96CBF"/>
    <w:rsid w:val="00BA10F7"/>
    <w:rsid w:val="00BA112F"/>
    <w:rsid w:val="00BA4127"/>
    <w:rsid w:val="00BB008B"/>
    <w:rsid w:val="00BB1765"/>
    <w:rsid w:val="00BB3E1E"/>
    <w:rsid w:val="00BB43DB"/>
    <w:rsid w:val="00BB4FF2"/>
    <w:rsid w:val="00BB709F"/>
    <w:rsid w:val="00BC00B2"/>
    <w:rsid w:val="00BC1EC1"/>
    <w:rsid w:val="00BC318E"/>
    <w:rsid w:val="00BC5958"/>
    <w:rsid w:val="00BC6DA3"/>
    <w:rsid w:val="00BD37E4"/>
    <w:rsid w:val="00BD3921"/>
    <w:rsid w:val="00BD51E4"/>
    <w:rsid w:val="00BD5DE7"/>
    <w:rsid w:val="00BD5F19"/>
    <w:rsid w:val="00BD70E3"/>
    <w:rsid w:val="00BE0605"/>
    <w:rsid w:val="00BE1C44"/>
    <w:rsid w:val="00BE1FC5"/>
    <w:rsid w:val="00BE3FAA"/>
    <w:rsid w:val="00BE6255"/>
    <w:rsid w:val="00BE706A"/>
    <w:rsid w:val="00BE777B"/>
    <w:rsid w:val="00BE77A2"/>
    <w:rsid w:val="00BE7DB5"/>
    <w:rsid w:val="00BF2B43"/>
    <w:rsid w:val="00BF5A99"/>
    <w:rsid w:val="00BF5B35"/>
    <w:rsid w:val="00BF5D29"/>
    <w:rsid w:val="00BF633B"/>
    <w:rsid w:val="00C00036"/>
    <w:rsid w:val="00C00372"/>
    <w:rsid w:val="00C01237"/>
    <w:rsid w:val="00C02654"/>
    <w:rsid w:val="00C02966"/>
    <w:rsid w:val="00C05D48"/>
    <w:rsid w:val="00C05DB9"/>
    <w:rsid w:val="00C06CFE"/>
    <w:rsid w:val="00C07140"/>
    <w:rsid w:val="00C10BB6"/>
    <w:rsid w:val="00C15484"/>
    <w:rsid w:val="00C17038"/>
    <w:rsid w:val="00C21390"/>
    <w:rsid w:val="00C214FA"/>
    <w:rsid w:val="00C21E20"/>
    <w:rsid w:val="00C223EA"/>
    <w:rsid w:val="00C22C27"/>
    <w:rsid w:val="00C24198"/>
    <w:rsid w:val="00C279F9"/>
    <w:rsid w:val="00C27AA8"/>
    <w:rsid w:val="00C30267"/>
    <w:rsid w:val="00C3127A"/>
    <w:rsid w:val="00C31B8B"/>
    <w:rsid w:val="00C326DD"/>
    <w:rsid w:val="00C33589"/>
    <w:rsid w:val="00C33664"/>
    <w:rsid w:val="00C34E5E"/>
    <w:rsid w:val="00C366CF"/>
    <w:rsid w:val="00C370E2"/>
    <w:rsid w:val="00C41F77"/>
    <w:rsid w:val="00C42922"/>
    <w:rsid w:val="00C4359E"/>
    <w:rsid w:val="00C4429B"/>
    <w:rsid w:val="00C44FF9"/>
    <w:rsid w:val="00C46FFC"/>
    <w:rsid w:val="00C47C73"/>
    <w:rsid w:val="00C503E2"/>
    <w:rsid w:val="00C50730"/>
    <w:rsid w:val="00C518CA"/>
    <w:rsid w:val="00C51BCE"/>
    <w:rsid w:val="00C52072"/>
    <w:rsid w:val="00C52415"/>
    <w:rsid w:val="00C54643"/>
    <w:rsid w:val="00C56364"/>
    <w:rsid w:val="00C56CFD"/>
    <w:rsid w:val="00C63DCD"/>
    <w:rsid w:val="00C64A62"/>
    <w:rsid w:val="00C65FF3"/>
    <w:rsid w:val="00C67FEB"/>
    <w:rsid w:val="00C72C94"/>
    <w:rsid w:val="00C72D95"/>
    <w:rsid w:val="00C74683"/>
    <w:rsid w:val="00C74D0A"/>
    <w:rsid w:val="00C755D9"/>
    <w:rsid w:val="00C75FFF"/>
    <w:rsid w:val="00C768CB"/>
    <w:rsid w:val="00C77A13"/>
    <w:rsid w:val="00C82F60"/>
    <w:rsid w:val="00C8377B"/>
    <w:rsid w:val="00C8409E"/>
    <w:rsid w:val="00C87B06"/>
    <w:rsid w:val="00C92A1D"/>
    <w:rsid w:val="00C9783D"/>
    <w:rsid w:val="00C97DF9"/>
    <w:rsid w:val="00CA0259"/>
    <w:rsid w:val="00CA1832"/>
    <w:rsid w:val="00CA18A5"/>
    <w:rsid w:val="00CA4882"/>
    <w:rsid w:val="00CA5C98"/>
    <w:rsid w:val="00CA6358"/>
    <w:rsid w:val="00CA7153"/>
    <w:rsid w:val="00CA75BC"/>
    <w:rsid w:val="00CA76C1"/>
    <w:rsid w:val="00CA7DD2"/>
    <w:rsid w:val="00CB1681"/>
    <w:rsid w:val="00CB2873"/>
    <w:rsid w:val="00CB2A69"/>
    <w:rsid w:val="00CB2D92"/>
    <w:rsid w:val="00CB3BE2"/>
    <w:rsid w:val="00CB4ACE"/>
    <w:rsid w:val="00CB6B44"/>
    <w:rsid w:val="00CC0C18"/>
    <w:rsid w:val="00CC1256"/>
    <w:rsid w:val="00CC4C32"/>
    <w:rsid w:val="00CD1CE9"/>
    <w:rsid w:val="00CD29B6"/>
    <w:rsid w:val="00CD32D1"/>
    <w:rsid w:val="00CD59B9"/>
    <w:rsid w:val="00CD68AF"/>
    <w:rsid w:val="00CD6DC6"/>
    <w:rsid w:val="00CE0D5E"/>
    <w:rsid w:val="00CE16B1"/>
    <w:rsid w:val="00CE1C67"/>
    <w:rsid w:val="00CE30D5"/>
    <w:rsid w:val="00CE41DE"/>
    <w:rsid w:val="00CE4CA9"/>
    <w:rsid w:val="00CE552F"/>
    <w:rsid w:val="00CE6B27"/>
    <w:rsid w:val="00CE7CC3"/>
    <w:rsid w:val="00CF0A5F"/>
    <w:rsid w:val="00CF2784"/>
    <w:rsid w:val="00CF3BB9"/>
    <w:rsid w:val="00CF492C"/>
    <w:rsid w:val="00CF51BD"/>
    <w:rsid w:val="00CF62BC"/>
    <w:rsid w:val="00CF67E0"/>
    <w:rsid w:val="00D0183B"/>
    <w:rsid w:val="00D024B7"/>
    <w:rsid w:val="00D0302B"/>
    <w:rsid w:val="00D07B63"/>
    <w:rsid w:val="00D1043B"/>
    <w:rsid w:val="00D12DAD"/>
    <w:rsid w:val="00D13A2F"/>
    <w:rsid w:val="00D14E7E"/>
    <w:rsid w:val="00D15540"/>
    <w:rsid w:val="00D16B49"/>
    <w:rsid w:val="00D17CC9"/>
    <w:rsid w:val="00D2223F"/>
    <w:rsid w:val="00D23515"/>
    <w:rsid w:val="00D24974"/>
    <w:rsid w:val="00D24B00"/>
    <w:rsid w:val="00D254A2"/>
    <w:rsid w:val="00D272E2"/>
    <w:rsid w:val="00D32EB4"/>
    <w:rsid w:val="00D357A5"/>
    <w:rsid w:val="00D37912"/>
    <w:rsid w:val="00D37AF0"/>
    <w:rsid w:val="00D404AC"/>
    <w:rsid w:val="00D4253D"/>
    <w:rsid w:val="00D42C82"/>
    <w:rsid w:val="00D45D41"/>
    <w:rsid w:val="00D469A3"/>
    <w:rsid w:val="00D50B28"/>
    <w:rsid w:val="00D517AC"/>
    <w:rsid w:val="00D52CA0"/>
    <w:rsid w:val="00D53B18"/>
    <w:rsid w:val="00D56ED4"/>
    <w:rsid w:val="00D57CCC"/>
    <w:rsid w:val="00D614B9"/>
    <w:rsid w:val="00D614CC"/>
    <w:rsid w:val="00D62D60"/>
    <w:rsid w:val="00D63358"/>
    <w:rsid w:val="00D649ED"/>
    <w:rsid w:val="00D64CDA"/>
    <w:rsid w:val="00D6522F"/>
    <w:rsid w:val="00D65329"/>
    <w:rsid w:val="00D67585"/>
    <w:rsid w:val="00D7014F"/>
    <w:rsid w:val="00D7178F"/>
    <w:rsid w:val="00D73219"/>
    <w:rsid w:val="00D73319"/>
    <w:rsid w:val="00D73C2E"/>
    <w:rsid w:val="00D73C4B"/>
    <w:rsid w:val="00D7442D"/>
    <w:rsid w:val="00D761D3"/>
    <w:rsid w:val="00D779A2"/>
    <w:rsid w:val="00D80AD8"/>
    <w:rsid w:val="00D80C6C"/>
    <w:rsid w:val="00D840A5"/>
    <w:rsid w:val="00D84AEC"/>
    <w:rsid w:val="00D863F2"/>
    <w:rsid w:val="00D87B0E"/>
    <w:rsid w:val="00D9012C"/>
    <w:rsid w:val="00D9083A"/>
    <w:rsid w:val="00D91A1B"/>
    <w:rsid w:val="00D92F65"/>
    <w:rsid w:val="00D975E5"/>
    <w:rsid w:val="00D97810"/>
    <w:rsid w:val="00DA0813"/>
    <w:rsid w:val="00DA1CDD"/>
    <w:rsid w:val="00DA3945"/>
    <w:rsid w:val="00DA58CC"/>
    <w:rsid w:val="00DA5E32"/>
    <w:rsid w:val="00DA5F7E"/>
    <w:rsid w:val="00DA6B40"/>
    <w:rsid w:val="00DB006F"/>
    <w:rsid w:val="00DB2BCD"/>
    <w:rsid w:val="00DB2F5F"/>
    <w:rsid w:val="00DB3B57"/>
    <w:rsid w:val="00DB3C0E"/>
    <w:rsid w:val="00DB4AAF"/>
    <w:rsid w:val="00DB78E3"/>
    <w:rsid w:val="00DB7D1D"/>
    <w:rsid w:val="00DB7F77"/>
    <w:rsid w:val="00DC0163"/>
    <w:rsid w:val="00DC15E8"/>
    <w:rsid w:val="00DC31D2"/>
    <w:rsid w:val="00DC387F"/>
    <w:rsid w:val="00DC66C8"/>
    <w:rsid w:val="00DC784D"/>
    <w:rsid w:val="00DD13E4"/>
    <w:rsid w:val="00DD159A"/>
    <w:rsid w:val="00DD3100"/>
    <w:rsid w:val="00DD3D84"/>
    <w:rsid w:val="00DE1EB8"/>
    <w:rsid w:val="00DE352C"/>
    <w:rsid w:val="00DE5195"/>
    <w:rsid w:val="00DE676F"/>
    <w:rsid w:val="00DF096F"/>
    <w:rsid w:val="00DF2066"/>
    <w:rsid w:val="00DF2838"/>
    <w:rsid w:val="00DF49F3"/>
    <w:rsid w:val="00DF66F4"/>
    <w:rsid w:val="00DF7330"/>
    <w:rsid w:val="00DF7C18"/>
    <w:rsid w:val="00E02025"/>
    <w:rsid w:val="00E02074"/>
    <w:rsid w:val="00E02281"/>
    <w:rsid w:val="00E02976"/>
    <w:rsid w:val="00E03F11"/>
    <w:rsid w:val="00E052D4"/>
    <w:rsid w:val="00E05F1F"/>
    <w:rsid w:val="00E06F01"/>
    <w:rsid w:val="00E0734F"/>
    <w:rsid w:val="00E120B8"/>
    <w:rsid w:val="00E12D5C"/>
    <w:rsid w:val="00E15F4B"/>
    <w:rsid w:val="00E17CC1"/>
    <w:rsid w:val="00E21C89"/>
    <w:rsid w:val="00E22E67"/>
    <w:rsid w:val="00E245A1"/>
    <w:rsid w:val="00E24C37"/>
    <w:rsid w:val="00E25D4B"/>
    <w:rsid w:val="00E26F7D"/>
    <w:rsid w:val="00E27961"/>
    <w:rsid w:val="00E332E2"/>
    <w:rsid w:val="00E36411"/>
    <w:rsid w:val="00E40306"/>
    <w:rsid w:val="00E4414F"/>
    <w:rsid w:val="00E45CDE"/>
    <w:rsid w:val="00E4654C"/>
    <w:rsid w:val="00E468FF"/>
    <w:rsid w:val="00E475F8"/>
    <w:rsid w:val="00E514FD"/>
    <w:rsid w:val="00E52F06"/>
    <w:rsid w:val="00E5359C"/>
    <w:rsid w:val="00E560D6"/>
    <w:rsid w:val="00E6044C"/>
    <w:rsid w:val="00E607A5"/>
    <w:rsid w:val="00E611F0"/>
    <w:rsid w:val="00E64702"/>
    <w:rsid w:val="00E64B46"/>
    <w:rsid w:val="00E64E31"/>
    <w:rsid w:val="00E65214"/>
    <w:rsid w:val="00E679A6"/>
    <w:rsid w:val="00E701F0"/>
    <w:rsid w:val="00E71B7A"/>
    <w:rsid w:val="00E71CB4"/>
    <w:rsid w:val="00E73169"/>
    <w:rsid w:val="00E738C0"/>
    <w:rsid w:val="00E750CF"/>
    <w:rsid w:val="00E7511E"/>
    <w:rsid w:val="00E7522E"/>
    <w:rsid w:val="00E75D26"/>
    <w:rsid w:val="00E760F2"/>
    <w:rsid w:val="00E8083F"/>
    <w:rsid w:val="00E821F0"/>
    <w:rsid w:val="00E832A6"/>
    <w:rsid w:val="00E85AC5"/>
    <w:rsid w:val="00E86971"/>
    <w:rsid w:val="00E872D7"/>
    <w:rsid w:val="00E90AB1"/>
    <w:rsid w:val="00E90D76"/>
    <w:rsid w:val="00E91BEB"/>
    <w:rsid w:val="00E97C88"/>
    <w:rsid w:val="00EA1F75"/>
    <w:rsid w:val="00EA261C"/>
    <w:rsid w:val="00EA6BE5"/>
    <w:rsid w:val="00EB2673"/>
    <w:rsid w:val="00EB2FD0"/>
    <w:rsid w:val="00EB3408"/>
    <w:rsid w:val="00EB4D68"/>
    <w:rsid w:val="00EB5835"/>
    <w:rsid w:val="00EB5F75"/>
    <w:rsid w:val="00EB6D30"/>
    <w:rsid w:val="00EB75BE"/>
    <w:rsid w:val="00EB76FB"/>
    <w:rsid w:val="00EC1E4B"/>
    <w:rsid w:val="00EC3D79"/>
    <w:rsid w:val="00EC5B8C"/>
    <w:rsid w:val="00EC79E3"/>
    <w:rsid w:val="00ED0E09"/>
    <w:rsid w:val="00ED29A4"/>
    <w:rsid w:val="00ED29C2"/>
    <w:rsid w:val="00ED2F58"/>
    <w:rsid w:val="00ED313F"/>
    <w:rsid w:val="00ED4840"/>
    <w:rsid w:val="00ED5FD4"/>
    <w:rsid w:val="00ED6730"/>
    <w:rsid w:val="00ED74EA"/>
    <w:rsid w:val="00EE0E15"/>
    <w:rsid w:val="00EE176F"/>
    <w:rsid w:val="00EE29CF"/>
    <w:rsid w:val="00EE3073"/>
    <w:rsid w:val="00EE33B2"/>
    <w:rsid w:val="00EE50AB"/>
    <w:rsid w:val="00EE557D"/>
    <w:rsid w:val="00EE6525"/>
    <w:rsid w:val="00EE7F46"/>
    <w:rsid w:val="00EF3786"/>
    <w:rsid w:val="00EF40BD"/>
    <w:rsid w:val="00EF4A17"/>
    <w:rsid w:val="00EF5E01"/>
    <w:rsid w:val="00EF6089"/>
    <w:rsid w:val="00F013F9"/>
    <w:rsid w:val="00F03C51"/>
    <w:rsid w:val="00F058C2"/>
    <w:rsid w:val="00F06FF7"/>
    <w:rsid w:val="00F10427"/>
    <w:rsid w:val="00F1196F"/>
    <w:rsid w:val="00F165EB"/>
    <w:rsid w:val="00F2127D"/>
    <w:rsid w:val="00F23D38"/>
    <w:rsid w:val="00F252A8"/>
    <w:rsid w:val="00F275D4"/>
    <w:rsid w:val="00F304AA"/>
    <w:rsid w:val="00F308E5"/>
    <w:rsid w:val="00F32618"/>
    <w:rsid w:val="00F336AD"/>
    <w:rsid w:val="00F33A52"/>
    <w:rsid w:val="00F36050"/>
    <w:rsid w:val="00F366CC"/>
    <w:rsid w:val="00F36A1E"/>
    <w:rsid w:val="00F37EA4"/>
    <w:rsid w:val="00F42024"/>
    <w:rsid w:val="00F423A8"/>
    <w:rsid w:val="00F42999"/>
    <w:rsid w:val="00F433E9"/>
    <w:rsid w:val="00F464A1"/>
    <w:rsid w:val="00F47CD0"/>
    <w:rsid w:val="00F5568E"/>
    <w:rsid w:val="00F55ED6"/>
    <w:rsid w:val="00F62C23"/>
    <w:rsid w:val="00F66975"/>
    <w:rsid w:val="00F70076"/>
    <w:rsid w:val="00F72145"/>
    <w:rsid w:val="00F74B80"/>
    <w:rsid w:val="00F820F5"/>
    <w:rsid w:val="00F850D9"/>
    <w:rsid w:val="00F85278"/>
    <w:rsid w:val="00F86499"/>
    <w:rsid w:val="00F86CE2"/>
    <w:rsid w:val="00F8760E"/>
    <w:rsid w:val="00F91B9D"/>
    <w:rsid w:val="00F94A5F"/>
    <w:rsid w:val="00F94C0D"/>
    <w:rsid w:val="00F9620A"/>
    <w:rsid w:val="00F97325"/>
    <w:rsid w:val="00F97EB8"/>
    <w:rsid w:val="00FA12BC"/>
    <w:rsid w:val="00FA150C"/>
    <w:rsid w:val="00FA2E41"/>
    <w:rsid w:val="00FA3188"/>
    <w:rsid w:val="00FA458A"/>
    <w:rsid w:val="00FA45E1"/>
    <w:rsid w:val="00FA464F"/>
    <w:rsid w:val="00FA4A37"/>
    <w:rsid w:val="00FA5CBF"/>
    <w:rsid w:val="00FA680F"/>
    <w:rsid w:val="00FA7D1D"/>
    <w:rsid w:val="00FB01A9"/>
    <w:rsid w:val="00FB2415"/>
    <w:rsid w:val="00FB4942"/>
    <w:rsid w:val="00FB6015"/>
    <w:rsid w:val="00FB6586"/>
    <w:rsid w:val="00FC1103"/>
    <w:rsid w:val="00FC16A6"/>
    <w:rsid w:val="00FC18F5"/>
    <w:rsid w:val="00FC2698"/>
    <w:rsid w:val="00FC30AA"/>
    <w:rsid w:val="00FC46ED"/>
    <w:rsid w:val="00FC490B"/>
    <w:rsid w:val="00FC656B"/>
    <w:rsid w:val="00FD0C44"/>
    <w:rsid w:val="00FD3F9C"/>
    <w:rsid w:val="00FD4CDB"/>
    <w:rsid w:val="00FD50D7"/>
    <w:rsid w:val="00FD592D"/>
    <w:rsid w:val="00FD7C93"/>
    <w:rsid w:val="00FE0B59"/>
    <w:rsid w:val="00FE156A"/>
    <w:rsid w:val="00FE1AC4"/>
    <w:rsid w:val="00FE2105"/>
    <w:rsid w:val="00FE26D6"/>
    <w:rsid w:val="00FE48F6"/>
    <w:rsid w:val="00FE5A27"/>
    <w:rsid w:val="00FE7B80"/>
    <w:rsid w:val="00FF09C4"/>
    <w:rsid w:val="00FF2CF5"/>
    <w:rsid w:val="00FF3472"/>
    <w:rsid w:val="00FF5640"/>
    <w:rsid w:val="016E7A31"/>
    <w:rsid w:val="0213E1D5"/>
    <w:rsid w:val="04737AE1"/>
    <w:rsid w:val="068E9F29"/>
    <w:rsid w:val="07837BB0"/>
    <w:rsid w:val="08360388"/>
    <w:rsid w:val="091EBCA9"/>
    <w:rsid w:val="09D0BBA3"/>
    <w:rsid w:val="09F058FE"/>
    <w:rsid w:val="0B830C9F"/>
    <w:rsid w:val="0CE0CE7E"/>
    <w:rsid w:val="12CAE514"/>
    <w:rsid w:val="13E4CB8C"/>
    <w:rsid w:val="13EFCE8C"/>
    <w:rsid w:val="15106E04"/>
    <w:rsid w:val="159F08A2"/>
    <w:rsid w:val="17620490"/>
    <w:rsid w:val="18C86879"/>
    <w:rsid w:val="1A257F30"/>
    <w:rsid w:val="1AAE7830"/>
    <w:rsid w:val="1D5A238D"/>
    <w:rsid w:val="1D5E912B"/>
    <w:rsid w:val="1DC271AA"/>
    <w:rsid w:val="1E36C0A8"/>
    <w:rsid w:val="1E906FAD"/>
    <w:rsid w:val="20262009"/>
    <w:rsid w:val="203DE22F"/>
    <w:rsid w:val="21C7C3D8"/>
    <w:rsid w:val="22183D5F"/>
    <w:rsid w:val="22BD8583"/>
    <w:rsid w:val="22BFEBB5"/>
    <w:rsid w:val="2411DAE5"/>
    <w:rsid w:val="24958D28"/>
    <w:rsid w:val="2640796A"/>
    <w:rsid w:val="26A80248"/>
    <w:rsid w:val="26CCB4E3"/>
    <w:rsid w:val="28430F59"/>
    <w:rsid w:val="29955768"/>
    <w:rsid w:val="29D37326"/>
    <w:rsid w:val="2A1369FE"/>
    <w:rsid w:val="2A7BF0F7"/>
    <w:rsid w:val="2ACD23B6"/>
    <w:rsid w:val="2B181468"/>
    <w:rsid w:val="2B9D38E0"/>
    <w:rsid w:val="2C335853"/>
    <w:rsid w:val="2C7057B1"/>
    <w:rsid w:val="2CEA8746"/>
    <w:rsid w:val="2EFE7105"/>
    <w:rsid w:val="2F941329"/>
    <w:rsid w:val="30193D0A"/>
    <w:rsid w:val="308C0147"/>
    <w:rsid w:val="30CB8FA9"/>
    <w:rsid w:val="3100F6EA"/>
    <w:rsid w:val="31304A1B"/>
    <w:rsid w:val="31675D7E"/>
    <w:rsid w:val="31BCA3C4"/>
    <w:rsid w:val="31EE405A"/>
    <w:rsid w:val="32B5BD6A"/>
    <w:rsid w:val="344E3B76"/>
    <w:rsid w:val="35695A02"/>
    <w:rsid w:val="3605E36F"/>
    <w:rsid w:val="37076540"/>
    <w:rsid w:val="3713721B"/>
    <w:rsid w:val="3815F719"/>
    <w:rsid w:val="384FA242"/>
    <w:rsid w:val="39CC9606"/>
    <w:rsid w:val="39F6F154"/>
    <w:rsid w:val="3A15032D"/>
    <w:rsid w:val="3A221014"/>
    <w:rsid w:val="3AB42498"/>
    <w:rsid w:val="3F76CE01"/>
    <w:rsid w:val="3F8655CE"/>
    <w:rsid w:val="422E6D5D"/>
    <w:rsid w:val="45F3D031"/>
    <w:rsid w:val="46916135"/>
    <w:rsid w:val="46C9B80D"/>
    <w:rsid w:val="4A10A09D"/>
    <w:rsid w:val="4C7585EB"/>
    <w:rsid w:val="4CF836FD"/>
    <w:rsid w:val="4DDB44A0"/>
    <w:rsid w:val="4DF389D0"/>
    <w:rsid w:val="4ED97CD7"/>
    <w:rsid w:val="4EF958FE"/>
    <w:rsid w:val="4F1B1973"/>
    <w:rsid w:val="4FB023D7"/>
    <w:rsid w:val="527A8EFF"/>
    <w:rsid w:val="52F00851"/>
    <w:rsid w:val="54171A3B"/>
    <w:rsid w:val="55756A93"/>
    <w:rsid w:val="57150FCB"/>
    <w:rsid w:val="587F9E6B"/>
    <w:rsid w:val="593D924B"/>
    <w:rsid w:val="59736221"/>
    <w:rsid w:val="5A1C0FC4"/>
    <w:rsid w:val="5AA7F347"/>
    <w:rsid w:val="5ACFF221"/>
    <w:rsid w:val="5B168622"/>
    <w:rsid w:val="5B37A4F7"/>
    <w:rsid w:val="5BD2AB59"/>
    <w:rsid w:val="5C6AA61E"/>
    <w:rsid w:val="5CDBA64A"/>
    <w:rsid w:val="5D4E727A"/>
    <w:rsid w:val="5DBDE8FB"/>
    <w:rsid w:val="5F6FB9E8"/>
    <w:rsid w:val="5F91D42B"/>
    <w:rsid w:val="5FBF6007"/>
    <w:rsid w:val="5FC957AC"/>
    <w:rsid w:val="60408AC0"/>
    <w:rsid w:val="60C97771"/>
    <w:rsid w:val="60FFCBD4"/>
    <w:rsid w:val="61588A40"/>
    <w:rsid w:val="621B78F5"/>
    <w:rsid w:val="64791844"/>
    <w:rsid w:val="662399CC"/>
    <w:rsid w:val="67D1E42F"/>
    <w:rsid w:val="67DE49A4"/>
    <w:rsid w:val="680ACE2E"/>
    <w:rsid w:val="68EAB593"/>
    <w:rsid w:val="69A1F8DE"/>
    <w:rsid w:val="6B8D35EB"/>
    <w:rsid w:val="6B9681DD"/>
    <w:rsid w:val="6CA9D6E8"/>
    <w:rsid w:val="6E69F488"/>
    <w:rsid w:val="6F12E8FC"/>
    <w:rsid w:val="6FE131BF"/>
    <w:rsid w:val="701B379E"/>
    <w:rsid w:val="72AC0F35"/>
    <w:rsid w:val="737E11BA"/>
    <w:rsid w:val="73AAD027"/>
    <w:rsid w:val="751855A5"/>
    <w:rsid w:val="766E4127"/>
    <w:rsid w:val="770E6ED5"/>
    <w:rsid w:val="789BD016"/>
    <w:rsid w:val="7A057A75"/>
    <w:rsid w:val="7C054946"/>
    <w:rsid w:val="7E4B97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8CA"/>
  <w15:chartTrackingRefBased/>
  <w15:docId w15:val="{0D119AC0-B2C2-4BE0-83AA-228CD9E1E7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D222C"/>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uiPriority w:val="9"/>
    <w:qFormat/>
    <w:rsid w:val="001B14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unhideWhenUsed/>
    <w:qFormat/>
    <w:rsid w:val="00953846"/>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222C"/>
    <w:rPr>
      <w:rFonts w:ascii="Segoe UI" w:hAnsi="Segoe UI" w:cs="Segoe UI"/>
      <w:sz w:val="18"/>
      <w:szCs w:val="18"/>
    </w:rPr>
  </w:style>
  <w:style w:type="character" w:styleId="Heading2Char" w:customStyle="1">
    <w:name w:val="Heading 2 Char"/>
    <w:basedOn w:val="DefaultParagraphFont"/>
    <w:link w:val="Heading2"/>
    <w:rsid w:val="003D222C"/>
    <w:rPr>
      <w:rFonts w:ascii="Arial" w:hAnsi="Arial" w:eastAsia="Times New Roman"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styleId="ListParagraphChar" w:customStyle="1">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hAnsi="Arial" w:eastAsia="Times New Roman" w:cs="Times New Roman"/>
      <w:sz w:val="24"/>
      <w:szCs w:val="20"/>
      <w:lang w:eastAsia="en-GB"/>
    </w:rPr>
  </w:style>
  <w:style w:type="table" w:styleId="TableGrid">
    <w:name w:val="Table Grid"/>
    <w:basedOn w:val="TableNormal"/>
    <w:rsid w:val="003D222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styleId="HeaderChar" w:customStyle="1">
    <w:name w:val="Header Char"/>
    <w:basedOn w:val="DefaultParagraphFont"/>
    <w:link w:val="Header"/>
    <w:uiPriority w:val="99"/>
    <w:rsid w:val="003D222C"/>
    <w:rPr>
      <w:rFonts w:ascii="Arial" w:hAnsi="Arial" w:eastAsia="Times New Roman"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styleId="FooterChar" w:customStyle="1">
    <w:name w:val="Footer Char"/>
    <w:basedOn w:val="DefaultParagraphFont"/>
    <w:link w:val="Footer"/>
    <w:uiPriority w:val="99"/>
    <w:rsid w:val="001A4AA4"/>
    <w:rPr>
      <w:rFonts w:ascii="Arial" w:hAnsi="Arial" w:eastAsia="Times New Roman"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Revision">
    <w:name w:val="Revision"/>
    <w:hidden/>
    <w:uiPriority w:val="99"/>
    <w:semiHidden/>
    <w:rsid w:val="00FE0B59"/>
    <w:pPr>
      <w:spacing w:after="0" w:line="240" w:lineRule="auto"/>
    </w:pPr>
    <w:rPr>
      <w:rFonts w:ascii="Arial" w:hAnsi="Arial" w:eastAsia="Times New Roman" w:cs="Times New Roman"/>
      <w:sz w:val="24"/>
      <w:szCs w:val="24"/>
    </w:rPr>
  </w:style>
  <w:style w:type="paragraph" w:styleId="BEISTitle" w:customStyle="1">
    <w:name w:val="BEIS Title"/>
    <w:basedOn w:val="Normal"/>
    <w:next w:val="Normal"/>
    <w:rsid w:val="00885BB9"/>
    <w:pPr>
      <w:spacing w:after="240" w:line="320" w:lineRule="atLeast"/>
    </w:pPr>
    <w:rPr>
      <w:rFonts w:eastAsiaTheme="minorHAnsi" w:cstheme="minorBidi"/>
      <w:color w:val="041E42"/>
      <w:sz w:val="76"/>
      <w:szCs w:val="22"/>
    </w:rPr>
  </w:style>
  <w:style w:type="paragraph" w:styleId="BEISDate" w:customStyle="1">
    <w:name w:val="BEIS Date"/>
    <w:basedOn w:val="Normal"/>
    <w:rsid w:val="00090217"/>
    <w:pPr>
      <w:spacing w:line="320" w:lineRule="atLeast"/>
    </w:pPr>
    <w:rPr>
      <w:rFonts w:eastAsiaTheme="minorHAnsi" w:cstheme="minorBidi"/>
      <w:color w:val="868686"/>
      <w:sz w:val="28"/>
      <w:szCs w:val="22"/>
    </w:rPr>
  </w:style>
  <w:style w:type="character" w:styleId="Heading1Char" w:customStyle="1">
    <w:name w:val="Heading 1 Char"/>
    <w:basedOn w:val="DefaultParagraphFont"/>
    <w:link w:val="Heading1"/>
    <w:uiPriority w:val="9"/>
    <w:rsid w:val="001B14BA"/>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B14BA"/>
    <w:pPr>
      <w:spacing w:line="259" w:lineRule="auto"/>
      <w:outlineLvl w:val="9"/>
    </w:pPr>
    <w:rPr>
      <w:lang w:val="en-US"/>
    </w:rPr>
  </w:style>
  <w:style w:type="paragraph" w:styleId="TOC2">
    <w:name w:val="toc 2"/>
    <w:basedOn w:val="Normal"/>
    <w:next w:val="Normal"/>
    <w:autoRedefine/>
    <w:uiPriority w:val="39"/>
    <w:unhideWhenUsed/>
    <w:rsid w:val="001B14BA"/>
    <w:pPr>
      <w:spacing w:after="100"/>
      <w:ind w:left="240"/>
    </w:pPr>
  </w:style>
  <w:style w:type="paragraph" w:styleId="TOC1">
    <w:name w:val="toc 1"/>
    <w:basedOn w:val="Normal"/>
    <w:next w:val="Normal"/>
    <w:autoRedefine/>
    <w:uiPriority w:val="39"/>
    <w:unhideWhenUsed/>
    <w:rsid w:val="006C516E"/>
    <w:pPr>
      <w:spacing w:after="100"/>
    </w:pPr>
  </w:style>
  <w:style w:type="character" w:styleId="Heading3Char" w:customStyle="1">
    <w:name w:val="Heading 3 Char"/>
    <w:basedOn w:val="DefaultParagraphFont"/>
    <w:link w:val="Heading3"/>
    <w:uiPriority w:val="9"/>
    <w:rsid w:val="00953846"/>
    <w:rPr>
      <w:rFonts w:asciiTheme="majorHAnsi" w:hAnsiTheme="majorHAnsi" w:eastAsiaTheme="majorEastAsia" w:cstheme="majorBidi"/>
      <w:color w:val="1F3763" w:themeColor="accent1" w:themeShade="7F"/>
      <w:sz w:val="24"/>
      <w:szCs w:val="24"/>
    </w:rPr>
  </w:style>
  <w:style w:type="paragraph" w:styleId="TOC3">
    <w:name w:val="toc 3"/>
    <w:basedOn w:val="Normal"/>
    <w:next w:val="Normal"/>
    <w:autoRedefine/>
    <w:uiPriority w:val="39"/>
    <w:unhideWhenUsed/>
    <w:rsid w:val="00953846"/>
    <w:pPr>
      <w:spacing w:after="100"/>
      <w:ind w:left="480"/>
    </w:pPr>
  </w:style>
  <w:style w:type="character" w:styleId="CommentReference">
    <w:name w:val="Comment Reference"/>
    <w:basedOn w:val="DefaultParagraphFont"/>
    <w:uiPriority w:val="99"/>
    <w:semiHidden/>
    <w:unhideWhenUsed/>
    <w:rsid w:val="00C21390"/>
    <w:rPr>
      <w:sz w:val="16"/>
      <w:szCs w:val="16"/>
    </w:rPr>
  </w:style>
  <w:style w:type="paragraph" w:styleId="CommentText">
    <w:name w:val="Comment Text"/>
    <w:basedOn w:val="Normal"/>
    <w:link w:val="CommentTextChar"/>
    <w:uiPriority w:val="99"/>
    <w:unhideWhenUsed/>
    <w:rsid w:val="00C21390"/>
    <w:rPr>
      <w:sz w:val="20"/>
      <w:szCs w:val="20"/>
    </w:rPr>
  </w:style>
  <w:style w:type="character" w:styleId="CommentTextChar" w:customStyle="1">
    <w:name w:val="Comment Text Char"/>
    <w:basedOn w:val="DefaultParagraphFont"/>
    <w:link w:val="CommentText"/>
    <w:uiPriority w:val="99"/>
    <w:rsid w:val="00C21390"/>
    <w:rPr>
      <w:rFonts w:ascii="Arial" w:hAnsi="Arial" w:eastAsia="Times New Roman" w:cs="Times New Roman"/>
      <w:sz w:val="20"/>
      <w:szCs w:val="20"/>
    </w:rPr>
  </w:style>
  <w:style w:type="paragraph" w:styleId="CommentSubject">
    <w:name w:val="Comment Subject"/>
    <w:basedOn w:val="CommentText"/>
    <w:next w:val="CommentText"/>
    <w:link w:val="CommentSubjectChar"/>
    <w:uiPriority w:val="99"/>
    <w:semiHidden/>
    <w:unhideWhenUsed/>
    <w:rsid w:val="00C21390"/>
    <w:rPr>
      <w:b/>
      <w:bCs/>
    </w:rPr>
  </w:style>
  <w:style w:type="character" w:styleId="CommentSubjectChar" w:customStyle="1">
    <w:name w:val="Comment Subject Char"/>
    <w:basedOn w:val="CommentTextChar"/>
    <w:link w:val="CommentSubject"/>
    <w:uiPriority w:val="99"/>
    <w:semiHidden/>
    <w:rsid w:val="00C21390"/>
    <w:rPr>
      <w:rFonts w:ascii="Arial" w:hAnsi="Arial" w:eastAsia="Times New Roman" w:cs="Times New Roman"/>
      <w:b/>
      <w:bCs/>
      <w:sz w:val="20"/>
      <w:szCs w:val="20"/>
    </w:rPr>
  </w:style>
  <w:style w:type="paragraph" w:styleId="NormalWeb">
    <w:name w:val="Normal (Web)"/>
    <w:basedOn w:val="Normal"/>
    <w:uiPriority w:val="99"/>
    <w:semiHidden/>
    <w:unhideWhenUsed/>
    <w:rsid w:val="006D5C9E"/>
    <w:rPr>
      <w:rFonts w:ascii="Times New Roman" w:hAnsi="Times New Roman"/>
    </w:rPr>
  </w:style>
  <w:style w:type="character" w:styleId="normaltextrun" w:customStyle="1">
    <w:name w:val="normaltextrun"/>
    <w:basedOn w:val="DefaultParagraphFont"/>
    <w:rsid w:val="00CB6B44"/>
  </w:style>
  <w:style w:type="character" w:styleId="eop" w:customStyle="1">
    <w:name w:val="eop"/>
    <w:basedOn w:val="DefaultParagraphFont"/>
    <w:rsid w:val="00CB6B44"/>
  </w:style>
  <w:style w:type="paragraph" w:styleId="paragraph" w:customStyle="1">
    <w:name w:val="paragraph"/>
    <w:basedOn w:val="Normal"/>
    <w:rsid w:val="000575AC"/>
    <w:pPr>
      <w:spacing w:before="100" w:beforeAutospacing="1" w:after="100" w:afterAutospacing="1"/>
    </w:pPr>
    <w:rPr>
      <w:rFonts w:ascii="Times New Roman" w:hAnsi="Times New Roman"/>
      <w:lang w:eastAsia="en-GB"/>
    </w:rPr>
  </w:style>
  <w:style w:type="character" w:styleId="scxw87463274" w:customStyle="1">
    <w:name w:val="scxw87463274"/>
    <w:basedOn w:val="DefaultParagraphFont"/>
    <w:rsid w:val="00CD68AF"/>
  </w:style>
  <w:style w:type="character" w:styleId="Mention">
    <w:name w:val="Mention"/>
    <w:basedOn w:val="DefaultParagraphFont"/>
    <w:uiPriority w:val="99"/>
    <w:unhideWhenUsed/>
    <w:rsid w:val="00DF2838"/>
    <w:rPr>
      <w:color w:val="2B579A"/>
      <w:shd w:val="clear" w:color="auto" w:fill="E1DFDD"/>
    </w:rPr>
  </w:style>
  <w:style w:type="paragraph" w:styleId="FootnoteText">
    <w:name w:val="footnote text"/>
    <w:basedOn w:val="Normal"/>
    <w:link w:val="FootnoteTextChar"/>
    <w:uiPriority w:val="99"/>
    <w:semiHidden/>
    <w:unhideWhenUsed/>
    <w:rsid w:val="00EF5E01"/>
    <w:rPr>
      <w:sz w:val="20"/>
      <w:szCs w:val="20"/>
    </w:rPr>
  </w:style>
  <w:style w:type="character" w:styleId="FootnoteTextChar" w:customStyle="1">
    <w:name w:val="Footnote Text Char"/>
    <w:basedOn w:val="DefaultParagraphFont"/>
    <w:link w:val="FootnoteText"/>
    <w:uiPriority w:val="99"/>
    <w:semiHidden/>
    <w:rsid w:val="00EF5E01"/>
    <w:rPr>
      <w:rFonts w:ascii="Arial" w:hAnsi="Arial" w:eastAsia="Times New Roman" w:cs="Times New Roman"/>
      <w:sz w:val="20"/>
      <w:szCs w:val="20"/>
    </w:rPr>
  </w:style>
  <w:style w:type="character" w:styleId="FootnoteReference">
    <w:name w:val="footnote reference"/>
    <w:basedOn w:val="DefaultParagraphFont"/>
    <w:uiPriority w:val="99"/>
    <w:semiHidden/>
    <w:unhideWhenUsed/>
    <w:rsid w:val="00EF5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nationalarchives.gov.uk/doc/open-government-licence/version/3/" TargetMode="External" Id="rId13" /><Relationship Type="http://schemas.openxmlformats.org/officeDocument/2006/relationships/hyperlink" Target="https://science-and-innovation-network.s3.eu-west-2.amazonaws.com/BEIS+ICF/MFF/2024+MFF+Annual+Review_FINAL.docx"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beisgov.sharepoint.com/:x:/r/sites/ICF/Policy%20and%20Investments/Forests%20and%20Land%20Use%20Team/Projects/Mobilising%20Finance%20for%20Forests/M%26E/Logframe/2024/MFF%20Logframe%2026_Final%202023_28%20March%2024.xlsx?d=w40895438316041b9ba1a68ed69980dab&amp;csf=1&amp;web=1&amp;e=8xJp9f" TargetMode="External" Id="rId17" /><Relationship Type="http://schemas.openxmlformats.org/officeDocument/2006/relationships/customXml" Target="../customXml/item2.xml" Id="rId2" /><Relationship Type="http://schemas.openxmlformats.org/officeDocument/2006/relationships/hyperlink" Target="https://science-and-innovation-network.s3.eu-west-2.amazonaws.com/BEIS+ICF/MFF/BEIS+ICF+Mobilising+Finance+for+Forests+-+Business+Case.docx"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ODA-Transparency@beis.gov.uk"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si@nationalarchives.gsi.gov.uk" TargetMode="Externa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gatsbyafrica.org.uk/insight/lessons-from-30-years-of-african-commercial-forestry-invest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TaxCatchAll xmlns="92ad9e33-5271-4ce6-bdd9-333434fbc601">
      <Value>1</Value>
    </TaxCatchAll>
    <SharedWithUsers xmlns="92ad9e33-5271-4ce6-bdd9-333434fbc601">
      <UserInfo>
        <DisplayName>zz_Gibbs, Douglas (Intl Climate Finance - Investments)</DisplayName>
        <AccountId>13</AccountId>
        <AccountType/>
      </UserInfo>
      <UserInfo>
        <DisplayName>Smithers, William (Energy Security)</DisplayName>
        <AccountId>15</AccountId>
        <AccountType/>
      </UserInfo>
      <UserInfo>
        <DisplayName>Coverdale, Ellen (Energy Security)</DisplayName>
        <AccountId>37</AccountId>
        <AccountType/>
      </UserInfo>
      <UserInfo>
        <DisplayName>Hampton-Ball, Simon (Energy Security)</DisplayName>
        <AccountId>53</AccountId>
        <AccountType/>
      </UserInfo>
      <UserInfo>
        <DisplayName>zz_Kennedy, Ruth (Intl Climate Finance - Investments)</DisplayName>
        <AccountId>54</AccountId>
        <AccountType/>
      </UserInfo>
      <UserInfo>
        <DisplayName>zz_Mills, Sarah (Intl Climate Finance - Investments)</DisplayName>
        <AccountId>66</AccountId>
        <AccountType/>
      </UserInfo>
      <UserInfo>
        <DisplayName>Shipley, Chris (Energy Security)</DisplayName>
        <AccountId>68</AccountId>
        <AccountType/>
      </UserInfo>
      <UserInfo>
        <DisplayName>zz_Le Quesne, Felicity (NZSI - International Forests Hub)</DisplayName>
        <AccountId>72</AccountId>
        <AccountType/>
      </UserInfo>
      <UserInfo>
        <DisplayName>zz_Bertrand, Jeromine (Energy Security)</DisplayName>
        <AccountId>80</AccountId>
        <AccountType/>
      </UserInfo>
      <UserInfo>
        <DisplayName>zz_Kasliwal, Pritika (Intl Climate Finance - Partnerships)</DisplayName>
        <AccountId>81</AccountId>
        <AccountType/>
      </UserInfo>
      <UserInfo>
        <DisplayName>zz_Liehr, Estefania (Intl Climate Finance - Investments)</DisplayName>
        <AccountId>87</AccountId>
        <AccountType/>
      </UserInfo>
      <UserInfo>
        <DisplayName>Stringer, Fiona (Energy Security)</DisplayName>
        <AccountId>99</AccountId>
        <AccountType/>
      </UserInfo>
      <UserInfo>
        <DisplayName>zz_Hodgetts, George (NZSI - International Net Zero)</DisplayName>
        <AccountId>101</AccountId>
        <AccountType/>
      </UserInfo>
      <UserInfo>
        <DisplayName>zz_Evans, Sian (Intl Climate Finance - Partnerships)</DisplayName>
        <AccountId>104</AccountId>
        <AccountType/>
      </UserInfo>
      <UserInfo>
        <DisplayName>zz_Tomlinson, Luke (Intl Climate Finance - Investments)</DisplayName>
        <AccountId>123</AccountId>
        <AccountType/>
      </UserInfo>
      <UserInfo>
        <DisplayName>Farmer, Will (Energy Security)</DisplayName>
        <AccountId>142</AccountId>
        <AccountType/>
      </UserInfo>
      <UserInfo>
        <DisplayName>zz_Olubodun, Lekan (Energy Security)</DisplayName>
        <AccountId>162</AccountId>
        <AccountType/>
      </UserInfo>
      <UserInfo>
        <DisplayName>Situ, Victoria (Energy Security)</DisplayName>
        <AccountId>183</AccountId>
        <AccountType/>
      </UserInfo>
      <UserInfo>
        <DisplayName>zz_Caravani, Alice (Energy Security)</DisplayName>
        <AccountId>187</AccountId>
        <AccountType/>
      </UserInfo>
      <UserInfo>
        <DisplayName>zz_Pettem, Sarah (Intl Climate Finance - Portfolio)</DisplayName>
        <AccountId>190</AccountId>
        <AccountType/>
      </UserInfo>
      <UserInfo>
        <DisplayName>Hirschhausen, Lara (Energy Security)</DisplayName>
        <AccountId>218</AccountId>
        <AccountType/>
      </UserInfo>
      <UserInfo>
        <DisplayName>zz_Ahmed, Tajbee (Energy Security)</DisplayName>
        <AccountId>219</AccountId>
        <AccountType/>
      </UserInfo>
      <UserInfo>
        <DisplayName>Davis, Owen (Energy Security)</DisplayName>
        <AccountId>245</AccountId>
        <AccountType/>
      </UserInfo>
      <UserInfo>
        <DisplayName>zz_Augustin, Sidney (DSIT)</DisplayName>
        <AccountId>267</AccountId>
        <AccountType/>
      </UserInfo>
      <UserInfo>
        <DisplayName>zz_Sardeson, Lottie (Intl Climate Finance - Investments)</DisplayName>
        <AccountId>282</AccountId>
        <AccountType/>
      </UserInfo>
      <UserInfo>
        <DisplayName>Livesey, Renee (Energy Security)</DisplayName>
        <AccountId>306</AccountId>
        <AccountType/>
      </UserInfo>
      <UserInfo>
        <DisplayName>zz_Patrick, Niall (Energy Security)</DisplayName>
        <AccountId>534</AccountId>
        <AccountType/>
      </UserInfo>
      <UserInfo>
        <DisplayName>zz_Donegan, Brendan (Energy Security)</DisplayName>
        <AccountId>539</AccountId>
        <AccountType/>
      </UserInfo>
      <UserInfo>
        <DisplayName>Natalia Rodriguez (Sensitive)</DisplayName>
        <AccountId>606</AccountId>
        <AccountType/>
      </UserInfo>
      <UserInfo>
        <DisplayName>Veronica Robledo (Sensitive)</DisplayName>
        <AccountId>607</AccountId>
        <AccountType/>
      </UserInfo>
      <UserInfo>
        <DisplayName>Lina Penuela (Sensitive)</DisplayName>
        <AccountId>608</AccountId>
        <AccountType/>
      </UserInfo>
      <UserInfo>
        <DisplayName>zz_Al-Sibassi, Eman (Energy Security)</DisplayName>
        <AccountId>723</AccountId>
        <AccountType/>
      </UserInfo>
      <UserInfo>
        <DisplayName>zz_Lugt, Ellie (International - Climate and Energy)</DisplayName>
        <AccountId>1134</AccountId>
        <AccountType/>
      </UserInfo>
      <UserInfo>
        <DisplayName>zz_Bray, Callum (BEIS)</DisplayName>
        <AccountId>1135</AccountId>
        <AccountType/>
      </UserInfo>
      <UserInfo>
        <DisplayName>White, James (DSIT)</DisplayName>
        <AccountId>1136</AccountId>
        <AccountType/>
      </UserInfo>
      <UserInfo>
        <DisplayName>zz_Hughes, Catriona (Business Sectors - Infrastructure &amp; Materials)</DisplayName>
        <AccountId>1191</AccountId>
        <AccountType/>
      </UserInfo>
      <UserInfo>
        <DisplayName>zz_White, Alastair (NZSI - International Net Zero)</DisplayName>
        <AccountId>1268</AccountId>
        <AccountType/>
      </UserInfo>
      <UserInfo>
        <DisplayName>zz_Andrews, Sophie (International - Climate and Energy)</DisplayName>
        <AccountId>1433</AccountId>
        <AccountType/>
      </UserInfo>
      <UserInfo>
        <DisplayName>zz_Robinson, Giulia (International - Climate and Energy)</DisplayName>
        <AccountId>1436</AccountId>
        <AccountType/>
      </UserInfo>
      <UserInfo>
        <DisplayName>zz_Walter, Poppy (NZBI - Domestic)</DisplayName>
        <AccountId>1489</AccountId>
        <AccountType/>
      </UserInfo>
      <UserInfo>
        <DisplayName>zz_Stathakopoulou, Christina (NZSI - International Net Zero)</DisplayName>
        <AccountId>1518</AccountId>
        <AccountType/>
      </UserInfo>
      <UserInfo>
        <DisplayName>lina.penuela@fcdo.gov.uk</DisplayName>
        <AccountId>1971</AccountId>
        <AccountType/>
      </UserInfo>
      <UserInfo>
        <DisplayName>veronica.robledo</DisplayName>
        <AccountId>1977</AccountId>
        <AccountType/>
      </UserInfo>
      <UserInfo>
        <DisplayName>natalia.rodriguez</DisplayName>
        <AccountId>1978</AccountId>
        <AccountType/>
      </UserInfo>
      <UserInfo>
        <DisplayName>zz_Schuler, Nina (International - Climate and Energy)</DisplayName>
        <AccountId>2097</AccountId>
        <AccountType/>
      </UserInfo>
      <UserInfo>
        <DisplayName>zz_Ashworth, Francesca (Science, Research &amp; Innovation)</DisplayName>
        <AccountId>2123</AccountId>
        <AccountType/>
      </UserInfo>
      <UserInfo>
        <DisplayName>zz_Unadkat, Kavi (International - Climate and Energy)</DisplayName>
        <AccountId>2318</AccountId>
        <AccountType/>
      </UserInfo>
      <UserInfo>
        <DisplayName>zz_Hillson, Isabelle (Energy Security)</DisplayName>
        <AccountId>2927</AccountId>
        <AccountType/>
      </UserInfo>
      <UserInfo>
        <DisplayName>Boustead, Rebecca (Energy Security)</DisplayName>
        <AccountId>3176</AccountId>
        <AccountType/>
      </UserInfo>
      <UserInfo>
        <DisplayName>Parris, Francesca (Energy Security)</DisplayName>
        <AccountId>3785</AccountId>
        <AccountType/>
      </UserInfo>
      <UserInfo>
        <DisplayName>Apine, Alina (Energy Security)</DisplayName>
        <AccountId>4968</AccountId>
        <AccountType/>
      </UserInfo>
      <UserInfo>
        <DisplayName>zz_Baillie, Jack (NZSI - International Net Zero)</DisplayName>
        <AccountId>5028</AccountId>
        <AccountType/>
      </UserInfo>
      <UserInfo>
        <DisplayName>zz_Keene, Alexander (Topps - National Security &amp; International)</DisplayName>
        <AccountId>5053</AccountId>
        <AccountType/>
      </UserInfo>
      <UserInfo>
        <DisplayName>zz_Carro, Inigo (BEIS)</DisplayName>
        <AccountId>5241</AccountId>
        <AccountType/>
      </UserInfo>
      <UserInfo>
        <DisplayName>zz_Rose, Ginny (International - Climate and Energy)</DisplayName>
        <AccountId>5308</AccountId>
        <AccountType/>
      </UserInfo>
      <UserInfo>
        <DisplayName>Bunte, Svenja (Energy Security)</DisplayName>
        <AccountId>5357</AccountId>
        <AccountType/>
      </UserInfo>
      <UserInfo>
        <DisplayName>zz_Enevoldsen, Chloe (NZSI - International Net Zero)</DisplayName>
        <AccountId>5447</AccountId>
        <AccountType/>
      </UserInfo>
      <UserInfo>
        <DisplayName>Sarah Pettem</DisplayName>
        <AccountId>7821</AccountId>
        <AccountType/>
      </UserInfo>
      <UserInfo>
        <DisplayName>Jones3, Philip (Energy Security)</DisplayName>
        <AccountId>8101</AccountId>
        <AccountType/>
      </UserInfo>
      <UserInfo>
        <DisplayName>zz_Norman-Rhodes, Alex (Energy Security)</DisplayName>
        <AccountId>8102</AccountId>
        <AccountType/>
      </UserInfo>
      <UserInfo>
        <DisplayName>Sides, Sabrina (Energy Security)</DisplayName>
        <AccountId>8195</AccountId>
        <AccountType/>
      </UserInfo>
      <UserInfo>
        <DisplayName>zz_Wastie, Tayah (Energy Security)</DisplayName>
        <AccountId>8372</AccountId>
        <AccountType/>
      </UserInfo>
      <UserInfo>
        <DisplayName>Poletti, Monica (Energy Security)</DisplayName>
        <AccountId>8373</AccountId>
        <AccountType/>
      </UserInfo>
      <UserInfo>
        <DisplayName>Evans, Rachael (Energy Security)</DisplayName>
        <AccountId>8412</AccountId>
        <AccountType/>
      </UserInfo>
      <UserInfo>
        <DisplayName>zz_Haddad, Marie (Energy Security)</DisplayName>
        <AccountId>8530</AccountId>
        <AccountType/>
      </UserInfo>
      <UserInfo>
        <DisplayName>Evans, Jacob (Energy Security)</DisplayName>
        <AccountId>8531</AccountId>
        <AccountType/>
      </UserInfo>
      <UserInfo>
        <DisplayName>zz_Birkett, Joe (Energy Security)</DisplayName>
        <AccountId>8537</AccountId>
        <AccountType/>
      </UserInfo>
      <UserInfo>
        <DisplayName>Sanyal, Sean (Energy Security)</DisplayName>
        <AccountId>8539</AccountId>
        <AccountType/>
      </UserInfo>
      <UserInfo>
        <DisplayName>zz_Salt, Fred (NZSI - International Net Zero )</DisplayName>
        <AccountId>8544</AccountId>
        <AccountType/>
      </UserInfo>
      <UserInfo>
        <DisplayName>zz_Wong2, Matthew (Energy Security)</DisplayName>
        <AccountId>8545</AccountId>
        <AccountType/>
      </UserInfo>
      <UserInfo>
        <DisplayName>zz_LeNagard, Clementine (Energy Security)</DisplayName>
        <AccountId>8741</AccountId>
        <AccountType/>
      </UserInfo>
      <UserInfo>
        <DisplayName>Flanagan, Thomas (Energy Supply - Energy Affordability)</DisplayName>
        <AccountId>8834</AccountId>
        <AccountType/>
      </UserInfo>
      <UserInfo>
        <DisplayName>zz_Connolly, Michael (Energy Security)</DisplayName>
        <AccountId>8895</AccountId>
        <AccountType/>
      </UserInfo>
      <UserInfo>
        <DisplayName>zz_Rodriguez, Poppy (Energy Security)</DisplayName>
        <AccountId>9126</AccountId>
        <AccountType/>
      </UserInfo>
      <UserInfo>
        <DisplayName>zz_Mohammadpour, Parmida (Energy Security)</DisplayName>
        <AccountId>9464</AccountId>
        <AccountType/>
      </UserInfo>
      <UserInfo>
        <DisplayName>Bennett, Victoria (Energy Security)</DisplayName>
        <AccountId>9902</AccountId>
        <AccountType/>
      </UserInfo>
      <UserInfo>
        <DisplayName>zz_Raichoora, Ravi (Energy Security)</DisplayName>
        <AccountId>10201</AccountId>
        <AccountType/>
      </UserInfo>
      <UserInfo>
        <DisplayName>zz_Walker, Joe (Energy Security)</DisplayName>
        <AccountId>10364</AccountId>
        <AccountType/>
      </UserInfo>
      <UserInfo>
        <DisplayName>zz_Biddle, Harry (Energy Security)</DisplayName>
        <AccountId>10842</AccountId>
        <AccountType/>
      </UserInfo>
      <UserInfo>
        <DisplayName>Catton, Ryan (Energy Security)</DisplayName>
        <AccountId>10905</AccountId>
        <AccountType/>
      </UserInfo>
      <UserInfo>
        <DisplayName>zz_Firth, Rosalind (Energy Security)</DisplayName>
        <AccountId>11555</AccountId>
        <AccountType/>
      </UserInfo>
    </SharedWithUsers>
    <_dlc_DocId xmlns="92ad9e33-5271-4ce6-bdd9-333434fbc601">FQW7PQWC2EQU-2126234253-38188</_dlc_DocId>
    <_dlc_DocIdUrl xmlns="92ad9e33-5271-4ce6-bdd9-333434fbc601">
      <Url>https://beisgov.sharepoint.com/sites/ICF/_layouts/15/DocIdRedir.aspx?ID=FQW7PQWC2EQU-2126234253-38188</Url>
      <Description>FQW7PQWC2EQU-2126234253-38188</Description>
    </_dlc_DocIdUrl>
    <lcf76f155ced4ddcb4097134ff3c332f xmlns="c428dd7c-603b-4269-bcac-7b8676926974">
      <Terms xmlns="http://schemas.microsoft.com/office/infopath/2007/PartnerControls"/>
    </lcf76f155ced4ddcb4097134ff3c332f>
    <_dlc_DocIdPersistId xmlns="92ad9e33-5271-4ce6-bdd9-333434fbc601">false</_dlc_DocIdPersistId>
    <Government_x0020_Body xmlns="b413c3fd-5a3b-4239-b985-69032e371c04">BEIS</Government_x0020_Body>
    <Date_x0020_Opened xmlns="b413c3fd-5a3b-4239-b985-69032e371c04">2026-06-19T11:45:02+00:00</Date_x0020_Opened>
    <_ip_UnifiedCompliancePolicyUIAction xmlns="http://schemas.microsoft.com/sharepoint/v3" xsi:nil="true"/>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overview xmlns="c428dd7c-603b-4269-bcac-7b8676926974" xsi:nil="true"/>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BC38FBA6AE64EBB94A713A201E924" ma:contentTypeVersion="20" ma:contentTypeDescription="Create a new document." ma:contentTypeScope="" ma:versionID="2817b948c73515af29ee4a10379e8f93">
  <xsd:schema xmlns:xsd="http://www.w3.org/2001/XMLSchema" xmlns:xs="http://www.w3.org/2001/XMLSchema" xmlns:p="http://schemas.microsoft.com/office/2006/metadata/properties" xmlns:ns1="http://schemas.microsoft.com/sharepoint/v3" xmlns:ns2="92ad9e33-5271-4ce6-bdd9-333434fbc601" xmlns:ns3="0063f72e-ace3-48fb-9c1f-5b513408b31f" xmlns:ns4="b413c3fd-5a3b-4239-b985-69032e371c04" xmlns:ns5="a8f60570-4bd3-4f2b-950b-a996de8ab151" xmlns:ns6="aaacb922-5235-4a66-b188-303b9b46fbd7" xmlns:ns7="c428dd7c-603b-4269-bcac-7b8676926974" targetNamespace="http://schemas.microsoft.com/office/2006/metadata/properties" ma:root="true" ma:fieldsID="809daeac288255535ae8f0686bc760d9" ns1:_="" ns2:_="" ns3:_="" ns4:_="" ns5:_="" ns6:_="" ns7:_="">
    <xsd:import namespace="http://schemas.microsoft.com/sharepoint/v3"/>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c428dd7c-603b-4269-bcac-7b867692697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2:SharedWithUsers" minOccurs="0"/>
                <xsd:element ref="ns2:SharedWithDetails" minOccurs="0"/>
                <xsd:element ref="ns7:MediaLengthInSeconds" minOccurs="0"/>
                <xsd:element ref="ns7:MediaServiceObjectDetectorVersions" minOccurs="0"/>
                <xsd:element ref="ns7:overview" minOccurs="0"/>
                <xsd:element ref="ns7:lcf76f155ced4ddcb4097134ff3c332f"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8dd7c-603b-4269-bcac-7b867692697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overview" ma:index="36" nillable="true" ma:displayName="overview" ma:format="Dropdown" ma:internalName="overview">
      <xsd:simpleType>
        <xsd:restriction base="dms:Note">
          <xsd:maxLength value="255"/>
        </xsd:restrictio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470627-5072-4164-B9A0-A8C60A90D51C}">
  <ds:schemaRefs>
    <ds:schemaRef ds:uri="http://schemas.openxmlformats.org/officeDocument/2006/bibliography"/>
  </ds:schemaRefs>
</ds:datastoreItem>
</file>

<file path=customXml/itemProps2.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3.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aaacb922-5235-4a66-b188-303b9b46fbd7"/>
    <ds:schemaRef ds:uri="839018be-1fd5-46c8-bb5f-8e5f297ce001"/>
    <ds:schemaRef ds:uri="0f9fa326-da26-4ea8-b6a9-645e8136fe1d"/>
    <ds:schemaRef ds:uri="b3d83fe4-f584-44c1-ada4-cced241b61b0"/>
  </ds:schemaRefs>
</ds:datastoreItem>
</file>

<file path=customXml/itemProps4.xml><?xml version="1.0" encoding="utf-8"?>
<ds:datastoreItem xmlns:ds="http://schemas.openxmlformats.org/officeDocument/2006/customXml" ds:itemID="{9AFFE7EF-7087-46F2-A61A-7EFFFE752FEE}"/>
</file>

<file path=customXml/itemProps5.xml><?xml version="1.0" encoding="utf-8"?>
<ds:datastoreItem xmlns:ds="http://schemas.openxmlformats.org/officeDocument/2006/customXml" ds:itemID="{4F126981-7C3D-4C41-BB62-39E7F54F16C6}">
  <ds:schemaRefs>
    <ds:schemaRef ds:uri="http://schemas.microsoft.com/sharepoint/events"/>
  </ds:schemaRefs>
</ds:datastoreItem>
</file>

<file path=docMetadata/LabelInfo.xml><?xml version="1.0" encoding="utf-8"?>
<clbl:labelList xmlns:clbl="http://schemas.microsoft.com/office/2020/mipLabelMetadata">
  <clbl:label id="{b6d91c19-0d77-4e03-9dff-2a99495a7589}" enabled="0" method="" siteId="{b6d91c19-0d77-4e03-9dff-2a99495a7589}" removed="1"/>
  <clbl:label id="{ba62f585-b40f-4ab9-bafe-39150f03d124}" enabled="1" method="Standard" siteId="{cbac7005-02c1-43eb-b497-e6492d1b2dd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Mangheni, Edwin (Energy Security)</cp:lastModifiedBy>
  <cp:revision>146</cp:revision>
  <dcterms:created xsi:type="dcterms:W3CDTF">2026-05-02T08:06:00Z</dcterms:created>
  <dcterms:modified xsi:type="dcterms:W3CDTF">2026-06-19T11:44:26Z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MSIP_Label_e4c996da-17fa-4fc5-8989-2758fb4cf86b_Enabled">
    <vt:lpwstr>true</vt:lpwstr>
  </property>
  <property fmtid="{D5CDD505-2E9C-101B-9397-08002B2CF9AE}" pid="15" name="MSIP_Label_e4c996da-17fa-4fc5-8989-2758fb4cf86b_Name">
    <vt:lpwstr>OFFICIAL</vt:lpwstr>
  </property>
  <property fmtid="{D5CDD505-2E9C-101B-9397-08002B2CF9AE}" pid="16" name="_dlc_DocIdItemGuid">
    <vt:lpwstr>ac88a825-2491-4e3b-b82e-1d42039037be</vt:lpwstr>
  </property>
  <property fmtid="{D5CDD505-2E9C-101B-9397-08002B2CF9AE}" pid="17" name="MSIP_Label_e4c996da-17fa-4fc5-8989-2758fb4cf86b_SetDate">
    <vt:lpwstr>2020-03-30T16:49:07Z</vt:lpwstr>
  </property>
  <property fmtid="{D5CDD505-2E9C-101B-9397-08002B2CF9AE}" pid="18" name="MSIP_Label_e4c996da-17fa-4fc5-8989-2758fb4cf86b_Method">
    <vt:lpwstr>Standard</vt:lpwstr>
  </property>
  <property fmtid="{D5CDD505-2E9C-101B-9397-08002B2CF9AE}" pid="19" name="MediaServiceImageTags">
    <vt:lpwstr/>
  </property>
  <property fmtid="{D5CDD505-2E9C-101B-9397-08002B2CF9AE}" pid="20" name="KIM_Activity">
    <vt:lpwstr>28;#International climate|5a595758-250c-1237-4802-ae3329732708</vt:lpwstr>
  </property>
  <property fmtid="{D5CDD505-2E9C-101B-9397-08002B2CF9AE}" pid="21" name="KIM_GovernmentBody">
    <vt:lpwstr>3;#BEIS|b386cac2-c28c-4db4-8fca-43733d0e74ef</vt:lpwstr>
  </property>
  <property fmtid="{D5CDD505-2E9C-101B-9397-08002B2CF9AE}" pid="22" name="KIM_Function">
    <vt:lpwstr>27;#Climate and energy|98b2efea-a649-07e6-a104-07f256801c42</vt:lpwstr>
  </property>
  <property fmtid="{D5CDD505-2E9C-101B-9397-08002B2CF9AE}" pid="23" name="Business_x0020_Unit">
    <vt:lpwstr>1;#International Climate Finance|25a07eec-082c-4868-be05-2bef48a6767e</vt:lpwstr>
  </property>
  <property fmtid="{D5CDD505-2E9C-101B-9397-08002B2CF9AE}" pid="24" name="docLang">
    <vt:lpwstr>en</vt:lpwstr>
  </property>
  <property fmtid="{D5CDD505-2E9C-101B-9397-08002B2CF9AE}" pid="25" name="ContentTypeId">
    <vt:lpwstr>0x010100C86BC38FBA6AE64EBB94A713A201E924</vt:lpwstr>
  </property>
  <property fmtid="{D5CDD505-2E9C-101B-9397-08002B2CF9AE}" pid="26" name="xd_ProgID">
    <vt:lpwstr/>
  </property>
  <property fmtid="{D5CDD505-2E9C-101B-9397-08002B2CF9AE}" pid="27" name="m975189f4ba442ecbf67d4147307b177">
    <vt:lpwstr>International Climate Finance|25a07eec-082c-4868-be05-2bef48a6767e</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xd_Signature">
    <vt:bool>false</vt:bool>
  </property>
  <property fmtid="{D5CDD505-2E9C-101B-9397-08002B2CF9AE}" pid="32" name="Government Body">
    <vt:lpwstr>BEIS</vt:lpwstr>
  </property>
  <property fmtid="{D5CDD505-2E9C-101B-9397-08002B2CF9AE}" pid="33" name="TriggerFlowInfo">
    <vt:lpwstr/>
  </property>
  <property fmtid="{D5CDD505-2E9C-101B-9397-08002B2CF9AE}" pid="34" name="Security Classification">
    <vt:lpwstr>OFFICIAL</vt:lpwstr>
  </property>
  <property fmtid="{D5CDD505-2E9C-101B-9397-08002B2CF9AE}" pid="35" name="Order">
    <vt:r8>2875800</vt:r8>
  </property>
  <property fmtid="{D5CDD505-2E9C-101B-9397-08002B2CF9AE}" pid="36" name="_SourceUrl">
    <vt:lpwstr/>
  </property>
  <property fmtid="{D5CDD505-2E9C-101B-9397-08002B2CF9AE}" pid="37" name="_SharedFileIndex">
    <vt:lpwstr/>
  </property>
  <property fmtid="{D5CDD505-2E9C-101B-9397-08002B2CF9AE}" pid="38" name="h573c97cf80c4aa6b446c5363dc3ac94">
    <vt:lpwstr>International climate|5a595758-250c-1237-4802-ae3329732708</vt:lpwstr>
  </property>
  <property fmtid="{D5CDD505-2E9C-101B-9397-08002B2CF9AE}" pid="39" name="m817f42addf14c9a838da36e78800043">
    <vt:lpwstr>Climate and energy|98b2efea-a649-07e6-a104-07f256801c42</vt:lpwstr>
  </property>
  <property fmtid="{D5CDD505-2E9C-101B-9397-08002B2CF9AE}" pid="40" name="c6f593ada1854b629148449de059396b">
    <vt:lpwstr>BEIS|b386cac2-c28c-4db4-8fca-43733d0e74ef</vt:lpwstr>
  </property>
</Properties>
</file>