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C0E8" w14:textId="77777777" w:rsidR="00C67FEB" w:rsidRDefault="00C67FEB" w:rsidP="001B4FD0">
      <w:pPr>
        <w:rPr>
          <w:rFonts w:eastAsia="Arial" w:cs="Arial"/>
          <w:sz w:val="22"/>
          <w:szCs w:val="22"/>
          <w:u w:val="single"/>
        </w:rPr>
      </w:pPr>
    </w:p>
    <w:p w14:paraId="38EC76C4" w14:textId="77777777" w:rsidR="00885BB9" w:rsidRDefault="00885BB9" w:rsidP="001B4FD0">
      <w:pPr>
        <w:pStyle w:val="BEISTitle"/>
        <w:rPr>
          <w:rFonts w:eastAsia="Arial" w:cs="Arial"/>
        </w:rPr>
      </w:pPr>
    </w:p>
    <w:p w14:paraId="0A34EE9B" w14:textId="77777777" w:rsidR="00885BB9" w:rsidRDefault="00885BB9" w:rsidP="001B4FD0">
      <w:pPr>
        <w:pStyle w:val="BEISTitle"/>
        <w:rPr>
          <w:rFonts w:eastAsia="Arial" w:cs="Arial"/>
        </w:rPr>
      </w:pPr>
    </w:p>
    <w:p w14:paraId="76C49B04" w14:textId="77777777" w:rsidR="00885BB9" w:rsidRDefault="00885BB9" w:rsidP="001B4FD0">
      <w:pPr>
        <w:pStyle w:val="BEISTitle"/>
        <w:rPr>
          <w:rFonts w:eastAsia="Arial" w:cs="Arial"/>
        </w:rPr>
      </w:pPr>
    </w:p>
    <w:p w14:paraId="7C7FEA78" w14:textId="77777777" w:rsidR="00885BB9" w:rsidRDefault="00885BB9" w:rsidP="001B4FD0">
      <w:pPr>
        <w:pStyle w:val="BEISTitle"/>
        <w:rPr>
          <w:rFonts w:eastAsia="Arial" w:cs="Arial"/>
        </w:rPr>
      </w:pPr>
    </w:p>
    <w:p w14:paraId="64C9A776" w14:textId="77777777" w:rsidR="00D80C6C" w:rsidRDefault="00D80C6C" w:rsidP="001B4FD0">
      <w:pPr>
        <w:pStyle w:val="BEISTitle"/>
        <w:rPr>
          <w:rFonts w:eastAsia="Arial" w:cs="Arial"/>
        </w:rPr>
      </w:pPr>
    </w:p>
    <w:p w14:paraId="15293061" w14:textId="3ECE7413" w:rsidR="00964968" w:rsidRDefault="0AB33F84" w:rsidP="4A9EF9D3">
      <w:pPr>
        <w:pStyle w:val="BEISTitle"/>
        <w:rPr>
          <w:rFonts w:eastAsia="Arial" w:cs="Arial"/>
        </w:rPr>
      </w:pPr>
      <w:r w:rsidRPr="4A9EF9D3">
        <w:rPr>
          <w:rFonts w:eastAsia="Arial" w:cs="Arial"/>
        </w:rPr>
        <w:t>Mitigation Action Facility</w:t>
      </w:r>
    </w:p>
    <w:p w14:paraId="6C63CC07" w14:textId="53BCEB81" w:rsidR="00964968" w:rsidRDefault="0AB33F84" w:rsidP="001B4FD0">
      <w:pPr>
        <w:pStyle w:val="BEISTitle"/>
        <w:rPr>
          <w:rFonts w:eastAsia="Arial" w:cs="Arial"/>
        </w:rPr>
      </w:pPr>
      <w:r w:rsidRPr="4A9EF9D3">
        <w:rPr>
          <w:rFonts w:eastAsia="Arial" w:cs="Arial"/>
        </w:rPr>
        <w:t>Annual Review 2023</w:t>
      </w:r>
    </w:p>
    <w:p w14:paraId="624DAC73" w14:textId="3BC335B7" w:rsidR="00C67FEB" w:rsidRDefault="00C67FEB" w:rsidP="001B4FD0">
      <w:pPr>
        <w:spacing w:after="160" w:line="259" w:lineRule="auto"/>
        <w:rPr>
          <w:rFonts w:eastAsia="Arial" w:cs="Arial"/>
          <w:sz w:val="22"/>
          <w:szCs w:val="22"/>
          <w:u w:val="single"/>
        </w:rPr>
      </w:pPr>
    </w:p>
    <w:p w14:paraId="4AF08E4A" w14:textId="20AFDEDA" w:rsidR="007D1D64" w:rsidRDefault="007D1D64" w:rsidP="001B4FD0">
      <w:pPr>
        <w:spacing w:after="160" w:line="259" w:lineRule="auto"/>
        <w:rPr>
          <w:rFonts w:eastAsia="Arial" w:cs="Arial"/>
          <w:sz w:val="22"/>
          <w:szCs w:val="22"/>
        </w:rPr>
      </w:pPr>
    </w:p>
    <w:p w14:paraId="160505CC" w14:textId="77777777" w:rsidR="007D1D64" w:rsidRPr="007D1D64" w:rsidRDefault="007D1D64" w:rsidP="001B4FD0">
      <w:pPr>
        <w:spacing w:after="160" w:line="259" w:lineRule="auto"/>
        <w:rPr>
          <w:rFonts w:eastAsia="Arial" w:cs="Arial"/>
          <w:sz w:val="22"/>
          <w:szCs w:val="22"/>
        </w:rPr>
      </w:pPr>
    </w:p>
    <w:p w14:paraId="6ED798D0" w14:textId="77777777" w:rsidR="00090217" w:rsidRDefault="00090217" w:rsidP="001B4FD0">
      <w:pPr>
        <w:rPr>
          <w:rFonts w:eastAsia="Arial" w:cs="Arial"/>
          <w:sz w:val="22"/>
          <w:szCs w:val="22"/>
          <w:u w:val="single"/>
        </w:rPr>
      </w:pPr>
    </w:p>
    <w:p w14:paraId="1F841114" w14:textId="027A752E" w:rsidR="007D1D64" w:rsidRDefault="007D1D64" w:rsidP="001B4FD0">
      <w:pPr>
        <w:spacing w:after="160" w:line="259" w:lineRule="auto"/>
        <w:rPr>
          <w:rFonts w:eastAsia="Arial" w:cs="Arial"/>
          <w:sz w:val="22"/>
          <w:szCs w:val="22"/>
        </w:rPr>
      </w:pPr>
    </w:p>
    <w:p w14:paraId="744BC35C" w14:textId="77777777" w:rsidR="007D1D64" w:rsidRDefault="007D1D64" w:rsidP="001B4FD0">
      <w:pPr>
        <w:spacing w:after="160" w:line="259" w:lineRule="auto"/>
        <w:rPr>
          <w:rFonts w:eastAsia="Arial" w:cs="Arial"/>
          <w:sz w:val="22"/>
          <w:szCs w:val="22"/>
        </w:rPr>
      </w:pPr>
    </w:p>
    <w:p w14:paraId="2EEE1272" w14:textId="0FA2D180" w:rsidR="007D1D64" w:rsidRDefault="007D1D64" w:rsidP="001B4FD0">
      <w:pPr>
        <w:spacing w:after="160" w:line="259" w:lineRule="auto"/>
        <w:rPr>
          <w:rFonts w:eastAsia="Arial" w:cs="Arial"/>
          <w:sz w:val="22"/>
          <w:szCs w:val="22"/>
        </w:rPr>
      </w:pPr>
      <w:r w:rsidRPr="1D6CE88E">
        <w:rPr>
          <w:rFonts w:eastAsia="Arial" w:cs="Arial"/>
          <w:sz w:val="22"/>
          <w:szCs w:val="22"/>
        </w:rPr>
        <w:br w:type="page"/>
      </w:r>
    </w:p>
    <w:p w14:paraId="1FB1C90B" w14:textId="21AF7FBD" w:rsidR="007D1D64" w:rsidRDefault="007D1D64" w:rsidP="001B4FD0">
      <w:pPr>
        <w:spacing w:after="160" w:line="259" w:lineRule="auto"/>
        <w:rPr>
          <w:rFonts w:eastAsia="Arial" w:cs="Arial"/>
          <w:sz w:val="22"/>
          <w:szCs w:val="22"/>
        </w:rPr>
      </w:pPr>
    </w:p>
    <w:p w14:paraId="6FC09FA9" w14:textId="77777777" w:rsidR="007D1D64" w:rsidRPr="007D1D64" w:rsidRDefault="007D1D64" w:rsidP="001B4FD0">
      <w:pPr>
        <w:spacing w:after="160" w:line="259" w:lineRule="auto"/>
        <w:rPr>
          <w:rFonts w:eastAsia="Arial" w:cs="Arial"/>
          <w:sz w:val="22"/>
          <w:szCs w:val="22"/>
        </w:rPr>
      </w:pPr>
    </w:p>
    <w:p w14:paraId="40B4FF2C" w14:textId="77777777" w:rsidR="00112E33" w:rsidRDefault="00112E33" w:rsidP="001B4FD0">
      <w:pPr>
        <w:spacing w:after="160" w:line="259" w:lineRule="auto"/>
        <w:rPr>
          <w:rFonts w:eastAsia="Arial" w:cs="Arial"/>
          <w:sz w:val="22"/>
          <w:szCs w:val="22"/>
        </w:rPr>
      </w:pPr>
    </w:p>
    <w:p w14:paraId="01A42860" w14:textId="77777777" w:rsidR="00112E33" w:rsidRDefault="00112E33" w:rsidP="001B4FD0">
      <w:pPr>
        <w:spacing w:after="160" w:line="259" w:lineRule="auto"/>
        <w:rPr>
          <w:rFonts w:eastAsia="Arial" w:cs="Arial"/>
          <w:sz w:val="22"/>
          <w:szCs w:val="22"/>
        </w:rPr>
      </w:pPr>
    </w:p>
    <w:p w14:paraId="4A8FCC2A" w14:textId="77777777" w:rsidR="00112E33" w:rsidRDefault="00112E33" w:rsidP="001B4FD0">
      <w:pPr>
        <w:spacing w:after="160" w:line="259" w:lineRule="auto"/>
        <w:rPr>
          <w:rFonts w:eastAsia="Arial" w:cs="Arial"/>
          <w:sz w:val="22"/>
          <w:szCs w:val="22"/>
        </w:rPr>
      </w:pPr>
    </w:p>
    <w:p w14:paraId="31553A3C" w14:textId="77777777" w:rsidR="00112E33" w:rsidRDefault="00112E33" w:rsidP="001B4FD0">
      <w:pPr>
        <w:spacing w:after="160" w:line="259" w:lineRule="auto"/>
        <w:rPr>
          <w:rFonts w:eastAsia="Arial" w:cs="Arial"/>
          <w:sz w:val="22"/>
          <w:szCs w:val="22"/>
        </w:rPr>
      </w:pPr>
    </w:p>
    <w:p w14:paraId="1E72DB9D" w14:textId="77777777" w:rsidR="00112E33" w:rsidRDefault="00112E33" w:rsidP="001B4FD0">
      <w:pPr>
        <w:spacing w:after="160" w:line="259" w:lineRule="auto"/>
        <w:rPr>
          <w:rFonts w:eastAsia="Arial" w:cs="Arial"/>
          <w:sz w:val="22"/>
          <w:szCs w:val="22"/>
        </w:rPr>
      </w:pPr>
    </w:p>
    <w:p w14:paraId="716930C2" w14:textId="77777777" w:rsidR="00112E33" w:rsidRDefault="00112E33" w:rsidP="001B4FD0">
      <w:pPr>
        <w:spacing w:after="160" w:line="259" w:lineRule="auto"/>
        <w:rPr>
          <w:rFonts w:eastAsia="Arial" w:cs="Arial"/>
          <w:sz w:val="22"/>
          <w:szCs w:val="22"/>
        </w:rPr>
      </w:pPr>
    </w:p>
    <w:p w14:paraId="3ABDAEFF" w14:textId="77777777" w:rsidR="00112E33" w:rsidRDefault="00112E33" w:rsidP="001B4FD0">
      <w:pPr>
        <w:spacing w:after="160" w:line="259" w:lineRule="auto"/>
        <w:rPr>
          <w:rFonts w:eastAsia="Arial" w:cs="Arial"/>
          <w:sz w:val="22"/>
          <w:szCs w:val="22"/>
        </w:rPr>
      </w:pPr>
    </w:p>
    <w:p w14:paraId="0884299F" w14:textId="77777777" w:rsidR="00112E33" w:rsidRDefault="00112E33" w:rsidP="001B4FD0">
      <w:pPr>
        <w:spacing w:after="160" w:line="259" w:lineRule="auto"/>
        <w:rPr>
          <w:rFonts w:eastAsia="Arial" w:cs="Arial"/>
          <w:sz w:val="22"/>
          <w:szCs w:val="22"/>
        </w:rPr>
      </w:pPr>
    </w:p>
    <w:p w14:paraId="3BF57744" w14:textId="77777777" w:rsidR="00112E33" w:rsidRDefault="00112E33" w:rsidP="001B4FD0">
      <w:pPr>
        <w:spacing w:after="160" w:line="259" w:lineRule="auto"/>
        <w:rPr>
          <w:rFonts w:eastAsia="Arial" w:cs="Arial"/>
          <w:sz w:val="22"/>
          <w:szCs w:val="22"/>
        </w:rPr>
      </w:pPr>
    </w:p>
    <w:p w14:paraId="70B1D846" w14:textId="77777777" w:rsidR="00112E33" w:rsidRDefault="00112E33" w:rsidP="001B4FD0">
      <w:pPr>
        <w:spacing w:after="160" w:line="259" w:lineRule="auto"/>
        <w:rPr>
          <w:rFonts w:eastAsia="Arial" w:cs="Arial"/>
          <w:sz w:val="22"/>
          <w:szCs w:val="22"/>
        </w:rPr>
      </w:pPr>
    </w:p>
    <w:p w14:paraId="5C64FB7B" w14:textId="77777777" w:rsidR="00112E33" w:rsidRDefault="00112E33" w:rsidP="001B4FD0">
      <w:pPr>
        <w:spacing w:after="160" w:line="259" w:lineRule="auto"/>
        <w:rPr>
          <w:rFonts w:eastAsia="Arial" w:cs="Arial"/>
          <w:sz w:val="22"/>
          <w:szCs w:val="22"/>
        </w:rPr>
      </w:pPr>
    </w:p>
    <w:p w14:paraId="7997CC66" w14:textId="77777777" w:rsidR="00112E33" w:rsidRDefault="00112E33" w:rsidP="001B4FD0">
      <w:pPr>
        <w:spacing w:after="160" w:line="259" w:lineRule="auto"/>
        <w:rPr>
          <w:rFonts w:eastAsia="Arial" w:cs="Arial"/>
          <w:sz w:val="22"/>
          <w:szCs w:val="22"/>
        </w:rPr>
      </w:pPr>
    </w:p>
    <w:p w14:paraId="629D0223" w14:textId="77777777" w:rsidR="00112E33" w:rsidRDefault="00112E33" w:rsidP="001B4FD0">
      <w:pPr>
        <w:spacing w:after="160" w:line="259" w:lineRule="auto"/>
        <w:rPr>
          <w:rFonts w:eastAsia="Arial" w:cs="Arial"/>
          <w:sz w:val="22"/>
          <w:szCs w:val="22"/>
        </w:rPr>
      </w:pPr>
    </w:p>
    <w:p w14:paraId="7B71C4CA" w14:textId="77777777" w:rsidR="00112E33" w:rsidRDefault="00112E33" w:rsidP="001B4FD0">
      <w:pPr>
        <w:spacing w:after="160" w:line="259" w:lineRule="auto"/>
        <w:rPr>
          <w:rFonts w:eastAsia="Arial" w:cs="Arial"/>
          <w:sz w:val="22"/>
          <w:szCs w:val="22"/>
        </w:rPr>
      </w:pPr>
    </w:p>
    <w:p w14:paraId="0CB89A50" w14:textId="77777777" w:rsidR="00112E33" w:rsidRDefault="00112E33" w:rsidP="001B4FD0">
      <w:pPr>
        <w:spacing w:after="160" w:line="259" w:lineRule="auto"/>
        <w:rPr>
          <w:rFonts w:eastAsia="Arial" w:cs="Arial"/>
          <w:sz w:val="22"/>
          <w:szCs w:val="22"/>
        </w:rPr>
      </w:pPr>
    </w:p>
    <w:p w14:paraId="4B8E6647" w14:textId="77777777" w:rsidR="00112E33" w:rsidRDefault="00112E33" w:rsidP="001B4FD0">
      <w:pPr>
        <w:spacing w:after="160" w:line="259" w:lineRule="auto"/>
        <w:rPr>
          <w:rFonts w:eastAsia="Arial" w:cs="Arial"/>
          <w:sz w:val="22"/>
          <w:szCs w:val="22"/>
        </w:rPr>
      </w:pPr>
    </w:p>
    <w:p w14:paraId="7C0186E9" w14:textId="77777777" w:rsidR="00112E33" w:rsidRDefault="00112E33" w:rsidP="001B4FD0">
      <w:pPr>
        <w:spacing w:after="160" w:line="259" w:lineRule="auto"/>
        <w:rPr>
          <w:rFonts w:eastAsia="Arial" w:cs="Arial"/>
          <w:sz w:val="22"/>
          <w:szCs w:val="22"/>
        </w:rPr>
      </w:pPr>
    </w:p>
    <w:p w14:paraId="0E213DCA" w14:textId="77777777" w:rsidR="00112E33" w:rsidRDefault="00112E33" w:rsidP="001B4FD0">
      <w:pPr>
        <w:spacing w:after="160" w:line="259" w:lineRule="auto"/>
        <w:rPr>
          <w:rFonts w:eastAsia="Arial" w:cs="Arial"/>
          <w:sz w:val="22"/>
          <w:szCs w:val="22"/>
        </w:rPr>
      </w:pPr>
    </w:p>
    <w:p w14:paraId="7F45EBE4" w14:textId="77777777" w:rsidR="00112E33" w:rsidRDefault="00112E33" w:rsidP="001B4FD0">
      <w:pPr>
        <w:spacing w:after="160" w:line="259" w:lineRule="auto"/>
        <w:rPr>
          <w:rFonts w:eastAsia="Arial" w:cs="Arial"/>
          <w:sz w:val="22"/>
          <w:szCs w:val="22"/>
        </w:rPr>
      </w:pPr>
    </w:p>
    <w:p w14:paraId="5F38EC95" w14:textId="77777777" w:rsidR="00112E33" w:rsidRDefault="00112E33" w:rsidP="001B4FD0">
      <w:pPr>
        <w:spacing w:after="160" w:line="259" w:lineRule="auto"/>
        <w:rPr>
          <w:rFonts w:eastAsia="Arial" w:cs="Arial"/>
          <w:sz w:val="22"/>
          <w:szCs w:val="22"/>
        </w:rPr>
      </w:pPr>
    </w:p>
    <w:p w14:paraId="0FDC2684" w14:textId="77777777" w:rsidR="00112E33" w:rsidRDefault="00112E33" w:rsidP="001B4FD0">
      <w:pPr>
        <w:spacing w:after="160" w:line="259" w:lineRule="auto"/>
        <w:rPr>
          <w:rFonts w:eastAsia="Arial" w:cs="Arial"/>
          <w:sz w:val="22"/>
          <w:szCs w:val="22"/>
        </w:rPr>
      </w:pPr>
    </w:p>
    <w:p w14:paraId="1E5D0624" w14:textId="77777777" w:rsidR="00112E33" w:rsidRDefault="00112E33" w:rsidP="001B4FD0">
      <w:pPr>
        <w:spacing w:after="160" w:line="259" w:lineRule="auto"/>
        <w:rPr>
          <w:rFonts w:eastAsia="Arial" w:cs="Arial"/>
          <w:sz w:val="22"/>
          <w:szCs w:val="22"/>
        </w:rPr>
      </w:pPr>
    </w:p>
    <w:p w14:paraId="59AFB796" w14:textId="6367C0D1" w:rsidR="00112E33" w:rsidRDefault="00112E33" w:rsidP="001B4FD0">
      <w:pPr>
        <w:spacing w:after="160" w:line="259" w:lineRule="auto"/>
        <w:rPr>
          <w:rFonts w:eastAsia="Arial" w:cs="Arial"/>
          <w:sz w:val="22"/>
          <w:szCs w:val="22"/>
        </w:rPr>
      </w:pPr>
      <w:r>
        <w:rPr>
          <w:noProof/>
        </w:rPr>
        <w:drawing>
          <wp:inline distT="0" distB="0" distL="0" distR="0" wp14:anchorId="6721D763" wp14:editId="3FB67D06">
            <wp:extent cx="792480" cy="323215"/>
            <wp:effectExtent l="0" t="0" r="7620" b="635"/>
            <wp:docPr id="12" name="Picture 12" descr="Logo -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792480" cy="323215"/>
                    </a:xfrm>
                    <a:prstGeom prst="rect">
                      <a:avLst/>
                    </a:prstGeom>
                  </pic:spPr>
                </pic:pic>
              </a:graphicData>
            </a:graphic>
          </wp:inline>
        </w:drawing>
      </w:r>
    </w:p>
    <w:p w14:paraId="4BBA0357" w14:textId="782F268A" w:rsidR="007D1D64" w:rsidRPr="007D1D64" w:rsidRDefault="007D1D64" w:rsidP="001B4FD0">
      <w:pPr>
        <w:spacing w:after="160" w:line="259" w:lineRule="auto"/>
        <w:rPr>
          <w:rFonts w:eastAsia="Arial" w:cs="Arial"/>
          <w:sz w:val="22"/>
          <w:szCs w:val="22"/>
        </w:rPr>
      </w:pPr>
      <w:r w:rsidRPr="4A9EF9D3">
        <w:rPr>
          <w:rFonts w:eastAsia="Arial" w:cs="Arial"/>
          <w:sz w:val="22"/>
          <w:szCs w:val="22"/>
        </w:rPr>
        <w:t>© Crown copyright 20</w:t>
      </w:r>
      <w:r w:rsidR="00B2133C" w:rsidRPr="4A9EF9D3">
        <w:rPr>
          <w:rFonts w:eastAsia="Arial" w:cs="Arial"/>
          <w:sz w:val="22"/>
          <w:szCs w:val="22"/>
        </w:rPr>
        <w:t>2</w:t>
      </w:r>
      <w:r w:rsidR="00765C36" w:rsidRPr="4A9EF9D3">
        <w:rPr>
          <w:rFonts w:eastAsia="Arial" w:cs="Arial"/>
          <w:sz w:val="22"/>
          <w:szCs w:val="22"/>
        </w:rPr>
        <w:t>4</w:t>
      </w:r>
    </w:p>
    <w:p w14:paraId="3A1EFEA4" w14:textId="779BDFEB" w:rsidR="007D1D64" w:rsidRPr="007D1D64" w:rsidRDefault="007D1D64" w:rsidP="001B4FD0">
      <w:pPr>
        <w:spacing w:after="160" w:line="259" w:lineRule="auto"/>
        <w:rPr>
          <w:rFonts w:eastAsia="Arial" w:cs="Arial"/>
          <w:sz w:val="22"/>
          <w:szCs w:val="22"/>
        </w:rPr>
      </w:pPr>
      <w:r w:rsidRPr="1D6CE88E">
        <w:rPr>
          <w:rFonts w:eastAsia="Arial" w:cs="Arial"/>
          <w:sz w:val="22"/>
          <w:szCs w:val="22"/>
        </w:rPr>
        <w:t xml:space="preserve">This publication is licensed under the terms of the Open Government Licence v3.0 except where otherwise stated. To view this licence, visit </w:t>
      </w:r>
      <w:hyperlink r:id="rId13">
        <w:r w:rsidRPr="1D6CE88E">
          <w:rPr>
            <w:rStyle w:val="Hyperlink"/>
            <w:rFonts w:eastAsia="Arial" w:cs="Arial"/>
            <w:sz w:val="22"/>
            <w:szCs w:val="22"/>
          </w:rPr>
          <w:t>nationalarchives.gov.uk/doc/open-government-licence/version/3</w:t>
        </w:r>
      </w:hyperlink>
      <w:r w:rsidRPr="1D6CE88E">
        <w:rPr>
          <w:rFonts w:eastAsia="Arial" w:cs="Arial"/>
          <w:sz w:val="22"/>
          <w:szCs w:val="22"/>
        </w:rPr>
        <w:t xml:space="preserve"> or write to the Information Policy Team, The National Archives, Kew, London TW9 4DU, or email: </w:t>
      </w:r>
      <w:hyperlink r:id="rId14">
        <w:r w:rsidR="009E1EAF" w:rsidRPr="1D6CE88E">
          <w:rPr>
            <w:rStyle w:val="Hyperlink"/>
            <w:rFonts w:eastAsia="Arial" w:cs="Arial"/>
            <w:sz w:val="22"/>
            <w:szCs w:val="22"/>
          </w:rPr>
          <w:t>psi@nationalarchives.gsi.gov.uk</w:t>
        </w:r>
      </w:hyperlink>
      <w:r w:rsidRPr="1D6CE88E">
        <w:rPr>
          <w:rFonts w:eastAsia="Arial" w:cs="Arial"/>
          <w:sz w:val="22"/>
          <w:szCs w:val="22"/>
        </w:rPr>
        <w:t>.</w:t>
      </w:r>
      <w:r w:rsidR="009E1EAF" w:rsidRPr="1D6CE88E">
        <w:rPr>
          <w:rFonts w:eastAsia="Arial" w:cs="Arial"/>
          <w:sz w:val="22"/>
          <w:szCs w:val="22"/>
        </w:rPr>
        <w:t xml:space="preserve"> </w:t>
      </w:r>
    </w:p>
    <w:p w14:paraId="521BB1D8" w14:textId="77777777" w:rsidR="007D1D64" w:rsidRPr="007D1D64" w:rsidRDefault="007D1D64" w:rsidP="001B4FD0">
      <w:pPr>
        <w:spacing w:after="160" w:line="259" w:lineRule="auto"/>
        <w:rPr>
          <w:rFonts w:eastAsia="Arial" w:cs="Arial"/>
          <w:sz w:val="22"/>
          <w:szCs w:val="22"/>
        </w:rPr>
      </w:pPr>
      <w:r w:rsidRPr="1D6CE88E">
        <w:rPr>
          <w:rFonts w:eastAsia="Arial" w:cs="Arial"/>
          <w:sz w:val="22"/>
          <w:szCs w:val="22"/>
        </w:rPr>
        <w:t>Where we have identified any third-party copyright information you will need to obtain permission from the copyright holders concerned.</w:t>
      </w:r>
    </w:p>
    <w:p w14:paraId="0B828443" w14:textId="77777777" w:rsidR="007D1D64" w:rsidRPr="007D1D64" w:rsidRDefault="007D1D64" w:rsidP="001B4FD0">
      <w:pPr>
        <w:spacing w:after="160" w:line="259" w:lineRule="auto"/>
        <w:rPr>
          <w:rFonts w:eastAsia="Arial" w:cs="Arial"/>
          <w:sz w:val="22"/>
          <w:szCs w:val="22"/>
        </w:rPr>
      </w:pPr>
      <w:r w:rsidRPr="1D6CE88E">
        <w:rPr>
          <w:rFonts w:eastAsia="Arial" w:cs="Arial"/>
          <w:sz w:val="22"/>
          <w:szCs w:val="22"/>
        </w:rPr>
        <w:t xml:space="preserve">Any enquiries regarding this publication should be sent to us at: </w:t>
      </w:r>
    </w:p>
    <w:p w14:paraId="5F0B07D2" w14:textId="0E9D6D15" w:rsidR="007D1D64" w:rsidRDefault="00A62D44" w:rsidP="001B4FD0">
      <w:pPr>
        <w:spacing w:after="160" w:line="259" w:lineRule="auto"/>
        <w:rPr>
          <w:rFonts w:eastAsia="Arial" w:cs="Arial"/>
          <w:sz w:val="22"/>
          <w:szCs w:val="22"/>
        </w:rPr>
      </w:pPr>
      <w:hyperlink r:id="rId15">
        <w:r w:rsidRPr="1D6CE88E">
          <w:rPr>
            <w:rStyle w:val="Hyperlink"/>
            <w:rFonts w:eastAsia="Arial" w:cs="Arial"/>
            <w:sz w:val="22"/>
            <w:szCs w:val="22"/>
          </w:rPr>
          <w:t>ODA-Transparency@beis.gov.uk</w:t>
        </w:r>
      </w:hyperlink>
      <w:r w:rsidRPr="1D6CE88E">
        <w:rPr>
          <w:rFonts w:eastAsia="Arial" w:cs="Arial"/>
          <w:sz w:val="22"/>
          <w:szCs w:val="22"/>
        </w:rPr>
        <w:t xml:space="preserve"> </w:t>
      </w:r>
      <w:r w:rsidR="00C662F5" w:rsidRPr="1D6CE88E">
        <w:rPr>
          <w:rFonts w:eastAsia="Arial" w:cs="Arial"/>
          <w:sz w:val="22"/>
          <w:szCs w:val="22"/>
        </w:rPr>
        <w:br w:type="page"/>
      </w:r>
    </w:p>
    <w:sdt>
      <w:sdtPr>
        <w:rPr>
          <w:rFonts w:ascii="Arial" w:eastAsia="Times New Roman" w:hAnsi="Arial" w:cs="Times New Roman"/>
          <w:color w:val="auto"/>
          <w:sz w:val="24"/>
          <w:szCs w:val="24"/>
          <w:lang w:val="en-GB"/>
        </w:rPr>
        <w:id w:val="1147832684"/>
        <w:docPartObj>
          <w:docPartGallery w:val="Table of Contents"/>
          <w:docPartUnique/>
        </w:docPartObj>
      </w:sdtPr>
      <w:sdtEndPr/>
      <w:sdtContent>
        <w:p w14:paraId="52C8021F" w14:textId="7479CA6B" w:rsidR="001B14BA" w:rsidRDefault="001B14BA" w:rsidP="001B4FD0">
          <w:pPr>
            <w:pStyle w:val="TOCHeading"/>
            <w:rPr>
              <w:rFonts w:ascii="Arial" w:eastAsia="Arial" w:hAnsi="Arial" w:cs="Arial"/>
              <w:color w:val="002060"/>
              <w:sz w:val="76"/>
              <w:szCs w:val="76"/>
            </w:rPr>
          </w:pPr>
          <w:r w:rsidRPr="75FA93ED">
            <w:rPr>
              <w:rFonts w:ascii="Arial" w:hAnsi="Arial" w:cs="Arial"/>
              <w:color w:val="002060"/>
              <w:sz w:val="76"/>
              <w:szCs w:val="76"/>
            </w:rPr>
            <w:t>Contents</w:t>
          </w:r>
        </w:p>
        <w:p w14:paraId="7F576620" w14:textId="77777777" w:rsidR="0030176F" w:rsidRPr="0030176F" w:rsidRDefault="0030176F" w:rsidP="001B4FD0">
          <w:pPr>
            <w:rPr>
              <w:rFonts w:eastAsia="Arial" w:cs="Arial"/>
              <w:lang w:val="en-US"/>
            </w:rPr>
          </w:pPr>
        </w:p>
        <w:p w14:paraId="4A531AFB" w14:textId="7964F4C0" w:rsidR="159F08A2" w:rsidRDefault="159F08A2" w:rsidP="75FA93ED">
          <w:pPr>
            <w:pStyle w:val="TOC1"/>
            <w:tabs>
              <w:tab w:val="right" w:leader="dot" w:pos="9016"/>
            </w:tabs>
            <w:rPr>
              <w:rFonts w:eastAsia="Arial" w:cs="Arial"/>
              <w:b/>
              <w:bCs/>
              <w:lang w:eastAsia="en-GB"/>
            </w:rPr>
          </w:pPr>
        </w:p>
        <w:p w14:paraId="6BCFD03B" w14:textId="7D0D43F9" w:rsidR="008E2B99" w:rsidRDefault="008E2B99" w:rsidP="75FA93ED">
          <w:pPr>
            <w:pStyle w:val="TOC1"/>
            <w:tabs>
              <w:tab w:val="right" w:leader="dot" w:pos="9015"/>
            </w:tabs>
            <w:rPr>
              <w:rStyle w:val="Hyperlink"/>
              <w:noProof/>
              <w:kern w:val="2"/>
              <w:lang w:eastAsia="en-GB"/>
              <w14:ligatures w14:val="standardContextual"/>
            </w:rPr>
          </w:pPr>
          <w:r>
            <w:fldChar w:fldCharType="begin"/>
          </w:r>
          <w:r w:rsidR="001B14BA">
            <w:instrText>TOC \o "1-3" \z \u \h</w:instrText>
          </w:r>
          <w:r>
            <w:fldChar w:fldCharType="separate"/>
          </w:r>
          <w:hyperlink w:anchor="_Toc1245817500">
            <w:r w:rsidR="75FA93ED" w:rsidRPr="75FA93ED">
              <w:rPr>
                <w:rStyle w:val="Hyperlink"/>
              </w:rPr>
              <w:t>Section A: Summary and overview</w:t>
            </w:r>
            <w:r w:rsidR="001B14BA">
              <w:tab/>
            </w:r>
            <w:r w:rsidR="001B14BA">
              <w:fldChar w:fldCharType="begin"/>
            </w:r>
            <w:r w:rsidR="001B14BA">
              <w:instrText>PAGEREF _Toc1245817500 \h</w:instrText>
            </w:r>
            <w:r w:rsidR="001B14BA">
              <w:fldChar w:fldCharType="separate"/>
            </w:r>
            <w:r w:rsidR="75FA93ED" w:rsidRPr="75FA93ED">
              <w:rPr>
                <w:rStyle w:val="Hyperlink"/>
              </w:rPr>
              <w:t>6</w:t>
            </w:r>
            <w:r w:rsidR="001B14BA">
              <w:fldChar w:fldCharType="end"/>
            </w:r>
          </w:hyperlink>
        </w:p>
        <w:p w14:paraId="1E744B77" w14:textId="407CA134"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1411387893">
            <w:r w:rsidRPr="75FA93ED">
              <w:rPr>
                <w:rStyle w:val="Hyperlink"/>
              </w:rPr>
              <w:t>Description of programme</w:t>
            </w:r>
            <w:r w:rsidR="008E2B99">
              <w:tab/>
            </w:r>
            <w:r w:rsidR="008E2B99">
              <w:fldChar w:fldCharType="begin"/>
            </w:r>
            <w:r w:rsidR="008E2B99">
              <w:instrText>PAGEREF _Toc1411387893 \h</w:instrText>
            </w:r>
            <w:r w:rsidR="008E2B99">
              <w:fldChar w:fldCharType="separate"/>
            </w:r>
            <w:r w:rsidRPr="75FA93ED">
              <w:rPr>
                <w:rStyle w:val="Hyperlink"/>
              </w:rPr>
              <w:t>6</w:t>
            </w:r>
            <w:r w:rsidR="008E2B99">
              <w:fldChar w:fldCharType="end"/>
            </w:r>
          </w:hyperlink>
        </w:p>
        <w:p w14:paraId="6E7FDA96" w14:textId="03506B8B"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1535229138">
            <w:r w:rsidRPr="75FA93ED">
              <w:rPr>
                <w:rStyle w:val="Hyperlink"/>
              </w:rPr>
              <w:t>Summary of progress and supporting narrative for the overall score</w:t>
            </w:r>
            <w:r w:rsidR="008E2B99">
              <w:tab/>
            </w:r>
            <w:r w:rsidR="008E2B99">
              <w:fldChar w:fldCharType="begin"/>
            </w:r>
            <w:r w:rsidR="008E2B99">
              <w:instrText>PAGEREF _Toc1535229138 \h</w:instrText>
            </w:r>
            <w:r w:rsidR="008E2B99">
              <w:fldChar w:fldCharType="separate"/>
            </w:r>
            <w:r w:rsidRPr="75FA93ED">
              <w:rPr>
                <w:rStyle w:val="Hyperlink"/>
              </w:rPr>
              <w:t>7</w:t>
            </w:r>
            <w:r w:rsidR="008E2B99">
              <w:fldChar w:fldCharType="end"/>
            </w:r>
          </w:hyperlink>
        </w:p>
        <w:p w14:paraId="39F19BD6" w14:textId="055633AD"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2021391092">
            <w:r w:rsidRPr="75FA93ED">
              <w:rPr>
                <w:rStyle w:val="Hyperlink"/>
              </w:rPr>
              <w:t>Progress against recommendations from the last review</w:t>
            </w:r>
            <w:r w:rsidR="008E2B99">
              <w:tab/>
            </w:r>
            <w:r w:rsidR="008E2B99">
              <w:fldChar w:fldCharType="begin"/>
            </w:r>
            <w:r w:rsidR="008E2B99">
              <w:instrText>PAGEREF _Toc2021391092 \h</w:instrText>
            </w:r>
            <w:r w:rsidR="008E2B99">
              <w:fldChar w:fldCharType="separate"/>
            </w:r>
            <w:r w:rsidRPr="75FA93ED">
              <w:rPr>
                <w:rStyle w:val="Hyperlink"/>
              </w:rPr>
              <w:t>7</w:t>
            </w:r>
            <w:r w:rsidR="008E2B99">
              <w:fldChar w:fldCharType="end"/>
            </w:r>
          </w:hyperlink>
        </w:p>
        <w:p w14:paraId="04F43797" w14:textId="7417FD68"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1451049755">
            <w:r w:rsidRPr="75FA93ED">
              <w:rPr>
                <w:rStyle w:val="Hyperlink"/>
              </w:rPr>
              <w:t>Major lessons and recommendations for the year ahead</w:t>
            </w:r>
            <w:r w:rsidR="008E2B99">
              <w:tab/>
            </w:r>
            <w:r w:rsidR="008E2B99">
              <w:fldChar w:fldCharType="begin"/>
            </w:r>
            <w:r w:rsidR="008E2B99">
              <w:instrText>PAGEREF _Toc1451049755 \h</w:instrText>
            </w:r>
            <w:r w:rsidR="008E2B99">
              <w:fldChar w:fldCharType="separate"/>
            </w:r>
            <w:r w:rsidRPr="75FA93ED">
              <w:rPr>
                <w:rStyle w:val="Hyperlink"/>
              </w:rPr>
              <w:t>8</w:t>
            </w:r>
            <w:r w:rsidR="008E2B99">
              <w:fldChar w:fldCharType="end"/>
            </w:r>
          </w:hyperlink>
        </w:p>
        <w:p w14:paraId="28053CFA" w14:textId="250A9F4E" w:rsidR="008E2B99" w:rsidRDefault="75FA93ED" w:rsidP="75FA93ED">
          <w:pPr>
            <w:pStyle w:val="TOC1"/>
            <w:tabs>
              <w:tab w:val="right" w:leader="dot" w:pos="9015"/>
            </w:tabs>
            <w:rPr>
              <w:rStyle w:val="Hyperlink"/>
              <w:noProof/>
              <w:kern w:val="2"/>
              <w:lang w:eastAsia="en-GB"/>
              <w14:ligatures w14:val="standardContextual"/>
            </w:rPr>
          </w:pPr>
          <w:hyperlink w:anchor="_Toc830084573">
            <w:r w:rsidRPr="75FA93ED">
              <w:rPr>
                <w:rStyle w:val="Hyperlink"/>
              </w:rPr>
              <w:t>Section B: Theory of change and progress towards outcomes</w:t>
            </w:r>
            <w:r w:rsidR="008E2B99">
              <w:tab/>
            </w:r>
            <w:r w:rsidR="008E2B99">
              <w:fldChar w:fldCharType="begin"/>
            </w:r>
            <w:r w:rsidR="008E2B99">
              <w:instrText>PAGEREF _Toc830084573 \h</w:instrText>
            </w:r>
            <w:r w:rsidR="008E2B99">
              <w:fldChar w:fldCharType="separate"/>
            </w:r>
            <w:r w:rsidRPr="75FA93ED">
              <w:rPr>
                <w:rStyle w:val="Hyperlink"/>
              </w:rPr>
              <w:t>10</w:t>
            </w:r>
            <w:r w:rsidR="008E2B99">
              <w:fldChar w:fldCharType="end"/>
            </w:r>
          </w:hyperlink>
        </w:p>
        <w:p w14:paraId="6C01013C" w14:textId="72334C35"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1616573491">
            <w:r w:rsidRPr="75FA93ED">
              <w:rPr>
                <w:rStyle w:val="Hyperlink"/>
              </w:rPr>
              <w:t>Summary of the programme’s theory of change, including any changes to outcome and impact indicators from the original business case</w:t>
            </w:r>
            <w:r w:rsidR="008E2B99">
              <w:tab/>
            </w:r>
            <w:r w:rsidR="008E2B99">
              <w:fldChar w:fldCharType="begin"/>
            </w:r>
            <w:r w:rsidR="008E2B99">
              <w:instrText>PAGEREF _Toc1616573491 \h</w:instrText>
            </w:r>
            <w:r w:rsidR="008E2B99">
              <w:fldChar w:fldCharType="separate"/>
            </w:r>
            <w:r w:rsidRPr="75FA93ED">
              <w:rPr>
                <w:rStyle w:val="Hyperlink"/>
              </w:rPr>
              <w:t>10</w:t>
            </w:r>
            <w:r w:rsidR="008E2B99">
              <w:fldChar w:fldCharType="end"/>
            </w:r>
          </w:hyperlink>
        </w:p>
        <w:p w14:paraId="7D994065" w14:textId="34D0F8A8"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300909227">
            <w:r w:rsidRPr="75FA93ED">
              <w:rPr>
                <w:rStyle w:val="Hyperlink"/>
              </w:rPr>
              <w:t>Progress against the expected outcomes and impact, and actions planned for the year ahead</w:t>
            </w:r>
            <w:r w:rsidR="008E2B99">
              <w:tab/>
            </w:r>
            <w:r w:rsidR="008E2B99">
              <w:fldChar w:fldCharType="begin"/>
            </w:r>
            <w:r w:rsidR="008E2B99">
              <w:instrText>PAGEREF _Toc300909227 \h</w:instrText>
            </w:r>
            <w:r w:rsidR="008E2B99">
              <w:fldChar w:fldCharType="separate"/>
            </w:r>
            <w:r w:rsidRPr="75FA93ED">
              <w:rPr>
                <w:rStyle w:val="Hyperlink"/>
              </w:rPr>
              <w:t>10</w:t>
            </w:r>
            <w:r w:rsidR="008E2B99">
              <w:fldChar w:fldCharType="end"/>
            </w:r>
          </w:hyperlink>
        </w:p>
        <w:p w14:paraId="7B486E94" w14:textId="5978830F"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154962493">
            <w:r w:rsidRPr="75FA93ED">
              <w:rPr>
                <w:rStyle w:val="Hyperlink"/>
              </w:rPr>
              <w:t>Logframe updates since the last review</w:t>
            </w:r>
            <w:r w:rsidR="008E2B99">
              <w:tab/>
            </w:r>
            <w:r w:rsidR="008E2B99">
              <w:fldChar w:fldCharType="begin"/>
            </w:r>
            <w:r w:rsidR="008E2B99">
              <w:instrText>PAGEREF _Toc154962493 \h</w:instrText>
            </w:r>
            <w:r w:rsidR="008E2B99">
              <w:fldChar w:fldCharType="separate"/>
            </w:r>
            <w:r w:rsidRPr="75FA93ED">
              <w:rPr>
                <w:rStyle w:val="Hyperlink"/>
              </w:rPr>
              <w:t>12</w:t>
            </w:r>
            <w:r w:rsidR="008E2B99">
              <w:fldChar w:fldCharType="end"/>
            </w:r>
          </w:hyperlink>
        </w:p>
        <w:p w14:paraId="24C728C4" w14:textId="4AA021D9" w:rsidR="008E2B99" w:rsidRDefault="75FA93ED" w:rsidP="75FA93ED">
          <w:pPr>
            <w:pStyle w:val="TOC1"/>
            <w:tabs>
              <w:tab w:val="right" w:leader="dot" w:pos="9015"/>
            </w:tabs>
            <w:rPr>
              <w:rStyle w:val="Hyperlink"/>
              <w:noProof/>
              <w:kern w:val="2"/>
              <w:lang w:eastAsia="en-GB"/>
              <w14:ligatures w14:val="standardContextual"/>
            </w:rPr>
          </w:pPr>
          <w:hyperlink w:anchor="_Toc623713379">
            <w:r w:rsidRPr="75FA93ED">
              <w:rPr>
                <w:rStyle w:val="Hyperlink"/>
              </w:rPr>
              <w:t>Section C: Output scoring</w:t>
            </w:r>
            <w:r w:rsidR="008E2B99">
              <w:tab/>
            </w:r>
            <w:r w:rsidR="008E2B99">
              <w:fldChar w:fldCharType="begin"/>
            </w:r>
            <w:r w:rsidR="008E2B99">
              <w:instrText>PAGEREF _Toc623713379 \h</w:instrText>
            </w:r>
            <w:r w:rsidR="008E2B99">
              <w:fldChar w:fldCharType="separate"/>
            </w:r>
            <w:r w:rsidRPr="75FA93ED">
              <w:rPr>
                <w:rStyle w:val="Hyperlink"/>
              </w:rPr>
              <w:t>13</w:t>
            </w:r>
            <w:r w:rsidR="008E2B99">
              <w:fldChar w:fldCharType="end"/>
            </w:r>
          </w:hyperlink>
        </w:p>
        <w:p w14:paraId="0773AA91" w14:textId="68A9C863"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664309332">
            <w:r w:rsidRPr="75FA93ED">
              <w:rPr>
                <w:rStyle w:val="Hyperlink"/>
              </w:rPr>
              <w:t>Output 1: The Mitigation Action Facility is effective and efficient in catalysing transformational mitigation action to implement NDCs</w:t>
            </w:r>
            <w:r w:rsidR="008E2B99">
              <w:tab/>
            </w:r>
            <w:r w:rsidR="008E2B99">
              <w:fldChar w:fldCharType="begin"/>
            </w:r>
            <w:r w:rsidR="008E2B99">
              <w:instrText>PAGEREF _Toc664309332 \h</w:instrText>
            </w:r>
            <w:r w:rsidR="008E2B99">
              <w:fldChar w:fldCharType="separate"/>
            </w:r>
            <w:r w:rsidRPr="75FA93ED">
              <w:rPr>
                <w:rStyle w:val="Hyperlink"/>
              </w:rPr>
              <w:t>13</w:t>
            </w:r>
            <w:r w:rsidR="008E2B99">
              <w:fldChar w:fldCharType="end"/>
            </w:r>
          </w:hyperlink>
        </w:p>
        <w:p w14:paraId="7B633B76" w14:textId="583314DB"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1711497391">
            <w:r w:rsidRPr="75FA93ED">
              <w:rPr>
                <w:rStyle w:val="Hyperlink"/>
              </w:rPr>
              <w:t>Output 2: Additional public and private finance supported to drive carbon-neutral development</w:t>
            </w:r>
            <w:r w:rsidR="008E2B99">
              <w:tab/>
            </w:r>
            <w:r w:rsidR="008E2B99">
              <w:fldChar w:fldCharType="begin"/>
            </w:r>
            <w:r w:rsidR="008E2B99">
              <w:instrText>PAGEREF _Toc1711497391 \h</w:instrText>
            </w:r>
            <w:r w:rsidR="008E2B99">
              <w:fldChar w:fldCharType="separate"/>
            </w:r>
            <w:r w:rsidRPr="75FA93ED">
              <w:rPr>
                <w:rStyle w:val="Hyperlink"/>
              </w:rPr>
              <w:t>15</w:t>
            </w:r>
            <w:r w:rsidR="008E2B99">
              <w:fldChar w:fldCharType="end"/>
            </w:r>
          </w:hyperlink>
        </w:p>
        <w:p w14:paraId="28ED2650" w14:textId="327FFB04"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305922553">
            <w:r w:rsidRPr="75FA93ED">
              <w:rPr>
                <w:rStyle w:val="Hyperlink"/>
              </w:rPr>
              <w:t>Output 3: The Mitigation Action Facility disseminates lessons from transformational mitigation action, contributing to an effective learning environment</w:t>
            </w:r>
            <w:r w:rsidR="008E2B99">
              <w:tab/>
            </w:r>
            <w:r w:rsidR="008E2B99">
              <w:fldChar w:fldCharType="begin"/>
            </w:r>
            <w:r w:rsidR="008E2B99">
              <w:instrText>PAGEREF _Toc305922553 \h</w:instrText>
            </w:r>
            <w:r w:rsidR="008E2B99">
              <w:fldChar w:fldCharType="separate"/>
            </w:r>
            <w:r w:rsidRPr="75FA93ED">
              <w:rPr>
                <w:rStyle w:val="Hyperlink"/>
              </w:rPr>
              <w:t>17</w:t>
            </w:r>
            <w:r w:rsidR="008E2B99">
              <w:fldChar w:fldCharType="end"/>
            </w:r>
          </w:hyperlink>
        </w:p>
        <w:p w14:paraId="2CE39C10" w14:textId="34F04836"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547330873">
            <w:r w:rsidRPr="75FA93ED">
              <w:rPr>
                <w:rStyle w:val="Hyperlink"/>
              </w:rPr>
              <w:t>Output 4: National and local stakeholders have enhanced their capacities and policy environment to implement transformational mitigation action</w:t>
            </w:r>
            <w:r w:rsidR="008E2B99">
              <w:tab/>
            </w:r>
            <w:r w:rsidR="008E2B99">
              <w:fldChar w:fldCharType="begin"/>
            </w:r>
            <w:r w:rsidR="008E2B99">
              <w:instrText>PAGEREF _Toc547330873 \h</w:instrText>
            </w:r>
            <w:r w:rsidR="008E2B99">
              <w:fldChar w:fldCharType="separate"/>
            </w:r>
            <w:r w:rsidRPr="75FA93ED">
              <w:rPr>
                <w:rStyle w:val="Hyperlink"/>
              </w:rPr>
              <w:t>19</w:t>
            </w:r>
            <w:r w:rsidR="008E2B99">
              <w:fldChar w:fldCharType="end"/>
            </w:r>
          </w:hyperlink>
        </w:p>
        <w:p w14:paraId="32E6D2DA" w14:textId="3BE37E8B"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462349900">
            <w:r w:rsidRPr="75FA93ED">
              <w:rPr>
                <w:rStyle w:val="Hyperlink"/>
              </w:rPr>
              <w:t>Output 5: Implemented projects produce sustainable and transformative co-benefits</w:t>
            </w:r>
            <w:r w:rsidR="008E2B99">
              <w:tab/>
            </w:r>
            <w:r w:rsidR="008E2B99">
              <w:fldChar w:fldCharType="begin"/>
            </w:r>
            <w:r w:rsidR="008E2B99">
              <w:instrText>PAGEREF _Toc462349900 \h</w:instrText>
            </w:r>
            <w:r w:rsidR="008E2B99">
              <w:fldChar w:fldCharType="separate"/>
            </w:r>
            <w:r w:rsidRPr="75FA93ED">
              <w:rPr>
                <w:rStyle w:val="Hyperlink"/>
              </w:rPr>
              <w:t>21</w:t>
            </w:r>
            <w:r w:rsidR="008E2B99">
              <w:fldChar w:fldCharType="end"/>
            </w:r>
          </w:hyperlink>
        </w:p>
        <w:p w14:paraId="5C33C225" w14:textId="0C75D806" w:rsidR="008E2B99" w:rsidRDefault="75FA93ED" w:rsidP="75FA93ED">
          <w:pPr>
            <w:pStyle w:val="TOC1"/>
            <w:tabs>
              <w:tab w:val="right" w:leader="dot" w:pos="9015"/>
            </w:tabs>
            <w:rPr>
              <w:rStyle w:val="Hyperlink"/>
              <w:noProof/>
              <w:kern w:val="2"/>
              <w:lang w:eastAsia="en-GB"/>
              <w14:ligatures w14:val="standardContextual"/>
            </w:rPr>
          </w:pPr>
          <w:hyperlink w:anchor="_Toc79894352">
            <w:r w:rsidRPr="75FA93ED">
              <w:rPr>
                <w:rStyle w:val="Hyperlink"/>
              </w:rPr>
              <w:t>Section D: Programme performance not captured by outputs</w:t>
            </w:r>
            <w:r w:rsidR="008E2B99">
              <w:tab/>
            </w:r>
            <w:r w:rsidR="008E2B99">
              <w:fldChar w:fldCharType="begin"/>
            </w:r>
            <w:r w:rsidR="008E2B99">
              <w:instrText>PAGEREF _Toc79894352 \h</w:instrText>
            </w:r>
            <w:r w:rsidR="008E2B99">
              <w:fldChar w:fldCharType="separate"/>
            </w:r>
            <w:r w:rsidRPr="75FA93ED">
              <w:rPr>
                <w:rStyle w:val="Hyperlink"/>
              </w:rPr>
              <w:t>24</w:t>
            </w:r>
            <w:r w:rsidR="008E2B99">
              <w:fldChar w:fldCharType="end"/>
            </w:r>
          </w:hyperlink>
        </w:p>
        <w:p w14:paraId="48ABF42F" w14:textId="580B1C51" w:rsidR="008E2B99" w:rsidRDefault="75FA93ED" w:rsidP="75FA93ED">
          <w:pPr>
            <w:pStyle w:val="TOC1"/>
            <w:tabs>
              <w:tab w:val="right" w:leader="dot" w:pos="9015"/>
            </w:tabs>
            <w:rPr>
              <w:rStyle w:val="Hyperlink"/>
              <w:noProof/>
              <w:kern w:val="2"/>
              <w:lang w:eastAsia="en-GB"/>
              <w14:ligatures w14:val="standardContextual"/>
            </w:rPr>
          </w:pPr>
          <w:hyperlink w:anchor="_Toc679524957">
            <w:r w:rsidRPr="75FA93ED">
              <w:rPr>
                <w:rStyle w:val="Hyperlink"/>
              </w:rPr>
              <w:t>Section E: Risk</w:t>
            </w:r>
            <w:r w:rsidR="008E2B99">
              <w:tab/>
            </w:r>
            <w:r w:rsidR="008E2B99">
              <w:fldChar w:fldCharType="begin"/>
            </w:r>
            <w:r w:rsidR="008E2B99">
              <w:instrText>PAGEREF _Toc679524957 \h</w:instrText>
            </w:r>
            <w:r w:rsidR="008E2B99">
              <w:fldChar w:fldCharType="separate"/>
            </w:r>
            <w:r w:rsidRPr="75FA93ED">
              <w:rPr>
                <w:rStyle w:val="Hyperlink"/>
              </w:rPr>
              <w:t>24</w:t>
            </w:r>
            <w:r w:rsidR="008E2B99">
              <w:fldChar w:fldCharType="end"/>
            </w:r>
          </w:hyperlink>
        </w:p>
        <w:p w14:paraId="07C39AC0" w14:textId="26373E05"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485177179">
            <w:r w:rsidRPr="75FA93ED">
              <w:rPr>
                <w:rStyle w:val="Hyperlink"/>
              </w:rPr>
              <w:t>Overall risk rating</w:t>
            </w:r>
            <w:r w:rsidR="008E2B99">
              <w:tab/>
            </w:r>
            <w:r w:rsidR="008E2B99">
              <w:fldChar w:fldCharType="begin"/>
            </w:r>
            <w:r w:rsidR="008E2B99">
              <w:instrText>PAGEREF _Toc485177179 \h</w:instrText>
            </w:r>
            <w:r w:rsidR="008E2B99">
              <w:fldChar w:fldCharType="separate"/>
            </w:r>
            <w:r w:rsidRPr="75FA93ED">
              <w:rPr>
                <w:rStyle w:val="Hyperlink"/>
              </w:rPr>
              <w:t>25</w:t>
            </w:r>
            <w:r w:rsidR="008E2B99">
              <w:fldChar w:fldCharType="end"/>
            </w:r>
          </w:hyperlink>
        </w:p>
        <w:p w14:paraId="76146BE6" w14:textId="5DC71A6E"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952436128">
            <w:r w:rsidRPr="75FA93ED">
              <w:rPr>
                <w:rStyle w:val="Hyperlink"/>
              </w:rPr>
              <w:t>Overview of risk management</w:t>
            </w:r>
            <w:r w:rsidR="008E2B99">
              <w:tab/>
            </w:r>
            <w:r w:rsidR="008E2B99">
              <w:fldChar w:fldCharType="begin"/>
            </w:r>
            <w:r w:rsidR="008E2B99">
              <w:instrText>PAGEREF _Toc952436128 \h</w:instrText>
            </w:r>
            <w:r w:rsidR="008E2B99">
              <w:fldChar w:fldCharType="separate"/>
            </w:r>
            <w:r w:rsidRPr="75FA93ED">
              <w:rPr>
                <w:rStyle w:val="Hyperlink"/>
              </w:rPr>
              <w:t>25</w:t>
            </w:r>
            <w:r w:rsidR="008E2B99">
              <w:fldChar w:fldCharType="end"/>
            </w:r>
          </w:hyperlink>
        </w:p>
        <w:p w14:paraId="087C4095" w14:textId="522D4832"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1884100196">
            <w:r w:rsidRPr="75FA93ED">
              <w:rPr>
                <w:rStyle w:val="Hyperlink"/>
              </w:rPr>
              <w:t>Current risks</w:t>
            </w:r>
            <w:r w:rsidR="008E2B99">
              <w:tab/>
            </w:r>
            <w:r w:rsidR="008E2B99">
              <w:fldChar w:fldCharType="begin"/>
            </w:r>
            <w:r w:rsidR="008E2B99">
              <w:instrText>PAGEREF _Toc1884100196 \h</w:instrText>
            </w:r>
            <w:r w:rsidR="008E2B99">
              <w:fldChar w:fldCharType="separate"/>
            </w:r>
            <w:r w:rsidRPr="75FA93ED">
              <w:rPr>
                <w:rStyle w:val="Hyperlink"/>
              </w:rPr>
              <w:t>25</w:t>
            </w:r>
            <w:r w:rsidR="008E2B99">
              <w:fldChar w:fldCharType="end"/>
            </w:r>
          </w:hyperlink>
        </w:p>
        <w:p w14:paraId="21C64882" w14:textId="3314D879" w:rsidR="008E2B99" w:rsidRDefault="75FA93ED" w:rsidP="75FA93ED">
          <w:pPr>
            <w:pStyle w:val="TOC1"/>
            <w:tabs>
              <w:tab w:val="right" w:leader="dot" w:pos="9015"/>
            </w:tabs>
            <w:rPr>
              <w:rStyle w:val="Hyperlink"/>
              <w:noProof/>
              <w:kern w:val="2"/>
              <w:lang w:eastAsia="en-GB"/>
              <w14:ligatures w14:val="standardContextual"/>
            </w:rPr>
          </w:pPr>
          <w:hyperlink w:anchor="_Toc497664201">
            <w:r w:rsidRPr="75FA93ED">
              <w:rPr>
                <w:rStyle w:val="Hyperlink"/>
              </w:rPr>
              <w:t>Section F: Programme management: delivery, VfM, commercial and financial performance</w:t>
            </w:r>
            <w:r w:rsidR="008E2B99">
              <w:tab/>
            </w:r>
            <w:r w:rsidR="008E2B99">
              <w:fldChar w:fldCharType="begin"/>
            </w:r>
            <w:r w:rsidR="008E2B99">
              <w:instrText>PAGEREF _Toc497664201 \h</w:instrText>
            </w:r>
            <w:r w:rsidR="008E2B99">
              <w:fldChar w:fldCharType="separate"/>
            </w:r>
            <w:r w:rsidRPr="75FA93ED">
              <w:rPr>
                <w:rStyle w:val="Hyperlink"/>
              </w:rPr>
              <w:t>26</w:t>
            </w:r>
            <w:r w:rsidR="008E2B99">
              <w:fldChar w:fldCharType="end"/>
            </w:r>
          </w:hyperlink>
        </w:p>
        <w:p w14:paraId="4ED8556E" w14:textId="31FA7575" w:rsidR="008E2B99" w:rsidRDefault="75FA93ED" w:rsidP="75FA93ED">
          <w:pPr>
            <w:pStyle w:val="TOC2"/>
            <w:tabs>
              <w:tab w:val="clear" w:pos="9016"/>
              <w:tab w:val="right" w:leader="dot" w:pos="9015"/>
            </w:tabs>
            <w:rPr>
              <w:rStyle w:val="Hyperlink"/>
              <w:noProof/>
              <w:kern w:val="2"/>
              <w:lang w:eastAsia="en-GB"/>
              <w14:ligatures w14:val="standardContextual"/>
            </w:rPr>
          </w:pPr>
          <w:hyperlink w:anchor="_Toc1688605954">
            <w:r w:rsidRPr="75FA93ED">
              <w:rPr>
                <w:rStyle w:val="Hyperlink"/>
              </w:rPr>
              <w:t>Summary of the performance of partners and DESNZ, notably on commercial and financial issues, and including consideration of VfM.</w:t>
            </w:r>
            <w:r w:rsidR="008E2B99">
              <w:tab/>
            </w:r>
            <w:r w:rsidR="008E2B99">
              <w:fldChar w:fldCharType="begin"/>
            </w:r>
            <w:r w:rsidR="008E2B99">
              <w:instrText>PAGEREF _Toc1688605954 \h</w:instrText>
            </w:r>
            <w:r w:rsidR="008E2B99">
              <w:fldChar w:fldCharType="separate"/>
            </w:r>
            <w:r w:rsidRPr="75FA93ED">
              <w:rPr>
                <w:rStyle w:val="Hyperlink"/>
              </w:rPr>
              <w:t>27</w:t>
            </w:r>
            <w:r w:rsidR="008E2B99">
              <w:fldChar w:fldCharType="end"/>
            </w:r>
          </w:hyperlink>
          <w:r w:rsidR="008E2B99">
            <w:fldChar w:fldCharType="end"/>
          </w:r>
        </w:p>
      </w:sdtContent>
    </w:sdt>
    <w:p w14:paraId="5E063C9F" w14:textId="1CB0DD0F" w:rsidR="001B14BA" w:rsidRDefault="001B14BA" w:rsidP="001B4FD0">
      <w:pPr>
        <w:spacing w:line="276" w:lineRule="auto"/>
        <w:rPr>
          <w:rFonts w:eastAsia="Arial" w:cs="Arial"/>
        </w:rPr>
      </w:pPr>
    </w:p>
    <w:p w14:paraId="5329C57B" w14:textId="77E53EDE" w:rsidR="008D3049" w:rsidRDefault="008D3049" w:rsidP="001B4FD0">
      <w:pPr>
        <w:spacing w:after="160" w:line="259" w:lineRule="auto"/>
        <w:rPr>
          <w:rFonts w:eastAsia="Arial" w:cs="Arial"/>
          <w:sz w:val="22"/>
          <w:szCs w:val="22"/>
        </w:rPr>
      </w:pPr>
    </w:p>
    <w:p w14:paraId="07D3ACBE" w14:textId="69CBAB5E" w:rsidR="008D3049" w:rsidRDefault="00B06671" w:rsidP="001B4FD0">
      <w:pPr>
        <w:spacing w:after="160" w:line="259" w:lineRule="auto"/>
        <w:rPr>
          <w:rFonts w:eastAsia="Arial" w:cs="Arial"/>
          <w:sz w:val="22"/>
          <w:szCs w:val="22"/>
        </w:rPr>
      </w:pPr>
      <w:r w:rsidRPr="75FA93ED">
        <w:rPr>
          <w:rFonts w:eastAsia="Arial" w:cs="Arial"/>
          <w:color w:val="808080" w:themeColor="background1" w:themeShade="80"/>
          <w:sz w:val="22"/>
          <w:szCs w:val="22"/>
        </w:rPr>
        <w:t>.</w:t>
      </w:r>
      <w:r w:rsidRPr="75FA93ED">
        <w:rPr>
          <w:rFonts w:eastAsia="Arial" w:cs="Arial"/>
          <w:sz w:val="22"/>
          <w:szCs w:val="22"/>
        </w:rPr>
        <w:br w:type="page"/>
      </w:r>
    </w:p>
    <w:p w14:paraId="32A55046" w14:textId="57F2163F" w:rsidR="75FA93ED" w:rsidRDefault="75FA93ED" w:rsidP="75FA93ED">
      <w:pPr>
        <w:spacing w:after="160" w:line="259" w:lineRule="auto"/>
        <w:rPr>
          <w:rFonts w:eastAsia="Arial" w:cs="Arial"/>
          <w:sz w:val="22"/>
          <w:szCs w:val="22"/>
        </w:rPr>
      </w:pPr>
    </w:p>
    <w:p w14:paraId="5237F46C" w14:textId="07FFF06B" w:rsidR="75FA93ED" w:rsidRDefault="75FA93ED" w:rsidP="75FA93ED">
      <w:pPr>
        <w:spacing w:after="160" w:line="259" w:lineRule="auto"/>
        <w:rPr>
          <w:rFonts w:eastAsia="Arial" w:cs="Arial"/>
          <w:sz w:val="22"/>
          <w:szCs w:val="22"/>
        </w:rPr>
      </w:pPr>
    </w:p>
    <w:p w14:paraId="738A10D4" w14:textId="680F2FB8" w:rsidR="75FA93ED" w:rsidRDefault="75FA93ED" w:rsidP="75FA93ED">
      <w:pPr>
        <w:spacing w:after="160" w:line="259" w:lineRule="auto"/>
        <w:rPr>
          <w:rFonts w:eastAsia="Arial" w:cs="Arial"/>
          <w:sz w:val="22"/>
          <w:szCs w:val="22"/>
        </w:rPr>
      </w:pPr>
    </w:p>
    <w:p w14:paraId="28045995" w14:textId="4B264A91" w:rsidR="75FA93ED" w:rsidRDefault="75FA93ED" w:rsidP="75FA93ED">
      <w:pPr>
        <w:spacing w:after="160" w:line="259" w:lineRule="auto"/>
        <w:rPr>
          <w:rFonts w:eastAsia="Arial" w:cs="Arial"/>
          <w:sz w:val="22"/>
          <w:szCs w:val="22"/>
        </w:rPr>
      </w:pPr>
    </w:p>
    <w:p w14:paraId="53B2FF93" w14:textId="24007DDC" w:rsidR="75FA93ED" w:rsidRDefault="75FA93ED" w:rsidP="75FA93ED">
      <w:pPr>
        <w:spacing w:after="160" w:line="259" w:lineRule="auto"/>
        <w:rPr>
          <w:rFonts w:eastAsia="Arial" w:cs="Arial"/>
          <w:sz w:val="22"/>
          <w:szCs w:val="22"/>
        </w:rPr>
      </w:pPr>
    </w:p>
    <w:p w14:paraId="5124CC46" w14:textId="270F612E" w:rsidR="75FA93ED" w:rsidRDefault="75FA93ED" w:rsidP="75FA93ED">
      <w:pPr>
        <w:spacing w:after="160" w:line="259" w:lineRule="auto"/>
        <w:rPr>
          <w:rFonts w:eastAsia="Arial" w:cs="Arial"/>
          <w:sz w:val="22"/>
          <w:szCs w:val="22"/>
        </w:rPr>
      </w:pPr>
    </w:p>
    <w:p w14:paraId="63E5A74E" w14:textId="5497A2FF" w:rsidR="75FA93ED" w:rsidRDefault="75FA93ED" w:rsidP="75FA93ED">
      <w:pPr>
        <w:spacing w:after="160" w:line="259" w:lineRule="auto"/>
        <w:rPr>
          <w:rFonts w:eastAsia="Arial" w:cs="Arial"/>
          <w:sz w:val="22"/>
          <w:szCs w:val="22"/>
        </w:rPr>
      </w:pPr>
    </w:p>
    <w:p w14:paraId="7D2AD1F7" w14:textId="101C22D0" w:rsidR="75FA93ED" w:rsidRDefault="75FA93ED" w:rsidP="75FA93ED">
      <w:pPr>
        <w:spacing w:after="160" w:line="259" w:lineRule="auto"/>
        <w:rPr>
          <w:rFonts w:eastAsia="Arial" w:cs="Arial"/>
          <w:sz w:val="22"/>
          <w:szCs w:val="22"/>
        </w:rPr>
      </w:pPr>
    </w:p>
    <w:p w14:paraId="6C2D5F17" w14:textId="65ADB9C5" w:rsidR="75FA93ED" w:rsidRDefault="75FA93ED" w:rsidP="75FA93ED">
      <w:pPr>
        <w:spacing w:after="160" w:line="259" w:lineRule="auto"/>
        <w:rPr>
          <w:rFonts w:eastAsia="Arial" w:cs="Arial"/>
          <w:sz w:val="22"/>
          <w:szCs w:val="22"/>
        </w:rPr>
      </w:pPr>
    </w:p>
    <w:p w14:paraId="235701A9" w14:textId="68334C51" w:rsidR="75FA93ED" w:rsidRDefault="75FA93ED" w:rsidP="75FA93ED">
      <w:pPr>
        <w:spacing w:after="160" w:line="259" w:lineRule="auto"/>
        <w:rPr>
          <w:rFonts w:eastAsia="Arial" w:cs="Arial"/>
          <w:sz w:val="22"/>
          <w:szCs w:val="22"/>
        </w:rPr>
      </w:pPr>
    </w:p>
    <w:p w14:paraId="494304D3" w14:textId="2D46D02B" w:rsidR="75FA93ED" w:rsidRDefault="75FA93ED" w:rsidP="75FA93ED">
      <w:pPr>
        <w:spacing w:after="160" w:line="259" w:lineRule="auto"/>
        <w:rPr>
          <w:rFonts w:eastAsia="Arial" w:cs="Arial"/>
          <w:sz w:val="22"/>
          <w:szCs w:val="22"/>
        </w:rPr>
      </w:pPr>
    </w:p>
    <w:p w14:paraId="092F7D5A" w14:textId="36737446" w:rsidR="75FA93ED" w:rsidRDefault="75FA93ED" w:rsidP="75FA93ED">
      <w:pPr>
        <w:spacing w:after="160" w:line="259" w:lineRule="auto"/>
        <w:rPr>
          <w:rFonts w:eastAsia="Arial" w:cs="Arial"/>
          <w:sz w:val="22"/>
          <w:szCs w:val="22"/>
        </w:rPr>
      </w:pPr>
    </w:p>
    <w:p w14:paraId="7CE523CC" w14:textId="3854576A" w:rsidR="75FA93ED" w:rsidRDefault="75FA93ED" w:rsidP="75FA93ED">
      <w:pPr>
        <w:spacing w:after="160" w:line="259" w:lineRule="auto"/>
        <w:rPr>
          <w:rFonts w:eastAsia="Arial" w:cs="Arial"/>
          <w:sz w:val="22"/>
          <w:szCs w:val="22"/>
        </w:rPr>
      </w:pPr>
    </w:p>
    <w:p w14:paraId="12F5971B" w14:textId="091BDD40" w:rsidR="75FA93ED" w:rsidRDefault="75FA93ED" w:rsidP="75FA93ED">
      <w:pPr>
        <w:spacing w:after="160" w:line="259" w:lineRule="auto"/>
        <w:rPr>
          <w:rFonts w:eastAsia="Arial" w:cs="Arial"/>
          <w:sz w:val="22"/>
          <w:szCs w:val="22"/>
        </w:rPr>
      </w:pPr>
    </w:p>
    <w:p w14:paraId="082413EA" w14:textId="1E456530" w:rsidR="75FA93ED" w:rsidRDefault="75FA93ED" w:rsidP="75FA93ED">
      <w:pPr>
        <w:spacing w:after="160" w:line="259" w:lineRule="auto"/>
        <w:rPr>
          <w:rFonts w:eastAsia="Arial" w:cs="Arial"/>
          <w:sz w:val="22"/>
          <w:szCs w:val="22"/>
        </w:rPr>
      </w:pPr>
    </w:p>
    <w:p w14:paraId="17561C1A" w14:textId="65275193" w:rsidR="75FA93ED" w:rsidRDefault="75FA93ED" w:rsidP="75FA93ED">
      <w:pPr>
        <w:spacing w:after="160" w:line="259" w:lineRule="auto"/>
        <w:rPr>
          <w:rFonts w:eastAsia="Arial" w:cs="Arial"/>
          <w:sz w:val="22"/>
          <w:szCs w:val="22"/>
        </w:rPr>
      </w:pPr>
    </w:p>
    <w:p w14:paraId="7E7AA755" w14:textId="62BF5CA4" w:rsidR="75FA93ED" w:rsidRDefault="75FA93ED" w:rsidP="75FA93ED">
      <w:pPr>
        <w:spacing w:after="160" w:line="259" w:lineRule="auto"/>
        <w:rPr>
          <w:rFonts w:eastAsia="Arial" w:cs="Arial"/>
          <w:sz w:val="22"/>
          <w:szCs w:val="22"/>
        </w:rPr>
      </w:pPr>
    </w:p>
    <w:p w14:paraId="66F8D2EE" w14:textId="70C2EB74" w:rsidR="75FA93ED" w:rsidRDefault="75FA93ED" w:rsidP="75FA93ED">
      <w:pPr>
        <w:spacing w:after="160" w:line="259" w:lineRule="auto"/>
        <w:rPr>
          <w:rFonts w:eastAsia="Arial" w:cs="Arial"/>
          <w:sz w:val="22"/>
          <w:szCs w:val="22"/>
        </w:rPr>
      </w:pPr>
    </w:p>
    <w:p w14:paraId="3DFF81C6" w14:textId="4337F9A7" w:rsidR="75FA93ED" w:rsidRDefault="75FA93ED" w:rsidP="75FA93ED">
      <w:pPr>
        <w:spacing w:after="160" w:line="259" w:lineRule="auto"/>
        <w:rPr>
          <w:rFonts w:eastAsia="Arial" w:cs="Arial"/>
          <w:sz w:val="22"/>
          <w:szCs w:val="22"/>
        </w:rPr>
      </w:pPr>
    </w:p>
    <w:p w14:paraId="0AC10DF1" w14:textId="6002DA87" w:rsidR="75FA93ED" w:rsidRDefault="75FA93ED" w:rsidP="75FA93ED">
      <w:pPr>
        <w:spacing w:after="160" w:line="259" w:lineRule="auto"/>
        <w:rPr>
          <w:rFonts w:eastAsia="Arial" w:cs="Arial"/>
          <w:sz w:val="22"/>
          <w:szCs w:val="22"/>
        </w:rPr>
      </w:pPr>
    </w:p>
    <w:p w14:paraId="342C61C5" w14:textId="33311D14" w:rsidR="75FA93ED" w:rsidRDefault="75FA93ED" w:rsidP="75FA93ED">
      <w:pPr>
        <w:spacing w:after="160" w:line="259" w:lineRule="auto"/>
        <w:rPr>
          <w:rFonts w:eastAsia="Arial" w:cs="Arial"/>
          <w:sz w:val="22"/>
          <w:szCs w:val="22"/>
        </w:rPr>
      </w:pPr>
    </w:p>
    <w:p w14:paraId="37F8DDCD" w14:textId="1EEE5C5F" w:rsidR="75FA93ED" w:rsidRDefault="75FA93ED" w:rsidP="75FA93ED">
      <w:pPr>
        <w:spacing w:after="160" w:line="259" w:lineRule="auto"/>
        <w:rPr>
          <w:rFonts w:eastAsia="Arial" w:cs="Arial"/>
          <w:sz w:val="22"/>
          <w:szCs w:val="22"/>
        </w:rPr>
      </w:pPr>
    </w:p>
    <w:p w14:paraId="31D1C356" w14:textId="6164AA82" w:rsidR="75FA93ED" w:rsidRDefault="75FA93ED" w:rsidP="75FA93ED">
      <w:pPr>
        <w:spacing w:after="160" w:line="259" w:lineRule="auto"/>
        <w:rPr>
          <w:rFonts w:eastAsia="Arial" w:cs="Arial"/>
          <w:sz w:val="22"/>
          <w:szCs w:val="22"/>
        </w:rPr>
      </w:pPr>
    </w:p>
    <w:p w14:paraId="276E0B86" w14:textId="06D51BA3" w:rsidR="75FA93ED" w:rsidRDefault="75FA93ED" w:rsidP="75FA93ED">
      <w:pPr>
        <w:spacing w:after="160" w:line="259" w:lineRule="auto"/>
        <w:rPr>
          <w:rFonts w:eastAsia="Arial" w:cs="Arial"/>
          <w:sz w:val="22"/>
          <w:szCs w:val="22"/>
        </w:rPr>
      </w:pPr>
    </w:p>
    <w:p w14:paraId="444D9553" w14:textId="2CCC7B15" w:rsidR="75FA93ED" w:rsidRDefault="75FA93ED" w:rsidP="75FA93ED">
      <w:pPr>
        <w:spacing w:after="160" w:line="259" w:lineRule="auto"/>
        <w:rPr>
          <w:rFonts w:eastAsia="Arial" w:cs="Arial"/>
          <w:sz w:val="22"/>
          <w:szCs w:val="22"/>
        </w:rPr>
      </w:pPr>
    </w:p>
    <w:p w14:paraId="549875DA" w14:textId="233A9B68" w:rsidR="75FA93ED" w:rsidRDefault="75FA93ED" w:rsidP="75FA93ED">
      <w:pPr>
        <w:spacing w:after="160" w:line="259" w:lineRule="auto"/>
        <w:rPr>
          <w:rFonts w:eastAsia="Arial" w:cs="Arial"/>
          <w:sz w:val="22"/>
          <w:szCs w:val="22"/>
        </w:rPr>
      </w:pPr>
    </w:p>
    <w:p w14:paraId="798CB7DE" w14:textId="7509C394" w:rsidR="75FA93ED" w:rsidRDefault="75FA93ED" w:rsidP="75FA93ED">
      <w:pPr>
        <w:spacing w:after="160" w:line="259" w:lineRule="auto"/>
        <w:rPr>
          <w:rFonts w:eastAsia="Arial" w:cs="Arial"/>
          <w:sz w:val="22"/>
          <w:szCs w:val="22"/>
        </w:rPr>
      </w:pPr>
    </w:p>
    <w:p w14:paraId="3E872043" w14:textId="5F102E74" w:rsidR="75FA93ED" w:rsidRDefault="75FA93ED" w:rsidP="75FA93ED">
      <w:pPr>
        <w:spacing w:after="160" w:line="259" w:lineRule="auto"/>
        <w:rPr>
          <w:rFonts w:eastAsia="Arial" w:cs="Arial"/>
          <w:sz w:val="22"/>
          <w:szCs w:val="22"/>
        </w:rPr>
      </w:pPr>
    </w:p>
    <w:p w14:paraId="164D4AF5" w14:textId="743A625E" w:rsidR="75FA93ED" w:rsidRDefault="75FA93ED" w:rsidP="75FA93ED">
      <w:pPr>
        <w:spacing w:after="160" w:line="259" w:lineRule="auto"/>
        <w:rPr>
          <w:rFonts w:eastAsia="Arial" w:cs="Arial"/>
          <w:sz w:val="22"/>
          <w:szCs w:val="22"/>
        </w:rPr>
      </w:pPr>
    </w:p>
    <w:p w14:paraId="7DDD2116" w14:textId="18B7A42F" w:rsidR="75FA93ED" w:rsidRDefault="75FA93ED" w:rsidP="75FA93ED">
      <w:pPr>
        <w:spacing w:after="160" w:line="259" w:lineRule="auto"/>
        <w:rPr>
          <w:rFonts w:eastAsia="Arial" w:cs="Arial"/>
          <w:sz w:val="22"/>
          <w:szCs w:val="22"/>
        </w:rPr>
      </w:pPr>
    </w:p>
    <w:p w14:paraId="0F0DF8DA" w14:textId="649DDCFD" w:rsidR="75FA93ED" w:rsidRDefault="75FA93ED" w:rsidP="75FA93ED">
      <w:pPr>
        <w:spacing w:after="160" w:line="259" w:lineRule="auto"/>
        <w:rPr>
          <w:rFonts w:eastAsia="Arial" w:cs="Arial"/>
          <w:sz w:val="22"/>
          <w:szCs w:val="22"/>
        </w:rPr>
      </w:pPr>
    </w:p>
    <w:p w14:paraId="7C7F62AF" w14:textId="6E56EFBE" w:rsidR="75FA93ED" w:rsidRDefault="75FA93ED" w:rsidP="75FA93ED">
      <w:pPr>
        <w:spacing w:after="160" w:line="259" w:lineRule="auto"/>
        <w:rPr>
          <w:rFonts w:eastAsia="Arial" w:cs="Arial"/>
          <w:sz w:val="22"/>
          <w:szCs w:val="22"/>
        </w:rPr>
      </w:pPr>
    </w:p>
    <w:p w14:paraId="2BE82161" w14:textId="356AC3B3" w:rsidR="75FA93ED" w:rsidRDefault="75FA93ED" w:rsidP="75FA93ED">
      <w:pPr>
        <w:spacing w:after="160" w:line="259" w:lineRule="auto"/>
        <w:rPr>
          <w:rFonts w:eastAsia="Arial" w:cs="Arial"/>
          <w:sz w:val="22"/>
          <w:szCs w:val="22"/>
        </w:rPr>
      </w:pPr>
    </w:p>
    <w:p w14:paraId="4057C610" w14:textId="11ED0165" w:rsidR="75FA93ED" w:rsidRDefault="75FA93ED" w:rsidP="75FA93ED">
      <w:pPr>
        <w:spacing w:after="160" w:line="259" w:lineRule="auto"/>
        <w:rPr>
          <w:rFonts w:eastAsia="Arial" w:cs="Arial"/>
          <w:sz w:val="22"/>
          <w:szCs w:val="22"/>
        </w:rPr>
      </w:pPr>
    </w:p>
    <w:p w14:paraId="7B78F071" w14:textId="23681391" w:rsidR="75FA93ED" w:rsidRDefault="75FA93ED" w:rsidP="75FA93ED">
      <w:pPr>
        <w:spacing w:after="160" w:line="259" w:lineRule="auto"/>
        <w:rPr>
          <w:rFonts w:eastAsia="Arial" w:cs="Arial"/>
          <w:sz w:val="22"/>
          <w:szCs w:val="22"/>
        </w:rPr>
      </w:pPr>
    </w:p>
    <w:tbl>
      <w:tblPr>
        <w:tblStyle w:val="TableGrid"/>
        <w:tblW w:w="0" w:type="auto"/>
        <w:tblLook w:val="04A0" w:firstRow="1" w:lastRow="0" w:firstColumn="1" w:lastColumn="0" w:noHBand="0" w:noVBand="1"/>
      </w:tblPr>
      <w:tblGrid>
        <w:gridCol w:w="9016"/>
      </w:tblGrid>
      <w:tr w:rsidR="00495286" w14:paraId="65DE13A0" w14:textId="77777777" w:rsidTr="75FA93ED">
        <w:tc>
          <w:tcPr>
            <w:tcW w:w="9016" w:type="dxa"/>
            <w:shd w:val="clear" w:color="auto" w:fill="DEEAF6" w:themeFill="accent5" w:themeFillTint="33"/>
          </w:tcPr>
          <w:p w14:paraId="7DC76797" w14:textId="096F707C" w:rsidR="00495286" w:rsidRDefault="30CBE4DE" w:rsidP="001B4FD0">
            <w:pPr>
              <w:rPr>
                <w:rFonts w:eastAsia="Arial" w:cs="Arial"/>
              </w:rPr>
            </w:pPr>
            <w:bookmarkStart w:id="0" w:name="_Toc172791890"/>
            <w:bookmarkStart w:id="1" w:name="_Toc1245817500"/>
            <w:r w:rsidRPr="75FA93ED">
              <w:rPr>
                <w:rStyle w:val="Heading1Char"/>
                <w:rFonts w:ascii="Arial" w:eastAsia="Arial" w:hAnsi="Arial" w:cs="Arial"/>
                <w:b/>
                <w:bCs/>
                <w:color w:val="auto"/>
              </w:rPr>
              <w:t>Section A: Summary and overview</w:t>
            </w:r>
            <w:bookmarkEnd w:id="0"/>
            <w:bookmarkEnd w:id="1"/>
            <w:r w:rsidRPr="75FA93ED">
              <w:rPr>
                <w:rFonts w:eastAsia="Arial" w:cs="Arial"/>
              </w:rPr>
              <w:t xml:space="preserve"> </w:t>
            </w:r>
          </w:p>
        </w:tc>
      </w:tr>
    </w:tbl>
    <w:p w14:paraId="006A5D19" w14:textId="77777777" w:rsidR="00495286" w:rsidRDefault="00495286" w:rsidP="001B4FD0">
      <w:pPr>
        <w:rPr>
          <w:rFonts w:eastAsia="Arial" w:cs="Arial"/>
        </w:rPr>
      </w:pPr>
    </w:p>
    <w:tbl>
      <w:tblPr>
        <w:tblStyle w:val="TableGrid"/>
        <w:tblW w:w="0" w:type="auto"/>
        <w:tblLook w:val="04A0" w:firstRow="1" w:lastRow="0" w:firstColumn="1" w:lastColumn="0" w:noHBand="0" w:noVBand="1"/>
      </w:tblPr>
      <w:tblGrid>
        <w:gridCol w:w="3397"/>
        <w:gridCol w:w="2410"/>
        <w:gridCol w:w="3209"/>
      </w:tblGrid>
      <w:tr w:rsidR="004D2FC0" w:rsidRPr="003F6641" w14:paraId="2869ADA5" w14:textId="77777777" w:rsidTr="5964CDA8">
        <w:trPr>
          <w:trHeight w:val="407"/>
        </w:trPr>
        <w:tc>
          <w:tcPr>
            <w:tcW w:w="9016" w:type="dxa"/>
            <w:gridSpan w:val="3"/>
            <w:tcBorders>
              <w:top w:val="single" w:sz="4" w:space="0" w:color="auto"/>
              <w:left w:val="single" w:sz="4" w:space="0" w:color="auto"/>
              <w:bottom w:val="dotted" w:sz="2" w:space="0" w:color="000000" w:themeColor="text1"/>
              <w:right w:val="single" w:sz="4" w:space="0" w:color="auto"/>
            </w:tcBorders>
          </w:tcPr>
          <w:p w14:paraId="346F2EF8" w14:textId="528655DF" w:rsidR="004D2FC0" w:rsidRPr="003F6641" w:rsidRDefault="004D2FC0" w:rsidP="001B4FD0">
            <w:pPr>
              <w:rPr>
                <w:rFonts w:eastAsia="Arial" w:cs="Arial"/>
                <w:b/>
                <w:sz w:val="22"/>
                <w:szCs w:val="22"/>
              </w:rPr>
            </w:pPr>
            <w:r w:rsidRPr="2083A63E">
              <w:rPr>
                <w:rFonts w:eastAsia="Arial" w:cs="Arial"/>
                <w:b/>
                <w:sz w:val="22"/>
                <w:szCs w:val="22"/>
              </w:rPr>
              <w:t xml:space="preserve">Title:  </w:t>
            </w:r>
            <w:r w:rsidR="00842CF4" w:rsidRPr="2083A63E">
              <w:rPr>
                <w:rFonts w:eastAsia="Arial" w:cs="Arial"/>
                <w:b/>
                <w:sz w:val="22"/>
                <w:szCs w:val="22"/>
              </w:rPr>
              <w:t>Mitigation Action Facility</w:t>
            </w:r>
            <w:r w:rsidR="00AE3FF6" w:rsidRPr="2083A63E">
              <w:rPr>
                <w:rFonts w:eastAsia="Arial" w:cs="Arial"/>
                <w:b/>
                <w:sz w:val="22"/>
                <w:szCs w:val="22"/>
              </w:rPr>
              <w:t xml:space="preserve"> </w:t>
            </w:r>
          </w:p>
        </w:tc>
      </w:tr>
      <w:tr w:rsidR="004D2FC0" w:rsidRPr="003F6641" w14:paraId="109A3418" w14:textId="77777777" w:rsidTr="5964CDA8">
        <w:trPr>
          <w:trHeight w:val="413"/>
        </w:trPr>
        <w:tc>
          <w:tcPr>
            <w:tcW w:w="5807" w:type="dxa"/>
            <w:gridSpan w:val="2"/>
            <w:tcBorders>
              <w:top w:val="dotted" w:sz="2" w:space="0" w:color="000000" w:themeColor="text1"/>
              <w:left w:val="single" w:sz="4" w:space="0" w:color="000000" w:themeColor="text1"/>
              <w:bottom w:val="dotted" w:sz="2" w:space="0" w:color="000000" w:themeColor="text1"/>
              <w:right w:val="dotted" w:sz="2" w:space="0" w:color="000000" w:themeColor="text1"/>
            </w:tcBorders>
            <w:hideMark/>
          </w:tcPr>
          <w:p w14:paraId="46DC79A0" w14:textId="61A3CAF9" w:rsidR="004D2FC0" w:rsidRPr="003F6641" w:rsidRDefault="38898AA5" w:rsidP="4264AE42">
            <w:pPr>
              <w:rPr>
                <w:rFonts w:eastAsia="Arial" w:cs="Arial"/>
                <w:b/>
                <w:bCs/>
                <w:sz w:val="22"/>
                <w:szCs w:val="22"/>
              </w:rPr>
            </w:pPr>
            <w:r w:rsidRPr="5964CDA8">
              <w:rPr>
                <w:rFonts w:eastAsia="Arial" w:cs="Arial"/>
                <w:b/>
                <w:bCs/>
                <w:sz w:val="22"/>
                <w:szCs w:val="22"/>
              </w:rPr>
              <w:t xml:space="preserve">Programme Value £ (full life): </w:t>
            </w:r>
            <w:r w:rsidR="5E3B8458" w:rsidRPr="5964CDA8">
              <w:rPr>
                <w:rFonts w:eastAsia="Arial" w:cs="Arial"/>
                <w:b/>
                <w:bCs/>
                <w:sz w:val="22"/>
                <w:szCs w:val="22"/>
              </w:rPr>
              <w:t>305</w:t>
            </w:r>
            <w:r w:rsidR="02EC9663" w:rsidRPr="5964CDA8">
              <w:rPr>
                <w:rFonts w:eastAsia="Arial" w:cs="Arial"/>
                <w:b/>
                <w:bCs/>
                <w:sz w:val="22"/>
                <w:szCs w:val="22"/>
              </w:rPr>
              <w:t>m</w:t>
            </w:r>
            <w:r w:rsidR="6CC5F4CF" w:rsidRPr="5964CDA8">
              <w:rPr>
                <w:rFonts w:eastAsia="Arial" w:cs="Arial"/>
                <w:b/>
                <w:bCs/>
                <w:sz w:val="22"/>
                <w:szCs w:val="22"/>
              </w:rPr>
              <w:t>*</w:t>
            </w:r>
          </w:p>
          <w:p w14:paraId="79376CB4" w14:textId="5A85DE51" w:rsidR="004D2FC0" w:rsidRPr="003F6641" w:rsidRDefault="6CC5F4CF" w:rsidP="5964CDA8">
            <w:pPr>
              <w:rPr>
                <w:rFonts w:eastAsia="Arial" w:cs="Arial"/>
                <w:sz w:val="16"/>
                <w:szCs w:val="16"/>
              </w:rPr>
            </w:pPr>
            <w:r w:rsidRPr="5964CDA8">
              <w:rPr>
                <w:rFonts w:eastAsia="Arial" w:cs="Arial"/>
                <w:sz w:val="16"/>
                <w:szCs w:val="16"/>
              </w:rPr>
              <w:t>*</w:t>
            </w:r>
            <w:proofErr w:type="gramStart"/>
            <w:r w:rsidRPr="5964CDA8">
              <w:rPr>
                <w:rFonts w:eastAsia="Arial" w:cs="Arial"/>
                <w:sz w:val="16"/>
                <w:szCs w:val="16"/>
              </w:rPr>
              <w:t>laid</w:t>
            </w:r>
            <w:proofErr w:type="gramEnd"/>
            <w:r w:rsidRPr="5964CDA8">
              <w:rPr>
                <w:rFonts w:eastAsia="Arial" w:cs="Arial"/>
                <w:sz w:val="16"/>
                <w:szCs w:val="16"/>
              </w:rPr>
              <w:t xml:space="preserve"> via promissory note to date with a further 70m approved in the business case</w:t>
            </w:r>
            <w:r w:rsidR="009D6172">
              <w:rPr>
                <w:rFonts w:eastAsia="Arial" w:cs="Arial"/>
                <w:sz w:val="16"/>
                <w:szCs w:val="16"/>
              </w:rPr>
              <w:t xml:space="preserve"> period</w:t>
            </w:r>
          </w:p>
        </w:tc>
        <w:tc>
          <w:tcPr>
            <w:tcW w:w="3209" w:type="dxa"/>
            <w:tcBorders>
              <w:top w:val="dotted" w:sz="2" w:space="0" w:color="000000" w:themeColor="text1"/>
              <w:left w:val="dotted" w:sz="2" w:space="0" w:color="000000" w:themeColor="text1"/>
              <w:bottom w:val="dotted" w:sz="2" w:space="0" w:color="000000" w:themeColor="text1"/>
              <w:right w:val="single" w:sz="4" w:space="0" w:color="000000" w:themeColor="text1"/>
            </w:tcBorders>
            <w:hideMark/>
          </w:tcPr>
          <w:p w14:paraId="5E522675" w14:textId="3D6FAF9C" w:rsidR="004D2FC0" w:rsidRPr="003F6641" w:rsidRDefault="004D2FC0" w:rsidP="001B4FD0">
            <w:pPr>
              <w:rPr>
                <w:rFonts w:eastAsia="Arial" w:cs="Arial"/>
                <w:b/>
                <w:sz w:val="22"/>
                <w:szCs w:val="22"/>
              </w:rPr>
            </w:pPr>
            <w:r w:rsidRPr="2083A63E">
              <w:rPr>
                <w:rFonts w:eastAsia="Arial" w:cs="Arial"/>
                <w:b/>
                <w:sz w:val="22"/>
                <w:szCs w:val="22"/>
              </w:rPr>
              <w:t>Review date</w:t>
            </w:r>
            <w:r w:rsidR="00842CF4" w:rsidRPr="2083A63E">
              <w:rPr>
                <w:rFonts w:eastAsia="Arial" w:cs="Arial"/>
                <w:b/>
                <w:sz w:val="22"/>
                <w:szCs w:val="22"/>
              </w:rPr>
              <w:t>: Jan 202</w:t>
            </w:r>
            <w:r w:rsidR="00052FD9">
              <w:rPr>
                <w:rFonts w:eastAsia="Arial" w:cs="Arial"/>
                <w:b/>
                <w:sz w:val="22"/>
                <w:szCs w:val="22"/>
              </w:rPr>
              <w:t>3</w:t>
            </w:r>
            <w:r w:rsidR="00842CF4" w:rsidRPr="2083A63E">
              <w:rPr>
                <w:rFonts w:eastAsia="Arial" w:cs="Arial"/>
                <w:b/>
                <w:sz w:val="22"/>
                <w:szCs w:val="22"/>
              </w:rPr>
              <w:t xml:space="preserve"> - Dec 202</w:t>
            </w:r>
            <w:r w:rsidR="00052FD9">
              <w:rPr>
                <w:rFonts w:eastAsia="Arial" w:cs="Arial"/>
                <w:b/>
                <w:sz w:val="22"/>
                <w:szCs w:val="22"/>
              </w:rPr>
              <w:t>3</w:t>
            </w:r>
          </w:p>
        </w:tc>
      </w:tr>
      <w:tr w:rsidR="004D2FC0" w:rsidRPr="003F6641" w14:paraId="4F6467CB" w14:textId="77777777" w:rsidTr="5964CDA8">
        <w:trPr>
          <w:trHeight w:val="300"/>
        </w:trPr>
        <w:tc>
          <w:tcPr>
            <w:tcW w:w="3397" w:type="dxa"/>
            <w:tcBorders>
              <w:top w:val="dotted" w:sz="2" w:space="0" w:color="000000" w:themeColor="text1"/>
              <w:left w:val="single" w:sz="4" w:space="0" w:color="auto"/>
              <w:bottom w:val="single" w:sz="4" w:space="0" w:color="auto"/>
              <w:right w:val="dotted" w:sz="2" w:space="0" w:color="000000" w:themeColor="text1"/>
            </w:tcBorders>
          </w:tcPr>
          <w:p w14:paraId="06CD2B2E" w14:textId="6EED7011" w:rsidR="004D2FC0" w:rsidRPr="004A2B42" w:rsidRDefault="004D2FC0" w:rsidP="001B4FD0">
            <w:pPr>
              <w:rPr>
                <w:rFonts w:eastAsia="Arial" w:cs="Arial"/>
                <w:sz w:val="22"/>
                <w:szCs w:val="22"/>
                <w:lang w:val="fr-FR"/>
              </w:rPr>
            </w:pPr>
            <w:r w:rsidRPr="07AF1209">
              <w:rPr>
                <w:rFonts w:eastAsia="Arial" w:cs="Arial"/>
                <w:b/>
                <w:sz w:val="22"/>
                <w:szCs w:val="22"/>
                <w:lang w:val="fr-FR"/>
              </w:rPr>
              <w:t xml:space="preserve">Programme Code: </w:t>
            </w:r>
          </w:p>
          <w:p w14:paraId="07FE2881" w14:textId="5BBDA35A" w:rsidR="004D2FC0" w:rsidRPr="004A2B42" w:rsidRDefault="00842CF4" w:rsidP="001B4FD0">
            <w:pPr>
              <w:rPr>
                <w:rFonts w:eastAsia="Arial" w:cs="Arial"/>
                <w:sz w:val="22"/>
                <w:szCs w:val="22"/>
                <w:lang w:val="fr-FR"/>
              </w:rPr>
            </w:pPr>
            <w:r w:rsidRPr="004A2B42">
              <w:rPr>
                <w:rStyle w:val="normaltextrun"/>
                <w:rFonts w:eastAsia="Arial" w:cs="Arial"/>
                <w:color w:val="000000"/>
                <w:sz w:val="22"/>
                <w:szCs w:val="22"/>
                <w:bdr w:val="none" w:sz="0" w:space="0" w:color="auto" w:frame="1"/>
                <w:lang w:val="fr-FR"/>
              </w:rPr>
              <w:t>GB-GOV-13-ICF-0007-NAMA</w:t>
            </w:r>
          </w:p>
        </w:tc>
        <w:tc>
          <w:tcPr>
            <w:tcW w:w="2410" w:type="dxa"/>
            <w:tcBorders>
              <w:top w:val="dotted" w:sz="2" w:space="0" w:color="000000" w:themeColor="text1"/>
              <w:left w:val="dotted" w:sz="2" w:space="0" w:color="000000" w:themeColor="text1"/>
              <w:bottom w:val="single" w:sz="4" w:space="0" w:color="000000" w:themeColor="text1"/>
              <w:right w:val="dotted" w:sz="2" w:space="0" w:color="000000" w:themeColor="text1"/>
            </w:tcBorders>
            <w:hideMark/>
          </w:tcPr>
          <w:p w14:paraId="3C649775" w14:textId="1319D593" w:rsidR="004D2FC0" w:rsidRPr="003F6641" w:rsidRDefault="004D2FC0" w:rsidP="001B4FD0">
            <w:pPr>
              <w:rPr>
                <w:rFonts w:eastAsia="Arial" w:cs="Arial"/>
                <w:b/>
                <w:sz w:val="22"/>
                <w:szCs w:val="22"/>
              </w:rPr>
            </w:pPr>
            <w:r w:rsidRPr="2083A63E">
              <w:rPr>
                <w:rFonts w:eastAsia="Arial" w:cs="Arial"/>
                <w:b/>
                <w:sz w:val="22"/>
                <w:szCs w:val="22"/>
              </w:rPr>
              <w:t>Programme start date:</w:t>
            </w:r>
            <w:r w:rsidRPr="2083A63E">
              <w:rPr>
                <w:rFonts w:eastAsia="Arial" w:cs="Arial"/>
                <w:sz w:val="22"/>
                <w:szCs w:val="22"/>
              </w:rPr>
              <w:t xml:space="preserve"> </w:t>
            </w:r>
            <w:r w:rsidR="00836534" w:rsidRPr="2083A63E">
              <w:rPr>
                <w:rFonts w:eastAsia="Arial" w:cs="Arial"/>
                <w:sz w:val="22"/>
                <w:szCs w:val="22"/>
              </w:rPr>
              <w:t>Dec 2012</w:t>
            </w:r>
          </w:p>
        </w:tc>
        <w:tc>
          <w:tcPr>
            <w:tcW w:w="3209" w:type="dxa"/>
            <w:tcBorders>
              <w:top w:val="dotted" w:sz="2" w:space="0" w:color="000000" w:themeColor="text1"/>
              <w:left w:val="dotted" w:sz="2" w:space="0" w:color="000000" w:themeColor="text1"/>
              <w:bottom w:val="single" w:sz="4" w:space="0" w:color="auto"/>
              <w:right w:val="single" w:sz="4" w:space="0" w:color="auto"/>
            </w:tcBorders>
            <w:hideMark/>
          </w:tcPr>
          <w:p w14:paraId="7A133EFD" w14:textId="21D94FAF" w:rsidR="004D2FC0" w:rsidRPr="003F6641" w:rsidRDefault="004D2FC0" w:rsidP="001B4FD0">
            <w:pPr>
              <w:rPr>
                <w:rFonts w:eastAsia="Arial" w:cs="Arial"/>
                <w:b/>
                <w:sz w:val="22"/>
                <w:szCs w:val="22"/>
              </w:rPr>
            </w:pPr>
            <w:r w:rsidRPr="2083A63E">
              <w:rPr>
                <w:rFonts w:eastAsia="Arial" w:cs="Arial"/>
                <w:b/>
                <w:sz w:val="22"/>
                <w:szCs w:val="22"/>
              </w:rPr>
              <w:t>Programme end date:</w:t>
            </w:r>
            <w:r w:rsidRPr="2083A63E">
              <w:rPr>
                <w:rFonts w:eastAsia="Arial" w:cs="Arial"/>
                <w:sz w:val="22"/>
                <w:szCs w:val="22"/>
              </w:rPr>
              <w:t xml:space="preserve"> </w:t>
            </w:r>
            <w:r w:rsidR="00F97F5D" w:rsidRPr="2083A63E">
              <w:rPr>
                <w:rFonts w:eastAsia="Arial" w:cs="Arial"/>
                <w:sz w:val="22"/>
                <w:szCs w:val="22"/>
              </w:rPr>
              <w:t>Dec 2027</w:t>
            </w:r>
          </w:p>
        </w:tc>
      </w:tr>
    </w:tbl>
    <w:p w14:paraId="44D21F6A" w14:textId="77777777" w:rsidR="004D2FC0" w:rsidRPr="003F6641" w:rsidRDefault="004D2FC0" w:rsidP="001B4FD0">
      <w:pPr>
        <w:rPr>
          <w:rFonts w:eastAsia="Arial" w:cs="Arial"/>
          <w:b/>
          <w:sz w:val="22"/>
          <w:szCs w:val="22"/>
        </w:rPr>
      </w:pPr>
    </w:p>
    <w:tbl>
      <w:tblPr>
        <w:tblStyle w:val="TableGrid"/>
        <w:tblW w:w="9067" w:type="dxa"/>
        <w:tblLayout w:type="fixed"/>
        <w:tblLook w:val="04A0" w:firstRow="1" w:lastRow="0" w:firstColumn="1" w:lastColumn="0" w:noHBand="0" w:noVBand="1"/>
      </w:tblPr>
      <w:tblGrid>
        <w:gridCol w:w="1482"/>
        <w:gridCol w:w="786"/>
        <w:gridCol w:w="786"/>
        <w:gridCol w:w="769"/>
        <w:gridCol w:w="720"/>
        <w:gridCol w:w="765"/>
        <w:gridCol w:w="720"/>
        <w:gridCol w:w="720"/>
        <w:gridCol w:w="760"/>
        <w:gridCol w:w="795"/>
        <w:gridCol w:w="764"/>
      </w:tblGrid>
      <w:tr w:rsidR="00052FD9" w:rsidRPr="003F6641" w14:paraId="397F49F6" w14:textId="37929DA4" w:rsidTr="3EB06537">
        <w:tc>
          <w:tcPr>
            <w:tcW w:w="148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C0C093D" w14:textId="77777777" w:rsidR="00052FD9" w:rsidRPr="000425EB" w:rsidRDefault="00052FD9" w:rsidP="001B4FD0">
            <w:pPr>
              <w:rPr>
                <w:rFonts w:eastAsia="Arial" w:cs="Arial"/>
                <w:b/>
                <w:sz w:val="22"/>
                <w:szCs w:val="22"/>
              </w:rPr>
            </w:pPr>
            <w:r w:rsidRPr="2083A63E">
              <w:rPr>
                <w:rFonts w:eastAsia="Arial" w:cs="Arial"/>
                <w:b/>
                <w:sz w:val="22"/>
                <w:szCs w:val="22"/>
              </w:rPr>
              <w:t>Year</w:t>
            </w:r>
          </w:p>
        </w:tc>
        <w:tc>
          <w:tcPr>
            <w:tcW w:w="786" w:type="dxa"/>
            <w:tcBorders>
              <w:top w:val="single" w:sz="4" w:space="0" w:color="auto"/>
              <w:left w:val="single" w:sz="4" w:space="0" w:color="auto"/>
              <w:bottom w:val="single" w:sz="4" w:space="0" w:color="auto"/>
              <w:right w:val="single" w:sz="4" w:space="0" w:color="auto"/>
            </w:tcBorders>
          </w:tcPr>
          <w:p w14:paraId="04CB39F0" w14:textId="42E43E2F" w:rsidR="00052FD9" w:rsidRPr="003F6641" w:rsidRDefault="00052FD9" w:rsidP="001B4FD0">
            <w:pPr>
              <w:rPr>
                <w:rFonts w:eastAsia="Arial" w:cs="Arial"/>
                <w:b/>
                <w:sz w:val="22"/>
                <w:szCs w:val="22"/>
              </w:rPr>
            </w:pPr>
            <w:r w:rsidRPr="2083A63E">
              <w:rPr>
                <w:rFonts w:eastAsia="Arial" w:cs="Arial"/>
                <w:b/>
                <w:sz w:val="22"/>
                <w:szCs w:val="22"/>
              </w:rPr>
              <w:t>2014</w:t>
            </w:r>
          </w:p>
        </w:tc>
        <w:tc>
          <w:tcPr>
            <w:tcW w:w="786" w:type="dxa"/>
            <w:tcBorders>
              <w:top w:val="single" w:sz="4" w:space="0" w:color="auto"/>
              <w:left w:val="single" w:sz="4" w:space="0" w:color="auto"/>
              <w:bottom w:val="single" w:sz="4" w:space="0" w:color="auto"/>
              <w:right w:val="single" w:sz="4" w:space="0" w:color="auto"/>
            </w:tcBorders>
          </w:tcPr>
          <w:p w14:paraId="037A5853" w14:textId="04B74839" w:rsidR="00052FD9" w:rsidRPr="003F6641" w:rsidRDefault="00052FD9" w:rsidP="001B4FD0">
            <w:pPr>
              <w:rPr>
                <w:rFonts w:eastAsia="Arial" w:cs="Arial"/>
                <w:b/>
                <w:sz w:val="22"/>
                <w:szCs w:val="22"/>
              </w:rPr>
            </w:pPr>
            <w:r w:rsidRPr="2083A63E">
              <w:rPr>
                <w:rFonts w:eastAsia="Arial" w:cs="Arial"/>
                <w:b/>
                <w:sz w:val="22"/>
                <w:szCs w:val="22"/>
              </w:rPr>
              <w:t>2015</w:t>
            </w:r>
          </w:p>
        </w:tc>
        <w:tc>
          <w:tcPr>
            <w:tcW w:w="769" w:type="dxa"/>
            <w:tcBorders>
              <w:top w:val="single" w:sz="4" w:space="0" w:color="auto"/>
              <w:left w:val="single" w:sz="4" w:space="0" w:color="auto"/>
              <w:bottom w:val="single" w:sz="4" w:space="0" w:color="auto"/>
              <w:right w:val="single" w:sz="4" w:space="0" w:color="auto"/>
            </w:tcBorders>
          </w:tcPr>
          <w:p w14:paraId="079B1B1B" w14:textId="6BE1C057" w:rsidR="00052FD9" w:rsidRPr="003F6641" w:rsidRDefault="00052FD9" w:rsidP="001B4FD0">
            <w:pPr>
              <w:rPr>
                <w:rFonts w:eastAsia="Arial" w:cs="Arial"/>
                <w:b/>
                <w:sz w:val="22"/>
                <w:szCs w:val="22"/>
              </w:rPr>
            </w:pPr>
            <w:r w:rsidRPr="2083A63E">
              <w:rPr>
                <w:rFonts w:eastAsia="Arial" w:cs="Arial"/>
                <w:b/>
                <w:sz w:val="22"/>
                <w:szCs w:val="22"/>
              </w:rPr>
              <w:t>2016</w:t>
            </w:r>
          </w:p>
        </w:tc>
        <w:tc>
          <w:tcPr>
            <w:tcW w:w="720" w:type="dxa"/>
            <w:tcBorders>
              <w:top w:val="single" w:sz="4" w:space="0" w:color="auto"/>
              <w:left w:val="single" w:sz="4" w:space="0" w:color="auto"/>
              <w:bottom w:val="single" w:sz="4" w:space="0" w:color="auto"/>
              <w:right w:val="single" w:sz="4" w:space="0" w:color="auto"/>
            </w:tcBorders>
          </w:tcPr>
          <w:p w14:paraId="646BA210" w14:textId="158022C7" w:rsidR="00052FD9" w:rsidRPr="003F6641" w:rsidRDefault="00052FD9" w:rsidP="001B4FD0">
            <w:pPr>
              <w:rPr>
                <w:rFonts w:eastAsia="Arial" w:cs="Arial"/>
                <w:b/>
                <w:sz w:val="22"/>
                <w:szCs w:val="22"/>
              </w:rPr>
            </w:pPr>
            <w:r w:rsidRPr="2083A63E">
              <w:rPr>
                <w:rFonts w:eastAsia="Arial" w:cs="Arial"/>
                <w:b/>
                <w:sz w:val="22"/>
                <w:szCs w:val="22"/>
              </w:rPr>
              <w:t>2017</w:t>
            </w:r>
          </w:p>
        </w:tc>
        <w:tc>
          <w:tcPr>
            <w:tcW w:w="765" w:type="dxa"/>
            <w:tcBorders>
              <w:top w:val="single" w:sz="4" w:space="0" w:color="auto"/>
              <w:left w:val="single" w:sz="4" w:space="0" w:color="auto"/>
              <w:bottom w:val="single" w:sz="4" w:space="0" w:color="auto"/>
              <w:right w:val="single" w:sz="4" w:space="0" w:color="auto"/>
            </w:tcBorders>
          </w:tcPr>
          <w:p w14:paraId="1035360D" w14:textId="0E343C4A" w:rsidR="00052FD9" w:rsidRPr="003F6641" w:rsidRDefault="00052FD9" w:rsidP="001B4FD0">
            <w:pPr>
              <w:rPr>
                <w:rFonts w:eastAsia="Arial" w:cs="Arial"/>
                <w:b/>
                <w:sz w:val="22"/>
                <w:szCs w:val="22"/>
              </w:rPr>
            </w:pPr>
            <w:r w:rsidRPr="2083A63E">
              <w:rPr>
                <w:rFonts w:eastAsia="Arial" w:cs="Arial"/>
                <w:b/>
                <w:sz w:val="22"/>
                <w:szCs w:val="22"/>
              </w:rPr>
              <w:t>2018</w:t>
            </w:r>
          </w:p>
        </w:tc>
        <w:tc>
          <w:tcPr>
            <w:tcW w:w="720" w:type="dxa"/>
            <w:tcBorders>
              <w:top w:val="single" w:sz="4" w:space="0" w:color="auto"/>
              <w:left w:val="single" w:sz="4" w:space="0" w:color="auto"/>
              <w:bottom w:val="single" w:sz="4" w:space="0" w:color="auto"/>
              <w:right w:val="single" w:sz="4" w:space="0" w:color="auto"/>
            </w:tcBorders>
          </w:tcPr>
          <w:p w14:paraId="64675C53" w14:textId="1BBC222F" w:rsidR="00052FD9" w:rsidRPr="003F6641" w:rsidRDefault="00052FD9" w:rsidP="001B4FD0">
            <w:pPr>
              <w:rPr>
                <w:rFonts w:eastAsia="Arial" w:cs="Arial"/>
                <w:b/>
                <w:sz w:val="22"/>
                <w:szCs w:val="22"/>
              </w:rPr>
            </w:pPr>
            <w:r w:rsidRPr="2083A63E">
              <w:rPr>
                <w:rFonts w:eastAsia="Arial" w:cs="Arial"/>
                <w:b/>
                <w:sz w:val="22"/>
                <w:szCs w:val="22"/>
              </w:rPr>
              <w:t>2019</w:t>
            </w:r>
          </w:p>
        </w:tc>
        <w:tc>
          <w:tcPr>
            <w:tcW w:w="720" w:type="dxa"/>
            <w:tcBorders>
              <w:top w:val="single" w:sz="4" w:space="0" w:color="auto"/>
              <w:left w:val="single" w:sz="4" w:space="0" w:color="auto"/>
              <w:bottom w:val="single" w:sz="4" w:space="0" w:color="auto"/>
              <w:right w:val="single" w:sz="4" w:space="0" w:color="auto"/>
            </w:tcBorders>
          </w:tcPr>
          <w:p w14:paraId="6C4DC08E" w14:textId="0F4C65DD" w:rsidR="00052FD9" w:rsidRPr="003F6641" w:rsidRDefault="00052FD9" w:rsidP="001B4FD0">
            <w:pPr>
              <w:rPr>
                <w:rFonts w:eastAsia="Arial" w:cs="Arial"/>
                <w:b/>
                <w:sz w:val="22"/>
                <w:szCs w:val="22"/>
              </w:rPr>
            </w:pPr>
            <w:r w:rsidRPr="2083A63E">
              <w:rPr>
                <w:rFonts w:eastAsia="Arial" w:cs="Arial"/>
                <w:b/>
                <w:sz w:val="22"/>
                <w:szCs w:val="22"/>
              </w:rPr>
              <w:t>2020</w:t>
            </w:r>
          </w:p>
        </w:tc>
        <w:tc>
          <w:tcPr>
            <w:tcW w:w="760" w:type="dxa"/>
            <w:tcBorders>
              <w:top w:val="single" w:sz="4" w:space="0" w:color="auto"/>
              <w:left w:val="single" w:sz="4" w:space="0" w:color="auto"/>
              <w:bottom w:val="single" w:sz="4" w:space="0" w:color="auto"/>
              <w:right w:val="single" w:sz="4" w:space="0" w:color="auto"/>
            </w:tcBorders>
          </w:tcPr>
          <w:p w14:paraId="7DE0F0B5" w14:textId="1ED6D639" w:rsidR="00052FD9" w:rsidRPr="003F6641" w:rsidRDefault="00052FD9" w:rsidP="001B4FD0">
            <w:pPr>
              <w:rPr>
                <w:rFonts w:eastAsia="Arial" w:cs="Arial"/>
                <w:b/>
                <w:sz w:val="22"/>
                <w:szCs w:val="22"/>
              </w:rPr>
            </w:pPr>
            <w:r w:rsidRPr="2083A63E">
              <w:rPr>
                <w:rFonts w:eastAsia="Arial" w:cs="Arial"/>
                <w:b/>
                <w:sz w:val="22"/>
                <w:szCs w:val="22"/>
              </w:rPr>
              <w:t>2021</w:t>
            </w:r>
          </w:p>
        </w:tc>
        <w:tc>
          <w:tcPr>
            <w:tcW w:w="795" w:type="dxa"/>
            <w:tcBorders>
              <w:top w:val="single" w:sz="4" w:space="0" w:color="auto"/>
              <w:left w:val="single" w:sz="4" w:space="0" w:color="auto"/>
              <w:bottom w:val="single" w:sz="4" w:space="0" w:color="auto"/>
              <w:right w:val="single" w:sz="4" w:space="0" w:color="auto"/>
            </w:tcBorders>
          </w:tcPr>
          <w:p w14:paraId="7CADF35C" w14:textId="3F8D4468" w:rsidR="00052FD9" w:rsidRDefault="00052FD9" w:rsidP="001B4FD0">
            <w:pPr>
              <w:rPr>
                <w:rFonts w:eastAsia="Arial" w:cs="Arial"/>
                <w:b/>
                <w:sz w:val="22"/>
                <w:szCs w:val="22"/>
              </w:rPr>
            </w:pPr>
            <w:r w:rsidRPr="2083A63E">
              <w:rPr>
                <w:rFonts w:eastAsia="Arial" w:cs="Arial"/>
                <w:b/>
                <w:sz w:val="22"/>
                <w:szCs w:val="22"/>
              </w:rPr>
              <w:t>2022</w:t>
            </w:r>
          </w:p>
        </w:tc>
        <w:tc>
          <w:tcPr>
            <w:tcW w:w="764" w:type="dxa"/>
            <w:tcBorders>
              <w:top w:val="single" w:sz="4" w:space="0" w:color="auto"/>
              <w:left w:val="single" w:sz="4" w:space="0" w:color="auto"/>
              <w:bottom w:val="single" w:sz="4" w:space="0" w:color="auto"/>
              <w:right w:val="single" w:sz="4" w:space="0" w:color="auto"/>
            </w:tcBorders>
          </w:tcPr>
          <w:p w14:paraId="0EB6755F" w14:textId="727AF756" w:rsidR="00052FD9" w:rsidRPr="2083A63E" w:rsidRDefault="00052FD9" w:rsidP="001B4FD0">
            <w:pPr>
              <w:rPr>
                <w:rFonts w:eastAsia="Arial" w:cs="Arial"/>
                <w:b/>
                <w:sz w:val="22"/>
                <w:szCs w:val="22"/>
              </w:rPr>
            </w:pPr>
            <w:r>
              <w:rPr>
                <w:rFonts w:eastAsia="Arial" w:cs="Arial"/>
                <w:b/>
                <w:sz w:val="22"/>
                <w:szCs w:val="22"/>
              </w:rPr>
              <w:t>2023</w:t>
            </w:r>
          </w:p>
        </w:tc>
      </w:tr>
      <w:tr w:rsidR="00052FD9" w:rsidRPr="003F6641" w14:paraId="461D6177" w14:textId="08C17A5B" w:rsidTr="3EB06537">
        <w:tc>
          <w:tcPr>
            <w:tcW w:w="148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454618" w14:textId="77777777" w:rsidR="00052FD9" w:rsidRPr="000425EB" w:rsidRDefault="00052FD9" w:rsidP="001B4FD0">
            <w:pPr>
              <w:rPr>
                <w:rFonts w:eastAsia="Arial" w:cs="Arial"/>
                <w:b/>
                <w:sz w:val="22"/>
                <w:szCs w:val="22"/>
              </w:rPr>
            </w:pPr>
            <w:r w:rsidRPr="2083A63E">
              <w:rPr>
                <w:rFonts w:eastAsia="Arial" w:cs="Arial"/>
                <w:b/>
                <w:sz w:val="22"/>
                <w:szCs w:val="22"/>
              </w:rPr>
              <w:t>Overall Output Score</w:t>
            </w:r>
          </w:p>
        </w:tc>
        <w:tc>
          <w:tcPr>
            <w:tcW w:w="786" w:type="dxa"/>
            <w:tcBorders>
              <w:top w:val="single" w:sz="4" w:space="0" w:color="auto"/>
              <w:left w:val="single" w:sz="4" w:space="0" w:color="auto"/>
              <w:bottom w:val="single" w:sz="4" w:space="0" w:color="auto"/>
              <w:right w:val="single" w:sz="4" w:space="0" w:color="auto"/>
            </w:tcBorders>
          </w:tcPr>
          <w:p w14:paraId="739EFDDA" w14:textId="075EBED5" w:rsidR="00052FD9" w:rsidRPr="003F6641" w:rsidRDefault="00052FD9" w:rsidP="001B4FD0">
            <w:pPr>
              <w:rPr>
                <w:rFonts w:eastAsia="Arial" w:cs="Arial"/>
                <w:b/>
                <w:sz w:val="22"/>
                <w:szCs w:val="22"/>
              </w:rPr>
            </w:pPr>
            <w:r w:rsidRPr="2083A63E">
              <w:rPr>
                <w:rStyle w:val="normaltextrun"/>
                <w:rFonts w:eastAsia="Arial" w:cs="Arial"/>
                <w:color w:val="000000"/>
                <w:sz w:val="22"/>
                <w:szCs w:val="22"/>
                <w:shd w:val="clear" w:color="auto" w:fill="FFFFFF"/>
              </w:rPr>
              <w:t>A+</w:t>
            </w:r>
            <w:r w:rsidRPr="2083A63E">
              <w:rPr>
                <w:rStyle w:val="eop"/>
                <w:rFonts w:eastAsia="Arial" w:cs="Arial"/>
                <w:color w:val="000000"/>
                <w:sz w:val="22"/>
                <w:szCs w:val="22"/>
                <w:shd w:val="clear" w:color="auto" w:fill="FFFFFF"/>
              </w:rPr>
              <w:t> </w:t>
            </w:r>
          </w:p>
        </w:tc>
        <w:tc>
          <w:tcPr>
            <w:tcW w:w="786" w:type="dxa"/>
            <w:tcBorders>
              <w:top w:val="single" w:sz="4" w:space="0" w:color="auto"/>
              <w:left w:val="single" w:sz="4" w:space="0" w:color="auto"/>
              <w:bottom w:val="single" w:sz="4" w:space="0" w:color="auto"/>
              <w:right w:val="single" w:sz="4" w:space="0" w:color="auto"/>
            </w:tcBorders>
          </w:tcPr>
          <w:p w14:paraId="357D8D0E" w14:textId="32CFC417" w:rsidR="00052FD9" w:rsidRPr="002D0ED7" w:rsidRDefault="00052FD9" w:rsidP="001B4FD0">
            <w:pPr>
              <w:rPr>
                <w:rFonts w:eastAsia="Arial" w:cs="Arial"/>
                <w:sz w:val="22"/>
                <w:szCs w:val="22"/>
              </w:rPr>
            </w:pPr>
            <w:r w:rsidRPr="2083A63E">
              <w:rPr>
                <w:rFonts w:eastAsia="Arial" w:cs="Arial"/>
                <w:sz w:val="22"/>
                <w:szCs w:val="22"/>
              </w:rPr>
              <w:t>A</w:t>
            </w:r>
          </w:p>
        </w:tc>
        <w:tc>
          <w:tcPr>
            <w:tcW w:w="769" w:type="dxa"/>
            <w:tcBorders>
              <w:top w:val="single" w:sz="4" w:space="0" w:color="auto"/>
              <w:left w:val="single" w:sz="4" w:space="0" w:color="auto"/>
              <w:bottom w:val="single" w:sz="4" w:space="0" w:color="auto"/>
              <w:right w:val="single" w:sz="4" w:space="0" w:color="auto"/>
            </w:tcBorders>
          </w:tcPr>
          <w:p w14:paraId="2C992B7A" w14:textId="2D9285CA" w:rsidR="00052FD9" w:rsidRPr="003F6641" w:rsidRDefault="00052FD9" w:rsidP="001B4FD0">
            <w:pPr>
              <w:rPr>
                <w:rFonts w:eastAsia="Arial" w:cs="Arial"/>
                <w:b/>
                <w:sz w:val="22"/>
                <w:szCs w:val="22"/>
              </w:rPr>
            </w:pPr>
            <w:r w:rsidRPr="2083A63E">
              <w:rPr>
                <w:rFonts w:eastAsia="Arial" w:cs="Arial"/>
                <w:sz w:val="22"/>
                <w:szCs w:val="22"/>
              </w:rPr>
              <w:t>A</w:t>
            </w:r>
          </w:p>
        </w:tc>
        <w:tc>
          <w:tcPr>
            <w:tcW w:w="720" w:type="dxa"/>
            <w:tcBorders>
              <w:top w:val="single" w:sz="4" w:space="0" w:color="auto"/>
              <w:left w:val="single" w:sz="4" w:space="0" w:color="auto"/>
              <w:bottom w:val="single" w:sz="4" w:space="0" w:color="auto"/>
              <w:right w:val="single" w:sz="4" w:space="0" w:color="auto"/>
            </w:tcBorders>
          </w:tcPr>
          <w:p w14:paraId="0B25B58D" w14:textId="69236F52" w:rsidR="00052FD9" w:rsidRPr="003F6641" w:rsidRDefault="00052FD9" w:rsidP="001B4FD0">
            <w:pPr>
              <w:rPr>
                <w:rFonts w:eastAsia="Arial" w:cs="Arial"/>
                <w:b/>
                <w:sz w:val="22"/>
                <w:szCs w:val="22"/>
              </w:rPr>
            </w:pPr>
            <w:r w:rsidRPr="2083A63E">
              <w:rPr>
                <w:rFonts w:eastAsia="Arial" w:cs="Arial"/>
                <w:sz w:val="22"/>
                <w:szCs w:val="22"/>
              </w:rPr>
              <w:t>A</w:t>
            </w:r>
          </w:p>
        </w:tc>
        <w:tc>
          <w:tcPr>
            <w:tcW w:w="765" w:type="dxa"/>
            <w:tcBorders>
              <w:top w:val="single" w:sz="4" w:space="0" w:color="auto"/>
              <w:left w:val="single" w:sz="4" w:space="0" w:color="auto"/>
              <w:bottom w:val="single" w:sz="4" w:space="0" w:color="auto"/>
              <w:right w:val="single" w:sz="4" w:space="0" w:color="auto"/>
            </w:tcBorders>
          </w:tcPr>
          <w:p w14:paraId="40B2879D" w14:textId="0F728DEF" w:rsidR="00052FD9" w:rsidRPr="003F6641" w:rsidRDefault="00052FD9" w:rsidP="001B4FD0">
            <w:pPr>
              <w:rPr>
                <w:rFonts w:eastAsia="Arial" w:cs="Arial"/>
                <w:b/>
                <w:sz w:val="22"/>
                <w:szCs w:val="22"/>
              </w:rPr>
            </w:pPr>
            <w:r w:rsidRPr="2083A63E">
              <w:rPr>
                <w:rFonts w:eastAsia="Arial" w:cs="Arial"/>
                <w:sz w:val="22"/>
                <w:szCs w:val="22"/>
              </w:rPr>
              <w:t>A</w:t>
            </w:r>
          </w:p>
        </w:tc>
        <w:tc>
          <w:tcPr>
            <w:tcW w:w="720" w:type="dxa"/>
            <w:tcBorders>
              <w:top w:val="single" w:sz="4" w:space="0" w:color="auto"/>
              <w:left w:val="single" w:sz="4" w:space="0" w:color="auto"/>
              <w:bottom w:val="single" w:sz="4" w:space="0" w:color="auto"/>
              <w:right w:val="single" w:sz="4" w:space="0" w:color="auto"/>
            </w:tcBorders>
          </w:tcPr>
          <w:p w14:paraId="1C095E04" w14:textId="471ACCCF" w:rsidR="00052FD9" w:rsidRPr="003F6641" w:rsidRDefault="00052FD9" w:rsidP="001B4FD0">
            <w:pPr>
              <w:rPr>
                <w:rFonts w:eastAsia="Arial" w:cs="Arial"/>
                <w:b/>
                <w:sz w:val="22"/>
                <w:szCs w:val="22"/>
              </w:rPr>
            </w:pPr>
            <w:r w:rsidRPr="2083A63E">
              <w:rPr>
                <w:rStyle w:val="normaltextrun"/>
                <w:rFonts w:eastAsia="Arial" w:cs="Arial"/>
                <w:color w:val="000000"/>
                <w:sz w:val="22"/>
                <w:szCs w:val="22"/>
                <w:shd w:val="clear" w:color="auto" w:fill="FFFFFF"/>
              </w:rPr>
              <w:t>A+</w:t>
            </w:r>
            <w:r w:rsidRPr="2083A63E">
              <w:rPr>
                <w:rStyle w:val="eop"/>
                <w:rFonts w:eastAsia="Arial" w:cs="Arial"/>
                <w:color w:val="000000"/>
                <w:sz w:val="22"/>
                <w:szCs w:val="22"/>
                <w:shd w:val="clear" w:color="auto" w:fill="FFFFFF"/>
              </w:rPr>
              <w:t> </w:t>
            </w:r>
          </w:p>
        </w:tc>
        <w:tc>
          <w:tcPr>
            <w:tcW w:w="720" w:type="dxa"/>
            <w:tcBorders>
              <w:top w:val="single" w:sz="4" w:space="0" w:color="auto"/>
              <w:left w:val="single" w:sz="4" w:space="0" w:color="auto"/>
              <w:bottom w:val="single" w:sz="4" w:space="0" w:color="auto"/>
              <w:right w:val="single" w:sz="4" w:space="0" w:color="auto"/>
            </w:tcBorders>
          </w:tcPr>
          <w:p w14:paraId="2E6879F9" w14:textId="0D46D2A3" w:rsidR="00052FD9" w:rsidRPr="003F6641" w:rsidRDefault="00052FD9" w:rsidP="001B4FD0">
            <w:pPr>
              <w:rPr>
                <w:rFonts w:eastAsia="Arial" w:cs="Arial"/>
                <w:b/>
                <w:sz w:val="22"/>
                <w:szCs w:val="22"/>
              </w:rPr>
            </w:pPr>
            <w:r w:rsidRPr="2083A63E">
              <w:rPr>
                <w:rStyle w:val="normaltextrun"/>
                <w:rFonts w:eastAsia="Arial" w:cs="Arial"/>
                <w:color w:val="000000"/>
                <w:sz w:val="22"/>
                <w:szCs w:val="22"/>
                <w:shd w:val="clear" w:color="auto" w:fill="FFFFFF"/>
              </w:rPr>
              <w:t>A+</w:t>
            </w:r>
            <w:r w:rsidRPr="2083A63E">
              <w:rPr>
                <w:rStyle w:val="eop"/>
                <w:rFonts w:eastAsia="Arial" w:cs="Arial"/>
                <w:color w:val="000000"/>
                <w:sz w:val="22"/>
                <w:szCs w:val="22"/>
                <w:shd w:val="clear" w:color="auto" w:fill="FFFFFF"/>
              </w:rPr>
              <w:t> </w:t>
            </w:r>
          </w:p>
        </w:tc>
        <w:tc>
          <w:tcPr>
            <w:tcW w:w="760" w:type="dxa"/>
            <w:tcBorders>
              <w:top w:val="single" w:sz="4" w:space="0" w:color="auto"/>
              <w:left w:val="single" w:sz="4" w:space="0" w:color="auto"/>
              <w:bottom w:val="single" w:sz="4" w:space="0" w:color="auto"/>
              <w:right w:val="single" w:sz="4" w:space="0" w:color="auto"/>
            </w:tcBorders>
          </w:tcPr>
          <w:p w14:paraId="791C19F9" w14:textId="38BBC7F1" w:rsidR="00052FD9" w:rsidRPr="003F6641" w:rsidRDefault="00052FD9" w:rsidP="001B4FD0">
            <w:pPr>
              <w:rPr>
                <w:rFonts w:eastAsia="Arial" w:cs="Arial"/>
                <w:b/>
                <w:sz w:val="22"/>
                <w:szCs w:val="22"/>
              </w:rPr>
            </w:pPr>
            <w:r w:rsidRPr="2083A63E">
              <w:rPr>
                <w:rFonts w:eastAsia="Arial" w:cs="Arial"/>
                <w:sz w:val="22"/>
                <w:szCs w:val="22"/>
              </w:rPr>
              <w:t>A</w:t>
            </w:r>
          </w:p>
        </w:tc>
        <w:tc>
          <w:tcPr>
            <w:tcW w:w="795" w:type="dxa"/>
            <w:tcBorders>
              <w:top w:val="single" w:sz="4" w:space="0" w:color="auto"/>
              <w:left w:val="single" w:sz="4" w:space="0" w:color="auto"/>
              <w:bottom w:val="single" w:sz="4" w:space="0" w:color="auto"/>
              <w:right w:val="single" w:sz="4" w:space="0" w:color="auto"/>
            </w:tcBorders>
          </w:tcPr>
          <w:p w14:paraId="0D76C771" w14:textId="289EB4DA" w:rsidR="00052FD9" w:rsidRPr="003F6641" w:rsidRDefault="5E3B8458" w:rsidP="4A9EF9D3">
            <w:pPr>
              <w:rPr>
                <w:rFonts w:eastAsia="Arial" w:cs="Arial"/>
                <w:sz w:val="22"/>
                <w:szCs w:val="22"/>
              </w:rPr>
            </w:pPr>
            <w:r w:rsidRPr="4A9EF9D3">
              <w:rPr>
                <w:rFonts w:eastAsia="Arial" w:cs="Arial"/>
                <w:sz w:val="22"/>
                <w:szCs w:val="22"/>
              </w:rPr>
              <w:t>A</w:t>
            </w:r>
          </w:p>
        </w:tc>
        <w:tc>
          <w:tcPr>
            <w:tcW w:w="764" w:type="dxa"/>
            <w:tcBorders>
              <w:top w:val="single" w:sz="4" w:space="0" w:color="auto"/>
              <w:left w:val="single" w:sz="4" w:space="0" w:color="auto"/>
              <w:bottom w:val="single" w:sz="4" w:space="0" w:color="auto"/>
              <w:right w:val="single" w:sz="4" w:space="0" w:color="auto"/>
            </w:tcBorders>
          </w:tcPr>
          <w:p w14:paraId="017FBB6C" w14:textId="0FF40A89" w:rsidR="00052FD9" w:rsidRPr="2083A63E" w:rsidRDefault="12A38808" w:rsidP="4A9EF9D3">
            <w:pPr>
              <w:rPr>
                <w:rFonts w:eastAsia="Arial" w:cs="Arial"/>
                <w:b/>
                <w:bCs/>
                <w:sz w:val="22"/>
                <w:szCs w:val="22"/>
              </w:rPr>
            </w:pPr>
            <w:r w:rsidRPr="3EB06537">
              <w:rPr>
                <w:rFonts w:eastAsia="Arial" w:cs="Arial"/>
                <w:b/>
                <w:bCs/>
                <w:sz w:val="22"/>
                <w:szCs w:val="22"/>
              </w:rPr>
              <w:t>A</w:t>
            </w:r>
          </w:p>
        </w:tc>
      </w:tr>
      <w:tr w:rsidR="00052FD9" w:rsidRPr="003F6641" w14:paraId="58491621" w14:textId="1C45C0DB" w:rsidTr="3EB06537">
        <w:trPr>
          <w:trHeight w:val="309"/>
        </w:trPr>
        <w:tc>
          <w:tcPr>
            <w:tcW w:w="148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30DD62" w14:textId="77777777" w:rsidR="00052FD9" w:rsidRPr="000425EB" w:rsidRDefault="00052FD9" w:rsidP="001B4FD0">
            <w:pPr>
              <w:rPr>
                <w:rFonts w:eastAsia="Arial" w:cs="Arial"/>
                <w:b/>
                <w:sz w:val="22"/>
                <w:szCs w:val="22"/>
              </w:rPr>
            </w:pPr>
            <w:r w:rsidRPr="2083A63E">
              <w:rPr>
                <w:rFonts w:eastAsia="Arial" w:cs="Arial"/>
                <w:b/>
                <w:sz w:val="22"/>
                <w:szCs w:val="22"/>
              </w:rPr>
              <w:t xml:space="preserve">Risk Rating </w:t>
            </w:r>
          </w:p>
        </w:tc>
        <w:tc>
          <w:tcPr>
            <w:tcW w:w="786" w:type="dxa"/>
            <w:tcBorders>
              <w:top w:val="single" w:sz="4" w:space="0" w:color="auto"/>
              <w:left w:val="single" w:sz="4" w:space="0" w:color="auto"/>
              <w:bottom w:val="single" w:sz="4" w:space="0" w:color="auto"/>
              <w:right w:val="single" w:sz="4" w:space="0" w:color="auto"/>
            </w:tcBorders>
          </w:tcPr>
          <w:p w14:paraId="1DA9D990" w14:textId="2ABB6C77" w:rsidR="00052FD9" w:rsidRPr="002D0ED7" w:rsidRDefault="00052FD9" w:rsidP="001B4FD0">
            <w:pPr>
              <w:rPr>
                <w:rFonts w:eastAsia="Arial" w:cs="Arial"/>
                <w:sz w:val="16"/>
                <w:szCs w:val="16"/>
              </w:rPr>
            </w:pPr>
            <w:r w:rsidRPr="2083A63E">
              <w:rPr>
                <w:rFonts w:eastAsia="Arial" w:cs="Arial"/>
                <w:sz w:val="16"/>
                <w:szCs w:val="16"/>
              </w:rPr>
              <w:t>Medium</w:t>
            </w:r>
          </w:p>
        </w:tc>
        <w:tc>
          <w:tcPr>
            <w:tcW w:w="786" w:type="dxa"/>
            <w:tcBorders>
              <w:top w:val="single" w:sz="4" w:space="0" w:color="auto"/>
              <w:left w:val="single" w:sz="4" w:space="0" w:color="auto"/>
              <w:bottom w:val="single" w:sz="4" w:space="0" w:color="auto"/>
              <w:right w:val="single" w:sz="4" w:space="0" w:color="auto"/>
            </w:tcBorders>
          </w:tcPr>
          <w:p w14:paraId="180C1E97" w14:textId="5C111FF5" w:rsidR="00052FD9" w:rsidRPr="002D0ED7" w:rsidRDefault="00052FD9" w:rsidP="001B4FD0">
            <w:pPr>
              <w:rPr>
                <w:rFonts w:eastAsia="Arial" w:cs="Arial"/>
                <w:b/>
                <w:sz w:val="16"/>
                <w:szCs w:val="16"/>
              </w:rPr>
            </w:pPr>
            <w:r w:rsidRPr="2083A63E">
              <w:rPr>
                <w:rFonts w:eastAsia="Arial" w:cs="Arial"/>
                <w:sz w:val="16"/>
                <w:szCs w:val="16"/>
              </w:rPr>
              <w:t>Medium</w:t>
            </w:r>
          </w:p>
        </w:tc>
        <w:tc>
          <w:tcPr>
            <w:tcW w:w="769" w:type="dxa"/>
            <w:tcBorders>
              <w:top w:val="single" w:sz="4" w:space="0" w:color="auto"/>
              <w:left w:val="single" w:sz="4" w:space="0" w:color="auto"/>
              <w:bottom w:val="single" w:sz="4" w:space="0" w:color="auto"/>
              <w:right w:val="single" w:sz="4" w:space="0" w:color="auto"/>
            </w:tcBorders>
          </w:tcPr>
          <w:p w14:paraId="23FE3FF4" w14:textId="1803F184" w:rsidR="00052FD9" w:rsidRPr="002D0ED7" w:rsidRDefault="00052FD9" w:rsidP="001B4FD0">
            <w:pPr>
              <w:rPr>
                <w:rFonts w:eastAsia="Arial" w:cs="Arial"/>
                <w:b/>
                <w:sz w:val="16"/>
                <w:szCs w:val="16"/>
              </w:rPr>
            </w:pPr>
            <w:r w:rsidRPr="2083A63E">
              <w:rPr>
                <w:rFonts w:eastAsia="Arial" w:cs="Arial"/>
                <w:sz w:val="16"/>
                <w:szCs w:val="16"/>
              </w:rPr>
              <w:t>Medium</w:t>
            </w:r>
          </w:p>
        </w:tc>
        <w:tc>
          <w:tcPr>
            <w:tcW w:w="720" w:type="dxa"/>
            <w:tcBorders>
              <w:top w:val="single" w:sz="4" w:space="0" w:color="auto"/>
              <w:left w:val="single" w:sz="4" w:space="0" w:color="auto"/>
              <w:bottom w:val="single" w:sz="4" w:space="0" w:color="auto"/>
              <w:right w:val="single" w:sz="4" w:space="0" w:color="auto"/>
            </w:tcBorders>
          </w:tcPr>
          <w:p w14:paraId="6BE836D9" w14:textId="40FCB735" w:rsidR="00052FD9" w:rsidRPr="002D0ED7" w:rsidRDefault="00052FD9" w:rsidP="001B4FD0">
            <w:pPr>
              <w:rPr>
                <w:rFonts w:eastAsia="Arial" w:cs="Arial"/>
                <w:sz w:val="16"/>
                <w:szCs w:val="16"/>
              </w:rPr>
            </w:pPr>
            <w:r w:rsidRPr="2083A63E">
              <w:rPr>
                <w:rFonts w:eastAsia="Arial" w:cs="Arial"/>
                <w:sz w:val="16"/>
                <w:szCs w:val="16"/>
              </w:rPr>
              <w:t>Moderate</w:t>
            </w:r>
          </w:p>
        </w:tc>
        <w:tc>
          <w:tcPr>
            <w:tcW w:w="765" w:type="dxa"/>
            <w:tcBorders>
              <w:top w:val="single" w:sz="4" w:space="0" w:color="auto"/>
              <w:left w:val="single" w:sz="4" w:space="0" w:color="auto"/>
              <w:bottom w:val="single" w:sz="4" w:space="0" w:color="auto"/>
              <w:right w:val="single" w:sz="4" w:space="0" w:color="auto"/>
            </w:tcBorders>
          </w:tcPr>
          <w:p w14:paraId="468D2069" w14:textId="0670C336" w:rsidR="00052FD9" w:rsidRPr="002D0ED7" w:rsidRDefault="00052FD9" w:rsidP="001B4FD0">
            <w:pPr>
              <w:rPr>
                <w:rFonts w:eastAsia="Arial" w:cs="Arial"/>
                <w:b/>
                <w:sz w:val="16"/>
                <w:szCs w:val="16"/>
              </w:rPr>
            </w:pPr>
            <w:r w:rsidRPr="2083A63E">
              <w:rPr>
                <w:rFonts w:eastAsia="Arial" w:cs="Arial"/>
                <w:sz w:val="16"/>
                <w:szCs w:val="16"/>
              </w:rPr>
              <w:t>Moderate</w:t>
            </w:r>
          </w:p>
        </w:tc>
        <w:tc>
          <w:tcPr>
            <w:tcW w:w="720" w:type="dxa"/>
            <w:tcBorders>
              <w:top w:val="single" w:sz="4" w:space="0" w:color="auto"/>
              <w:left w:val="single" w:sz="4" w:space="0" w:color="auto"/>
              <w:bottom w:val="single" w:sz="4" w:space="0" w:color="auto"/>
              <w:right w:val="single" w:sz="4" w:space="0" w:color="auto"/>
            </w:tcBorders>
          </w:tcPr>
          <w:p w14:paraId="2F214678" w14:textId="2EFDA8B0" w:rsidR="00052FD9" w:rsidRPr="002D0ED7" w:rsidRDefault="00052FD9" w:rsidP="001B4FD0">
            <w:pPr>
              <w:rPr>
                <w:rFonts w:eastAsia="Arial" w:cs="Arial"/>
                <w:b/>
                <w:sz w:val="16"/>
                <w:szCs w:val="16"/>
              </w:rPr>
            </w:pPr>
            <w:r w:rsidRPr="2083A63E">
              <w:rPr>
                <w:rFonts w:eastAsia="Arial" w:cs="Arial"/>
                <w:sz w:val="16"/>
                <w:szCs w:val="16"/>
              </w:rPr>
              <w:t>Moderate</w:t>
            </w:r>
          </w:p>
        </w:tc>
        <w:tc>
          <w:tcPr>
            <w:tcW w:w="720" w:type="dxa"/>
            <w:tcBorders>
              <w:top w:val="single" w:sz="4" w:space="0" w:color="auto"/>
              <w:left w:val="single" w:sz="4" w:space="0" w:color="auto"/>
              <w:bottom w:val="single" w:sz="4" w:space="0" w:color="auto"/>
              <w:right w:val="single" w:sz="4" w:space="0" w:color="auto"/>
            </w:tcBorders>
          </w:tcPr>
          <w:p w14:paraId="2A9939C5" w14:textId="543D3902" w:rsidR="00052FD9" w:rsidRPr="002D0ED7" w:rsidRDefault="00052FD9" w:rsidP="001B4FD0">
            <w:pPr>
              <w:rPr>
                <w:rFonts w:eastAsia="Arial" w:cs="Arial"/>
                <w:b/>
                <w:sz w:val="16"/>
                <w:szCs w:val="16"/>
              </w:rPr>
            </w:pPr>
            <w:r w:rsidRPr="2083A63E">
              <w:rPr>
                <w:rFonts w:eastAsia="Arial" w:cs="Arial"/>
                <w:sz w:val="16"/>
                <w:szCs w:val="16"/>
              </w:rPr>
              <w:t>Moderate</w:t>
            </w:r>
          </w:p>
        </w:tc>
        <w:tc>
          <w:tcPr>
            <w:tcW w:w="760" w:type="dxa"/>
            <w:tcBorders>
              <w:top w:val="single" w:sz="4" w:space="0" w:color="auto"/>
              <w:left w:val="single" w:sz="4" w:space="0" w:color="auto"/>
              <w:bottom w:val="single" w:sz="4" w:space="0" w:color="auto"/>
              <w:right w:val="single" w:sz="4" w:space="0" w:color="auto"/>
            </w:tcBorders>
          </w:tcPr>
          <w:p w14:paraId="5349FBAE" w14:textId="4BC0F018" w:rsidR="00052FD9" w:rsidRPr="002D0ED7" w:rsidRDefault="00052FD9" w:rsidP="001B4FD0">
            <w:pPr>
              <w:rPr>
                <w:rFonts w:eastAsia="Arial" w:cs="Arial"/>
                <w:b/>
                <w:sz w:val="16"/>
                <w:szCs w:val="16"/>
              </w:rPr>
            </w:pPr>
            <w:r w:rsidRPr="2083A63E">
              <w:rPr>
                <w:rFonts w:eastAsia="Arial" w:cs="Arial"/>
                <w:sz w:val="16"/>
                <w:szCs w:val="16"/>
              </w:rPr>
              <w:t>Moderate</w:t>
            </w:r>
          </w:p>
        </w:tc>
        <w:tc>
          <w:tcPr>
            <w:tcW w:w="795" w:type="dxa"/>
            <w:tcBorders>
              <w:top w:val="single" w:sz="4" w:space="0" w:color="auto"/>
              <w:left w:val="single" w:sz="4" w:space="0" w:color="auto"/>
              <w:bottom w:val="single" w:sz="4" w:space="0" w:color="auto"/>
              <w:right w:val="single" w:sz="4" w:space="0" w:color="auto"/>
            </w:tcBorders>
          </w:tcPr>
          <w:p w14:paraId="184078A8" w14:textId="43FD481D" w:rsidR="00052FD9" w:rsidRPr="003F6641" w:rsidRDefault="00052FD9" w:rsidP="001B4FD0">
            <w:pPr>
              <w:rPr>
                <w:rFonts w:eastAsia="Arial" w:cs="Arial"/>
                <w:sz w:val="16"/>
                <w:szCs w:val="16"/>
              </w:rPr>
            </w:pPr>
            <w:r w:rsidRPr="2083A63E">
              <w:rPr>
                <w:rFonts w:eastAsia="Arial" w:cs="Arial"/>
                <w:sz w:val="16"/>
                <w:szCs w:val="16"/>
              </w:rPr>
              <w:t>Moderate</w:t>
            </w:r>
          </w:p>
        </w:tc>
        <w:tc>
          <w:tcPr>
            <w:tcW w:w="764" w:type="dxa"/>
            <w:tcBorders>
              <w:top w:val="single" w:sz="4" w:space="0" w:color="auto"/>
              <w:left w:val="single" w:sz="4" w:space="0" w:color="auto"/>
              <w:bottom w:val="single" w:sz="4" w:space="0" w:color="auto"/>
              <w:right w:val="single" w:sz="4" w:space="0" w:color="auto"/>
            </w:tcBorders>
          </w:tcPr>
          <w:p w14:paraId="3B0441E4" w14:textId="17662740" w:rsidR="00052FD9" w:rsidRPr="2083A63E" w:rsidRDefault="28762483" w:rsidP="001B4FD0">
            <w:pPr>
              <w:rPr>
                <w:rFonts w:eastAsia="Arial" w:cs="Arial"/>
                <w:sz w:val="16"/>
                <w:szCs w:val="16"/>
              </w:rPr>
            </w:pPr>
            <w:r w:rsidRPr="3EB06537">
              <w:rPr>
                <w:rFonts w:eastAsia="Arial" w:cs="Arial"/>
                <w:sz w:val="16"/>
                <w:szCs w:val="16"/>
              </w:rPr>
              <w:t>Moderate</w:t>
            </w:r>
          </w:p>
        </w:tc>
      </w:tr>
    </w:tbl>
    <w:p w14:paraId="06E2DA9D" w14:textId="77777777" w:rsidR="004D2FC0" w:rsidRPr="003F6641" w:rsidRDefault="004D2FC0" w:rsidP="001B4FD0">
      <w:pPr>
        <w:rPr>
          <w:rFonts w:eastAsia="Arial" w:cs="Arial"/>
          <w:b/>
          <w:sz w:val="22"/>
          <w:szCs w:val="22"/>
        </w:rPr>
      </w:pPr>
    </w:p>
    <w:tbl>
      <w:tblPr>
        <w:tblStyle w:val="TableGrid"/>
        <w:tblW w:w="0" w:type="auto"/>
        <w:tblLook w:val="04A0" w:firstRow="1" w:lastRow="0" w:firstColumn="1" w:lastColumn="0" w:noHBand="0" w:noVBand="1"/>
      </w:tblPr>
      <w:tblGrid>
        <w:gridCol w:w="3965"/>
        <w:gridCol w:w="5051"/>
      </w:tblGrid>
      <w:tr w:rsidR="004D2FC0" w:rsidRPr="003F6641" w14:paraId="4FEBD36E" w14:textId="77777777" w:rsidTr="4A9EF9D3">
        <w:trPr>
          <w:trHeight w:val="355"/>
        </w:trPr>
        <w:tc>
          <w:tcPr>
            <w:tcW w:w="3969" w:type="dxa"/>
            <w:shd w:val="clear" w:color="auto" w:fill="DEEAF6" w:themeFill="accent5" w:themeFillTint="33"/>
            <w:hideMark/>
          </w:tcPr>
          <w:p w14:paraId="47E97EB8" w14:textId="77777777" w:rsidR="004D2FC0" w:rsidRPr="000425EB" w:rsidRDefault="004D2FC0" w:rsidP="001B4FD0">
            <w:pPr>
              <w:rPr>
                <w:rFonts w:eastAsia="Arial" w:cs="Arial"/>
                <w:b/>
                <w:sz w:val="22"/>
                <w:szCs w:val="22"/>
              </w:rPr>
            </w:pPr>
            <w:r w:rsidRPr="2083A63E">
              <w:rPr>
                <w:rFonts w:eastAsia="Arial" w:cs="Arial"/>
                <w:b/>
                <w:sz w:val="22"/>
                <w:szCs w:val="22"/>
              </w:rPr>
              <w:t xml:space="preserve">Link to Business Case: </w:t>
            </w:r>
          </w:p>
        </w:tc>
        <w:tc>
          <w:tcPr>
            <w:tcW w:w="5052" w:type="dxa"/>
          </w:tcPr>
          <w:p w14:paraId="52CAFA29" w14:textId="77777777" w:rsidR="004D2FC0" w:rsidRPr="00214960" w:rsidRDefault="004D2FC0" w:rsidP="001B4FD0">
            <w:pPr>
              <w:rPr>
                <w:rFonts w:eastAsia="Arial" w:cs="Arial"/>
                <w:i/>
                <w:color w:val="FF0000"/>
                <w:sz w:val="22"/>
                <w:szCs w:val="22"/>
              </w:rPr>
            </w:pPr>
          </w:p>
        </w:tc>
      </w:tr>
      <w:tr w:rsidR="004D2FC0" w:rsidRPr="003F6641" w14:paraId="728A7692" w14:textId="77777777" w:rsidTr="4A9EF9D3">
        <w:trPr>
          <w:trHeight w:val="403"/>
        </w:trPr>
        <w:tc>
          <w:tcPr>
            <w:tcW w:w="3969" w:type="dxa"/>
            <w:shd w:val="clear" w:color="auto" w:fill="DEEAF6" w:themeFill="accent5" w:themeFillTint="33"/>
            <w:hideMark/>
          </w:tcPr>
          <w:p w14:paraId="251B0951" w14:textId="77777777" w:rsidR="004D2FC0" w:rsidRPr="000425EB" w:rsidRDefault="004D2FC0" w:rsidP="001B4FD0">
            <w:pPr>
              <w:rPr>
                <w:rFonts w:eastAsia="Arial" w:cs="Arial"/>
                <w:b/>
                <w:i/>
                <w:sz w:val="22"/>
                <w:szCs w:val="22"/>
              </w:rPr>
            </w:pPr>
            <w:r w:rsidRPr="2083A63E">
              <w:rPr>
                <w:rFonts w:eastAsia="Arial" w:cs="Arial"/>
                <w:b/>
                <w:sz w:val="22"/>
                <w:szCs w:val="22"/>
              </w:rPr>
              <w:t xml:space="preserve">Link to </w:t>
            </w:r>
            <w:proofErr w:type="spellStart"/>
            <w:r w:rsidRPr="2083A63E">
              <w:rPr>
                <w:rFonts w:eastAsia="Arial" w:cs="Arial"/>
                <w:b/>
                <w:sz w:val="22"/>
                <w:szCs w:val="22"/>
              </w:rPr>
              <w:t>Logframe</w:t>
            </w:r>
            <w:proofErr w:type="spellEnd"/>
            <w:r w:rsidRPr="2083A63E">
              <w:rPr>
                <w:rFonts w:eastAsia="Arial" w:cs="Arial"/>
                <w:b/>
                <w:sz w:val="22"/>
                <w:szCs w:val="22"/>
              </w:rPr>
              <w:t xml:space="preserve">: </w:t>
            </w:r>
          </w:p>
        </w:tc>
        <w:tc>
          <w:tcPr>
            <w:tcW w:w="5052" w:type="dxa"/>
          </w:tcPr>
          <w:p w14:paraId="1941208D" w14:textId="3FDB8B55" w:rsidR="004D2FC0" w:rsidRPr="00214960" w:rsidRDefault="004D2FC0" w:rsidP="001B4FD0">
            <w:pPr>
              <w:rPr>
                <w:rFonts w:eastAsia="Arial" w:cs="Arial"/>
                <w:i/>
                <w:color w:val="FF0000"/>
                <w:sz w:val="22"/>
                <w:szCs w:val="22"/>
              </w:rPr>
            </w:pPr>
            <w:r w:rsidRPr="2083A63E">
              <w:rPr>
                <w:rFonts w:eastAsia="Arial" w:cs="Arial"/>
                <w:i/>
                <w:color w:val="FF0000"/>
                <w:sz w:val="22"/>
                <w:szCs w:val="22"/>
              </w:rPr>
              <w:t>Devtracker Link – If not published, ensure it is published before or alongside the Annual Review</w:t>
            </w:r>
          </w:p>
        </w:tc>
      </w:tr>
      <w:tr w:rsidR="004D2FC0" w:rsidRPr="003F6641" w14:paraId="240D100A" w14:textId="77777777" w:rsidTr="4A9EF9D3">
        <w:trPr>
          <w:trHeight w:val="403"/>
        </w:trPr>
        <w:tc>
          <w:tcPr>
            <w:tcW w:w="3969" w:type="dxa"/>
            <w:shd w:val="clear" w:color="auto" w:fill="DEEAF6" w:themeFill="accent5" w:themeFillTint="33"/>
          </w:tcPr>
          <w:p w14:paraId="44F3A577" w14:textId="77777777" w:rsidR="004D2FC0" w:rsidRPr="000425EB" w:rsidRDefault="004D2FC0" w:rsidP="001B4FD0">
            <w:pPr>
              <w:rPr>
                <w:rFonts w:eastAsia="Arial" w:cs="Arial"/>
                <w:b/>
                <w:sz w:val="22"/>
                <w:szCs w:val="22"/>
              </w:rPr>
            </w:pPr>
            <w:r w:rsidRPr="2083A63E">
              <w:rPr>
                <w:rFonts w:eastAsia="Arial" w:cs="Arial"/>
                <w:b/>
                <w:sz w:val="22"/>
                <w:szCs w:val="22"/>
              </w:rPr>
              <w:t xml:space="preserve">Link to previous Annual Review </w:t>
            </w:r>
            <w:r w:rsidRPr="2083A63E">
              <w:rPr>
                <w:rFonts w:eastAsia="Arial" w:cs="Arial"/>
                <w:sz w:val="22"/>
                <w:szCs w:val="22"/>
              </w:rPr>
              <w:t>(if appropriate)</w:t>
            </w:r>
          </w:p>
        </w:tc>
        <w:tc>
          <w:tcPr>
            <w:tcW w:w="5052" w:type="dxa"/>
          </w:tcPr>
          <w:p w14:paraId="521FABC2" w14:textId="794E262F" w:rsidR="004D2FC0" w:rsidRPr="003F6641" w:rsidRDefault="002D0ED7" w:rsidP="001B4FD0">
            <w:pPr>
              <w:rPr>
                <w:rFonts w:eastAsia="Arial" w:cs="Arial"/>
                <w:i/>
                <w:sz w:val="22"/>
                <w:szCs w:val="22"/>
              </w:rPr>
            </w:pPr>
            <w:r w:rsidRPr="2083A63E">
              <w:rPr>
                <w:rFonts w:eastAsia="Arial" w:cs="Arial"/>
                <w:i/>
                <w:sz w:val="22"/>
                <w:szCs w:val="22"/>
              </w:rPr>
              <w:t>https://devtracker.fcdo.gov.uk/projects/GB-GOV-13-ICF-0007-NAMA/documents</w:t>
            </w:r>
          </w:p>
        </w:tc>
      </w:tr>
    </w:tbl>
    <w:p w14:paraId="5A54EF7F" w14:textId="77777777" w:rsidR="004D2FC0" w:rsidRPr="006C516E" w:rsidRDefault="004D2FC0" w:rsidP="001B4FD0">
      <w:pPr>
        <w:rPr>
          <w:rFonts w:eastAsia="Arial" w:cs="Arial"/>
        </w:rPr>
      </w:pPr>
    </w:p>
    <w:p w14:paraId="6F9482AB" w14:textId="2D934BB1" w:rsidR="003E0526" w:rsidRDefault="003D222C" w:rsidP="75FA93ED">
      <w:pPr>
        <w:pStyle w:val="paragraph"/>
        <w:textAlignment w:val="baseline"/>
        <w:rPr>
          <w:rStyle w:val="normaltextrun"/>
          <w:rFonts w:ascii="Arial" w:eastAsia="Arial" w:hAnsi="Arial" w:cs="Arial"/>
          <w:i/>
          <w:iCs/>
          <w:color w:val="5B9BD5" w:themeColor="accent5"/>
          <w:sz w:val="22"/>
          <w:szCs w:val="22"/>
          <w:lang w:eastAsia="en-US"/>
        </w:rPr>
      </w:pPr>
      <w:bookmarkStart w:id="2" w:name="_Toc172791891"/>
      <w:bookmarkStart w:id="3" w:name="_Toc1411387893"/>
      <w:r w:rsidRPr="75FA93ED">
        <w:rPr>
          <w:rStyle w:val="Heading2Char"/>
          <w:rFonts w:eastAsia="Arial" w:cs="Arial"/>
        </w:rPr>
        <w:t>Description of programme</w:t>
      </w:r>
      <w:bookmarkEnd w:id="2"/>
      <w:bookmarkEnd w:id="3"/>
      <w:r w:rsidRPr="75FA93ED">
        <w:rPr>
          <w:rFonts w:ascii="Arial" w:eastAsia="Arial" w:hAnsi="Arial" w:cs="Arial"/>
        </w:rPr>
        <w:t xml:space="preserve"> </w:t>
      </w:r>
    </w:p>
    <w:p w14:paraId="5003339B" w14:textId="015A8C80" w:rsidR="29923517" w:rsidDel="00AB5E98" w:rsidRDefault="29923517" w:rsidP="07AF1209">
      <w:pPr>
        <w:pStyle w:val="paragraph"/>
        <w:jc w:val="both"/>
        <w:rPr>
          <w:rStyle w:val="normaltextrun"/>
          <w:rFonts w:ascii="Arial" w:eastAsia="Arial" w:hAnsi="Arial" w:cs="Arial"/>
          <w:sz w:val="22"/>
          <w:szCs w:val="22"/>
        </w:rPr>
      </w:pPr>
    </w:p>
    <w:p w14:paraId="3414906F" w14:textId="09B88B54" w:rsidR="00490BE8" w:rsidRPr="00FC304D" w:rsidRDefault="00490BE8" w:rsidP="75FA93ED">
      <w:pPr>
        <w:pStyle w:val="paragraph"/>
        <w:spacing w:before="0" w:beforeAutospacing="0" w:after="0" w:afterAutospacing="0"/>
        <w:jc w:val="both"/>
        <w:textAlignment w:val="baseline"/>
        <w:rPr>
          <w:rStyle w:val="normaltextrun"/>
          <w:rFonts w:ascii="Arial" w:eastAsia="Arial" w:hAnsi="Arial" w:cs="Arial"/>
          <w:color w:val="5B9BD5" w:themeColor="accent5"/>
          <w:sz w:val="22"/>
          <w:szCs w:val="22"/>
          <w:lang w:eastAsia="en-US"/>
        </w:rPr>
      </w:pPr>
      <w:r w:rsidRPr="75FA93ED">
        <w:rPr>
          <w:rStyle w:val="normaltextrun"/>
          <w:rFonts w:ascii="Arial" w:eastAsia="Arial" w:hAnsi="Arial" w:cs="Arial"/>
          <w:sz w:val="22"/>
          <w:szCs w:val="22"/>
        </w:rPr>
        <w:t>The Mitigation Action Facility (MAF) is a multi-donor fund established in 2012 by the United Kingdom (DESNZ) and Germany (BMWK). The Facility is a key fund for the delivery of the UK’s £11.6bn ICF commitment for 2021/22 to 2025/26. The MAF focuses on delivering permanent policy changes and deploy</w:t>
      </w:r>
      <w:r w:rsidR="6DF9C838" w:rsidRPr="75FA93ED">
        <w:rPr>
          <w:rStyle w:val="normaltextrun"/>
          <w:rFonts w:ascii="Arial" w:eastAsia="Arial" w:hAnsi="Arial" w:cs="Arial"/>
          <w:sz w:val="22"/>
          <w:szCs w:val="22"/>
        </w:rPr>
        <w:t>ing</w:t>
      </w:r>
      <w:r w:rsidRPr="75FA93ED">
        <w:rPr>
          <w:rStyle w:val="normaltextrun"/>
          <w:rFonts w:ascii="Arial" w:eastAsia="Arial" w:hAnsi="Arial" w:cs="Arial"/>
          <w:sz w:val="22"/>
          <w:szCs w:val="22"/>
        </w:rPr>
        <w:t xml:space="preserve"> novel technologies </w:t>
      </w:r>
      <w:r w:rsidR="37D159B9" w:rsidRPr="75FA93ED">
        <w:rPr>
          <w:rStyle w:val="normaltextrun"/>
          <w:rFonts w:ascii="Arial" w:eastAsia="Arial" w:hAnsi="Arial" w:cs="Arial"/>
          <w:sz w:val="22"/>
          <w:szCs w:val="22"/>
        </w:rPr>
        <w:t xml:space="preserve">through </w:t>
      </w:r>
      <w:r w:rsidRPr="75FA93ED">
        <w:rPr>
          <w:rStyle w:val="normaltextrun"/>
          <w:rFonts w:ascii="Arial" w:eastAsia="Arial" w:hAnsi="Arial" w:cs="Arial"/>
          <w:sz w:val="22"/>
          <w:szCs w:val="22"/>
        </w:rPr>
        <w:t>financial mechanisms in developing country markets to achieve lasting transformational change. It prioritises action in hard</w:t>
      </w:r>
      <w:r w:rsidR="67B6C706" w:rsidRPr="75FA93ED">
        <w:rPr>
          <w:rStyle w:val="normaltextrun"/>
          <w:rFonts w:ascii="Arial" w:eastAsia="Arial" w:hAnsi="Arial" w:cs="Arial"/>
          <w:sz w:val="22"/>
          <w:szCs w:val="22"/>
        </w:rPr>
        <w:t>-</w:t>
      </w:r>
      <w:r w:rsidRPr="75FA93ED">
        <w:rPr>
          <w:rStyle w:val="normaltextrun"/>
          <w:rFonts w:ascii="Arial" w:eastAsia="Arial" w:hAnsi="Arial" w:cs="Arial"/>
          <w:sz w:val="22"/>
          <w:szCs w:val="22"/>
        </w:rPr>
        <w:t>to</w:t>
      </w:r>
      <w:r w:rsidR="215943C1" w:rsidRPr="75FA93ED">
        <w:rPr>
          <w:rStyle w:val="normaltextrun"/>
          <w:rFonts w:ascii="Arial" w:eastAsia="Arial" w:hAnsi="Arial" w:cs="Arial"/>
          <w:sz w:val="22"/>
          <w:szCs w:val="22"/>
        </w:rPr>
        <w:t>-</w:t>
      </w:r>
      <w:r w:rsidRPr="75FA93ED">
        <w:rPr>
          <w:rStyle w:val="normaltextrun"/>
          <w:rFonts w:ascii="Arial" w:eastAsia="Arial" w:hAnsi="Arial" w:cs="Arial"/>
          <w:sz w:val="22"/>
          <w:szCs w:val="22"/>
        </w:rPr>
        <w:t xml:space="preserve">abate sectors through the provision of high value grants targeting mid-sized projects (circa £20m) with a combination of finance and technical assistance. The financing type, scale and accessibility of the Facility makes it a core part of the UK’s climate finance assistance as </w:t>
      </w:r>
      <w:r w:rsidR="647780C7" w:rsidRPr="75FA93ED">
        <w:rPr>
          <w:rStyle w:val="normaltextrun"/>
          <w:rFonts w:ascii="Arial" w:eastAsia="Arial" w:hAnsi="Arial" w:cs="Arial"/>
          <w:sz w:val="22"/>
          <w:szCs w:val="22"/>
        </w:rPr>
        <w:t xml:space="preserve">DESNZ </w:t>
      </w:r>
      <w:r w:rsidR="78AC2F7F" w:rsidRPr="75FA93ED">
        <w:rPr>
          <w:rStyle w:val="normaltextrun"/>
          <w:rFonts w:ascii="Arial" w:eastAsia="Arial" w:hAnsi="Arial" w:cs="Arial"/>
          <w:sz w:val="22"/>
          <w:szCs w:val="22"/>
        </w:rPr>
        <w:t>work</w:t>
      </w:r>
      <w:r w:rsidR="3E28D4B4" w:rsidRPr="75FA93ED">
        <w:rPr>
          <w:rStyle w:val="normaltextrun"/>
          <w:rFonts w:ascii="Arial" w:eastAsia="Arial" w:hAnsi="Arial" w:cs="Arial"/>
          <w:sz w:val="22"/>
          <w:szCs w:val="22"/>
        </w:rPr>
        <w:t>s</w:t>
      </w:r>
      <w:r w:rsidRPr="75FA93ED">
        <w:rPr>
          <w:rStyle w:val="normaltextrun"/>
          <w:rFonts w:ascii="Arial" w:eastAsia="Arial" w:hAnsi="Arial" w:cs="Arial"/>
          <w:sz w:val="22"/>
          <w:szCs w:val="22"/>
        </w:rPr>
        <w:t xml:space="preserve"> to strengthen the end-to-end support offer to developing countries across the full length of the investment chain in every major emitting sector.   </w:t>
      </w:r>
    </w:p>
    <w:p w14:paraId="57A3590F" w14:textId="77777777" w:rsidR="00490BE8" w:rsidRPr="00FC304D" w:rsidRDefault="00490BE8" w:rsidP="07AF1209">
      <w:pPr>
        <w:pStyle w:val="paragraph"/>
        <w:spacing w:before="0" w:beforeAutospacing="0" w:after="0" w:afterAutospacing="0"/>
        <w:jc w:val="both"/>
        <w:textAlignment w:val="baseline"/>
        <w:rPr>
          <w:rStyle w:val="normaltextrun"/>
          <w:rFonts w:ascii="Arial" w:eastAsia="Arial" w:hAnsi="Arial" w:cs="Arial"/>
          <w:color w:val="5B9BD5" w:themeColor="accent5"/>
          <w:sz w:val="22"/>
          <w:szCs w:val="22"/>
        </w:rPr>
      </w:pPr>
    </w:p>
    <w:p w14:paraId="29BBC685" w14:textId="03144756" w:rsidR="00AE3FF6" w:rsidRDefault="00A47E07" w:rsidP="07AF1209">
      <w:pPr>
        <w:pStyle w:val="paragraph"/>
        <w:spacing w:before="0" w:beforeAutospacing="0" w:after="0" w:afterAutospacing="0"/>
        <w:jc w:val="both"/>
        <w:textAlignment w:val="baseline"/>
        <w:rPr>
          <w:rStyle w:val="eop"/>
          <w:rFonts w:ascii="Arial" w:eastAsia="Arial" w:hAnsi="Arial" w:cs="Arial"/>
          <w:color w:val="5B9BD5" w:themeColor="accent5"/>
          <w:sz w:val="22"/>
          <w:szCs w:val="22"/>
        </w:rPr>
      </w:pPr>
      <w:r w:rsidRPr="7849A67F">
        <w:rPr>
          <w:rStyle w:val="normaltextrun"/>
          <w:rFonts w:ascii="Arial" w:eastAsia="Arial" w:hAnsi="Arial" w:cs="Arial"/>
          <w:sz w:val="22"/>
          <w:szCs w:val="22"/>
        </w:rPr>
        <w:t>MAF’s</w:t>
      </w:r>
      <w:r w:rsidR="00AE3FF6" w:rsidRPr="7849A67F">
        <w:rPr>
          <w:rStyle w:val="normaltextrun"/>
          <w:rFonts w:ascii="Arial" w:eastAsia="Arial" w:hAnsi="Arial" w:cs="Arial"/>
          <w:sz w:val="22"/>
          <w:szCs w:val="22"/>
        </w:rPr>
        <w:t xml:space="preserve"> aim is to speed up the deployment of innovative clean technologies that reduce greenhouse gas emissions in developing countries. The </w:t>
      </w:r>
      <w:r w:rsidR="00490BE8" w:rsidRPr="7849A67F">
        <w:rPr>
          <w:rStyle w:val="normaltextrun"/>
          <w:rFonts w:ascii="Arial" w:eastAsia="Arial" w:hAnsi="Arial" w:cs="Arial"/>
          <w:sz w:val="22"/>
          <w:szCs w:val="22"/>
        </w:rPr>
        <w:t>Facility</w:t>
      </w:r>
      <w:r w:rsidR="00AE3FF6" w:rsidRPr="7849A67F">
        <w:rPr>
          <w:rStyle w:val="normaltextrun"/>
          <w:rFonts w:ascii="Arial" w:eastAsia="Arial" w:hAnsi="Arial" w:cs="Arial"/>
          <w:sz w:val="22"/>
          <w:szCs w:val="22"/>
        </w:rPr>
        <w:t xml:space="preserve"> donors make funding and other high-level decisions, whilst the Secretariat, known as the Technical Support Unit (TSU) and hosted by the German </w:t>
      </w:r>
      <w:r w:rsidR="003309AF" w:rsidRPr="7849A67F">
        <w:rPr>
          <w:rStyle w:val="normaltextrun"/>
          <w:rFonts w:ascii="Arial" w:eastAsia="Arial" w:hAnsi="Arial" w:cs="Arial"/>
          <w:sz w:val="22"/>
          <w:szCs w:val="22"/>
        </w:rPr>
        <w:t>development agency</w:t>
      </w:r>
      <w:r w:rsidR="00AE3FF6" w:rsidRPr="7849A67F">
        <w:rPr>
          <w:rStyle w:val="normaltextrun"/>
          <w:rFonts w:ascii="Arial" w:eastAsia="Arial" w:hAnsi="Arial" w:cs="Arial"/>
          <w:sz w:val="22"/>
          <w:szCs w:val="22"/>
        </w:rPr>
        <w:t xml:space="preserve"> Gesellschaft </w:t>
      </w:r>
      <w:r w:rsidR="1E66C09B" w:rsidRPr="7849A67F">
        <w:rPr>
          <w:rFonts w:ascii="Arial" w:eastAsia="Arial" w:hAnsi="Arial" w:cs="Arial"/>
          <w:sz w:val="22"/>
          <w:szCs w:val="22"/>
        </w:rPr>
        <w:t>für</w:t>
      </w:r>
      <w:r w:rsidR="00AE3FF6" w:rsidRPr="7849A67F">
        <w:rPr>
          <w:rFonts w:ascii="Arial" w:eastAsia="Arial" w:hAnsi="Arial" w:cs="Arial"/>
        </w:rPr>
        <w:t xml:space="preserve"> </w:t>
      </w:r>
      <w:r w:rsidR="00AE3FF6" w:rsidRPr="7849A67F">
        <w:rPr>
          <w:rStyle w:val="normaltextrun"/>
          <w:rFonts w:ascii="Arial" w:eastAsia="Arial" w:hAnsi="Arial" w:cs="Arial"/>
          <w:sz w:val="22"/>
          <w:szCs w:val="22"/>
        </w:rPr>
        <w:t xml:space="preserve">Internationale Zusammenarbeit </w:t>
      </w:r>
      <w:r w:rsidR="00E25DFB" w:rsidRPr="7849A67F">
        <w:rPr>
          <w:rStyle w:val="normaltextrun"/>
          <w:rFonts w:ascii="Arial" w:eastAsia="Arial" w:hAnsi="Arial" w:cs="Arial"/>
          <w:sz w:val="22"/>
          <w:szCs w:val="22"/>
        </w:rPr>
        <w:t>(</w:t>
      </w:r>
      <w:r w:rsidR="00AE3FF6" w:rsidRPr="7849A67F">
        <w:rPr>
          <w:rStyle w:val="normaltextrun"/>
          <w:rFonts w:ascii="Arial" w:eastAsia="Arial" w:hAnsi="Arial" w:cs="Arial"/>
          <w:sz w:val="22"/>
          <w:szCs w:val="22"/>
        </w:rPr>
        <w:t>GIZ</w:t>
      </w:r>
      <w:r w:rsidR="00E25DFB" w:rsidRPr="7849A67F">
        <w:rPr>
          <w:rStyle w:val="normaltextrun"/>
          <w:rFonts w:ascii="Arial" w:eastAsia="Arial" w:hAnsi="Arial" w:cs="Arial"/>
          <w:sz w:val="22"/>
          <w:szCs w:val="22"/>
        </w:rPr>
        <w:t>)</w:t>
      </w:r>
      <w:r w:rsidR="1186CE57" w:rsidRPr="7849A67F">
        <w:rPr>
          <w:rStyle w:val="normaltextrun"/>
          <w:rFonts w:ascii="Arial" w:eastAsia="Arial" w:hAnsi="Arial" w:cs="Arial"/>
          <w:sz w:val="22"/>
          <w:szCs w:val="22"/>
        </w:rPr>
        <w:t xml:space="preserve"> GmbH</w:t>
      </w:r>
      <w:r w:rsidR="00AE3FF6" w:rsidRPr="7849A67F">
        <w:rPr>
          <w:rStyle w:val="normaltextrun"/>
          <w:rFonts w:ascii="Arial" w:eastAsia="Arial" w:hAnsi="Arial" w:cs="Arial"/>
          <w:sz w:val="22"/>
          <w:szCs w:val="22"/>
        </w:rPr>
        <w:t>, runs the day-to-day operations.</w:t>
      </w:r>
      <w:r w:rsidR="00AE3FF6" w:rsidRPr="7849A67F">
        <w:rPr>
          <w:rStyle w:val="eop"/>
          <w:rFonts w:ascii="Arial" w:eastAsia="Arial" w:hAnsi="Arial" w:cs="Arial"/>
          <w:sz w:val="22"/>
          <w:szCs w:val="22"/>
        </w:rPr>
        <w:t> </w:t>
      </w:r>
    </w:p>
    <w:p w14:paraId="395C2CD0" w14:textId="77777777" w:rsidR="007B0C5F" w:rsidRPr="00FC304D" w:rsidRDefault="007B0C5F" w:rsidP="07AF1209">
      <w:pPr>
        <w:pStyle w:val="paragraph"/>
        <w:spacing w:before="0" w:beforeAutospacing="0" w:after="0" w:afterAutospacing="0"/>
        <w:jc w:val="both"/>
        <w:textAlignment w:val="baseline"/>
        <w:rPr>
          <w:rFonts w:ascii="Arial" w:eastAsia="Arial" w:hAnsi="Arial" w:cs="Arial"/>
          <w:color w:val="5B9BD5" w:themeColor="accent5"/>
          <w:sz w:val="18"/>
          <w:szCs w:val="18"/>
        </w:rPr>
      </w:pPr>
    </w:p>
    <w:p w14:paraId="23BBB75B" w14:textId="7E2B153B" w:rsidR="00AE3FF6" w:rsidRDefault="007B0C5F" w:rsidP="07AF1209">
      <w:pPr>
        <w:jc w:val="both"/>
        <w:textAlignment w:val="baseline"/>
        <w:rPr>
          <w:rFonts w:eastAsia="Arial" w:cs="Arial"/>
          <w:sz w:val="22"/>
          <w:szCs w:val="22"/>
        </w:rPr>
      </w:pPr>
      <w:r w:rsidRPr="5964CDA8">
        <w:rPr>
          <w:rStyle w:val="eop"/>
          <w:rFonts w:eastAsia="Arial" w:cs="Arial"/>
          <w:sz w:val="22"/>
          <w:szCs w:val="22"/>
        </w:rPr>
        <w:t xml:space="preserve">The MAF invites funding proposals, approximately once every year, for projects from Governments and delivery organisations in all ODA eligible countries. Since 2013, the </w:t>
      </w:r>
      <w:r w:rsidR="0093035A" w:rsidRPr="5964CDA8">
        <w:rPr>
          <w:rStyle w:val="eop"/>
          <w:rFonts w:eastAsia="Arial" w:cs="Arial"/>
          <w:sz w:val="22"/>
          <w:szCs w:val="22"/>
        </w:rPr>
        <w:t>MA</w:t>
      </w:r>
      <w:r w:rsidRPr="5964CDA8">
        <w:rPr>
          <w:rStyle w:val="eop"/>
          <w:rFonts w:eastAsia="Arial" w:cs="Arial"/>
          <w:sz w:val="22"/>
          <w:szCs w:val="22"/>
        </w:rPr>
        <w:t xml:space="preserve">F has </w:t>
      </w:r>
      <w:r w:rsidR="00D63EAC" w:rsidRPr="5964CDA8">
        <w:rPr>
          <w:rStyle w:val="eop"/>
          <w:rFonts w:eastAsia="Arial" w:cs="Arial"/>
          <w:sz w:val="22"/>
          <w:szCs w:val="22"/>
        </w:rPr>
        <w:t xml:space="preserve">selected </w:t>
      </w:r>
      <w:r w:rsidRPr="5964CDA8">
        <w:rPr>
          <w:rStyle w:val="eop"/>
          <w:rFonts w:eastAsia="Arial" w:cs="Arial"/>
          <w:sz w:val="22"/>
          <w:szCs w:val="22"/>
        </w:rPr>
        <w:t>4</w:t>
      </w:r>
      <w:r w:rsidR="158D5355" w:rsidRPr="5964CDA8">
        <w:rPr>
          <w:rStyle w:val="eop"/>
          <w:rFonts w:eastAsia="Arial" w:cs="Arial"/>
          <w:sz w:val="22"/>
          <w:szCs w:val="22"/>
        </w:rPr>
        <w:t>7</w:t>
      </w:r>
      <w:r w:rsidRPr="5964CDA8">
        <w:rPr>
          <w:rStyle w:val="eop"/>
          <w:rFonts w:eastAsia="Arial" w:cs="Arial"/>
          <w:sz w:val="22"/>
          <w:szCs w:val="22"/>
        </w:rPr>
        <w:t xml:space="preserve"> Projects</w:t>
      </w:r>
      <w:r w:rsidR="00D63EAC" w:rsidRPr="5964CDA8">
        <w:rPr>
          <w:rStyle w:val="eop"/>
          <w:rFonts w:eastAsia="Arial" w:cs="Arial"/>
          <w:sz w:val="22"/>
          <w:szCs w:val="22"/>
        </w:rPr>
        <w:t xml:space="preserve"> to receive funding for </w:t>
      </w:r>
      <w:r w:rsidR="00401758" w:rsidRPr="5964CDA8">
        <w:rPr>
          <w:rStyle w:val="eop"/>
          <w:rFonts w:eastAsia="Arial" w:cs="Arial"/>
          <w:sz w:val="22"/>
          <w:szCs w:val="22"/>
        </w:rPr>
        <w:t>the Detailed Preparation Phase</w:t>
      </w:r>
      <w:r w:rsidR="341DA8F9" w:rsidRPr="5964CDA8">
        <w:rPr>
          <w:rStyle w:val="eop"/>
          <w:rFonts w:eastAsia="Arial" w:cs="Arial"/>
          <w:sz w:val="22"/>
          <w:szCs w:val="22"/>
        </w:rPr>
        <w:t xml:space="preserve"> (DPP)</w:t>
      </w:r>
      <w:r w:rsidRPr="5964CDA8">
        <w:rPr>
          <w:rStyle w:val="eop"/>
          <w:rFonts w:eastAsia="Arial" w:cs="Arial"/>
          <w:sz w:val="22"/>
          <w:szCs w:val="22"/>
        </w:rPr>
        <w:t xml:space="preserve">, following </w:t>
      </w:r>
      <w:r w:rsidR="25DAD583" w:rsidRPr="5964CDA8">
        <w:rPr>
          <w:rStyle w:val="eop"/>
          <w:rFonts w:eastAsia="Arial" w:cs="Arial"/>
          <w:sz w:val="22"/>
          <w:szCs w:val="22"/>
        </w:rPr>
        <w:t>10</w:t>
      </w:r>
      <w:r w:rsidRPr="5964CDA8">
        <w:rPr>
          <w:rStyle w:val="eop"/>
          <w:rFonts w:eastAsia="Arial" w:cs="Arial"/>
          <w:sz w:val="22"/>
          <w:szCs w:val="22"/>
        </w:rPr>
        <w:t xml:space="preserve"> funding calls. As of December 202</w:t>
      </w:r>
      <w:r w:rsidR="372FA38F" w:rsidRPr="5964CDA8">
        <w:rPr>
          <w:rStyle w:val="eop"/>
          <w:rFonts w:eastAsia="Arial" w:cs="Arial"/>
          <w:sz w:val="22"/>
          <w:szCs w:val="22"/>
        </w:rPr>
        <w:t>3</w:t>
      </w:r>
      <w:r w:rsidRPr="5964CDA8">
        <w:rPr>
          <w:rStyle w:val="eop"/>
          <w:rFonts w:eastAsia="Arial" w:cs="Arial"/>
          <w:sz w:val="22"/>
          <w:szCs w:val="22"/>
        </w:rPr>
        <w:t>, the</w:t>
      </w:r>
      <w:r w:rsidR="0046705E" w:rsidRPr="5964CDA8">
        <w:rPr>
          <w:rStyle w:val="eop"/>
          <w:rFonts w:eastAsia="Arial" w:cs="Arial"/>
          <w:sz w:val="22"/>
          <w:szCs w:val="22"/>
        </w:rPr>
        <w:t xml:space="preserve">re are </w:t>
      </w:r>
      <w:r w:rsidR="6A73C4F3" w:rsidRPr="5964CDA8">
        <w:rPr>
          <w:rStyle w:val="eop"/>
          <w:rFonts w:eastAsia="Arial" w:cs="Arial"/>
          <w:sz w:val="22"/>
          <w:szCs w:val="22"/>
        </w:rPr>
        <w:t xml:space="preserve">26 active </w:t>
      </w:r>
      <w:proofErr w:type="gramStart"/>
      <w:r w:rsidR="6A73C4F3" w:rsidRPr="5964CDA8">
        <w:rPr>
          <w:rStyle w:val="eop"/>
          <w:rFonts w:eastAsia="Arial" w:cs="Arial"/>
          <w:sz w:val="22"/>
          <w:szCs w:val="22"/>
        </w:rPr>
        <w:t>projects;</w:t>
      </w:r>
      <w:proofErr w:type="gramEnd"/>
      <w:r w:rsidR="6A73C4F3" w:rsidRPr="5964CDA8">
        <w:rPr>
          <w:rStyle w:val="eop"/>
          <w:rFonts w:eastAsia="Arial" w:cs="Arial"/>
          <w:sz w:val="22"/>
          <w:szCs w:val="22"/>
        </w:rPr>
        <w:t xml:space="preserve"> </w:t>
      </w:r>
      <w:r w:rsidR="17A0D268" w:rsidRPr="5964CDA8">
        <w:rPr>
          <w:rStyle w:val="eop"/>
          <w:rFonts w:eastAsia="Arial" w:cs="Arial"/>
          <w:sz w:val="22"/>
          <w:szCs w:val="22"/>
        </w:rPr>
        <w:t>8</w:t>
      </w:r>
      <w:r w:rsidRPr="5964CDA8">
        <w:rPr>
          <w:rStyle w:val="eop"/>
          <w:rFonts w:eastAsia="Arial" w:cs="Arial"/>
          <w:sz w:val="22"/>
          <w:szCs w:val="22"/>
        </w:rPr>
        <w:t xml:space="preserve"> Projects</w:t>
      </w:r>
      <w:r w:rsidR="0046705E" w:rsidRPr="5964CDA8">
        <w:rPr>
          <w:rStyle w:val="eop"/>
          <w:rFonts w:eastAsia="Arial" w:cs="Arial"/>
          <w:sz w:val="22"/>
          <w:szCs w:val="22"/>
        </w:rPr>
        <w:t xml:space="preserve"> </w:t>
      </w:r>
      <w:r w:rsidRPr="5964CDA8">
        <w:rPr>
          <w:rStyle w:val="eop"/>
          <w:rFonts w:eastAsia="Arial" w:cs="Arial"/>
          <w:sz w:val="22"/>
          <w:szCs w:val="22"/>
        </w:rPr>
        <w:t xml:space="preserve">in DPP, </w:t>
      </w:r>
      <w:r w:rsidR="00401758" w:rsidRPr="5964CDA8">
        <w:rPr>
          <w:rStyle w:val="eop"/>
          <w:rFonts w:eastAsia="Arial" w:cs="Arial"/>
          <w:sz w:val="22"/>
          <w:szCs w:val="22"/>
        </w:rPr>
        <w:t xml:space="preserve">and </w:t>
      </w:r>
      <w:r w:rsidRPr="5964CDA8">
        <w:rPr>
          <w:rStyle w:val="eop"/>
          <w:rFonts w:eastAsia="Arial" w:cs="Arial"/>
          <w:sz w:val="22"/>
          <w:szCs w:val="22"/>
        </w:rPr>
        <w:t>1</w:t>
      </w:r>
      <w:r w:rsidR="5094507D" w:rsidRPr="5964CDA8">
        <w:rPr>
          <w:rStyle w:val="eop"/>
          <w:rFonts w:eastAsia="Arial" w:cs="Arial"/>
          <w:sz w:val="22"/>
          <w:szCs w:val="22"/>
        </w:rPr>
        <w:t>8</w:t>
      </w:r>
      <w:r w:rsidRPr="5964CDA8">
        <w:rPr>
          <w:rStyle w:val="eop"/>
          <w:rFonts w:eastAsia="Arial" w:cs="Arial"/>
          <w:sz w:val="22"/>
          <w:szCs w:val="22"/>
        </w:rPr>
        <w:t xml:space="preserve"> </w:t>
      </w:r>
      <w:r w:rsidR="0046705E" w:rsidRPr="5964CDA8">
        <w:rPr>
          <w:rStyle w:val="eop"/>
          <w:rFonts w:eastAsia="Arial" w:cs="Arial"/>
          <w:sz w:val="22"/>
          <w:szCs w:val="22"/>
        </w:rPr>
        <w:t>Project</w:t>
      </w:r>
      <w:r w:rsidRPr="5964CDA8">
        <w:rPr>
          <w:rStyle w:val="eop"/>
          <w:rFonts w:eastAsia="Arial" w:cs="Arial"/>
          <w:sz w:val="22"/>
          <w:szCs w:val="22"/>
        </w:rPr>
        <w:t xml:space="preserve">s in </w:t>
      </w:r>
      <w:r w:rsidR="787DCF80" w:rsidRPr="5964CDA8">
        <w:rPr>
          <w:rStyle w:val="eop"/>
          <w:rFonts w:eastAsia="Arial" w:cs="Arial"/>
          <w:sz w:val="22"/>
          <w:szCs w:val="22"/>
        </w:rPr>
        <w:t>i</w:t>
      </w:r>
      <w:r w:rsidRPr="5964CDA8">
        <w:rPr>
          <w:rStyle w:val="eop"/>
          <w:rFonts w:eastAsia="Arial" w:cs="Arial"/>
          <w:sz w:val="22"/>
          <w:szCs w:val="22"/>
        </w:rPr>
        <w:t xml:space="preserve">mplementation. </w:t>
      </w:r>
      <w:r w:rsidR="767F1C73" w:rsidRPr="5964CDA8">
        <w:rPr>
          <w:rStyle w:val="eop"/>
          <w:rFonts w:eastAsia="Arial" w:cs="Arial"/>
          <w:sz w:val="22"/>
          <w:szCs w:val="22"/>
        </w:rPr>
        <w:t>In the same period since inception</w:t>
      </w:r>
      <w:r w:rsidRPr="5964CDA8">
        <w:rPr>
          <w:rStyle w:val="eop"/>
          <w:rFonts w:eastAsia="Arial" w:cs="Arial"/>
          <w:sz w:val="22"/>
          <w:szCs w:val="22"/>
        </w:rPr>
        <w:t xml:space="preserve">, </w:t>
      </w:r>
      <w:r w:rsidR="6183BF79" w:rsidRPr="5964CDA8">
        <w:rPr>
          <w:rStyle w:val="eop"/>
          <w:rFonts w:eastAsia="Arial" w:cs="Arial"/>
          <w:sz w:val="22"/>
          <w:szCs w:val="22"/>
        </w:rPr>
        <w:t>7</w:t>
      </w:r>
      <w:r w:rsidRPr="5964CDA8">
        <w:rPr>
          <w:rStyle w:val="eop"/>
          <w:rFonts w:eastAsia="Arial" w:cs="Arial"/>
          <w:sz w:val="22"/>
          <w:szCs w:val="22"/>
        </w:rPr>
        <w:t xml:space="preserve"> projects have been completed: </w:t>
      </w:r>
      <w:r w:rsidR="436E5E31" w:rsidRPr="5964CDA8">
        <w:rPr>
          <w:rStyle w:val="eop"/>
          <w:rFonts w:eastAsia="Arial" w:cs="Arial"/>
          <w:sz w:val="22"/>
          <w:szCs w:val="22"/>
        </w:rPr>
        <w:t xml:space="preserve">China Waste, </w:t>
      </w:r>
      <w:r w:rsidR="5A3EC849" w:rsidRPr="5964CDA8">
        <w:rPr>
          <w:rStyle w:val="eop"/>
          <w:rFonts w:eastAsia="Arial" w:cs="Arial"/>
          <w:sz w:val="22"/>
          <w:szCs w:val="22"/>
        </w:rPr>
        <w:t xml:space="preserve">Colombia Transit-Oriented Development, </w:t>
      </w:r>
      <w:r w:rsidR="3C81A881" w:rsidRPr="5964CDA8">
        <w:rPr>
          <w:rStyle w:val="eop"/>
          <w:rFonts w:eastAsia="Arial" w:cs="Arial"/>
          <w:sz w:val="22"/>
          <w:szCs w:val="22"/>
        </w:rPr>
        <w:t>Costa Rica Coffee</w:t>
      </w:r>
      <w:r w:rsidR="4E1AAEA3" w:rsidRPr="5964CDA8">
        <w:rPr>
          <w:rStyle w:val="eop"/>
          <w:rFonts w:eastAsia="Arial" w:cs="Arial"/>
          <w:sz w:val="22"/>
          <w:szCs w:val="22"/>
        </w:rPr>
        <w:t>,</w:t>
      </w:r>
      <w:r w:rsidRPr="5964CDA8">
        <w:rPr>
          <w:rStyle w:val="eop"/>
          <w:rFonts w:eastAsia="Arial" w:cs="Arial"/>
          <w:sz w:val="22"/>
          <w:szCs w:val="22"/>
        </w:rPr>
        <w:t xml:space="preserve"> </w:t>
      </w:r>
      <w:r w:rsidR="42C9C5A8" w:rsidRPr="5964CDA8">
        <w:rPr>
          <w:rStyle w:val="eop"/>
          <w:rFonts w:eastAsia="Arial" w:cs="Arial"/>
          <w:sz w:val="22"/>
          <w:szCs w:val="22"/>
        </w:rPr>
        <w:t xml:space="preserve">Indonesia Transport, </w:t>
      </w:r>
      <w:r w:rsidRPr="5964CDA8">
        <w:rPr>
          <w:rStyle w:val="eop"/>
          <w:rFonts w:eastAsia="Arial" w:cs="Arial"/>
          <w:sz w:val="22"/>
          <w:szCs w:val="22"/>
        </w:rPr>
        <w:t>Mexico Low Carbon Housing</w:t>
      </w:r>
      <w:r w:rsidR="6B186EEF" w:rsidRPr="5964CDA8">
        <w:rPr>
          <w:rStyle w:val="eop"/>
          <w:rFonts w:eastAsia="Arial" w:cs="Arial"/>
          <w:sz w:val="22"/>
          <w:szCs w:val="22"/>
        </w:rPr>
        <w:t xml:space="preserve">, </w:t>
      </w:r>
      <w:r w:rsidR="6B186EEF" w:rsidRPr="5964CDA8">
        <w:rPr>
          <w:rFonts w:eastAsia="Arial" w:cs="Arial"/>
          <w:sz w:val="22"/>
          <w:szCs w:val="22"/>
        </w:rPr>
        <w:t xml:space="preserve">Peru Transport, </w:t>
      </w:r>
      <w:r w:rsidRPr="5964CDA8">
        <w:rPr>
          <w:rFonts w:eastAsia="Arial" w:cs="Arial"/>
          <w:sz w:val="22"/>
          <w:szCs w:val="22"/>
        </w:rPr>
        <w:t xml:space="preserve">Thailand Refrigeration </w:t>
      </w:r>
      <w:r w:rsidRPr="5964CDA8">
        <w:rPr>
          <w:rFonts w:eastAsia="Arial" w:cs="Arial"/>
          <w:sz w:val="22"/>
          <w:szCs w:val="22"/>
        </w:rPr>
        <w:lastRenderedPageBreak/>
        <w:t>and Air Conditioning</w:t>
      </w:r>
      <w:r w:rsidR="6B186EEF" w:rsidRPr="5964CDA8">
        <w:rPr>
          <w:rFonts w:eastAsia="Arial" w:cs="Arial"/>
          <w:sz w:val="22"/>
          <w:szCs w:val="22"/>
        </w:rPr>
        <w:t xml:space="preserve">. </w:t>
      </w:r>
      <w:r w:rsidR="127C2EEB" w:rsidRPr="5964CDA8">
        <w:rPr>
          <w:rFonts w:eastAsia="Arial" w:cs="Arial"/>
          <w:sz w:val="22"/>
          <w:szCs w:val="22"/>
        </w:rPr>
        <w:t xml:space="preserve">In 2023, </w:t>
      </w:r>
      <w:r w:rsidR="567B81A1" w:rsidRPr="5964CDA8">
        <w:rPr>
          <w:rFonts w:eastAsia="Arial" w:cs="Arial"/>
          <w:sz w:val="22"/>
          <w:szCs w:val="22"/>
        </w:rPr>
        <w:t>1</w:t>
      </w:r>
      <w:r w:rsidR="58EAAC4F" w:rsidRPr="5964CDA8">
        <w:rPr>
          <w:rFonts w:eastAsia="Arial" w:cs="Arial"/>
          <w:sz w:val="22"/>
          <w:szCs w:val="22"/>
        </w:rPr>
        <w:t xml:space="preserve"> project </w:t>
      </w:r>
      <w:r w:rsidR="36062A00" w:rsidRPr="5964CDA8">
        <w:rPr>
          <w:rFonts w:eastAsia="Arial" w:cs="Arial"/>
          <w:sz w:val="22"/>
          <w:szCs w:val="22"/>
        </w:rPr>
        <w:t xml:space="preserve">was </w:t>
      </w:r>
      <w:r w:rsidR="58EAAC4F" w:rsidRPr="5964CDA8">
        <w:rPr>
          <w:rFonts w:eastAsia="Arial" w:cs="Arial"/>
          <w:sz w:val="22"/>
          <w:szCs w:val="22"/>
        </w:rPr>
        <w:t xml:space="preserve">not selected for implementation following </w:t>
      </w:r>
      <w:r w:rsidR="5E95EBE4" w:rsidRPr="5964CDA8">
        <w:rPr>
          <w:rFonts w:eastAsia="Arial" w:cs="Arial"/>
          <w:sz w:val="22"/>
          <w:szCs w:val="22"/>
        </w:rPr>
        <w:t xml:space="preserve">DPP, and 2 have been </w:t>
      </w:r>
      <w:r w:rsidR="19345DA6" w:rsidRPr="5964CDA8">
        <w:rPr>
          <w:rFonts w:eastAsia="Arial" w:cs="Arial"/>
          <w:sz w:val="22"/>
          <w:szCs w:val="22"/>
        </w:rPr>
        <w:t xml:space="preserve">discontinued </w:t>
      </w:r>
      <w:r w:rsidR="5E95EBE4" w:rsidRPr="5964CDA8">
        <w:rPr>
          <w:rFonts w:eastAsia="Arial" w:cs="Arial"/>
          <w:sz w:val="22"/>
          <w:szCs w:val="22"/>
        </w:rPr>
        <w:t>during implementation.</w:t>
      </w:r>
      <w:r w:rsidR="08099AC2" w:rsidRPr="5964CDA8">
        <w:rPr>
          <w:rFonts w:eastAsia="Arial" w:cs="Arial"/>
          <w:sz w:val="22"/>
          <w:szCs w:val="22"/>
        </w:rPr>
        <w:t xml:space="preserve"> 11 further projects have either been discontinued or were not selected for implementation phase.</w:t>
      </w:r>
    </w:p>
    <w:p w14:paraId="58574625" w14:textId="77777777" w:rsidR="009E3F6E" w:rsidRDefault="009E3F6E" w:rsidP="001B4FD0">
      <w:pPr>
        <w:rPr>
          <w:rFonts w:eastAsia="Arial" w:cs="Arial"/>
        </w:rPr>
      </w:pPr>
    </w:p>
    <w:p w14:paraId="36AC6569" w14:textId="60D4D62A" w:rsidR="003D222C" w:rsidRPr="00686A5D" w:rsidRDefault="003D222C" w:rsidP="07AF1209">
      <w:pPr>
        <w:rPr>
          <w:rFonts w:eastAsia="Arial" w:cs="Arial"/>
        </w:rPr>
      </w:pPr>
      <w:bookmarkStart w:id="4" w:name="_Toc172791892"/>
      <w:bookmarkStart w:id="5" w:name="_Toc1535229138"/>
      <w:r w:rsidRPr="75FA93ED">
        <w:rPr>
          <w:rStyle w:val="Heading2Char"/>
          <w:rFonts w:eastAsia="Arial" w:cs="Arial"/>
        </w:rPr>
        <w:t>Summary of progress and supporting narrative for the overall score</w:t>
      </w:r>
      <w:bookmarkEnd w:id="4"/>
      <w:bookmarkEnd w:id="5"/>
      <w:r w:rsidR="00A86616" w:rsidRPr="75FA93ED">
        <w:rPr>
          <w:rFonts w:eastAsia="Arial" w:cs="Arial"/>
        </w:rPr>
        <w:t xml:space="preserve"> </w:t>
      </w:r>
    </w:p>
    <w:p w14:paraId="1EB553BD" w14:textId="47DC6B91" w:rsidR="00C96897" w:rsidRPr="001B483D" w:rsidRDefault="00C96897" w:rsidP="07AF1209">
      <w:pPr>
        <w:contextualSpacing/>
        <w:jc w:val="both"/>
        <w:rPr>
          <w:rFonts w:eastAsia="Arial" w:cs="Arial"/>
          <w:sz w:val="22"/>
          <w:szCs w:val="22"/>
        </w:rPr>
      </w:pPr>
      <w:r>
        <w:br/>
      </w:r>
      <w:r w:rsidRPr="5964CDA8">
        <w:rPr>
          <w:rFonts w:eastAsia="Arial" w:cs="Arial"/>
          <w:sz w:val="22"/>
          <w:szCs w:val="22"/>
        </w:rPr>
        <w:t xml:space="preserve">The overall performance of the programme has </w:t>
      </w:r>
      <w:r w:rsidR="17B4526C" w:rsidRPr="5964CDA8">
        <w:rPr>
          <w:rFonts w:eastAsia="Arial" w:cs="Arial"/>
          <w:sz w:val="22"/>
          <w:szCs w:val="22"/>
        </w:rPr>
        <w:t>met</w:t>
      </w:r>
      <w:r w:rsidR="0F2468B5" w:rsidRPr="5964CDA8">
        <w:rPr>
          <w:rFonts w:eastAsia="Arial" w:cs="Arial"/>
          <w:sz w:val="22"/>
          <w:szCs w:val="22"/>
        </w:rPr>
        <w:t xml:space="preserve"> </w:t>
      </w:r>
      <w:r w:rsidRPr="5964CDA8">
        <w:rPr>
          <w:rFonts w:eastAsia="Arial" w:cs="Arial"/>
          <w:sz w:val="22"/>
          <w:szCs w:val="22"/>
        </w:rPr>
        <w:t>expectations</w:t>
      </w:r>
      <w:r w:rsidR="00971F9E" w:rsidRPr="5964CDA8">
        <w:rPr>
          <w:rFonts w:eastAsia="Arial" w:cs="Arial"/>
          <w:sz w:val="22"/>
          <w:szCs w:val="22"/>
        </w:rPr>
        <w:t xml:space="preserve"> with an overall </w:t>
      </w:r>
      <w:r w:rsidR="00B56746" w:rsidRPr="5964CDA8">
        <w:rPr>
          <w:rFonts w:eastAsia="Arial" w:cs="Arial"/>
          <w:sz w:val="22"/>
          <w:szCs w:val="22"/>
        </w:rPr>
        <w:t>score of A</w:t>
      </w:r>
      <w:r w:rsidRPr="5964CDA8">
        <w:rPr>
          <w:rFonts w:eastAsia="Arial" w:cs="Arial"/>
          <w:sz w:val="22"/>
          <w:szCs w:val="22"/>
        </w:rPr>
        <w:t xml:space="preserve">. MAF made good progress towards </w:t>
      </w:r>
      <w:r w:rsidR="00B56746" w:rsidRPr="5964CDA8">
        <w:rPr>
          <w:rFonts w:eastAsia="Arial" w:cs="Arial"/>
          <w:sz w:val="22"/>
          <w:szCs w:val="22"/>
        </w:rPr>
        <w:t>logical framework (</w:t>
      </w:r>
      <w:proofErr w:type="spellStart"/>
      <w:r w:rsidR="00B56746" w:rsidRPr="5964CDA8">
        <w:rPr>
          <w:rFonts w:eastAsia="Arial" w:cs="Arial"/>
          <w:sz w:val="22"/>
          <w:szCs w:val="22"/>
        </w:rPr>
        <w:t>logframe</w:t>
      </w:r>
      <w:proofErr w:type="spellEnd"/>
      <w:r w:rsidR="00B56746" w:rsidRPr="5964CDA8">
        <w:rPr>
          <w:rFonts w:eastAsia="Arial" w:cs="Arial"/>
          <w:sz w:val="22"/>
          <w:szCs w:val="22"/>
        </w:rPr>
        <w:t>)</w:t>
      </w:r>
      <w:r w:rsidRPr="5964CDA8">
        <w:rPr>
          <w:rFonts w:eastAsia="Arial" w:cs="Arial"/>
          <w:sz w:val="22"/>
          <w:szCs w:val="22"/>
        </w:rPr>
        <w:t xml:space="preserve"> milestones over this review period and has met </w:t>
      </w:r>
      <w:r w:rsidR="00A0342A" w:rsidRPr="5964CDA8">
        <w:rPr>
          <w:rFonts w:eastAsia="Arial" w:cs="Arial"/>
          <w:sz w:val="22"/>
          <w:szCs w:val="22"/>
        </w:rPr>
        <w:t xml:space="preserve">or exceeded </w:t>
      </w:r>
      <w:r w:rsidRPr="5964CDA8">
        <w:rPr>
          <w:rFonts w:eastAsia="Arial" w:cs="Arial"/>
          <w:sz w:val="22"/>
          <w:szCs w:val="22"/>
        </w:rPr>
        <w:t xml:space="preserve">targets </w:t>
      </w:r>
      <w:r w:rsidR="00B56746" w:rsidRPr="5964CDA8">
        <w:rPr>
          <w:rFonts w:eastAsia="Arial" w:cs="Arial"/>
          <w:sz w:val="22"/>
          <w:szCs w:val="22"/>
        </w:rPr>
        <w:t xml:space="preserve">in </w:t>
      </w:r>
      <w:r w:rsidR="00A0342A" w:rsidRPr="5964CDA8">
        <w:rPr>
          <w:rFonts w:eastAsia="Arial" w:cs="Arial"/>
          <w:sz w:val="22"/>
          <w:szCs w:val="22"/>
        </w:rPr>
        <w:t>1</w:t>
      </w:r>
      <w:r w:rsidR="166F3AA6" w:rsidRPr="5964CDA8">
        <w:rPr>
          <w:rFonts w:eastAsia="Arial" w:cs="Arial"/>
          <w:sz w:val="22"/>
          <w:szCs w:val="22"/>
        </w:rPr>
        <w:t>5</w:t>
      </w:r>
      <w:r w:rsidRPr="5964CDA8">
        <w:rPr>
          <w:rFonts w:eastAsia="Arial" w:cs="Arial"/>
          <w:sz w:val="22"/>
          <w:szCs w:val="22"/>
        </w:rPr>
        <w:t xml:space="preserve"> of its </w:t>
      </w:r>
      <w:r w:rsidR="00A0342A" w:rsidRPr="5964CDA8">
        <w:rPr>
          <w:rFonts w:eastAsia="Arial" w:cs="Arial"/>
          <w:sz w:val="22"/>
          <w:szCs w:val="22"/>
        </w:rPr>
        <w:t>2</w:t>
      </w:r>
      <w:r w:rsidR="22C03E04" w:rsidRPr="5964CDA8">
        <w:rPr>
          <w:rFonts w:eastAsia="Arial" w:cs="Arial"/>
          <w:sz w:val="22"/>
          <w:szCs w:val="22"/>
        </w:rPr>
        <w:t>6</w:t>
      </w:r>
      <w:r w:rsidRPr="5964CDA8">
        <w:rPr>
          <w:rFonts w:eastAsia="Arial" w:cs="Arial"/>
          <w:sz w:val="22"/>
          <w:szCs w:val="22"/>
        </w:rPr>
        <w:t xml:space="preserve"> output </w:t>
      </w:r>
      <w:r w:rsidR="00A0342A" w:rsidRPr="5964CDA8">
        <w:rPr>
          <w:rFonts w:eastAsia="Arial" w:cs="Arial"/>
          <w:sz w:val="22"/>
          <w:szCs w:val="22"/>
        </w:rPr>
        <w:t>sub-</w:t>
      </w:r>
      <w:r w:rsidRPr="5964CDA8">
        <w:rPr>
          <w:rFonts w:eastAsia="Arial" w:cs="Arial"/>
          <w:sz w:val="22"/>
          <w:szCs w:val="22"/>
        </w:rPr>
        <w:t xml:space="preserve">indicators. </w:t>
      </w:r>
      <w:r w:rsidR="2A057C87" w:rsidRPr="5964CDA8">
        <w:rPr>
          <w:rFonts w:eastAsia="Arial" w:cs="Arial"/>
          <w:sz w:val="22"/>
          <w:szCs w:val="22"/>
        </w:rPr>
        <w:t>Of the remaining 1</w:t>
      </w:r>
      <w:r w:rsidR="4993696F" w:rsidRPr="5964CDA8">
        <w:rPr>
          <w:rFonts w:eastAsia="Arial" w:cs="Arial"/>
          <w:sz w:val="22"/>
          <w:szCs w:val="22"/>
        </w:rPr>
        <w:t>1</w:t>
      </w:r>
      <w:r w:rsidR="2A057C87" w:rsidRPr="5964CDA8">
        <w:rPr>
          <w:rFonts w:eastAsia="Arial" w:cs="Arial"/>
          <w:sz w:val="22"/>
          <w:szCs w:val="22"/>
        </w:rPr>
        <w:t xml:space="preserve"> sub-indicators </w:t>
      </w:r>
      <w:r w:rsidR="5387DEDC" w:rsidRPr="5964CDA8">
        <w:rPr>
          <w:rFonts w:eastAsia="Arial" w:cs="Arial"/>
          <w:sz w:val="22"/>
          <w:szCs w:val="22"/>
        </w:rPr>
        <w:t xml:space="preserve">that did not meet or exceed targets </w:t>
      </w:r>
      <w:r w:rsidR="2A057C87" w:rsidRPr="5964CDA8">
        <w:rPr>
          <w:rFonts w:eastAsia="Arial" w:cs="Arial"/>
          <w:sz w:val="22"/>
          <w:szCs w:val="22"/>
        </w:rPr>
        <w:t>3 are new and have not yet recorded results</w:t>
      </w:r>
      <w:r w:rsidR="645033EA" w:rsidRPr="5964CDA8">
        <w:rPr>
          <w:rFonts w:eastAsia="Arial" w:cs="Arial"/>
          <w:sz w:val="22"/>
          <w:szCs w:val="22"/>
        </w:rPr>
        <w:t xml:space="preserve"> (4.3, 5.2.a and 5.2.b)</w:t>
      </w:r>
      <w:r w:rsidR="5498F8AF" w:rsidRPr="5964CDA8">
        <w:rPr>
          <w:rFonts w:eastAsia="Arial" w:cs="Arial"/>
          <w:sz w:val="22"/>
          <w:szCs w:val="22"/>
        </w:rPr>
        <w:t xml:space="preserve"> whilst another (1.3.b) has been amended to include a wider set of projects and will also not show</w:t>
      </w:r>
      <w:r w:rsidR="1D5CF5B2" w:rsidRPr="5964CDA8">
        <w:rPr>
          <w:rFonts w:eastAsia="Arial" w:cs="Arial"/>
          <w:sz w:val="22"/>
          <w:szCs w:val="22"/>
        </w:rPr>
        <w:t xml:space="preserve"> a result until next year</w:t>
      </w:r>
      <w:r w:rsidR="2A057C87" w:rsidRPr="5964CDA8">
        <w:rPr>
          <w:rFonts w:eastAsia="Arial" w:cs="Arial"/>
          <w:sz w:val="22"/>
          <w:szCs w:val="22"/>
        </w:rPr>
        <w:t>.</w:t>
      </w:r>
      <w:r w:rsidR="2B937C13" w:rsidRPr="5964CDA8">
        <w:rPr>
          <w:rFonts w:eastAsia="Arial" w:cs="Arial"/>
          <w:sz w:val="22"/>
          <w:szCs w:val="22"/>
        </w:rPr>
        <w:t xml:space="preserve"> This leaves </w:t>
      </w:r>
      <w:r w:rsidR="27CC13A3" w:rsidRPr="5964CDA8">
        <w:rPr>
          <w:rFonts w:eastAsia="Arial" w:cs="Arial"/>
          <w:sz w:val="22"/>
          <w:szCs w:val="22"/>
        </w:rPr>
        <w:t>7</w:t>
      </w:r>
      <w:r w:rsidR="2B937C13" w:rsidRPr="5964CDA8">
        <w:rPr>
          <w:rFonts w:eastAsia="Arial" w:cs="Arial"/>
          <w:sz w:val="22"/>
          <w:szCs w:val="22"/>
        </w:rPr>
        <w:t xml:space="preserve"> sub-indicators scoring below the expected level.</w:t>
      </w:r>
      <w:r w:rsidR="2A057C87" w:rsidRPr="5964CDA8">
        <w:rPr>
          <w:rFonts w:eastAsia="Arial" w:cs="Arial"/>
          <w:sz w:val="22"/>
          <w:szCs w:val="22"/>
        </w:rPr>
        <w:t xml:space="preserve"> </w:t>
      </w:r>
      <w:r w:rsidR="35BE2E3F" w:rsidRPr="5964CDA8">
        <w:rPr>
          <w:rFonts w:eastAsia="Arial" w:cs="Arial"/>
          <w:sz w:val="22"/>
          <w:szCs w:val="22"/>
        </w:rPr>
        <w:t xml:space="preserve">At output level, </w:t>
      </w:r>
      <w:r w:rsidR="3ADB0851" w:rsidRPr="5964CDA8">
        <w:rPr>
          <w:rFonts w:eastAsia="Arial" w:cs="Arial"/>
          <w:sz w:val="22"/>
          <w:szCs w:val="22"/>
        </w:rPr>
        <w:t>i</w:t>
      </w:r>
      <w:r w:rsidRPr="5964CDA8">
        <w:rPr>
          <w:rFonts w:eastAsia="Arial" w:cs="Arial"/>
          <w:sz w:val="22"/>
          <w:szCs w:val="22"/>
        </w:rPr>
        <w:t xml:space="preserve">ndicators where the </w:t>
      </w:r>
      <w:r w:rsidR="00806702" w:rsidRPr="5964CDA8">
        <w:rPr>
          <w:rFonts w:eastAsia="Arial" w:cs="Arial"/>
          <w:sz w:val="22"/>
          <w:szCs w:val="22"/>
        </w:rPr>
        <w:t>MAF</w:t>
      </w:r>
      <w:r w:rsidRPr="5964CDA8">
        <w:rPr>
          <w:rFonts w:eastAsia="Arial" w:cs="Arial"/>
          <w:sz w:val="22"/>
          <w:szCs w:val="22"/>
        </w:rPr>
        <w:t xml:space="preserve"> has surpassed targets include</w:t>
      </w:r>
      <w:r w:rsidR="130033AE" w:rsidRPr="5964CDA8">
        <w:rPr>
          <w:rFonts w:eastAsia="Arial" w:cs="Arial"/>
          <w:sz w:val="22"/>
          <w:szCs w:val="22"/>
        </w:rPr>
        <w:t xml:space="preserve"> </w:t>
      </w:r>
      <w:r w:rsidR="795DF8E7" w:rsidRPr="5964CDA8">
        <w:rPr>
          <w:rFonts w:eastAsia="Arial" w:cs="Arial"/>
          <w:sz w:val="22"/>
          <w:szCs w:val="22"/>
        </w:rPr>
        <w:t xml:space="preserve">the number of countries applying for calls, the percentage of eligible applications, </w:t>
      </w:r>
      <w:r w:rsidR="5620B75B" w:rsidRPr="5964CDA8">
        <w:rPr>
          <w:rFonts w:eastAsia="Arial" w:cs="Arial"/>
          <w:sz w:val="22"/>
          <w:szCs w:val="22"/>
        </w:rPr>
        <w:t>the volume of</w:t>
      </w:r>
      <w:r w:rsidRPr="5964CDA8">
        <w:rPr>
          <w:rFonts w:eastAsia="Arial" w:cs="Arial"/>
          <w:sz w:val="22"/>
          <w:szCs w:val="22"/>
        </w:rPr>
        <w:t xml:space="preserve"> public </w:t>
      </w:r>
      <w:r w:rsidR="70FACAEC" w:rsidRPr="5964CDA8">
        <w:rPr>
          <w:rFonts w:eastAsia="Arial" w:cs="Arial"/>
          <w:sz w:val="22"/>
          <w:szCs w:val="22"/>
        </w:rPr>
        <w:t>finance mobilised by projects</w:t>
      </w:r>
      <w:r w:rsidR="00BC6A3C" w:rsidRPr="5964CDA8">
        <w:rPr>
          <w:rFonts w:eastAsia="Arial" w:cs="Arial"/>
          <w:sz w:val="22"/>
          <w:szCs w:val="22"/>
        </w:rPr>
        <w:t>,</w:t>
      </w:r>
      <w:r w:rsidRPr="5964CDA8">
        <w:rPr>
          <w:rFonts w:eastAsia="Arial" w:cs="Arial"/>
          <w:sz w:val="22"/>
          <w:szCs w:val="22"/>
        </w:rPr>
        <w:t xml:space="preserve"> </w:t>
      </w:r>
      <w:r w:rsidR="5B69F289" w:rsidRPr="5964CDA8">
        <w:rPr>
          <w:rFonts w:eastAsia="Arial" w:cs="Arial"/>
          <w:sz w:val="22"/>
          <w:szCs w:val="22"/>
        </w:rPr>
        <w:t xml:space="preserve">as well as </w:t>
      </w:r>
      <w:r w:rsidR="00BC6A3C" w:rsidRPr="5964CDA8">
        <w:rPr>
          <w:rFonts w:eastAsia="Arial" w:cs="Arial"/>
          <w:sz w:val="22"/>
          <w:szCs w:val="22"/>
        </w:rPr>
        <w:t xml:space="preserve">the </w:t>
      </w:r>
      <w:r w:rsidR="00BD6405" w:rsidRPr="5964CDA8">
        <w:rPr>
          <w:rFonts w:eastAsia="Arial" w:cs="Arial"/>
          <w:sz w:val="22"/>
          <w:szCs w:val="22"/>
        </w:rPr>
        <w:t xml:space="preserve">number of </w:t>
      </w:r>
      <w:r w:rsidR="00982B98" w:rsidRPr="5964CDA8">
        <w:rPr>
          <w:rFonts w:eastAsia="Arial" w:cs="Arial"/>
          <w:sz w:val="22"/>
          <w:szCs w:val="22"/>
        </w:rPr>
        <w:t xml:space="preserve">national and </w:t>
      </w:r>
      <w:r w:rsidR="00FE0F78" w:rsidRPr="5964CDA8">
        <w:rPr>
          <w:rFonts w:eastAsia="Arial" w:cs="Arial"/>
          <w:sz w:val="22"/>
          <w:szCs w:val="22"/>
        </w:rPr>
        <w:t xml:space="preserve">sub-national institutions accessing </w:t>
      </w:r>
      <w:r w:rsidRPr="5964CDA8">
        <w:rPr>
          <w:rFonts w:eastAsia="Arial" w:cs="Arial"/>
          <w:sz w:val="22"/>
          <w:szCs w:val="22"/>
        </w:rPr>
        <w:t>technical assistance</w:t>
      </w:r>
      <w:r w:rsidR="090BFE3B" w:rsidRPr="5964CDA8">
        <w:rPr>
          <w:rFonts w:eastAsia="Arial" w:cs="Arial"/>
          <w:sz w:val="22"/>
          <w:szCs w:val="22"/>
        </w:rPr>
        <w:t>.</w:t>
      </w:r>
    </w:p>
    <w:p w14:paraId="255BE141" w14:textId="7AAFC7F9" w:rsidR="7849A67F" w:rsidRDefault="7849A67F" w:rsidP="07AF1209">
      <w:pPr>
        <w:contextualSpacing/>
        <w:jc w:val="both"/>
        <w:rPr>
          <w:rFonts w:eastAsia="Arial" w:cs="Arial"/>
          <w:sz w:val="22"/>
          <w:szCs w:val="22"/>
        </w:rPr>
      </w:pPr>
    </w:p>
    <w:p w14:paraId="4FE8D083" w14:textId="00FA0F55" w:rsidR="00C96897" w:rsidRPr="001B483D" w:rsidRDefault="75AC89D0" w:rsidP="07AF1209">
      <w:pPr>
        <w:contextualSpacing/>
        <w:jc w:val="both"/>
        <w:rPr>
          <w:rFonts w:eastAsia="Arial" w:cs="Arial"/>
          <w:sz w:val="22"/>
          <w:szCs w:val="22"/>
        </w:rPr>
      </w:pPr>
      <w:r w:rsidRPr="5964CDA8">
        <w:rPr>
          <w:rFonts w:eastAsia="Arial" w:cs="Arial"/>
          <w:sz w:val="22"/>
          <w:szCs w:val="22"/>
        </w:rPr>
        <w:t xml:space="preserve">Although the overall performance of the programme exceeds expectations, there is still room for improvement. For </w:t>
      </w:r>
      <w:r w:rsidR="6AC92C71" w:rsidRPr="5964CDA8">
        <w:rPr>
          <w:rFonts w:eastAsia="Arial" w:cs="Arial"/>
          <w:sz w:val="22"/>
          <w:szCs w:val="22"/>
        </w:rPr>
        <w:t>7</w:t>
      </w:r>
      <w:r w:rsidRPr="5964CDA8">
        <w:rPr>
          <w:rFonts w:eastAsia="Arial" w:cs="Arial"/>
          <w:sz w:val="22"/>
          <w:szCs w:val="22"/>
        </w:rPr>
        <w:t xml:space="preserve"> indicators, targets have not been met – at the lowest end these include disbursement rates and milestone targets for the project development completion. One of the main causes for delay are roadblocks in contracting with implementing organisations, especially in the case of GIZ-led projects where the requirement for an intergovernmental project agreement (IPA) can cause significant delay. There has also been slower than expected implementation of financing mechanisms (related to which TSU are exploring how the financial component (FC) can be strengthened in the design phase).</w:t>
      </w:r>
    </w:p>
    <w:p w14:paraId="3D6D01B8" w14:textId="4C8D6EF0" w:rsidR="00C96897" w:rsidRPr="001B483D" w:rsidRDefault="75AC89D0" w:rsidP="07AF1209">
      <w:pPr>
        <w:contextualSpacing/>
        <w:jc w:val="both"/>
        <w:rPr>
          <w:rFonts w:eastAsia="Arial" w:cs="Arial"/>
          <w:sz w:val="22"/>
          <w:szCs w:val="22"/>
        </w:rPr>
      </w:pPr>
      <w:r w:rsidRPr="07AF1209">
        <w:rPr>
          <w:rFonts w:eastAsia="Arial" w:cs="Arial"/>
          <w:sz w:val="22"/>
          <w:szCs w:val="22"/>
        </w:rPr>
        <w:t xml:space="preserve"> </w:t>
      </w:r>
    </w:p>
    <w:p w14:paraId="05EF7037" w14:textId="5C5F1E47" w:rsidR="00C96897" w:rsidRPr="001B483D" w:rsidRDefault="77FE525D" w:rsidP="07AF1209">
      <w:pPr>
        <w:contextualSpacing/>
        <w:jc w:val="both"/>
        <w:rPr>
          <w:rFonts w:eastAsia="Arial" w:cs="Arial"/>
          <w:sz w:val="22"/>
          <w:szCs w:val="22"/>
        </w:rPr>
      </w:pPr>
      <w:r w:rsidRPr="7849A67F">
        <w:rPr>
          <w:rFonts w:eastAsia="Arial" w:cs="Arial"/>
          <w:sz w:val="22"/>
          <w:szCs w:val="22"/>
        </w:rPr>
        <w:t xml:space="preserve">At the portfolio level, the </w:t>
      </w:r>
      <w:r w:rsidR="01EE6C5A" w:rsidRPr="7849A67F">
        <w:rPr>
          <w:rFonts w:eastAsia="Arial" w:cs="Arial"/>
          <w:sz w:val="22"/>
          <w:szCs w:val="22"/>
        </w:rPr>
        <w:t>MA</w:t>
      </w:r>
      <w:r w:rsidR="6E42392D" w:rsidRPr="7849A67F">
        <w:rPr>
          <w:rFonts w:eastAsia="Arial" w:cs="Arial"/>
          <w:sz w:val="22"/>
          <w:szCs w:val="22"/>
        </w:rPr>
        <w:t>F</w:t>
      </w:r>
      <w:r w:rsidRPr="7849A67F">
        <w:rPr>
          <w:rFonts w:eastAsia="Arial" w:cs="Arial"/>
          <w:sz w:val="22"/>
          <w:szCs w:val="22"/>
        </w:rPr>
        <w:t xml:space="preserve"> has advanced with </w:t>
      </w:r>
      <w:r w:rsidR="6E88153D" w:rsidRPr="7849A67F">
        <w:rPr>
          <w:rFonts w:eastAsia="Arial" w:cs="Arial"/>
          <w:sz w:val="22"/>
          <w:szCs w:val="22"/>
        </w:rPr>
        <w:t>project</w:t>
      </w:r>
      <w:r w:rsidRPr="7849A67F">
        <w:rPr>
          <w:rFonts w:eastAsia="Arial" w:cs="Arial"/>
          <w:sz w:val="22"/>
          <w:szCs w:val="22"/>
        </w:rPr>
        <w:t xml:space="preserve"> mid-term and final evaluations</w:t>
      </w:r>
      <w:r w:rsidR="355BB28B" w:rsidRPr="7849A67F">
        <w:rPr>
          <w:rFonts w:eastAsia="Arial" w:cs="Arial"/>
          <w:sz w:val="22"/>
          <w:szCs w:val="22"/>
        </w:rPr>
        <w:t>, completing</w:t>
      </w:r>
      <w:r w:rsidRPr="7849A67F">
        <w:rPr>
          <w:rFonts w:eastAsia="Arial" w:cs="Arial"/>
          <w:sz w:val="22"/>
          <w:szCs w:val="22"/>
        </w:rPr>
        <w:t xml:space="preserve"> </w:t>
      </w:r>
      <w:r w:rsidR="53C63A97" w:rsidRPr="7849A67F">
        <w:rPr>
          <w:rFonts w:eastAsia="Arial" w:cs="Arial"/>
          <w:sz w:val="22"/>
          <w:szCs w:val="22"/>
        </w:rPr>
        <w:t>6</w:t>
      </w:r>
      <w:r w:rsidR="5C3FE673" w:rsidRPr="7849A67F">
        <w:rPr>
          <w:rFonts w:eastAsia="Arial" w:cs="Arial"/>
          <w:sz w:val="22"/>
          <w:szCs w:val="22"/>
        </w:rPr>
        <w:t xml:space="preserve"> </w:t>
      </w:r>
      <w:r w:rsidR="60A5782F" w:rsidRPr="07AF1209">
        <w:rPr>
          <w:rFonts w:eastAsia="Arial" w:cs="Arial"/>
          <w:sz w:val="22"/>
          <w:szCs w:val="22"/>
        </w:rPr>
        <w:t>midterm</w:t>
      </w:r>
      <w:r w:rsidR="5C3FE673" w:rsidRPr="7849A67F">
        <w:rPr>
          <w:rFonts w:eastAsia="Arial" w:cs="Arial"/>
          <w:sz w:val="22"/>
          <w:szCs w:val="22"/>
        </w:rPr>
        <w:t xml:space="preserve"> or end point </w:t>
      </w:r>
      <w:r w:rsidRPr="7849A67F">
        <w:rPr>
          <w:rFonts w:eastAsia="Arial" w:cs="Arial"/>
          <w:sz w:val="22"/>
          <w:szCs w:val="22"/>
        </w:rPr>
        <w:t>Evaluation and Learning Exercises (ELEs)</w:t>
      </w:r>
      <w:r w:rsidR="27FAE158" w:rsidRPr="7849A67F">
        <w:rPr>
          <w:rFonts w:eastAsia="Arial" w:cs="Arial"/>
          <w:sz w:val="22"/>
          <w:szCs w:val="22"/>
        </w:rPr>
        <w:t xml:space="preserve"> </w:t>
      </w:r>
      <w:r w:rsidR="0BEC299E" w:rsidRPr="7849A67F">
        <w:rPr>
          <w:rFonts w:eastAsia="Arial" w:cs="Arial"/>
          <w:sz w:val="22"/>
          <w:szCs w:val="22"/>
        </w:rPr>
        <w:t xml:space="preserve">in 2023, </w:t>
      </w:r>
      <w:r w:rsidR="27FAE158" w:rsidRPr="7849A67F">
        <w:rPr>
          <w:rFonts w:eastAsia="Arial" w:cs="Arial"/>
          <w:sz w:val="22"/>
          <w:szCs w:val="22"/>
        </w:rPr>
        <w:t>spanning projects in Tunisia, Chile, Cabo Verde, China, Mexico and Brazil</w:t>
      </w:r>
      <w:r w:rsidR="4620D86D" w:rsidRPr="7849A67F">
        <w:rPr>
          <w:rFonts w:eastAsia="Arial" w:cs="Arial"/>
          <w:sz w:val="22"/>
          <w:szCs w:val="22"/>
        </w:rPr>
        <w:t>.</w:t>
      </w:r>
      <w:r w:rsidRPr="7849A67F">
        <w:rPr>
          <w:rFonts w:eastAsia="Arial" w:cs="Arial"/>
          <w:sz w:val="22"/>
          <w:szCs w:val="22"/>
        </w:rPr>
        <w:t xml:space="preserve"> </w:t>
      </w:r>
      <w:r w:rsidR="53437CEC" w:rsidRPr="07AF1209">
        <w:rPr>
          <w:rFonts w:eastAsia="Arial" w:cs="Arial"/>
          <w:sz w:val="22"/>
          <w:szCs w:val="22"/>
        </w:rPr>
        <w:t>Two</w:t>
      </w:r>
      <w:r w:rsidR="2FEC9807" w:rsidRPr="7849A67F">
        <w:rPr>
          <w:rFonts w:eastAsia="Arial" w:cs="Arial"/>
          <w:sz w:val="22"/>
          <w:szCs w:val="22"/>
        </w:rPr>
        <w:t xml:space="preserve"> further</w:t>
      </w:r>
      <w:r w:rsidR="1C95BF5C" w:rsidRPr="7849A67F">
        <w:rPr>
          <w:rFonts w:eastAsia="Arial" w:cs="Arial"/>
          <w:sz w:val="22"/>
          <w:szCs w:val="22"/>
        </w:rPr>
        <w:t xml:space="preserve"> ELEs were </w:t>
      </w:r>
      <w:r w:rsidR="771C9582" w:rsidRPr="7849A67F">
        <w:rPr>
          <w:rFonts w:eastAsia="Arial" w:cs="Arial"/>
          <w:sz w:val="22"/>
          <w:szCs w:val="22"/>
        </w:rPr>
        <w:t>under development in</w:t>
      </w:r>
      <w:r w:rsidR="1C95BF5C" w:rsidRPr="7849A67F">
        <w:rPr>
          <w:rFonts w:eastAsia="Arial" w:cs="Arial"/>
          <w:sz w:val="22"/>
          <w:szCs w:val="22"/>
        </w:rPr>
        <w:t xml:space="preserve"> December 2023 for publication in early 2024 – on India Waste and Colombia Refrigeration. </w:t>
      </w:r>
      <w:r w:rsidRPr="7849A67F">
        <w:rPr>
          <w:rFonts w:eastAsia="Arial" w:cs="Arial"/>
          <w:sz w:val="22"/>
          <w:szCs w:val="22"/>
        </w:rPr>
        <w:t xml:space="preserve">All ELEs follow the same theory-based </w:t>
      </w:r>
      <w:r w:rsidR="635E44EE" w:rsidRPr="7849A67F">
        <w:rPr>
          <w:rFonts w:eastAsia="Arial" w:cs="Arial"/>
          <w:sz w:val="22"/>
          <w:szCs w:val="22"/>
        </w:rPr>
        <w:t xml:space="preserve">evaluation </w:t>
      </w:r>
      <w:r w:rsidRPr="7849A67F">
        <w:rPr>
          <w:rFonts w:eastAsia="Arial" w:cs="Arial"/>
          <w:sz w:val="22"/>
          <w:szCs w:val="22"/>
        </w:rPr>
        <w:t xml:space="preserve">methodology, but their findings are specific to the context of each individual </w:t>
      </w:r>
      <w:r w:rsidR="25F45563" w:rsidRPr="7849A67F">
        <w:rPr>
          <w:rFonts w:eastAsia="Arial" w:cs="Arial"/>
          <w:sz w:val="22"/>
          <w:szCs w:val="22"/>
        </w:rPr>
        <w:t>project</w:t>
      </w:r>
      <w:r w:rsidRPr="7849A67F">
        <w:rPr>
          <w:rFonts w:eastAsia="Arial" w:cs="Arial"/>
          <w:sz w:val="22"/>
          <w:szCs w:val="22"/>
        </w:rPr>
        <w:t xml:space="preserve">. </w:t>
      </w:r>
      <w:r w:rsidR="440B7C6B" w:rsidRPr="7849A67F">
        <w:rPr>
          <w:rFonts w:eastAsia="Arial" w:cs="Arial"/>
          <w:sz w:val="22"/>
          <w:szCs w:val="22"/>
        </w:rPr>
        <w:t xml:space="preserve">The first </w:t>
      </w:r>
      <w:proofErr w:type="spellStart"/>
      <w:r w:rsidRPr="7849A67F">
        <w:rPr>
          <w:rFonts w:eastAsia="Arial" w:cs="Arial"/>
          <w:sz w:val="22"/>
          <w:szCs w:val="22"/>
        </w:rPr>
        <w:t>meta</w:t>
      </w:r>
      <w:proofErr w:type="spellEnd"/>
      <w:r w:rsidRPr="7849A67F">
        <w:rPr>
          <w:rFonts w:eastAsia="Arial" w:cs="Arial"/>
          <w:sz w:val="22"/>
          <w:szCs w:val="22"/>
        </w:rPr>
        <w:t xml:space="preserve"> study </w:t>
      </w:r>
      <w:r w:rsidR="3C84E569" w:rsidRPr="7849A67F">
        <w:rPr>
          <w:rFonts w:eastAsia="Arial" w:cs="Arial"/>
          <w:sz w:val="22"/>
          <w:szCs w:val="22"/>
        </w:rPr>
        <w:t xml:space="preserve">using a sample group of projects </w:t>
      </w:r>
      <w:r w:rsidR="5A44379C" w:rsidRPr="7849A67F">
        <w:rPr>
          <w:rFonts w:eastAsia="Arial" w:cs="Arial"/>
          <w:sz w:val="22"/>
          <w:szCs w:val="22"/>
        </w:rPr>
        <w:t>was</w:t>
      </w:r>
      <w:r w:rsidRPr="7849A67F">
        <w:rPr>
          <w:rFonts w:eastAsia="Arial" w:cs="Arial"/>
          <w:sz w:val="22"/>
          <w:szCs w:val="22"/>
        </w:rPr>
        <w:t xml:space="preserve"> commissioned by the </w:t>
      </w:r>
      <w:r w:rsidR="54B9F22B" w:rsidRPr="7849A67F">
        <w:rPr>
          <w:rFonts w:eastAsia="Arial" w:cs="Arial"/>
          <w:sz w:val="22"/>
          <w:szCs w:val="22"/>
        </w:rPr>
        <w:t>Facility</w:t>
      </w:r>
      <w:r w:rsidRPr="7849A67F">
        <w:rPr>
          <w:rFonts w:eastAsia="Arial" w:cs="Arial"/>
          <w:sz w:val="22"/>
          <w:szCs w:val="22"/>
        </w:rPr>
        <w:t xml:space="preserve"> in 2022 to identify overarching findings and better understand the common challenges and lessons learnt. </w:t>
      </w:r>
      <w:r w:rsidR="10E464C6" w:rsidRPr="07AF1209">
        <w:rPr>
          <w:rFonts w:eastAsia="Arial" w:cs="Arial"/>
          <w:sz w:val="22"/>
          <w:szCs w:val="22"/>
        </w:rPr>
        <w:t xml:space="preserve">2023 </w:t>
      </w:r>
      <w:r w:rsidR="7F118426" w:rsidRPr="07AF1209">
        <w:rPr>
          <w:rFonts w:eastAsia="Arial" w:cs="Arial"/>
          <w:sz w:val="22"/>
          <w:szCs w:val="22"/>
        </w:rPr>
        <w:t>saw the Facility</w:t>
      </w:r>
      <w:r w:rsidR="10E464C6" w:rsidRPr="07AF1209">
        <w:rPr>
          <w:rFonts w:eastAsia="Arial" w:cs="Arial"/>
          <w:sz w:val="22"/>
          <w:szCs w:val="22"/>
        </w:rPr>
        <w:t xml:space="preserve"> </w:t>
      </w:r>
      <w:r w:rsidR="22F8B8FD" w:rsidRPr="7849A67F">
        <w:rPr>
          <w:rFonts w:eastAsia="Arial" w:cs="Arial"/>
          <w:sz w:val="22"/>
          <w:szCs w:val="22"/>
        </w:rPr>
        <w:t>taking on board the</w:t>
      </w:r>
      <w:r w:rsidR="52B0F85E" w:rsidRPr="7849A67F">
        <w:rPr>
          <w:rFonts w:eastAsia="Arial" w:cs="Arial"/>
          <w:sz w:val="22"/>
          <w:szCs w:val="22"/>
        </w:rPr>
        <w:t xml:space="preserve"> results of </w:t>
      </w:r>
      <w:r w:rsidR="30F55022" w:rsidRPr="07AF1209">
        <w:rPr>
          <w:rFonts w:eastAsia="Arial" w:cs="Arial"/>
          <w:sz w:val="22"/>
          <w:szCs w:val="22"/>
        </w:rPr>
        <w:t>th</w:t>
      </w:r>
      <w:r w:rsidR="6C117F5C" w:rsidRPr="07AF1209">
        <w:rPr>
          <w:rFonts w:eastAsia="Arial" w:cs="Arial"/>
          <w:sz w:val="22"/>
          <w:szCs w:val="22"/>
        </w:rPr>
        <w:t>at</w:t>
      </w:r>
      <w:r w:rsidR="30F55022" w:rsidRPr="07AF1209">
        <w:rPr>
          <w:rFonts w:eastAsia="Arial" w:cs="Arial"/>
          <w:sz w:val="22"/>
          <w:szCs w:val="22"/>
        </w:rPr>
        <w:t xml:space="preserve"> </w:t>
      </w:r>
      <w:r w:rsidR="52B0F85E" w:rsidRPr="7849A67F">
        <w:rPr>
          <w:rFonts w:eastAsia="Arial" w:cs="Arial"/>
          <w:sz w:val="22"/>
          <w:szCs w:val="22"/>
        </w:rPr>
        <w:t>first study</w:t>
      </w:r>
      <w:r w:rsidR="61DF6F44" w:rsidRPr="07AF1209">
        <w:rPr>
          <w:rFonts w:eastAsia="Arial" w:cs="Arial"/>
          <w:sz w:val="22"/>
          <w:szCs w:val="22"/>
        </w:rPr>
        <w:t>, such as</w:t>
      </w:r>
      <w:r w:rsidR="30F55022" w:rsidRPr="07AF1209">
        <w:rPr>
          <w:rFonts w:eastAsia="Arial" w:cs="Arial"/>
          <w:sz w:val="22"/>
          <w:szCs w:val="22"/>
        </w:rPr>
        <w:t xml:space="preserve"> </w:t>
      </w:r>
      <w:r w:rsidR="52B0F85E" w:rsidRPr="7849A67F">
        <w:rPr>
          <w:rFonts w:eastAsia="Arial" w:cs="Arial"/>
          <w:sz w:val="22"/>
          <w:szCs w:val="22"/>
        </w:rPr>
        <w:t xml:space="preserve">on lessons in catalysing transformational change </w:t>
      </w:r>
      <w:r w:rsidR="7A111CD2" w:rsidRPr="07AF1209">
        <w:rPr>
          <w:rFonts w:eastAsia="Arial" w:cs="Arial"/>
          <w:sz w:val="22"/>
          <w:szCs w:val="22"/>
        </w:rPr>
        <w:t>including</w:t>
      </w:r>
      <w:r w:rsidR="52B0F85E" w:rsidRPr="7849A67F">
        <w:rPr>
          <w:rFonts w:eastAsia="Arial" w:cs="Arial"/>
          <w:sz w:val="22"/>
          <w:szCs w:val="22"/>
        </w:rPr>
        <w:t xml:space="preserve"> linking technical and financial components more effectively for future projects. </w:t>
      </w:r>
      <w:r w:rsidR="22F8B8FD" w:rsidRPr="7849A67F">
        <w:rPr>
          <w:rFonts w:eastAsia="Arial" w:cs="Arial"/>
          <w:sz w:val="22"/>
          <w:szCs w:val="22"/>
        </w:rPr>
        <w:t xml:space="preserve">The second meta study will take place in 2024. </w:t>
      </w:r>
      <w:r w:rsidR="7A1894A0" w:rsidRPr="7849A67F">
        <w:rPr>
          <w:rFonts w:eastAsia="Arial" w:cs="Arial"/>
          <w:sz w:val="22"/>
          <w:szCs w:val="22"/>
        </w:rPr>
        <w:t>A 3</w:t>
      </w:r>
      <w:r w:rsidR="7A1894A0" w:rsidRPr="7849A67F">
        <w:rPr>
          <w:rFonts w:eastAsia="Arial" w:cs="Arial"/>
          <w:sz w:val="22"/>
          <w:szCs w:val="22"/>
          <w:vertAlign w:val="superscript"/>
        </w:rPr>
        <w:t>rd</w:t>
      </w:r>
      <w:r w:rsidR="7A1894A0" w:rsidRPr="7849A67F">
        <w:rPr>
          <w:rFonts w:eastAsia="Arial" w:cs="Arial"/>
          <w:sz w:val="22"/>
          <w:szCs w:val="22"/>
        </w:rPr>
        <w:t xml:space="preserve"> evaluation of the wider Facility has also been commissioned for 2024. </w:t>
      </w:r>
    </w:p>
    <w:p w14:paraId="4DB090F9" w14:textId="77777777" w:rsidR="00C96897" w:rsidRPr="001B483D" w:rsidRDefault="00C96897" w:rsidP="07AF1209">
      <w:pPr>
        <w:contextualSpacing/>
        <w:jc w:val="both"/>
        <w:rPr>
          <w:rFonts w:eastAsia="Arial" w:cs="Arial"/>
          <w:color w:val="5B9BD5" w:themeColor="accent5"/>
          <w:sz w:val="22"/>
          <w:szCs w:val="22"/>
        </w:rPr>
      </w:pPr>
    </w:p>
    <w:p w14:paraId="129DDE48" w14:textId="6015753C" w:rsidR="00C96897" w:rsidRPr="001B483D" w:rsidRDefault="00C96897" w:rsidP="07AF1209">
      <w:pPr>
        <w:contextualSpacing/>
        <w:jc w:val="both"/>
        <w:rPr>
          <w:rFonts w:eastAsia="Arial" w:cs="Arial"/>
          <w:sz w:val="22"/>
          <w:szCs w:val="22"/>
        </w:rPr>
      </w:pPr>
      <w:r w:rsidRPr="0A0530F7">
        <w:rPr>
          <w:rFonts w:eastAsia="Arial" w:cs="Arial"/>
          <w:sz w:val="22"/>
          <w:szCs w:val="22"/>
        </w:rPr>
        <w:t xml:space="preserve">In addition to the output results, the </w:t>
      </w:r>
      <w:r w:rsidR="00B84E53" w:rsidRPr="0A0530F7">
        <w:rPr>
          <w:rFonts w:eastAsia="Arial" w:cs="Arial"/>
          <w:sz w:val="22"/>
          <w:szCs w:val="22"/>
        </w:rPr>
        <w:t xml:space="preserve">MAF </w:t>
      </w:r>
      <w:r w:rsidRPr="0A0530F7">
        <w:rPr>
          <w:rFonts w:eastAsia="Arial" w:cs="Arial"/>
          <w:sz w:val="22"/>
          <w:szCs w:val="22"/>
        </w:rPr>
        <w:t xml:space="preserve">has demonstrated how it can evolve and respond to international climate priorities with the launch of the </w:t>
      </w:r>
      <w:r w:rsidR="148B5B4C" w:rsidRPr="0A0530F7">
        <w:rPr>
          <w:rFonts w:eastAsia="Arial" w:cs="Arial"/>
          <w:sz w:val="22"/>
          <w:szCs w:val="22"/>
        </w:rPr>
        <w:t>Call for Projects 2023</w:t>
      </w:r>
      <w:r w:rsidR="5176C38C" w:rsidRPr="0A0530F7">
        <w:rPr>
          <w:rFonts w:eastAsia="Arial" w:cs="Arial"/>
          <w:sz w:val="22"/>
          <w:szCs w:val="22"/>
        </w:rPr>
        <w:t>. The Call was</w:t>
      </w:r>
      <w:r w:rsidR="148B5B4C" w:rsidRPr="0A0530F7">
        <w:rPr>
          <w:rFonts w:eastAsia="Arial" w:cs="Arial"/>
          <w:sz w:val="22"/>
          <w:szCs w:val="22"/>
        </w:rPr>
        <w:t xml:space="preserve"> the first application window since the NAMA-</w:t>
      </w:r>
      <w:r w:rsidR="3799AD09" w:rsidRPr="0A0530F7">
        <w:rPr>
          <w:rFonts w:eastAsia="Arial" w:cs="Arial"/>
          <w:sz w:val="22"/>
          <w:szCs w:val="22"/>
        </w:rPr>
        <w:t>to-</w:t>
      </w:r>
      <w:r w:rsidR="148B5B4C" w:rsidRPr="0A0530F7">
        <w:rPr>
          <w:rFonts w:eastAsia="Arial" w:cs="Arial"/>
          <w:sz w:val="22"/>
          <w:szCs w:val="22"/>
        </w:rPr>
        <w:t>MAF rebrand,</w:t>
      </w:r>
      <w:r w:rsidR="009A50BE" w:rsidRPr="0A0530F7">
        <w:rPr>
          <w:rFonts w:eastAsia="Arial" w:cs="Arial"/>
          <w:sz w:val="22"/>
          <w:szCs w:val="22"/>
        </w:rPr>
        <w:t xml:space="preserve"> </w:t>
      </w:r>
      <w:r w:rsidR="002A1967" w:rsidRPr="0A0530F7">
        <w:rPr>
          <w:rFonts w:eastAsia="Arial" w:cs="Arial"/>
          <w:sz w:val="22"/>
          <w:szCs w:val="22"/>
        </w:rPr>
        <w:t>emphasising</w:t>
      </w:r>
      <w:r w:rsidR="00966597" w:rsidRPr="0A0530F7">
        <w:rPr>
          <w:rFonts w:eastAsia="Arial" w:cs="Arial"/>
          <w:sz w:val="22"/>
          <w:szCs w:val="22"/>
        </w:rPr>
        <w:t xml:space="preserve"> the Facility’s focus on </w:t>
      </w:r>
      <w:r w:rsidR="57C0EAC6" w:rsidRPr="0A0530F7">
        <w:rPr>
          <w:rFonts w:eastAsia="Arial" w:cs="Arial"/>
          <w:sz w:val="22"/>
          <w:szCs w:val="22"/>
        </w:rPr>
        <w:t xml:space="preserve">energy, industry and transport </w:t>
      </w:r>
      <w:r w:rsidR="536102C9" w:rsidRPr="0A0530F7">
        <w:rPr>
          <w:rFonts w:eastAsia="Arial" w:cs="Arial"/>
          <w:sz w:val="22"/>
          <w:szCs w:val="22"/>
        </w:rPr>
        <w:t xml:space="preserve">priority </w:t>
      </w:r>
      <w:r w:rsidR="57C0EAC6" w:rsidRPr="0A0530F7">
        <w:rPr>
          <w:rFonts w:eastAsia="Arial" w:cs="Arial"/>
          <w:sz w:val="22"/>
          <w:szCs w:val="22"/>
        </w:rPr>
        <w:t>sectors and alignment with the Breakthrough Agenda</w:t>
      </w:r>
      <w:r w:rsidR="00966597" w:rsidRPr="0A0530F7">
        <w:rPr>
          <w:rFonts w:eastAsia="Arial" w:cs="Arial"/>
          <w:sz w:val="22"/>
          <w:szCs w:val="22"/>
        </w:rPr>
        <w:t xml:space="preserve">. </w:t>
      </w:r>
      <w:r w:rsidR="75C92AD4" w:rsidRPr="0A0530F7">
        <w:rPr>
          <w:rFonts w:eastAsia="Arial" w:cs="Arial"/>
          <w:sz w:val="22"/>
          <w:szCs w:val="22"/>
        </w:rPr>
        <w:t xml:space="preserve">It was also the first time the Concept Phase of applications was introduced. </w:t>
      </w:r>
      <w:r w:rsidRPr="0A0530F7">
        <w:rPr>
          <w:rFonts w:eastAsia="Arial" w:cs="Arial"/>
          <w:sz w:val="22"/>
          <w:szCs w:val="22"/>
        </w:rPr>
        <w:t xml:space="preserve">The </w:t>
      </w:r>
      <w:r w:rsidR="00966597" w:rsidRPr="0A0530F7">
        <w:rPr>
          <w:rFonts w:eastAsia="Arial" w:cs="Arial"/>
          <w:sz w:val="22"/>
          <w:szCs w:val="22"/>
        </w:rPr>
        <w:t>round</w:t>
      </w:r>
      <w:r w:rsidRPr="0A0530F7">
        <w:rPr>
          <w:rFonts w:eastAsia="Arial" w:cs="Arial"/>
          <w:sz w:val="22"/>
          <w:szCs w:val="22"/>
        </w:rPr>
        <w:t xml:space="preserve"> closed for applications in </w:t>
      </w:r>
      <w:r w:rsidR="039D1827" w:rsidRPr="0A0530F7">
        <w:rPr>
          <w:rFonts w:eastAsia="Arial" w:cs="Arial"/>
          <w:sz w:val="22"/>
          <w:szCs w:val="22"/>
        </w:rPr>
        <w:t xml:space="preserve">July </w:t>
      </w:r>
      <w:r w:rsidRPr="0A0530F7">
        <w:rPr>
          <w:rFonts w:eastAsia="Arial" w:cs="Arial"/>
          <w:sz w:val="22"/>
          <w:szCs w:val="22"/>
        </w:rPr>
        <w:t>202</w:t>
      </w:r>
      <w:r w:rsidR="4DFF423D" w:rsidRPr="0A0530F7">
        <w:rPr>
          <w:rFonts w:eastAsia="Arial" w:cs="Arial"/>
          <w:sz w:val="22"/>
          <w:szCs w:val="22"/>
        </w:rPr>
        <w:t>3</w:t>
      </w:r>
      <w:r w:rsidRPr="0A0530F7">
        <w:rPr>
          <w:rFonts w:eastAsia="Arial" w:cs="Arial"/>
          <w:sz w:val="22"/>
          <w:szCs w:val="22"/>
        </w:rPr>
        <w:t xml:space="preserve"> </w:t>
      </w:r>
      <w:r w:rsidR="1175CC50" w:rsidRPr="0A0530F7">
        <w:rPr>
          <w:rFonts w:eastAsia="Arial" w:cs="Arial"/>
          <w:sz w:val="22"/>
          <w:szCs w:val="22"/>
        </w:rPr>
        <w:t>with a record 3</w:t>
      </w:r>
      <w:r w:rsidR="28D86DE3" w:rsidRPr="0A0530F7">
        <w:rPr>
          <w:rFonts w:eastAsia="Arial" w:cs="Arial"/>
          <w:sz w:val="22"/>
          <w:szCs w:val="22"/>
        </w:rPr>
        <w:t>0</w:t>
      </w:r>
      <w:r w:rsidR="1175CC50" w:rsidRPr="0A0530F7">
        <w:rPr>
          <w:rFonts w:eastAsia="Arial" w:cs="Arial"/>
          <w:sz w:val="22"/>
          <w:szCs w:val="22"/>
        </w:rPr>
        <w:t xml:space="preserve">7 eligible applications from 106 different countries, </w:t>
      </w:r>
      <w:r w:rsidR="162CD98E" w:rsidRPr="0A0530F7">
        <w:rPr>
          <w:rFonts w:eastAsia="Arial" w:cs="Arial"/>
          <w:sz w:val="22"/>
          <w:szCs w:val="22"/>
        </w:rPr>
        <w:t xml:space="preserve">demonstrating </w:t>
      </w:r>
      <w:r w:rsidR="33C25E91" w:rsidRPr="0A0530F7">
        <w:rPr>
          <w:rFonts w:eastAsia="Arial" w:cs="Arial"/>
          <w:sz w:val="22"/>
          <w:szCs w:val="22"/>
        </w:rPr>
        <w:t xml:space="preserve">the Concept Phase’s inaugural year </w:t>
      </w:r>
      <w:r w:rsidR="162CD98E" w:rsidRPr="0A0530F7">
        <w:rPr>
          <w:rFonts w:eastAsia="Arial" w:cs="Arial"/>
          <w:sz w:val="22"/>
          <w:szCs w:val="22"/>
        </w:rPr>
        <w:t>success in its’ bid to attract a diversified pool of applicants</w:t>
      </w:r>
      <w:r w:rsidR="28CB9D4F" w:rsidRPr="0A0530F7">
        <w:rPr>
          <w:rFonts w:eastAsia="Arial" w:cs="Arial"/>
          <w:sz w:val="22"/>
          <w:szCs w:val="22"/>
        </w:rPr>
        <w:t xml:space="preserve"> through creating a more accessible entry point</w:t>
      </w:r>
      <w:r w:rsidR="162CD98E" w:rsidRPr="0A0530F7">
        <w:rPr>
          <w:rFonts w:eastAsia="Arial" w:cs="Arial"/>
          <w:sz w:val="22"/>
          <w:szCs w:val="22"/>
        </w:rPr>
        <w:t>.</w:t>
      </w:r>
      <w:r w:rsidRPr="0A0530F7">
        <w:rPr>
          <w:rFonts w:eastAsia="Arial" w:cs="Arial"/>
          <w:sz w:val="22"/>
          <w:szCs w:val="22"/>
        </w:rPr>
        <w:t xml:space="preserve"> </w:t>
      </w:r>
      <w:r w:rsidR="11615294" w:rsidRPr="0A0530F7">
        <w:rPr>
          <w:rFonts w:eastAsia="Arial" w:cs="Arial"/>
          <w:sz w:val="22"/>
          <w:szCs w:val="22"/>
        </w:rPr>
        <w:t>I</w:t>
      </w:r>
      <w:r w:rsidR="00380296" w:rsidRPr="0A0530F7">
        <w:rPr>
          <w:rFonts w:eastAsia="Arial" w:cs="Arial"/>
          <w:sz w:val="22"/>
          <w:szCs w:val="22"/>
        </w:rPr>
        <w:t xml:space="preserve">n </w:t>
      </w:r>
      <w:r w:rsidR="45B0BA09" w:rsidRPr="0A0530F7">
        <w:rPr>
          <w:rFonts w:eastAsia="Arial" w:cs="Arial"/>
          <w:sz w:val="22"/>
          <w:szCs w:val="22"/>
        </w:rPr>
        <w:t xml:space="preserve">October </w:t>
      </w:r>
      <w:r w:rsidRPr="0A0530F7">
        <w:rPr>
          <w:rFonts w:eastAsia="Arial" w:cs="Arial"/>
          <w:sz w:val="22"/>
          <w:szCs w:val="22"/>
        </w:rPr>
        <w:t>202</w:t>
      </w:r>
      <w:r w:rsidR="52CF7224" w:rsidRPr="0A0530F7">
        <w:rPr>
          <w:rFonts w:eastAsia="Arial" w:cs="Arial"/>
          <w:sz w:val="22"/>
          <w:szCs w:val="22"/>
        </w:rPr>
        <w:t>3</w:t>
      </w:r>
      <w:r w:rsidRPr="0A0530F7">
        <w:rPr>
          <w:rFonts w:eastAsia="Arial" w:cs="Arial"/>
          <w:sz w:val="22"/>
          <w:szCs w:val="22"/>
        </w:rPr>
        <w:t xml:space="preserve">, the </w:t>
      </w:r>
      <w:r w:rsidR="002A1967" w:rsidRPr="0A0530F7">
        <w:rPr>
          <w:rFonts w:eastAsia="Arial" w:cs="Arial"/>
          <w:sz w:val="22"/>
          <w:szCs w:val="22"/>
        </w:rPr>
        <w:t>MAF</w:t>
      </w:r>
      <w:r w:rsidRPr="0A0530F7">
        <w:rPr>
          <w:rFonts w:eastAsia="Arial" w:cs="Arial"/>
          <w:sz w:val="22"/>
          <w:szCs w:val="22"/>
        </w:rPr>
        <w:t xml:space="preserve"> board selected </w:t>
      </w:r>
      <w:r w:rsidR="436891F3" w:rsidRPr="0A0530F7">
        <w:rPr>
          <w:rFonts w:eastAsia="Arial" w:cs="Arial"/>
          <w:sz w:val="22"/>
          <w:szCs w:val="22"/>
        </w:rPr>
        <w:t xml:space="preserve">28 </w:t>
      </w:r>
      <w:r w:rsidR="01866EF2" w:rsidRPr="0A0530F7">
        <w:rPr>
          <w:rFonts w:eastAsia="Arial" w:cs="Arial"/>
          <w:sz w:val="22"/>
          <w:szCs w:val="22"/>
        </w:rPr>
        <w:t>of these</w:t>
      </w:r>
      <w:r w:rsidR="06C927D5" w:rsidRPr="0A0530F7">
        <w:rPr>
          <w:rFonts w:eastAsia="Arial" w:cs="Arial"/>
          <w:sz w:val="22"/>
          <w:szCs w:val="22"/>
        </w:rPr>
        <w:t xml:space="preserve"> project proposals </w:t>
      </w:r>
      <w:r w:rsidR="3EF20B29" w:rsidRPr="0A0530F7">
        <w:rPr>
          <w:rFonts w:eastAsia="Arial" w:cs="Arial"/>
          <w:sz w:val="22"/>
          <w:szCs w:val="22"/>
        </w:rPr>
        <w:t xml:space="preserve">to progress into </w:t>
      </w:r>
      <w:r w:rsidR="2853193F" w:rsidRPr="0A0530F7">
        <w:rPr>
          <w:rFonts w:eastAsia="Arial" w:cs="Arial"/>
          <w:sz w:val="22"/>
          <w:szCs w:val="22"/>
        </w:rPr>
        <w:t>Outline</w:t>
      </w:r>
      <w:r w:rsidR="3EF20B29" w:rsidRPr="0A0530F7">
        <w:rPr>
          <w:rFonts w:eastAsia="Arial" w:cs="Arial"/>
          <w:sz w:val="22"/>
          <w:szCs w:val="22"/>
        </w:rPr>
        <w:t xml:space="preserve"> Phase</w:t>
      </w:r>
      <w:r w:rsidR="0E66907C" w:rsidRPr="0A0530F7">
        <w:rPr>
          <w:rFonts w:eastAsia="Arial" w:cs="Arial"/>
          <w:sz w:val="22"/>
          <w:szCs w:val="22"/>
        </w:rPr>
        <w:t xml:space="preserve">. 24 Outlines were </w:t>
      </w:r>
      <w:r w:rsidR="401DD834" w:rsidRPr="0A0530F7">
        <w:rPr>
          <w:rFonts w:eastAsia="Arial" w:cs="Arial"/>
          <w:sz w:val="22"/>
          <w:szCs w:val="22"/>
        </w:rPr>
        <w:t>indeed</w:t>
      </w:r>
      <w:r w:rsidR="4F68C6C6" w:rsidRPr="0A0530F7">
        <w:rPr>
          <w:rFonts w:eastAsia="Arial" w:cs="Arial"/>
          <w:sz w:val="22"/>
          <w:szCs w:val="22"/>
        </w:rPr>
        <w:t xml:space="preserve"> </w:t>
      </w:r>
      <w:r w:rsidR="0E66907C" w:rsidRPr="0A0530F7">
        <w:rPr>
          <w:rFonts w:eastAsia="Arial" w:cs="Arial"/>
          <w:sz w:val="22"/>
          <w:szCs w:val="22"/>
        </w:rPr>
        <w:t>received by 31 December 2023</w:t>
      </w:r>
      <w:r w:rsidR="6BBD78E8" w:rsidRPr="0A0530F7">
        <w:rPr>
          <w:rFonts w:eastAsia="Arial" w:cs="Arial"/>
          <w:sz w:val="22"/>
          <w:szCs w:val="22"/>
        </w:rPr>
        <w:t>,</w:t>
      </w:r>
      <w:r w:rsidR="113470B4" w:rsidRPr="0A0530F7">
        <w:rPr>
          <w:rFonts w:eastAsia="Arial" w:cs="Arial"/>
          <w:sz w:val="22"/>
          <w:szCs w:val="22"/>
        </w:rPr>
        <w:t xml:space="preserve"> </w:t>
      </w:r>
      <w:r w:rsidR="0CC5CF81" w:rsidRPr="0A0530F7">
        <w:rPr>
          <w:rFonts w:eastAsia="Arial" w:cs="Arial"/>
          <w:sz w:val="22"/>
          <w:szCs w:val="22"/>
        </w:rPr>
        <w:t xml:space="preserve">spanning </w:t>
      </w:r>
      <w:r w:rsidR="113470B4" w:rsidRPr="0A0530F7">
        <w:rPr>
          <w:rFonts w:eastAsia="Arial" w:cs="Arial"/>
          <w:sz w:val="22"/>
          <w:szCs w:val="22"/>
        </w:rPr>
        <w:t>all</w:t>
      </w:r>
      <w:r w:rsidR="011117E3" w:rsidRPr="0A0530F7">
        <w:rPr>
          <w:rFonts w:eastAsia="Arial" w:cs="Arial"/>
          <w:sz w:val="22"/>
          <w:szCs w:val="22"/>
        </w:rPr>
        <w:t xml:space="preserve"> </w:t>
      </w:r>
      <w:r w:rsidR="00866556" w:rsidRPr="0A0530F7">
        <w:rPr>
          <w:rFonts w:eastAsia="Arial" w:cs="Arial"/>
          <w:sz w:val="22"/>
          <w:szCs w:val="22"/>
        </w:rPr>
        <w:t xml:space="preserve">three </w:t>
      </w:r>
      <w:r w:rsidR="011117E3" w:rsidRPr="0A0530F7">
        <w:rPr>
          <w:rFonts w:eastAsia="Arial" w:cs="Arial"/>
          <w:sz w:val="22"/>
          <w:szCs w:val="22"/>
        </w:rPr>
        <w:t>priority sectors and all geographical regions</w:t>
      </w:r>
      <w:r w:rsidR="113470B4" w:rsidRPr="0A0530F7">
        <w:rPr>
          <w:rFonts w:eastAsia="Arial" w:cs="Arial"/>
          <w:sz w:val="22"/>
          <w:szCs w:val="22"/>
        </w:rPr>
        <w:t>.</w:t>
      </w:r>
    </w:p>
    <w:p w14:paraId="33AF157A" w14:textId="52702346" w:rsidR="00C96897" w:rsidRPr="001B483D" w:rsidRDefault="00C96897" w:rsidP="07AF1209">
      <w:pPr>
        <w:contextualSpacing/>
        <w:jc w:val="both"/>
        <w:rPr>
          <w:rFonts w:eastAsia="Arial" w:cs="Arial"/>
          <w:color w:val="5B9BD5" w:themeColor="accent5"/>
          <w:sz w:val="22"/>
          <w:szCs w:val="22"/>
        </w:rPr>
      </w:pPr>
    </w:p>
    <w:p w14:paraId="71037373" w14:textId="110879AE" w:rsidR="00C96897" w:rsidRPr="00F87E6A" w:rsidRDefault="00C96897" w:rsidP="07AF1209">
      <w:pPr>
        <w:contextualSpacing/>
        <w:jc w:val="both"/>
        <w:rPr>
          <w:rFonts w:eastAsia="Arial" w:cs="Arial"/>
          <w:sz w:val="22"/>
          <w:szCs w:val="22"/>
        </w:rPr>
      </w:pPr>
      <w:r w:rsidRPr="7849A67F">
        <w:rPr>
          <w:rFonts w:eastAsia="Arial" w:cs="Arial"/>
          <w:sz w:val="22"/>
          <w:szCs w:val="22"/>
        </w:rPr>
        <w:t xml:space="preserve">The </w:t>
      </w:r>
      <w:r w:rsidR="00877FFA" w:rsidRPr="7849A67F">
        <w:rPr>
          <w:rFonts w:eastAsia="Arial" w:cs="Arial"/>
          <w:sz w:val="22"/>
          <w:szCs w:val="22"/>
        </w:rPr>
        <w:t>MA</w:t>
      </w:r>
      <w:r w:rsidRPr="7849A67F">
        <w:rPr>
          <w:rFonts w:eastAsia="Arial" w:cs="Arial"/>
          <w:sz w:val="22"/>
          <w:szCs w:val="22"/>
        </w:rPr>
        <w:t xml:space="preserve">F’s risk level remains moderate due to implementation risks stemming mainly from </w:t>
      </w:r>
      <w:r w:rsidR="00432CE9" w:rsidRPr="7849A67F">
        <w:rPr>
          <w:rFonts w:eastAsia="Arial" w:cs="Arial"/>
          <w:sz w:val="22"/>
          <w:szCs w:val="22"/>
        </w:rPr>
        <w:t xml:space="preserve">delivery as projects are reliant on the ongoing support of </w:t>
      </w:r>
      <w:r w:rsidR="00414606" w:rsidRPr="7849A67F">
        <w:rPr>
          <w:rFonts w:eastAsia="Arial" w:cs="Arial"/>
          <w:sz w:val="22"/>
          <w:szCs w:val="22"/>
        </w:rPr>
        <w:t>recipient</w:t>
      </w:r>
      <w:r w:rsidR="00B54154" w:rsidRPr="7849A67F">
        <w:rPr>
          <w:rFonts w:eastAsia="Arial" w:cs="Arial"/>
          <w:sz w:val="22"/>
          <w:szCs w:val="22"/>
        </w:rPr>
        <w:t xml:space="preserve"> country governments and are often innovative in nature</w:t>
      </w:r>
      <w:r w:rsidR="00C20543" w:rsidRPr="7849A67F">
        <w:rPr>
          <w:rFonts w:eastAsia="Arial" w:cs="Arial"/>
          <w:sz w:val="22"/>
          <w:szCs w:val="22"/>
        </w:rPr>
        <w:t xml:space="preserve">, </w:t>
      </w:r>
      <w:r w:rsidR="001907CC" w:rsidRPr="7849A67F">
        <w:rPr>
          <w:rFonts w:eastAsia="Arial" w:cs="Arial"/>
          <w:sz w:val="22"/>
          <w:szCs w:val="22"/>
        </w:rPr>
        <w:t xml:space="preserve">and therefore </w:t>
      </w:r>
      <w:r w:rsidR="001831F7" w:rsidRPr="7849A67F">
        <w:rPr>
          <w:rFonts w:eastAsia="Arial" w:cs="Arial"/>
          <w:sz w:val="22"/>
          <w:szCs w:val="22"/>
        </w:rPr>
        <w:t xml:space="preserve">inherently </w:t>
      </w:r>
      <w:r w:rsidR="0052209A" w:rsidRPr="7849A67F">
        <w:rPr>
          <w:rFonts w:eastAsia="Arial" w:cs="Arial"/>
          <w:sz w:val="22"/>
          <w:szCs w:val="22"/>
        </w:rPr>
        <w:t>riskier</w:t>
      </w:r>
      <w:r w:rsidRPr="7849A67F">
        <w:rPr>
          <w:rFonts w:eastAsia="Arial" w:cs="Arial"/>
          <w:sz w:val="22"/>
          <w:szCs w:val="22"/>
        </w:rPr>
        <w:t xml:space="preserve">. Measures are in place to monitor and manage the ongoing risks, and the TSU provides regular updates to the </w:t>
      </w:r>
      <w:r w:rsidR="00A4038D" w:rsidRPr="7849A67F">
        <w:rPr>
          <w:rFonts w:eastAsia="Arial" w:cs="Arial"/>
          <w:sz w:val="22"/>
          <w:szCs w:val="22"/>
        </w:rPr>
        <w:t>MA</w:t>
      </w:r>
      <w:r w:rsidRPr="7849A67F">
        <w:rPr>
          <w:rFonts w:eastAsia="Arial" w:cs="Arial"/>
          <w:sz w:val="22"/>
          <w:szCs w:val="22"/>
        </w:rPr>
        <w:t xml:space="preserve">F </w:t>
      </w:r>
      <w:r w:rsidRPr="7849A67F">
        <w:rPr>
          <w:rFonts w:eastAsia="Arial" w:cs="Arial"/>
          <w:sz w:val="22"/>
          <w:szCs w:val="22"/>
        </w:rPr>
        <w:lastRenderedPageBreak/>
        <w:t xml:space="preserve">Board. Generally, the residual risk remains within our programme risk appetite given its ambitions.  </w:t>
      </w:r>
    </w:p>
    <w:p w14:paraId="7B570BA3" w14:textId="77777777" w:rsidR="003D222C" w:rsidRPr="00D80C6C" w:rsidRDefault="003D222C" w:rsidP="07AF1209">
      <w:pPr>
        <w:pStyle w:val="Heading2"/>
        <w:jc w:val="both"/>
        <w:rPr>
          <w:rFonts w:eastAsia="Arial" w:cs="Arial"/>
        </w:rPr>
      </w:pPr>
      <w:bookmarkStart w:id="6" w:name="_Toc172791893"/>
      <w:bookmarkStart w:id="7" w:name="_Toc2021391092"/>
      <w:r w:rsidRPr="75FA93ED">
        <w:rPr>
          <w:rFonts w:eastAsia="Arial" w:cs="Arial"/>
        </w:rPr>
        <w:t>Progress against recommendations from the last review</w:t>
      </w:r>
      <w:bookmarkEnd w:id="6"/>
      <w:bookmarkEnd w:id="7"/>
    </w:p>
    <w:p w14:paraId="55666261" w14:textId="77777777" w:rsidR="003D222C" w:rsidRPr="00D80C6C" w:rsidRDefault="003D222C" w:rsidP="001B4FD0">
      <w:pPr>
        <w:rPr>
          <w:rFonts w:eastAsia="Arial" w:cs="Arial"/>
          <w:b/>
          <w:sz w:val="22"/>
          <w:szCs w:val="22"/>
        </w:rPr>
      </w:pPr>
    </w:p>
    <w:tbl>
      <w:tblPr>
        <w:tblStyle w:val="TableGrid"/>
        <w:tblW w:w="0" w:type="auto"/>
        <w:tblLook w:val="04A0" w:firstRow="1" w:lastRow="0" w:firstColumn="1" w:lastColumn="0" w:noHBand="0" w:noVBand="1"/>
      </w:tblPr>
      <w:tblGrid>
        <w:gridCol w:w="4606"/>
        <w:gridCol w:w="4410"/>
      </w:tblGrid>
      <w:tr w:rsidR="003D222C" w:rsidRPr="00994098" w14:paraId="70C21392" w14:textId="77777777" w:rsidTr="5964CDA8">
        <w:trPr>
          <w:trHeight w:val="300"/>
        </w:trPr>
        <w:tc>
          <w:tcPr>
            <w:tcW w:w="4606" w:type="dxa"/>
            <w:shd w:val="clear" w:color="auto" w:fill="DEEAF6" w:themeFill="accent5" w:themeFillTint="33"/>
          </w:tcPr>
          <w:p w14:paraId="53D8F37C" w14:textId="77777777" w:rsidR="003D222C" w:rsidRPr="00994098" w:rsidRDefault="003D222C" w:rsidP="001B4FD0">
            <w:pPr>
              <w:rPr>
                <w:rFonts w:eastAsia="Arial" w:cs="Arial"/>
                <w:b/>
                <w:sz w:val="22"/>
                <w:szCs w:val="22"/>
              </w:rPr>
            </w:pPr>
            <w:r w:rsidRPr="00994098">
              <w:rPr>
                <w:rFonts w:eastAsia="Arial" w:cs="Arial"/>
                <w:b/>
                <w:sz w:val="22"/>
                <w:szCs w:val="22"/>
              </w:rPr>
              <w:t>Recommendation</w:t>
            </w:r>
          </w:p>
        </w:tc>
        <w:tc>
          <w:tcPr>
            <w:tcW w:w="4410" w:type="dxa"/>
            <w:shd w:val="clear" w:color="auto" w:fill="DEEAF6" w:themeFill="accent5" w:themeFillTint="33"/>
          </w:tcPr>
          <w:p w14:paraId="4501CA7E" w14:textId="77777777" w:rsidR="003D222C" w:rsidRPr="00994098" w:rsidRDefault="003D222C" w:rsidP="001B4FD0">
            <w:pPr>
              <w:rPr>
                <w:rFonts w:eastAsia="Arial" w:cs="Arial"/>
                <w:b/>
                <w:sz w:val="22"/>
                <w:szCs w:val="22"/>
              </w:rPr>
            </w:pPr>
            <w:r w:rsidRPr="00994098">
              <w:rPr>
                <w:rFonts w:eastAsia="Arial" w:cs="Arial"/>
                <w:b/>
                <w:sz w:val="22"/>
                <w:szCs w:val="22"/>
              </w:rPr>
              <w:t>Progress</w:t>
            </w:r>
          </w:p>
        </w:tc>
      </w:tr>
      <w:tr w:rsidR="003D222C" w:rsidRPr="00994098" w14:paraId="3B8F7C7F" w14:textId="77777777" w:rsidTr="5964CDA8">
        <w:trPr>
          <w:trHeight w:val="300"/>
        </w:trPr>
        <w:tc>
          <w:tcPr>
            <w:tcW w:w="4606" w:type="dxa"/>
          </w:tcPr>
          <w:p w14:paraId="5E6D47F4" w14:textId="0C6E3E2C" w:rsidR="003D222C" w:rsidRPr="00994098" w:rsidRDefault="19B17207" w:rsidP="4A9EF9D3">
            <w:pPr>
              <w:rPr>
                <w:rFonts w:eastAsia="Arial" w:cs="Arial"/>
                <w:sz w:val="22"/>
                <w:szCs w:val="22"/>
              </w:rPr>
            </w:pPr>
            <w:r w:rsidRPr="07AF1209">
              <w:rPr>
                <w:rFonts w:eastAsia="Arial" w:cs="Arial"/>
                <w:sz w:val="22"/>
                <w:szCs w:val="22"/>
              </w:rPr>
              <w:t xml:space="preserve">DESNZ to work with the TSU to agree and finalise indicators on scaling and gender for 2023 </w:t>
            </w:r>
            <w:proofErr w:type="spellStart"/>
            <w:r w:rsidRPr="07AF1209">
              <w:rPr>
                <w:rFonts w:eastAsia="Arial" w:cs="Arial"/>
                <w:sz w:val="22"/>
                <w:szCs w:val="22"/>
              </w:rPr>
              <w:t>logframe</w:t>
            </w:r>
            <w:proofErr w:type="spellEnd"/>
            <w:r w:rsidRPr="07AF1209">
              <w:rPr>
                <w:rFonts w:eastAsia="Arial" w:cs="Arial"/>
                <w:sz w:val="22"/>
                <w:szCs w:val="22"/>
              </w:rPr>
              <w:t xml:space="preserve"> data collection</w:t>
            </w:r>
            <w:r w:rsidR="00994098" w:rsidRPr="07AF1209">
              <w:rPr>
                <w:rFonts w:eastAsia="Arial" w:cs="Arial"/>
                <w:sz w:val="22"/>
                <w:szCs w:val="22"/>
              </w:rPr>
              <w:t>.</w:t>
            </w:r>
          </w:p>
          <w:p w14:paraId="6075B309" w14:textId="48A7D4D2" w:rsidR="003D222C" w:rsidRPr="00994098" w:rsidRDefault="003D222C" w:rsidP="4A9EF9D3">
            <w:pPr>
              <w:rPr>
                <w:rStyle w:val="eop"/>
                <w:rFonts w:eastAsia="Arial" w:cs="Arial"/>
                <w:b/>
                <w:bCs/>
                <w:sz w:val="22"/>
                <w:szCs w:val="22"/>
              </w:rPr>
            </w:pPr>
          </w:p>
        </w:tc>
        <w:tc>
          <w:tcPr>
            <w:tcW w:w="4410" w:type="dxa"/>
          </w:tcPr>
          <w:p w14:paraId="1E6248CC" w14:textId="03D8E545" w:rsidR="003D222C" w:rsidRPr="00994098" w:rsidRDefault="1457A1F6" w:rsidP="001B4FD0">
            <w:pPr>
              <w:rPr>
                <w:rFonts w:eastAsia="Arial" w:cs="Arial"/>
                <w:sz w:val="22"/>
                <w:szCs w:val="22"/>
              </w:rPr>
            </w:pPr>
            <w:r w:rsidRPr="0A0530F7">
              <w:rPr>
                <w:rFonts w:eastAsia="Arial" w:cs="Arial"/>
                <w:b/>
                <w:bCs/>
                <w:sz w:val="22"/>
                <w:szCs w:val="22"/>
              </w:rPr>
              <w:t xml:space="preserve">Complete </w:t>
            </w:r>
            <w:r w:rsidRPr="0A0530F7">
              <w:rPr>
                <w:rFonts w:eastAsia="Arial" w:cs="Arial"/>
                <w:sz w:val="22"/>
                <w:szCs w:val="22"/>
              </w:rPr>
              <w:t xml:space="preserve">– these new indicators were finalised in 2023 and are included in the latest </w:t>
            </w:r>
            <w:proofErr w:type="spellStart"/>
            <w:r w:rsidRPr="0A0530F7">
              <w:rPr>
                <w:rFonts w:eastAsia="Arial" w:cs="Arial"/>
                <w:sz w:val="22"/>
                <w:szCs w:val="22"/>
              </w:rPr>
              <w:t>logframe</w:t>
            </w:r>
            <w:proofErr w:type="spellEnd"/>
            <w:r w:rsidRPr="0A0530F7">
              <w:rPr>
                <w:rFonts w:eastAsia="Arial" w:cs="Arial"/>
                <w:sz w:val="22"/>
                <w:szCs w:val="22"/>
              </w:rPr>
              <w:t xml:space="preserve"> (4.</w:t>
            </w:r>
            <w:r w:rsidR="5437A7B9" w:rsidRPr="0A0530F7">
              <w:rPr>
                <w:rFonts w:eastAsia="Arial" w:cs="Arial"/>
                <w:sz w:val="22"/>
                <w:szCs w:val="22"/>
              </w:rPr>
              <w:t>3</w:t>
            </w:r>
            <w:r w:rsidRPr="0A0530F7">
              <w:rPr>
                <w:rFonts w:eastAsia="Arial" w:cs="Arial"/>
                <w:sz w:val="22"/>
                <w:szCs w:val="22"/>
              </w:rPr>
              <w:t xml:space="preserve">, 5.1 and 5.2) to be reported on from 2024. </w:t>
            </w:r>
          </w:p>
        </w:tc>
      </w:tr>
      <w:tr w:rsidR="00D0302B" w:rsidRPr="00994098" w14:paraId="2483F714" w14:textId="77777777" w:rsidTr="5964CDA8">
        <w:trPr>
          <w:trHeight w:val="300"/>
        </w:trPr>
        <w:tc>
          <w:tcPr>
            <w:tcW w:w="4606" w:type="dxa"/>
          </w:tcPr>
          <w:p w14:paraId="0B161E91" w14:textId="09912C13" w:rsidR="00D0302B" w:rsidRPr="00994098" w:rsidRDefault="64B71A60" w:rsidP="4A9EF9D3">
            <w:pPr>
              <w:rPr>
                <w:rFonts w:eastAsia="Arial" w:cs="Arial"/>
                <w:b/>
                <w:bCs/>
                <w:sz w:val="22"/>
                <w:szCs w:val="22"/>
              </w:rPr>
            </w:pPr>
            <w:r w:rsidRPr="07AF1209">
              <w:rPr>
                <w:rFonts w:eastAsia="Arial" w:cs="Arial"/>
                <w:sz w:val="22"/>
                <w:szCs w:val="22"/>
              </w:rPr>
              <w:t>TSU and donors finalise and publish the Gender Action Plan</w:t>
            </w:r>
            <w:r w:rsidR="00994098" w:rsidRPr="07AF1209">
              <w:rPr>
                <w:rFonts w:eastAsia="Arial" w:cs="Arial"/>
                <w:sz w:val="22"/>
                <w:szCs w:val="22"/>
              </w:rPr>
              <w:t>.</w:t>
            </w:r>
            <w:r w:rsidRPr="00994098">
              <w:rPr>
                <w:rStyle w:val="normaltextrun"/>
                <w:rFonts w:eastAsia="Arial" w:cs="Arial"/>
                <w:b/>
                <w:bCs/>
                <w:sz w:val="22"/>
                <w:szCs w:val="22"/>
              </w:rPr>
              <w:t xml:space="preserve"> </w:t>
            </w:r>
          </w:p>
          <w:p w14:paraId="25E1262C" w14:textId="0B08AD4C" w:rsidR="00D0302B" w:rsidRPr="00994098" w:rsidRDefault="656FF9FF" w:rsidP="4A9EF9D3">
            <w:pPr>
              <w:rPr>
                <w:rFonts w:eastAsia="Arial" w:cs="Arial"/>
                <w:b/>
                <w:bCs/>
                <w:sz w:val="22"/>
                <w:szCs w:val="22"/>
              </w:rPr>
            </w:pPr>
            <w:r w:rsidRPr="00994098">
              <w:rPr>
                <w:rStyle w:val="normaltextrun"/>
                <w:rFonts w:eastAsia="Arial" w:cs="Arial"/>
                <w:b/>
                <w:bCs/>
                <w:sz w:val="22"/>
                <w:szCs w:val="22"/>
                <w:shd w:val="clear" w:color="auto" w:fill="FFFFFF"/>
              </w:rPr>
              <w:t> </w:t>
            </w:r>
            <w:r w:rsidRPr="00994098">
              <w:rPr>
                <w:rStyle w:val="eop"/>
                <w:rFonts w:eastAsia="Arial" w:cs="Arial"/>
                <w:sz w:val="22"/>
                <w:szCs w:val="22"/>
                <w:shd w:val="clear" w:color="auto" w:fill="FFFFFF"/>
              </w:rPr>
              <w:t> </w:t>
            </w:r>
          </w:p>
        </w:tc>
        <w:tc>
          <w:tcPr>
            <w:tcW w:w="4410" w:type="dxa"/>
          </w:tcPr>
          <w:p w14:paraId="49823DA6" w14:textId="6875283B" w:rsidR="00D0302B" w:rsidRPr="00994098" w:rsidRDefault="67BD29A8" w:rsidP="4A9EF9D3">
            <w:pPr>
              <w:rPr>
                <w:rFonts w:eastAsia="Arial" w:cs="Arial"/>
                <w:sz w:val="22"/>
                <w:szCs w:val="22"/>
              </w:rPr>
            </w:pPr>
            <w:r w:rsidRPr="00994098">
              <w:rPr>
                <w:rFonts w:eastAsia="Arial" w:cs="Arial"/>
                <w:b/>
                <w:bCs/>
                <w:sz w:val="22"/>
                <w:szCs w:val="22"/>
              </w:rPr>
              <w:t xml:space="preserve">Complete </w:t>
            </w:r>
            <w:r w:rsidRPr="00994098">
              <w:rPr>
                <w:rFonts w:eastAsia="Arial" w:cs="Arial"/>
                <w:sz w:val="22"/>
                <w:szCs w:val="22"/>
              </w:rPr>
              <w:t>– the Gender Action Plan was published in August 2023.</w:t>
            </w:r>
          </w:p>
        </w:tc>
      </w:tr>
      <w:tr w:rsidR="00D0302B" w:rsidRPr="00994098" w14:paraId="76F25969" w14:textId="77777777" w:rsidTr="5964CDA8">
        <w:trPr>
          <w:trHeight w:val="300"/>
        </w:trPr>
        <w:tc>
          <w:tcPr>
            <w:tcW w:w="4606" w:type="dxa"/>
          </w:tcPr>
          <w:p w14:paraId="288EAE0A" w14:textId="7A6A4FC3" w:rsidR="00D0302B" w:rsidRPr="00994098" w:rsidRDefault="3EC70A25" w:rsidP="4A9EF9D3">
            <w:pPr>
              <w:rPr>
                <w:rFonts w:eastAsia="Arial" w:cs="Arial"/>
                <w:sz w:val="22"/>
                <w:szCs w:val="22"/>
              </w:rPr>
            </w:pPr>
            <w:r w:rsidRPr="07AF1209">
              <w:rPr>
                <w:rFonts w:eastAsia="Arial" w:cs="Arial"/>
                <w:sz w:val="22"/>
                <w:szCs w:val="22"/>
              </w:rPr>
              <w:t xml:space="preserve">Implement recommendations under Outputs 1, 2, 3, and 5 as detailed in Section C. </w:t>
            </w:r>
          </w:p>
          <w:p w14:paraId="76FFE955" w14:textId="6DEA4288" w:rsidR="00D0302B" w:rsidRPr="00994098" w:rsidRDefault="36696CD2" w:rsidP="4A9EF9D3">
            <w:pPr>
              <w:rPr>
                <w:rFonts w:eastAsia="Arial" w:cs="Arial"/>
                <w:b/>
                <w:bCs/>
                <w:sz w:val="22"/>
                <w:szCs w:val="22"/>
              </w:rPr>
            </w:pPr>
            <w:r w:rsidRPr="00994098">
              <w:rPr>
                <w:rStyle w:val="eop"/>
                <w:rFonts w:eastAsia="Arial" w:cs="Arial"/>
                <w:sz w:val="22"/>
                <w:szCs w:val="22"/>
                <w:shd w:val="clear" w:color="auto" w:fill="FFFFFF"/>
              </w:rPr>
              <w:t> </w:t>
            </w:r>
          </w:p>
        </w:tc>
        <w:tc>
          <w:tcPr>
            <w:tcW w:w="4410" w:type="dxa"/>
          </w:tcPr>
          <w:p w14:paraId="52A74AED" w14:textId="6CF13C2B" w:rsidR="00D0302B" w:rsidRPr="00994098" w:rsidRDefault="0649C980" w:rsidP="4A9EF9D3">
            <w:pPr>
              <w:rPr>
                <w:rFonts w:eastAsia="Arial" w:cs="Arial"/>
                <w:sz w:val="22"/>
                <w:szCs w:val="22"/>
              </w:rPr>
            </w:pPr>
            <w:r w:rsidRPr="00994098">
              <w:rPr>
                <w:rFonts w:eastAsia="Arial" w:cs="Arial"/>
                <w:b/>
                <w:bCs/>
                <w:sz w:val="22"/>
                <w:szCs w:val="22"/>
              </w:rPr>
              <w:t xml:space="preserve">Complete </w:t>
            </w:r>
            <w:r w:rsidRPr="00994098">
              <w:rPr>
                <w:rFonts w:eastAsia="Arial" w:cs="Arial"/>
                <w:sz w:val="22"/>
                <w:szCs w:val="22"/>
              </w:rPr>
              <w:t xml:space="preserve">– recommendations were taken into consideration and enacted </w:t>
            </w:r>
            <w:r w:rsidR="3064F7B5" w:rsidRPr="00994098">
              <w:rPr>
                <w:rFonts w:eastAsia="Arial" w:cs="Arial"/>
                <w:sz w:val="22"/>
                <w:szCs w:val="22"/>
              </w:rPr>
              <w:t xml:space="preserve">during M&amp;E discussions throughout the year, targets adjusted. </w:t>
            </w:r>
          </w:p>
        </w:tc>
      </w:tr>
      <w:tr w:rsidR="00F43C7C" w:rsidRPr="00994098" w14:paraId="58F28264" w14:textId="77777777" w:rsidTr="5964CDA8">
        <w:trPr>
          <w:trHeight w:val="300"/>
        </w:trPr>
        <w:tc>
          <w:tcPr>
            <w:tcW w:w="4606" w:type="dxa"/>
          </w:tcPr>
          <w:p w14:paraId="797352F9" w14:textId="01500C22" w:rsidR="00F43C7C" w:rsidRPr="00994098" w:rsidRDefault="3E2F31DE" w:rsidP="4A9EF9D3">
            <w:pPr>
              <w:rPr>
                <w:rFonts w:eastAsia="Arial" w:cs="Arial"/>
                <w:sz w:val="22"/>
                <w:szCs w:val="22"/>
              </w:rPr>
            </w:pPr>
            <w:r w:rsidRPr="75FA93ED">
              <w:rPr>
                <w:rFonts w:eastAsia="Arial" w:cs="Arial"/>
                <w:sz w:val="22"/>
                <w:szCs w:val="22"/>
              </w:rPr>
              <w:t xml:space="preserve">TSU and donors to undertake project management review to assess and </w:t>
            </w:r>
            <w:r w:rsidR="27B453C5" w:rsidRPr="75FA93ED">
              <w:rPr>
                <w:rFonts w:eastAsia="Arial" w:cs="Arial"/>
                <w:sz w:val="22"/>
                <w:szCs w:val="22"/>
              </w:rPr>
              <w:t>i</w:t>
            </w:r>
            <w:r w:rsidRPr="75FA93ED">
              <w:rPr>
                <w:rFonts w:eastAsia="Arial" w:cs="Arial"/>
                <w:sz w:val="22"/>
                <w:szCs w:val="22"/>
              </w:rPr>
              <w:t>mprove engagement with, and offer of support to projects, including but not limited to risk management, budgeting and forecasting and enhance the quality of the proposals presented at the end of Detailed Preparation Phase</w:t>
            </w:r>
            <w:r w:rsidR="00994098" w:rsidRPr="75FA93ED">
              <w:rPr>
                <w:rFonts w:eastAsia="Arial" w:cs="Arial"/>
                <w:sz w:val="22"/>
                <w:szCs w:val="22"/>
              </w:rPr>
              <w:t>.</w:t>
            </w:r>
          </w:p>
          <w:p w14:paraId="5AE64DE5" w14:textId="57208C1C" w:rsidR="00F43C7C" w:rsidRPr="00994098" w:rsidRDefault="00F43C7C" w:rsidP="4A9EF9D3">
            <w:pPr>
              <w:rPr>
                <w:rStyle w:val="normaltextrun"/>
                <w:rFonts w:eastAsia="Arial" w:cs="Arial"/>
                <w:b/>
                <w:bCs/>
                <w:sz w:val="22"/>
                <w:szCs w:val="22"/>
                <w:shd w:val="clear" w:color="auto" w:fill="FFFFFF"/>
              </w:rPr>
            </w:pPr>
          </w:p>
        </w:tc>
        <w:tc>
          <w:tcPr>
            <w:tcW w:w="4410" w:type="dxa"/>
          </w:tcPr>
          <w:p w14:paraId="5047436D" w14:textId="476022C3" w:rsidR="00F43C7C" w:rsidRPr="00994098" w:rsidRDefault="0EBB43BA" w:rsidP="7849A67F">
            <w:pPr>
              <w:rPr>
                <w:rFonts w:eastAsia="Arial" w:cs="Arial"/>
                <w:sz w:val="22"/>
                <w:szCs w:val="22"/>
              </w:rPr>
            </w:pPr>
            <w:r w:rsidRPr="0A0530F7">
              <w:rPr>
                <w:rFonts w:eastAsia="Arial" w:cs="Arial"/>
                <w:b/>
                <w:bCs/>
                <w:sz w:val="22"/>
                <w:szCs w:val="22"/>
              </w:rPr>
              <w:t xml:space="preserve">Ongoing </w:t>
            </w:r>
            <w:r w:rsidRPr="0A0530F7">
              <w:rPr>
                <w:rFonts w:eastAsia="Arial" w:cs="Arial"/>
                <w:sz w:val="22"/>
                <w:szCs w:val="22"/>
              </w:rPr>
              <w:t>- TSU planning and governance enhancements</w:t>
            </w:r>
            <w:r w:rsidR="348A8E2D" w:rsidRPr="0A0530F7">
              <w:rPr>
                <w:rFonts w:eastAsia="Arial" w:cs="Arial"/>
                <w:sz w:val="22"/>
                <w:szCs w:val="22"/>
              </w:rPr>
              <w:t xml:space="preserve"> were taken to the next level </w:t>
            </w:r>
            <w:r w:rsidR="65477B79" w:rsidRPr="0A0530F7">
              <w:rPr>
                <w:rFonts w:eastAsia="Arial" w:cs="Arial"/>
                <w:sz w:val="22"/>
                <w:szCs w:val="22"/>
              </w:rPr>
              <w:t xml:space="preserve">by the end of December 2023 with </w:t>
            </w:r>
            <w:r w:rsidR="14E04699" w:rsidRPr="0A0530F7">
              <w:rPr>
                <w:rFonts w:eastAsia="Arial" w:cs="Arial"/>
                <w:sz w:val="22"/>
                <w:szCs w:val="22"/>
              </w:rPr>
              <w:t>a set of 2024 deliverables devised including better risk management, more detailed and quantitative reporting</w:t>
            </w:r>
            <w:r w:rsidR="34C6A38D" w:rsidRPr="0A0530F7">
              <w:rPr>
                <w:rFonts w:eastAsia="Arial" w:cs="Arial"/>
                <w:sz w:val="22"/>
                <w:szCs w:val="22"/>
              </w:rPr>
              <w:t xml:space="preserve"> to donors and steps to increase the </w:t>
            </w:r>
            <w:r w:rsidR="51E94D54" w:rsidRPr="0A0530F7">
              <w:rPr>
                <w:rFonts w:eastAsia="Arial" w:cs="Arial"/>
                <w:sz w:val="22"/>
                <w:szCs w:val="22"/>
              </w:rPr>
              <w:t>competitiveness</w:t>
            </w:r>
            <w:r w:rsidR="253ABE14" w:rsidRPr="0A0530F7">
              <w:rPr>
                <w:rFonts w:eastAsia="Arial" w:cs="Arial"/>
                <w:sz w:val="22"/>
                <w:szCs w:val="22"/>
              </w:rPr>
              <w:t xml:space="preserve"> and quality</w:t>
            </w:r>
            <w:r w:rsidR="34C6A38D" w:rsidRPr="0A0530F7">
              <w:rPr>
                <w:rFonts w:eastAsia="Arial" w:cs="Arial"/>
                <w:sz w:val="22"/>
                <w:szCs w:val="22"/>
              </w:rPr>
              <w:t xml:space="preserve"> of projects at the end of DPP.</w:t>
            </w:r>
            <w:r w:rsidR="379A631D" w:rsidRPr="0A0530F7">
              <w:rPr>
                <w:rFonts w:eastAsia="Arial" w:cs="Arial"/>
                <w:sz w:val="22"/>
                <w:szCs w:val="22"/>
              </w:rPr>
              <w:t xml:space="preserve"> DESNZ has seen good progress in all these areas to date.</w:t>
            </w:r>
          </w:p>
        </w:tc>
      </w:tr>
      <w:tr w:rsidR="00F43C7C" w:rsidRPr="00994098" w14:paraId="544972EC" w14:textId="77777777" w:rsidTr="5964CDA8">
        <w:trPr>
          <w:trHeight w:val="300"/>
        </w:trPr>
        <w:tc>
          <w:tcPr>
            <w:tcW w:w="4606" w:type="dxa"/>
          </w:tcPr>
          <w:p w14:paraId="18F324AD" w14:textId="1A0C0EAE" w:rsidR="00F43C7C" w:rsidRPr="00994098" w:rsidRDefault="3EE4A956" w:rsidP="4A9EF9D3">
            <w:pPr>
              <w:rPr>
                <w:rFonts w:eastAsia="Arial" w:cs="Arial"/>
                <w:color w:val="2B579A"/>
                <w:sz w:val="22"/>
                <w:szCs w:val="22"/>
              </w:rPr>
            </w:pPr>
            <w:r w:rsidRPr="07AF1209">
              <w:rPr>
                <w:rFonts w:eastAsia="Arial" w:cs="Arial"/>
                <w:sz w:val="22"/>
                <w:szCs w:val="22"/>
              </w:rPr>
              <w:t>TSU recruits of M&amp;E, comms, gender and finance experts to enhance the capacity and function of the secretariat</w:t>
            </w:r>
            <w:r w:rsidR="00994098" w:rsidRPr="07AF1209">
              <w:rPr>
                <w:rFonts w:eastAsia="Arial" w:cs="Arial"/>
                <w:sz w:val="22"/>
                <w:szCs w:val="22"/>
              </w:rPr>
              <w:t>.</w:t>
            </w:r>
          </w:p>
          <w:p w14:paraId="3118FD7A" w14:textId="6C1CD3EB" w:rsidR="00F43C7C" w:rsidRPr="00994098" w:rsidRDefault="00F43C7C" w:rsidP="4A9EF9D3">
            <w:pPr>
              <w:rPr>
                <w:rStyle w:val="normaltextrun"/>
                <w:rFonts w:eastAsia="Arial" w:cs="Arial"/>
                <w:b/>
                <w:bCs/>
                <w:sz w:val="22"/>
                <w:szCs w:val="22"/>
                <w:shd w:val="clear" w:color="auto" w:fill="FFFFFF"/>
              </w:rPr>
            </w:pPr>
          </w:p>
        </w:tc>
        <w:tc>
          <w:tcPr>
            <w:tcW w:w="4410" w:type="dxa"/>
          </w:tcPr>
          <w:p w14:paraId="26C0FA27" w14:textId="4527923D" w:rsidR="00F43C7C" w:rsidRPr="00994098" w:rsidRDefault="04DF67C0" w:rsidP="7849A67F">
            <w:pPr>
              <w:rPr>
                <w:rFonts w:eastAsia="Arial" w:cs="Arial"/>
                <w:sz w:val="22"/>
                <w:szCs w:val="22"/>
              </w:rPr>
            </w:pPr>
            <w:r w:rsidRPr="00994098">
              <w:rPr>
                <w:rFonts w:eastAsia="Arial" w:cs="Arial"/>
                <w:b/>
                <w:bCs/>
                <w:sz w:val="22"/>
                <w:szCs w:val="22"/>
              </w:rPr>
              <w:t>Complete</w:t>
            </w:r>
            <w:r w:rsidR="483D5499" w:rsidRPr="00994098">
              <w:rPr>
                <w:rFonts w:eastAsia="Arial" w:cs="Arial"/>
                <w:b/>
                <w:bCs/>
                <w:sz w:val="22"/>
                <w:szCs w:val="22"/>
              </w:rPr>
              <w:t xml:space="preserve"> </w:t>
            </w:r>
            <w:r w:rsidR="483D5499" w:rsidRPr="00994098">
              <w:rPr>
                <w:rFonts w:eastAsia="Arial" w:cs="Arial"/>
                <w:sz w:val="22"/>
                <w:szCs w:val="22"/>
              </w:rPr>
              <w:t>– gender, comms and M&amp;E expertise was successfully recruited for in 2023 and finance expertise has additionally been recruited by the time of writing in 2024.</w:t>
            </w:r>
          </w:p>
        </w:tc>
      </w:tr>
      <w:tr w:rsidR="4A9EF9D3" w:rsidRPr="00994098" w14:paraId="26770FD3" w14:textId="77777777" w:rsidTr="5964CDA8">
        <w:trPr>
          <w:trHeight w:val="300"/>
        </w:trPr>
        <w:tc>
          <w:tcPr>
            <w:tcW w:w="4606" w:type="dxa"/>
          </w:tcPr>
          <w:p w14:paraId="6BB2FB57" w14:textId="77A727AA" w:rsidR="48B397BD" w:rsidRPr="00994098" w:rsidRDefault="4015B311" w:rsidP="4A9EF9D3">
            <w:pPr>
              <w:rPr>
                <w:rFonts w:eastAsia="Arial" w:cs="Arial"/>
                <w:sz w:val="22"/>
                <w:szCs w:val="22"/>
              </w:rPr>
            </w:pPr>
            <w:r w:rsidRPr="75FA93ED">
              <w:rPr>
                <w:rFonts w:eastAsia="Arial" w:cs="Arial"/>
                <w:sz w:val="22"/>
                <w:szCs w:val="22"/>
              </w:rPr>
              <w:t>TSU and donors design and implement a communications plan to enhance MAF’s call and Facility promotional capabilities</w:t>
            </w:r>
            <w:r w:rsidR="00994098" w:rsidRPr="75FA93ED">
              <w:rPr>
                <w:rFonts w:eastAsia="Arial" w:cs="Arial"/>
                <w:sz w:val="22"/>
                <w:szCs w:val="22"/>
              </w:rPr>
              <w:t>.</w:t>
            </w:r>
          </w:p>
        </w:tc>
        <w:tc>
          <w:tcPr>
            <w:tcW w:w="4410" w:type="dxa"/>
          </w:tcPr>
          <w:p w14:paraId="48BFC94C" w14:textId="014E5F11" w:rsidR="4A9EF9D3" w:rsidRPr="00994098" w:rsidRDefault="3D686179" w:rsidP="7849A67F">
            <w:pPr>
              <w:rPr>
                <w:rFonts w:eastAsia="Arial" w:cs="Arial"/>
                <w:sz w:val="22"/>
                <w:szCs w:val="22"/>
              </w:rPr>
            </w:pPr>
            <w:r w:rsidRPr="00994098">
              <w:rPr>
                <w:rFonts w:eastAsia="Arial" w:cs="Arial"/>
                <w:b/>
                <w:bCs/>
                <w:sz w:val="22"/>
                <w:szCs w:val="22"/>
              </w:rPr>
              <w:t>Complete</w:t>
            </w:r>
            <w:r w:rsidR="6B66566A" w:rsidRPr="00994098">
              <w:rPr>
                <w:rFonts w:eastAsia="Arial" w:cs="Arial"/>
                <w:b/>
                <w:bCs/>
                <w:sz w:val="22"/>
                <w:szCs w:val="22"/>
              </w:rPr>
              <w:t xml:space="preserve"> – </w:t>
            </w:r>
            <w:r w:rsidR="6B66566A" w:rsidRPr="00994098">
              <w:rPr>
                <w:rFonts w:eastAsia="Arial" w:cs="Arial"/>
                <w:sz w:val="22"/>
                <w:szCs w:val="22"/>
              </w:rPr>
              <w:t>a comms strategy was presented at the October 2023 board meeting, which feeds into the outreach activities planned for 2024.</w:t>
            </w:r>
          </w:p>
        </w:tc>
      </w:tr>
      <w:tr w:rsidR="4A9EF9D3" w:rsidRPr="00994098" w14:paraId="05CDD798" w14:textId="77777777" w:rsidTr="5964CDA8">
        <w:trPr>
          <w:trHeight w:val="300"/>
        </w:trPr>
        <w:tc>
          <w:tcPr>
            <w:tcW w:w="4606" w:type="dxa"/>
          </w:tcPr>
          <w:p w14:paraId="4ED7C23F" w14:textId="7A949092" w:rsidR="48B397BD" w:rsidRPr="00994098" w:rsidRDefault="48B397BD" w:rsidP="4A9EF9D3">
            <w:pPr>
              <w:rPr>
                <w:rFonts w:eastAsia="Arial" w:cs="Arial"/>
                <w:sz w:val="22"/>
                <w:szCs w:val="22"/>
              </w:rPr>
            </w:pPr>
            <w:r w:rsidRPr="75FA93ED">
              <w:rPr>
                <w:rFonts w:eastAsia="Arial" w:cs="Arial"/>
                <w:sz w:val="22"/>
                <w:szCs w:val="22"/>
              </w:rPr>
              <w:t>TSU to hold more frequent (annual) project exchange workshops and facilitate engagement between donors and project leads</w:t>
            </w:r>
            <w:r w:rsidR="00994098" w:rsidRPr="75FA93ED">
              <w:rPr>
                <w:rFonts w:eastAsia="Arial" w:cs="Arial"/>
                <w:sz w:val="22"/>
                <w:szCs w:val="22"/>
              </w:rPr>
              <w:t>.</w:t>
            </w:r>
          </w:p>
        </w:tc>
        <w:tc>
          <w:tcPr>
            <w:tcW w:w="4410" w:type="dxa"/>
          </w:tcPr>
          <w:p w14:paraId="39D17DF2" w14:textId="3C53EB6D" w:rsidR="4A9EF9D3" w:rsidRPr="00994098" w:rsidRDefault="504D748F" w:rsidP="7849A67F">
            <w:pPr>
              <w:rPr>
                <w:rFonts w:eastAsia="Arial" w:cs="Arial"/>
                <w:sz w:val="22"/>
                <w:szCs w:val="22"/>
              </w:rPr>
            </w:pPr>
            <w:r w:rsidRPr="5964CDA8">
              <w:rPr>
                <w:rFonts w:eastAsia="Arial" w:cs="Arial"/>
                <w:b/>
                <w:bCs/>
                <w:sz w:val="22"/>
                <w:szCs w:val="22"/>
              </w:rPr>
              <w:t xml:space="preserve">Complete – </w:t>
            </w:r>
            <w:r w:rsidR="6F0A892C" w:rsidRPr="5964CDA8">
              <w:rPr>
                <w:rFonts w:eastAsia="Arial" w:cs="Arial"/>
                <w:sz w:val="22"/>
                <w:szCs w:val="22"/>
              </w:rPr>
              <w:t xml:space="preserve">a Global Project Exchange Workshop for projects in implementation took place in </w:t>
            </w:r>
            <w:proofErr w:type="spellStart"/>
            <w:r w:rsidR="6F0A892C" w:rsidRPr="5964CDA8">
              <w:rPr>
                <w:rFonts w:eastAsia="Arial" w:cs="Arial"/>
                <w:sz w:val="22"/>
                <w:szCs w:val="22"/>
              </w:rPr>
              <w:t>Nauen</w:t>
            </w:r>
            <w:proofErr w:type="spellEnd"/>
            <w:r w:rsidR="6F0A892C" w:rsidRPr="5964CDA8">
              <w:rPr>
                <w:rFonts w:eastAsia="Arial" w:cs="Arial"/>
                <w:sz w:val="22"/>
                <w:szCs w:val="22"/>
              </w:rPr>
              <w:t>, Germany in June 2023, which amongst others included a project fair and exchange between Donors and projects. Donors also set the ambition to hold one Board meeting in a project country per year</w:t>
            </w:r>
            <w:r w:rsidR="073F29DB" w:rsidRPr="5964CDA8">
              <w:rPr>
                <w:rFonts w:eastAsia="Arial" w:cs="Arial"/>
                <w:sz w:val="22"/>
                <w:szCs w:val="22"/>
              </w:rPr>
              <w:t>. T</w:t>
            </w:r>
            <w:r w:rsidRPr="5964CDA8">
              <w:rPr>
                <w:rFonts w:eastAsia="Arial" w:cs="Arial"/>
                <w:sz w:val="22"/>
                <w:szCs w:val="22"/>
              </w:rPr>
              <w:t>he next project exchange workshop is being planned for autumn 2024</w:t>
            </w:r>
            <w:r w:rsidR="6CEAE9E9" w:rsidRPr="5964CDA8">
              <w:rPr>
                <w:rFonts w:eastAsia="Arial" w:cs="Arial"/>
                <w:sz w:val="22"/>
                <w:szCs w:val="22"/>
              </w:rPr>
              <w:t xml:space="preserve"> focusing on the industry sector</w:t>
            </w:r>
            <w:r w:rsidR="2C6B631B" w:rsidRPr="5964CDA8">
              <w:rPr>
                <w:rFonts w:eastAsia="Arial" w:cs="Arial"/>
                <w:sz w:val="22"/>
                <w:szCs w:val="22"/>
              </w:rPr>
              <w:t>.</w:t>
            </w:r>
          </w:p>
        </w:tc>
      </w:tr>
    </w:tbl>
    <w:p w14:paraId="6763142A" w14:textId="77777777" w:rsidR="002A35D1" w:rsidRDefault="002A35D1" w:rsidP="4629A6F6">
      <w:pPr>
        <w:rPr>
          <w:rStyle w:val="Heading2Char"/>
          <w:rFonts w:eastAsia="Arial" w:cs="Arial"/>
        </w:rPr>
      </w:pPr>
    </w:p>
    <w:p w14:paraId="788BE7E1" w14:textId="3F6D83B9" w:rsidR="003D222C" w:rsidRPr="009E3F6E" w:rsidRDefault="003D222C" w:rsidP="07AF1209">
      <w:pPr>
        <w:jc w:val="both"/>
        <w:rPr>
          <w:rFonts w:eastAsia="Arial" w:cs="Arial"/>
        </w:rPr>
      </w:pPr>
      <w:bookmarkStart w:id="8" w:name="_Toc172791894"/>
      <w:bookmarkStart w:id="9" w:name="_Toc1451049755"/>
      <w:r w:rsidRPr="75FA93ED">
        <w:rPr>
          <w:rStyle w:val="Heading2Char"/>
          <w:rFonts w:eastAsia="Arial" w:cs="Arial"/>
        </w:rPr>
        <w:t>Major lessons and recommendations for the year ahead</w:t>
      </w:r>
      <w:bookmarkEnd w:id="8"/>
      <w:bookmarkEnd w:id="9"/>
      <w:r w:rsidRPr="75FA93ED">
        <w:rPr>
          <w:rFonts w:eastAsia="Arial" w:cs="Arial"/>
        </w:rPr>
        <w:t xml:space="preserve"> </w:t>
      </w:r>
    </w:p>
    <w:p w14:paraId="35B99B47" w14:textId="77777777" w:rsidR="00080070" w:rsidRDefault="00080070" w:rsidP="07AF1209">
      <w:pPr>
        <w:jc w:val="both"/>
        <w:rPr>
          <w:rFonts w:eastAsia="Arial" w:cs="Arial"/>
          <w:color w:val="5B9BD5" w:themeColor="accent5"/>
          <w:sz w:val="22"/>
          <w:szCs w:val="22"/>
        </w:rPr>
      </w:pPr>
    </w:p>
    <w:p w14:paraId="00EDFDD1" w14:textId="0DBF2154" w:rsidR="00926B11" w:rsidRPr="00993CA0" w:rsidRDefault="00926B11" w:rsidP="5964CDA8">
      <w:pPr>
        <w:pStyle w:val="paragraph"/>
        <w:spacing w:before="0" w:beforeAutospacing="0" w:after="0" w:afterAutospacing="0"/>
        <w:jc w:val="both"/>
        <w:textAlignment w:val="baseline"/>
        <w:rPr>
          <w:rFonts w:ascii="Arial" w:eastAsia="Arial" w:hAnsi="Arial" w:cs="Arial"/>
          <w:color w:val="000000"/>
          <w:sz w:val="22"/>
          <w:szCs w:val="22"/>
        </w:rPr>
      </w:pPr>
      <w:r w:rsidRPr="5964CDA8">
        <w:rPr>
          <w:rStyle w:val="normaltextrun"/>
          <w:rFonts w:ascii="Arial" w:eastAsia="Arial" w:hAnsi="Arial" w:cs="Arial"/>
          <w:color w:val="000000" w:themeColor="text1"/>
          <w:sz w:val="22"/>
          <w:szCs w:val="22"/>
        </w:rPr>
        <w:t xml:space="preserve">The </w:t>
      </w:r>
      <w:r w:rsidR="004D547A" w:rsidRPr="5964CDA8">
        <w:rPr>
          <w:rStyle w:val="normaltextrun"/>
          <w:rFonts w:ascii="Arial" w:eastAsia="Arial" w:hAnsi="Arial" w:cs="Arial"/>
          <w:color w:val="000000" w:themeColor="text1"/>
          <w:sz w:val="22"/>
          <w:szCs w:val="22"/>
        </w:rPr>
        <w:t>’A’ score</w:t>
      </w:r>
      <w:r w:rsidR="007E4800" w:rsidRPr="5964CDA8">
        <w:rPr>
          <w:rStyle w:val="normaltextrun"/>
          <w:rFonts w:ascii="Arial" w:eastAsia="Arial" w:hAnsi="Arial" w:cs="Arial"/>
          <w:color w:val="000000" w:themeColor="text1"/>
          <w:sz w:val="22"/>
          <w:szCs w:val="22"/>
        </w:rPr>
        <w:t xml:space="preserve"> headlining this annual review</w:t>
      </w:r>
      <w:r w:rsidRPr="5964CDA8">
        <w:rPr>
          <w:rStyle w:val="normaltextrun"/>
          <w:rFonts w:ascii="Arial" w:eastAsia="Arial" w:hAnsi="Arial" w:cs="Arial"/>
          <w:color w:val="000000" w:themeColor="text1"/>
          <w:sz w:val="22"/>
          <w:szCs w:val="22"/>
        </w:rPr>
        <w:t xml:space="preserve"> </w:t>
      </w:r>
      <w:r w:rsidR="0CDAB83C" w:rsidRPr="5964CDA8">
        <w:rPr>
          <w:rStyle w:val="normaltextrun"/>
          <w:rFonts w:ascii="Arial" w:eastAsia="Arial" w:hAnsi="Arial" w:cs="Arial"/>
          <w:color w:val="000000" w:themeColor="text1"/>
          <w:sz w:val="22"/>
          <w:szCs w:val="22"/>
        </w:rPr>
        <w:t>reflects</w:t>
      </w:r>
      <w:r w:rsidRPr="5964CDA8">
        <w:rPr>
          <w:rStyle w:val="normaltextrun"/>
          <w:rFonts w:ascii="Arial" w:eastAsia="Arial" w:hAnsi="Arial" w:cs="Arial"/>
          <w:color w:val="000000" w:themeColor="text1"/>
          <w:sz w:val="22"/>
          <w:szCs w:val="22"/>
        </w:rPr>
        <w:t xml:space="preserve"> the efforts undertaken </w:t>
      </w:r>
      <w:r w:rsidR="711C059A" w:rsidRPr="5964CDA8">
        <w:rPr>
          <w:rStyle w:val="normaltextrun"/>
          <w:rFonts w:ascii="Arial" w:eastAsia="Arial" w:hAnsi="Arial" w:cs="Arial"/>
          <w:color w:val="000000" w:themeColor="text1"/>
          <w:sz w:val="22"/>
          <w:szCs w:val="22"/>
        </w:rPr>
        <w:t>by the TSU and donors</w:t>
      </w:r>
      <w:r w:rsidR="6FF7EE5B" w:rsidRPr="5964CDA8">
        <w:rPr>
          <w:rStyle w:val="normaltextrun"/>
          <w:rFonts w:ascii="Arial" w:eastAsia="Arial" w:hAnsi="Arial" w:cs="Arial"/>
          <w:color w:val="000000" w:themeColor="text1"/>
          <w:sz w:val="22"/>
          <w:szCs w:val="22"/>
        </w:rPr>
        <w:t xml:space="preserve"> </w:t>
      </w:r>
      <w:r w:rsidR="31BD2EA3" w:rsidRPr="5964CDA8">
        <w:rPr>
          <w:rStyle w:val="normaltextrun"/>
          <w:rFonts w:ascii="Arial" w:eastAsia="Arial" w:hAnsi="Arial" w:cs="Arial"/>
          <w:color w:val="000000" w:themeColor="text1"/>
          <w:sz w:val="22"/>
          <w:szCs w:val="22"/>
        </w:rPr>
        <w:t xml:space="preserve">since </w:t>
      </w:r>
      <w:r w:rsidR="11C35493" w:rsidRPr="5964CDA8">
        <w:rPr>
          <w:rStyle w:val="normaltextrun"/>
          <w:rFonts w:ascii="Arial" w:eastAsia="Arial" w:hAnsi="Arial" w:cs="Arial"/>
          <w:color w:val="000000" w:themeColor="text1"/>
          <w:sz w:val="22"/>
          <w:szCs w:val="22"/>
        </w:rPr>
        <w:t>t</w:t>
      </w:r>
      <w:r w:rsidR="31BD2EA3" w:rsidRPr="5964CDA8">
        <w:rPr>
          <w:rStyle w:val="normaltextrun"/>
          <w:rFonts w:ascii="Arial" w:eastAsia="Arial" w:hAnsi="Arial" w:cs="Arial"/>
          <w:color w:val="000000" w:themeColor="text1"/>
          <w:sz w:val="22"/>
          <w:szCs w:val="22"/>
        </w:rPr>
        <w:t>he last annual review</w:t>
      </w:r>
      <w:r w:rsidRPr="5964CDA8">
        <w:rPr>
          <w:rStyle w:val="normaltextrun"/>
          <w:rFonts w:ascii="Arial" w:eastAsia="Arial" w:hAnsi="Arial" w:cs="Arial"/>
          <w:color w:val="000000" w:themeColor="text1"/>
          <w:sz w:val="22"/>
          <w:szCs w:val="22"/>
        </w:rPr>
        <w:t xml:space="preserve"> and </w:t>
      </w:r>
      <w:r w:rsidR="7F85BA79" w:rsidRPr="5964CDA8">
        <w:rPr>
          <w:rStyle w:val="normaltextrun"/>
          <w:rFonts w:ascii="Arial" w:eastAsia="Arial" w:hAnsi="Arial" w:cs="Arial"/>
          <w:color w:val="000000" w:themeColor="text1"/>
          <w:sz w:val="22"/>
          <w:szCs w:val="22"/>
        </w:rPr>
        <w:t>the</w:t>
      </w:r>
      <w:r w:rsidRPr="5964CDA8">
        <w:rPr>
          <w:rStyle w:val="normaltextrun"/>
          <w:rFonts w:ascii="Arial" w:eastAsia="Arial" w:hAnsi="Arial" w:cs="Arial"/>
          <w:color w:val="000000" w:themeColor="text1"/>
          <w:sz w:val="22"/>
          <w:szCs w:val="22"/>
        </w:rPr>
        <w:t xml:space="preserve"> performance of </w:t>
      </w:r>
      <w:r w:rsidR="34D891E2" w:rsidRPr="5964CDA8">
        <w:rPr>
          <w:rStyle w:val="normaltextrun"/>
          <w:rFonts w:ascii="Arial" w:eastAsia="Arial" w:hAnsi="Arial" w:cs="Arial"/>
          <w:color w:val="000000" w:themeColor="text1"/>
          <w:sz w:val="22"/>
          <w:szCs w:val="22"/>
        </w:rPr>
        <w:t>the</w:t>
      </w:r>
      <w:r w:rsidR="6FF7EE5B" w:rsidRPr="5964CDA8">
        <w:rPr>
          <w:rStyle w:val="normaltextrun"/>
          <w:rFonts w:ascii="Arial" w:eastAsia="Arial" w:hAnsi="Arial" w:cs="Arial"/>
          <w:color w:val="000000" w:themeColor="text1"/>
          <w:sz w:val="22"/>
          <w:szCs w:val="22"/>
        </w:rPr>
        <w:t xml:space="preserve"> MAF </w:t>
      </w:r>
      <w:r w:rsidR="0F7B4891" w:rsidRPr="5964CDA8">
        <w:rPr>
          <w:rStyle w:val="normaltextrun"/>
          <w:rFonts w:ascii="Arial" w:eastAsia="Arial" w:hAnsi="Arial" w:cs="Arial"/>
          <w:color w:val="000000" w:themeColor="text1"/>
          <w:sz w:val="22"/>
          <w:szCs w:val="22"/>
        </w:rPr>
        <w:t>portfolio</w:t>
      </w:r>
      <w:r w:rsidRPr="5964CDA8">
        <w:rPr>
          <w:rStyle w:val="normaltextrun"/>
          <w:rFonts w:ascii="Arial" w:eastAsia="Arial" w:hAnsi="Arial" w:cs="Arial"/>
          <w:color w:val="000000" w:themeColor="text1"/>
          <w:sz w:val="22"/>
          <w:szCs w:val="22"/>
        </w:rPr>
        <w:t xml:space="preserve"> this year, particularly </w:t>
      </w:r>
      <w:r w:rsidR="007E4800" w:rsidRPr="5964CDA8">
        <w:rPr>
          <w:rStyle w:val="normaltextrun"/>
          <w:rFonts w:ascii="Arial" w:eastAsia="Arial" w:hAnsi="Arial" w:cs="Arial"/>
          <w:color w:val="000000" w:themeColor="text1"/>
          <w:sz w:val="22"/>
          <w:szCs w:val="22"/>
        </w:rPr>
        <w:t>regarding</w:t>
      </w:r>
      <w:r w:rsidRPr="5964CDA8">
        <w:rPr>
          <w:rStyle w:val="normaltextrun"/>
          <w:rFonts w:ascii="Arial" w:eastAsia="Arial" w:hAnsi="Arial" w:cs="Arial"/>
          <w:color w:val="000000" w:themeColor="text1"/>
          <w:sz w:val="22"/>
          <w:szCs w:val="22"/>
        </w:rPr>
        <w:t xml:space="preserve"> achieved milestones, the delivery of </w:t>
      </w:r>
      <w:r w:rsidR="1B73C4B9" w:rsidRPr="5964CDA8">
        <w:rPr>
          <w:rStyle w:val="normaltextrun"/>
          <w:rFonts w:ascii="Arial" w:eastAsia="Arial" w:hAnsi="Arial" w:cs="Arial"/>
          <w:color w:val="000000" w:themeColor="text1"/>
          <w:sz w:val="22"/>
          <w:szCs w:val="22"/>
        </w:rPr>
        <w:t>Call for Projects 2023</w:t>
      </w:r>
      <w:r w:rsidRPr="5964CDA8">
        <w:rPr>
          <w:rStyle w:val="normaltextrun"/>
          <w:rFonts w:ascii="Arial" w:eastAsia="Arial" w:hAnsi="Arial" w:cs="Arial"/>
          <w:color w:val="000000" w:themeColor="text1"/>
          <w:sz w:val="22"/>
          <w:szCs w:val="22"/>
        </w:rPr>
        <w:t xml:space="preserve">, and positive outcomes of project evaluations. Over the next reporting period, </w:t>
      </w:r>
      <w:r w:rsidR="00993CA0" w:rsidRPr="5964CDA8">
        <w:rPr>
          <w:rStyle w:val="normaltextrun"/>
          <w:rFonts w:ascii="Arial" w:eastAsia="Arial" w:hAnsi="Arial" w:cs="Arial"/>
          <w:color w:val="000000" w:themeColor="text1"/>
          <w:sz w:val="22"/>
          <w:szCs w:val="22"/>
        </w:rPr>
        <w:t xml:space="preserve">DESNZ </w:t>
      </w:r>
      <w:r w:rsidRPr="5964CDA8">
        <w:rPr>
          <w:rStyle w:val="normaltextrun"/>
          <w:rFonts w:ascii="Arial" w:eastAsia="Arial" w:hAnsi="Arial" w:cs="Arial"/>
          <w:color w:val="000000" w:themeColor="text1"/>
          <w:sz w:val="22"/>
          <w:szCs w:val="22"/>
        </w:rPr>
        <w:t>expect</w:t>
      </w:r>
      <w:r w:rsidR="00993CA0" w:rsidRPr="5964CDA8">
        <w:rPr>
          <w:rStyle w:val="normaltextrun"/>
          <w:rFonts w:ascii="Arial" w:eastAsia="Arial" w:hAnsi="Arial" w:cs="Arial"/>
          <w:color w:val="000000" w:themeColor="text1"/>
          <w:sz w:val="22"/>
          <w:szCs w:val="22"/>
        </w:rPr>
        <w:t>s</w:t>
      </w:r>
      <w:r w:rsidRPr="5964CDA8">
        <w:rPr>
          <w:rStyle w:val="normaltextrun"/>
          <w:rFonts w:ascii="Arial" w:eastAsia="Arial" w:hAnsi="Arial" w:cs="Arial"/>
          <w:color w:val="000000" w:themeColor="text1"/>
          <w:sz w:val="22"/>
          <w:szCs w:val="22"/>
        </w:rPr>
        <w:t xml:space="preserve"> </w:t>
      </w:r>
      <w:r w:rsidR="008F0932" w:rsidRPr="5964CDA8">
        <w:rPr>
          <w:rStyle w:val="normaltextrun"/>
          <w:rFonts w:ascii="Arial" w:eastAsia="Arial" w:hAnsi="Arial" w:cs="Arial"/>
          <w:color w:val="000000" w:themeColor="text1"/>
          <w:sz w:val="22"/>
          <w:szCs w:val="22"/>
        </w:rPr>
        <w:t>MAF</w:t>
      </w:r>
      <w:r w:rsidRPr="5964CDA8">
        <w:rPr>
          <w:rStyle w:val="normaltextrun"/>
          <w:rFonts w:ascii="Arial" w:eastAsia="Arial" w:hAnsi="Arial" w:cs="Arial"/>
          <w:color w:val="000000" w:themeColor="text1"/>
          <w:sz w:val="22"/>
          <w:szCs w:val="22"/>
        </w:rPr>
        <w:t xml:space="preserve"> to build on both the achievements and lessons learnt</w:t>
      </w:r>
      <w:r w:rsidR="00950DC3" w:rsidRPr="5964CDA8">
        <w:rPr>
          <w:rStyle w:val="normaltextrun"/>
          <w:rFonts w:ascii="Arial" w:eastAsia="Arial" w:hAnsi="Arial" w:cs="Arial"/>
          <w:color w:val="000000" w:themeColor="text1"/>
          <w:sz w:val="22"/>
          <w:szCs w:val="22"/>
        </w:rPr>
        <w:t xml:space="preserve"> </w:t>
      </w:r>
      <w:r w:rsidRPr="5964CDA8">
        <w:rPr>
          <w:rStyle w:val="normaltextrun"/>
          <w:rFonts w:ascii="Arial" w:eastAsia="Arial" w:hAnsi="Arial" w:cs="Arial"/>
          <w:color w:val="000000" w:themeColor="text1"/>
          <w:sz w:val="22"/>
          <w:szCs w:val="22"/>
        </w:rPr>
        <w:t xml:space="preserve">to ensure that it continues to be a high performing </w:t>
      </w:r>
      <w:r w:rsidRPr="5964CDA8">
        <w:rPr>
          <w:rStyle w:val="normaltextrun"/>
          <w:rFonts w:ascii="Arial" w:eastAsia="Arial" w:hAnsi="Arial" w:cs="Arial"/>
          <w:color w:val="000000" w:themeColor="text1"/>
          <w:sz w:val="22"/>
          <w:szCs w:val="22"/>
        </w:rPr>
        <w:lastRenderedPageBreak/>
        <w:t xml:space="preserve">delivery vehicle for </w:t>
      </w:r>
      <w:r w:rsidR="00121AAF" w:rsidRPr="5964CDA8">
        <w:rPr>
          <w:rStyle w:val="normaltextrun"/>
          <w:rFonts w:ascii="Arial" w:eastAsia="Arial" w:hAnsi="Arial" w:cs="Arial"/>
          <w:color w:val="000000" w:themeColor="text1"/>
          <w:sz w:val="22"/>
          <w:szCs w:val="22"/>
        </w:rPr>
        <w:t>I</w:t>
      </w:r>
      <w:r w:rsidRPr="5964CDA8">
        <w:rPr>
          <w:rStyle w:val="normaltextrun"/>
          <w:rFonts w:ascii="Arial" w:eastAsia="Arial" w:hAnsi="Arial" w:cs="Arial"/>
          <w:color w:val="000000" w:themeColor="text1"/>
          <w:sz w:val="22"/>
          <w:szCs w:val="22"/>
        </w:rPr>
        <w:t xml:space="preserve">nternational </w:t>
      </w:r>
      <w:r w:rsidR="00121AAF" w:rsidRPr="5964CDA8">
        <w:rPr>
          <w:rStyle w:val="normaltextrun"/>
          <w:rFonts w:ascii="Arial" w:eastAsia="Arial" w:hAnsi="Arial" w:cs="Arial"/>
          <w:color w:val="000000" w:themeColor="text1"/>
          <w:sz w:val="22"/>
          <w:szCs w:val="22"/>
        </w:rPr>
        <w:t>C</w:t>
      </w:r>
      <w:r w:rsidRPr="5964CDA8">
        <w:rPr>
          <w:rStyle w:val="normaltextrun"/>
          <w:rFonts w:ascii="Arial" w:eastAsia="Arial" w:hAnsi="Arial" w:cs="Arial"/>
          <w:color w:val="000000" w:themeColor="text1"/>
          <w:sz w:val="22"/>
          <w:szCs w:val="22"/>
        </w:rPr>
        <w:t xml:space="preserve">limate </w:t>
      </w:r>
      <w:r w:rsidR="00121AAF" w:rsidRPr="5964CDA8">
        <w:rPr>
          <w:rStyle w:val="normaltextrun"/>
          <w:rFonts w:ascii="Arial" w:eastAsia="Arial" w:hAnsi="Arial" w:cs="Arial"/>
          <w:color w:val="000000" w:themeColor="text1"/>
          <w:sz w:val="22"/>
          <w:szCs w:val="22"/>
        </w:rPr>
        <w:t>F</w:t>
      </w:r>
      <w:r w:rsidRPr="5964CDA8">
        <w:rPr>
          <w:rStyle w:val="normaltextrun"/>
          <w:rFonts w:ascii="Arial" w:eastAsia="Arial" w:hAnsi="Arial" w:cs="Arial"/>
          <w:color w:val="000000" w:themeColor="text1"/>
          <w:sz w:val="22"/>
          <w:szCs w:val="22"/>
        </w:rPr>
        <w:t xml:space="preserve">inance. This includes the successful delivery of the </w:t>
      </w:r>
      <w:r w:rsidR="005A2E02" w:rsidRPr="5964CDA8">
        <w:rPr>
          <w:rStyle w:val="normaltextrun"/>
          <w:rFonts w:ascii="Arial" w:eastAsia="Arial" w:hAnsi="Arial" w:cs="Arial"/>
          <w:color w:val="000000" w:themeColor="text1"/>
          <w:sz w:val="22"/>
          <w:szCs w:val="22"/>
        </w:rPr>
        <w:t>202</w:t>
      </w:r>
      <w:r w:rsidR="59E3EA78" w:rsidRPr="5964CDA8">
        <w:rPr>
          <w:rStyle w:val="normaltextrun"/>
          <w:rFonts w:ascii="Arial" w:eastAsia="Arial" w:hAnsi="Arial" w:cs="Arial"/>
          <w:color w:val="000000" w:themeColor="text1"/>
          <w:sz w:val="22"/>
          <w:szCs w:val="22"/>
        </w:rPr>
        <w:t>4</w:t>
      </w:r>
      <w:r w:rsidR="005A2E02" w:rsidRPr="5964CDA8">
        <w:rPr>
          <w:rStyle w:val="normaltextrun"/>
          <w:rFonts w:ascii="Arial" w:eastAsia="Arial" w:hAnsi="Arial" w:cs="Arial"/>
          <w:color w:val="000000" w:themeColor="text1"/>
          <w:sz w:val="22"/>
          <w:szCs w:val="22"/>
        </w:rPr>
        <w:t xml:space="preserve"> Call for Projects</w:t>
      </w:r>
      <w:r w:rsidRPr="5964CDA8">
        <w:rPr>
          <w:rStyle w:val="normaltextrun"/>
          <w:rFonts w:ascii="Arial" w:eastAsia="Arial" w:hAnsi="Arial" w:cs="Arial"/>
          <w:color w:val="000000" w:themeColor="text1"/>
          <w:sz w:val="22"/>
          <w:szCs w:val="22"/>
        </w:rPr>
        <w:t xml:space="preserve">, </w:t>
      </w:r>
      <w:r w:rsidR="2E809514" w:rsidRPr="5964CDA8">
        <w:rPr>
          <w:rStyle w:val="normaltextrun"/>
          <w:rFonts w:ascii="Arial" w:eastAsia="Arial" w:hAnsi="Arial" w:cs="Arial"/>
          <w:color w:val="000000" w:themeColor="text1"/>
          <w:sz w:val="22"/>
          <w:szCs w:val="22"/>
        </w:rPr>
        <w:t xml:space="preserve">operationalising the newly formed Advisory Committee, </w:t>
      </w:r>
      <w:r w:rsidRPr="5964CDA8">
        <w:rPr>
          <w:rStyle w:val="normaltextrun"/>
          <w:rFonts w:ascii="Arial" w:eastAsia="Arial" w:hAnsi="Arial" w:cs="Arial"/>
          <w:color w:val="000000" w:themeColor="text1"/>
          <w:sz w:val="22"/>
          <w:szCs w:val="22"/>
        </w:rPr>
        <w:t>updating relevant</w:t>
      </w:r>
      <w:r w:rsidR="00821ACB" w:rsidRPr="5964CDA8">
        <w:rPr>
          <w:rStyle w:val="normaltextrun"/>
          <w:rFonts w:ascii="Arial" w:eastAsia="Arial" w:hAnsi="Arial" w:cs="Arial"/>
          <w:color w:val="000000" w:themeColor="text1"/>
          <w:sz w:val="22"/>
          <w:szCs w:val="22"/>
        </w:rPr>
        <w:t xml:space="preserve"> </w:t>
      </w:r>
      <w:proofErr w:type="spellStart"/>
      <w:r w:rsidR="00821ACB" w:rsidRPr="5964CDA8">
        <w:rPr>
          <w:rStyle w:val="normaltextrun"/>
          <w:rFonts w:ascii="Arial" w:eastAsia="Arial" w:hAnsi="Arial" w:cs="Arial"/>
          <w:color w:val="000000" w:themeColor="text1"/>
          <w:sz w:val="22"/>
          <w:szCs w:val="22"/>
        </w:rPr>
        <w:t>logframe</w:t>
      </w:r>
      <w:proofErr w:type="spellEnd"/>
      <w:r w:rsidRPr="5964CDA8">
        <w:rPr>
          <w:rStyle w:val="normaltextrun"/>
          <w:rFonts w:ascii="Arial" w:eastAsia="Arial" w:hAnsi="Arial" w:cs="Arial"/>
          <w:color w:val="000000" w:themeColor="text1"/>
          <w:sz w:val="22"/>
          <w:szCs w:val="22"/>
        </w:rPr>
        <w:t xml:space="preserve"> </w:t>
      </w:r>
      <w:r w:rsidR="00950DC3" w:rsidRPr="5964CDA8">
        <w:rPr>
          <w:rStyle w:val="normaltextrun"/>
          <w:rFonts w:ascii="Arial" w:eastAsia="Arial" w:hAnsi="Arial" w:cs="Arial"/>
          <w:color w:val="000000" w:themeColor="text1"/>
          <w:sz w:val="22"/>
          <w:szCs w:val="22"/>
        </w:rPr>
        <w:t>indicators</w:t>
      </w:r>
      <w:r w:rsidRPr="5964CDA8">
        <w:rPr>
          <w:rStyle w:val="normaltextrun"/>
          <w:rFonts w:ascii="Arial" w:eastAsia="Arial" w:hAnsi="Arial" w:cs="Arial"/>
          <w:color w:val="000000" w:themeColor="text1"/>
          <w:sz w:val="22"/>
          <w:szCs w:val="22"/>
        </w:rPr>
        <w:t xml:space="preserve"> to ensure they reflect </w:t>
      </w:r>
      <w:r w:rsidR="5C8D5C6E" w:rsidRPr="5964CDA8">
        <w:rPr>
          <w:rStyle w:val="normaltextrun"/>
          <w:rFonts w:ascii="Arial" w:eastAsia="Arial" w:hAnsi="Arial" w:cs="Arial"/>
          <w:color w:val="000000" w:themeColor="text1"/>
          <w:sz w:val="22"/>
          <w:szCs w:val="22"/>
        </w:rPr>
        <w:t>a continuing push on</w:t>
      </w:r>
      <w:r w:rsidRPr="5964CDA8">
        <w:rPr>
          <w:rStyle w:val="normaltextrun"/>
          <w:rFonts w:ascii="Arial" w:eastAsia="Arial" w:hAnsi="Arial" w:cs="Arial"/>
          <w:color w:val="000000" w:themeColor="text1"/>
          <w:sz w:val="22"/>
          <w:szCs w:val="22"/>
        </w:rPr>
        <w:t xml:space="preserve"> ambition, and continu</w:t>
      </w:r>
      <w:r w:rsidR="004732D2" w:rsidRPr="5964CDA8">
        <w:rPr>
          <w:rStyle w:val="normaltextrun"/>
          <w:rFonts w:ascii="Arial" w:eastAsia="Arial" w:hAnsi="Arial" w:cs="Arial"/>
          <w:color w:val="000000" w:themeColor="text1"/>
          <w:sz w:val="22"/>
          <w:szCs w:val="22"/>
        </w:rPr>
        <w:t>ing</w:t>
      </w:r>
      <w:r w:rsidRPr="5964CDA8">
        <w:rPr>
          <w:rStyle w:val="normaltextrun"/>
          <w:rFonts w:ascii="Arial" w:eastAsia="Arial" w:hAnsi="Arial" w:cs="Arial"/>
          <w:color w:val="000000" w:themeColor="text1"/>
          <w:sz w:val="22"/>
          <w:szCs w:val="22"/>
        </w:rPr>
        <w:t xml:space="preserve"> to expand work streams on the </w:t>
      </w:r>
      <w:r w:rsidR="00821ACB" w:rsidRPr="5964CDA8">
        <w:rPr>
          <w:rStyle w:val="normaltextrun"/>
          <w:rFonts w:ascii="Arial" w:eastAsia="Arial" w:hAnsi="Arial" w:cs="Arial"/>
          <w:color w:val="000000" w:themeColor="text1"/>
          <w:sz w:val="22"/>
          <w:szCs w:val="22"/>
        </w:rPr>
        <w:t>MAF’s</w:t>
      </w:r>
      <w:r w:rsidRPr="5964CDA8">
        <w:rPr>
          <w:rStyle w:val="normaltextrun"/>
          <w:rFonts w:ascii="Arial" w:eastAsia="Arial" w:hAnsi="Arial" w:cs="Arial"/>
          <w:color w:val="000000" w:themeColor="text1"/>
          <w:sz w:val="22"/>
          <w:szCs w:val="22"/>
        </w:rPr>
        <w:t xml:space="preserve"> overall strategic direction and operational priorities (such as </w:t>
      </w:r>
      <w:r w:rsidR="002C2072" w:rsidRPr="5964CDA8">
        <w:rPr>
          <w:rStyle w:val="normaltextrun"/>
          <w:rFonts w:ascii="Arial" w:eastAsia="Arial" w:hAnsi="Arial" w:cs="Arial"/>
          <w:color w:val="000000" w:themeColor="text1"/>
          <w:sz w:val="22"/>
          <w:szCs w:val="22"/>
        </w:rPr>
        <w:t xml:space="preserve">the recruitment of </w:t>
      </w:r>
      <w:r w:rsidR="5B1C96E1" w:rsidRPr="5964CDA8">
        <w:rPr>
          <w:rStyle w:val="normaltextrun"/>
          <w:rFonts w:ascii="Arial" w:eastAsia="Arial" w:hAnsi="Arial" w:cs="Arial"/>
          <w:color w:val="000000" w:themeColor="text1"/>
          <w:sz w:val="22"/>
          <w:szCs w:val="22"/>
        </w:rPr>
        <w:t>financial</w:t>
      </w:r>
      <w:r w:rsidR="00E146C5" w:rsidRPr="5964CDA8">
        <w:rPr>
          <w:rStyle w:val="normaltextrun"/>
          <w:rFonts w:ascii="Arial" w:eastAsia="Arial" w:hAnsi="Arial" w:cs="Arial"/>
          <w:color w:val="000000" w:themeColor="text1"/>
          <w:sz w:val="22"/>
          <w:szCs w:val="22"/>
        </w:rPr>
        <w:t xml:space="preserve"> </w:t>
      </w:r>
      <w:r w:rsidR="002C2072" w:rsidRPr="5964CDA8">
        <w:rPr>
          <w:rStyle w:val="normaltextrun"/>
          <w:rFonts w:ascii="Arial" w:eastAsia="Arial" w:hAnsi="Arial" w:cs="Arial"/>
          <w:color w:val="000000" w:themeColor="text1"/>
          <w:sz w:val="22"/>
          <w:szCs w:val="22"/>
        </w:rPr>
        <w:t>expertise within the TSU</w:t>
      </w:r>
      <w:r w:rsidR="00940D10" w:rsidRPr="5964CDA8">
        <w:rPr>
          <w:rStyle w:val="normaltextrun"/>
          <w:rFonts w:ascii="Arial" w:eastAsia="Arial" w:hAnsi="Arial" w:cs="Arial"/>
          <w:color w:val="000000" w:themeColor="text1"/>
          <w:sz w:val="22"/>
          <w:szCs w:val="22"/>
        </w:rPr>
        <w:t xml:space="preserve">, implementing the </w:t>
      </w:r>
      <w:r w:rsidR="0F91F414" w:rsidRPr="5964CDA8">
        <w:rPr>
          <w:rStyle w:val="normaltextrun"/>
          <w:rFonts w:ascii="Arial" w:eastAsia="Arial" w:hAnsi="Arial" w:cs="Arial"/>
          <w:color w:val="000000" w:themeColor="text1"/>
          <w:sz w:val="22"/>
          <w:szCs w:val="22"/>
        </w:rPr>
        <w:t>G</w:t>
      </w:r>
      <w:r w:rsidR="00940D10" w:rsidRPr="5964CDA8">
        <w:rPr>
          <w:rStyle w:val="normaltextrun"/>
          <w:rFonts w:ascii="Arial" w:eastAsia="Arial" w:hAnsi="Arial" w:cs="Arial"/>
          <w:color w:val="000000" w:themeColor="text1"/>
          <w:sz w:val="22"/>
          <w:szCs w:val="22"/>
        </w:rPr>
        <w:t xml:space="preserve">ender </w:t>
      </w:r>
      <w:r w:rsidR="73B312FD" w:rsidRPr="5964CDA8">
        <w:rPr>
          <w:rStyle w:val="normaltextrun"/>
          <w:rFonts w:ascii="Arial" w:eastAsia="Arial" w:hAnsi="Arial" w:cs="Arial"/>
          <w:color w:val="000000" w:themeColor="text1"/>
          <w:sz w:val="22"/>
          <w:szCs w:val="22"/>
        </w:rPr>
        <w:t>A</w:t>
      </w:r>
      <w:r w:rsidR="00940D10" w:rsidRPr="5964CDA8">
        <w:rPr>
          <w:rStyle w:val="normaltextrun"/>
          <w:rFonts w:ascii="Arial" w:eastAsia="Arial" w:hAnsi="Arial" w:cs="Arial"/>
          <w:color w:val="000000" w:themeColor="text1"/>
          <w:sz w:val="22"/>
          <w:szCs w:val="22"/>
        </w:rPr>
        <w:t xml:space="preserve">ction </w:t>
      </w:r>
      <w:r w:rsidR="3006633F" w:rsidRPr="5964CDA8">
        <w:rPr>
          <w:rStyle w:val="normaltextrun"/>
          <w:rFonts w:ascii="Arial" w:eastAsia="Arial" w:hAnsi="Arial" w:cs="Arial"/>
          <w:color w:val="000000" w:themeColor="text1"/>
          <w:sz w:val="22"/>
          <w:szCs w:val="22"/>
        </w:rPr>
        <w:t>P</w:t>
      </w:r>
      <w:r w:rsidR="00940D10" w:rsidRPr="5964CDA8">
        <w:rPr>
          <w:rStyle w:val="normaltextrun"/>
          <w:rFonts w:ascii="Arial" w:eastAsia="Arial" w:hAnsi="Arial" w:cs="Arial"/>
          <w:color w:val="000000" w:themeColor="text1"/>
          <w:sz w:val="22"/>
          <w:szCs w:val="22"/>
        </w:rPr>
        <w:t>lan and wider pro</w:t>
      </w:r>
      <w:r w:rsidR="00586DAB" w:rsidRPr="5964CDA8">
        <w:rPr>
          <w:rStyle w:val="normaltextrun"/>
          <w:rFonts w:ascii="Arial" w:eastAsia="Arial" w:hAnsi="Arial" w:cs="Arial"/>
          <w:color w:val="000000" w:themeColor="text1"/>
          <w:sz w:val="22"/>
          <w:szCs w:val="22"/>
        </w:rPr>
        <w:t>gramme</w:t>
      </w:r>
      <w:r w:rsidR="00940D10" w:rsidRPr="5964CDA8">
        <w:rPr>
          <w:rStyle w:val="normaltextrun"/>
          <w:rFonts w:ascii="Arial" w:eastAsia="Arial" w:hAnsi="Arial" w:cs="Arial"/>
          <w:color w:val="000000" w:themeColor="text1"/>
          <w:sz w:val="22"/>
          <w:szCs w:val="22"/>
        </w:rPr>
        <w:t xml:space="preserve"> management review</w:t>
      </w:r>
      <w:r w:rsidRPr="5964CDA8">
        <w:rPr>
          <w:rStyle w:val="normaltextrun"/>
          <w:rFonts w:ascii="Arial" w:eastAsia="Arial" w:hAnsi="Arial" w:cs="Arial"/>
          <w:color w:val="000000" w:themeColor="text1"/>
          <w:sz w:val="22"/>
          <w:szCs w:val="22"/>
        </w:rPr>
        <w:t>).</w:t>
      </w:r>
    </w:p>
    <w:p w14:paraId="452EE184" w14:textId="77777777" w:rsidR="00926B11" w:rsidRDefault="00926B11" w:rsidP="07AF1209">
      <w:pPr>
        <w:pStyle w:val="paragraph"/>
        <w:spacing w:before="0" w:beforeAutospacing="0" w:after="0" w:afterAutospacing="0"/>
        <w:jc w:val="both"/>
        <w:textAlignment w:val="baseline"/>
        <w:rPr>
          <w:rFonts w:ascii="Arial" w:eastAsia="Arial" w:hAnsi="Arial" w:cs="Arial"/>
          <w:sz w:val="18"/>
          <w:szCs w:val="18"/>
        </w:rPr>
      </w:pPr>
      <w:r w:rsidRPr="4D7D68D4">
        <w:rPr>
          <w:rStyle w:val="eop"/>
          <w:rFonts w:ascii="Arial" w:eastAsia="Arial" w:hAnsi="Arial" w:cs="Arial"/>
          <w:color w:val="000000" w:themeColor="text1"/>
          <w:sz w:val="22"/>
          <w:szCs w:val="22"/>
        </w:rPr>
        <w:t> </w:t>
      </w:r>
    </w:p>
    <w:p w14:paraId="328E4D56" w14:textId="669756B0" w:rsidR="00926B11" w:rsidRDefault="00926B11" w:rsidP="07AF1209">
      <w:pPr>
        <w:pStyle w:val="paragraph"/>
        <w:spacing w:before="0" w:beforeAutospacing="0" w:after="0" w:afterAutospacing="0"/>
        <w:jc w:val="both"/>
        <w:textAlignment w:val="baseline"/>
        <w:rPr>
          <w:rFonts w:ascii="Arial" w:eastAsia="Arial" w:hAnsi="Arial" w:cs="Arial"/>
          <w:sz w:val="18"/>
          <w:szCs w:val="18"/>
        </w:rPr>
      </w:pPr>
      <w:r w:rsidRPr="4D7D68D4">
        <w:rPr>
          <w:rStyle w:val="normaltextrun"/>
          <w:rFonts w:ascii="Arial" w:eastAsia="Arial" w:hAnsi="Arial" w:cs="Arial"/>
          <w:color w:val="000000" w:themeColor="text1"/>
          <w:sz w:val="22"/>
          <w:szCs w:val="22"/>
        </w:rPr>
        <w:t>To act on the lessons learnt from this annual review, and wider strategic considerations for the year ahead, we make the following recommendations: </w:t>
      </w:r>
      <w:r w:rsidRPr="4D7D68D4">
        <w:rPr>
          <w:rStyle w:val="eop"/>
          <w:rFonts w:ascii="Arial" w:eastAsia="Arial" w:hAnsi="Arial" w:cs="Arial"/>
          <w:color w:val="000000" w:themeColor="text1"/>
          <w:sz w:val="22"/>
          <w:szCs w:val="22"/>
        </w:rPr>
        <w:t> </w:t>
      </w:r>
    </w:p>
    <w:p w14:paraId="773A77CC" w14:textId="1912BB68" w:rsidR="00D0302B" w:rsidRDefault="00D0302B" w:rsidP="001B4FD0">
      <w:pPr>
        <w:rPr>
          <w:rFonts w:eastAsia="Arial" w:cs="Arial"/>
          <w:sz w:val="22"/>
          <w:szCs w:val="22"/>
        </w:rPr>
      </w:pPr>
    </w:p>
    <w:tbl>
      <w:tblPr>
        <w:tblStyle w:val="TableGrid"/>
        <w:tblW w:w="0" w:type="auto"/>
        <w:tblLook w:val="04A0" w:firstRow="1" w:lastRow="0" w:firstColumn="1" w:lastColumn="0" w:noHBand="0" w:noVBand="1"/>
      </w:tblPr>
      <w:tblGrid>
        <w:gridCol w:w="6541"/>
        <w:gridCol w:w="2475"/>
      </w:tblGrid>
      <w:tr w:rsidR="00D0302B" w:rsidRPr="00D80C6C" w14:paraId="4B25CB90" w14:textId="77777777" w:rsidTr="5964CDA8">
        <w:tc>
          <w:tcPr>
            <w:tcW w:w="6541" w:type="dxa"/>
            <w:shd w:val="clear" w:color="auto" w:fill="DEEAF6" w:themeFill="accent5" w:themeFillTint="33"/>
          </w:tcPr>
          <w:p w14:paraId="321EF4D2" w14:textId="34338C7C" w:rsidR="00D0302B" w:rsidRPr="00D80C6C" w:rsidRDefault="6E387025" w:rsidP="757B7397">
            <w:pPr>
              <w:rPr>
                <w:rFonts w:eastAsia="Arial" w:cs="Arial"/>
                <w:b/>
                <w:bCs/>
                <w:sz w:val="22"/>
                <w:szCs w:val="22"/>
              </w:rPr>
            </w:pPr>
            <w:r w:rsidRPr="4A9EF9D3">
              <w:rPr>
                <w:rFonts w:eastAsia="Arial" w:cs="Arial"/>
                <w:b/>
                <w:bCs/>
                <w:sz w:val="22"/>
                <w:szCs w:val="22"/>
              </w:rPr>
              <w:t>Recommendation</w:t>
            </w:r>
          </w:p>
        </w:tc>
        <w:tc>
          <w:tcPr>
            <w:tcW w:w="2475" w:type="dxa"/>
            <w:shd w:val="clear" w:color="auto" w:fill="DEEAF6" w:themeFill="accent5" w:themeFillTint="33"/>
          </w:tcPr>
          <w:p w14:paraId="68A2DDD9" w14:textId="3FAD9E3D" w:rsidR="00D0302B" w:rsidRPr="00D80C6C" w:rsidRDefault="00D0302B" w:rsidP="001B4FD0">
            <w:pPr>
              <w:rPr>
                <w:rFonts w:eastAsia="Arial" w:cs="Arial"/>
                <w:b/>
                <w:sz w:val="22"/>
                <w:szCs w:val="22"/>
              </w:rPr>
            </w:pPr>
            <w:r w:rsidRPr="4D7D68D4">
              <w:rPr>
                <w:rFonts w:eastAsia="Arial" w:cs="Arial"/>
                <w:b/>
                <w:sz w:val="22"/>
                <w:szCs w:val="22"/>
              </w:rPr>
              <w:t>Deadline</w:t>
            </w:r>
          </w:p>
        </w:tc>
      </w:tr>
      <w:tr w:rsidR="00606822" w14:paraId="741C482C" w14:textId="77777777" w:rsidTr="5964CDA8">
        <w:trPr>
          <w:trHeight w:val="600"/>
        </w:trPr>
        <w:tc>
          <w:tcPr>
            <w:tcW w:w="6541" w:type="dxa"/>
          </w:tcPr>
          <w:p w14:paraId="462C54D7" w14:textId="1B20EA9A" w:rsidR="00606822" w:rsidRDefault="48372C22" w:rsidP="00606822">
            <w:pPr>
              <w:rPr>
                <w:rFonts w:eastAsia="Arial" w:cs="Arial"/>
                <w:color w:val="2B579A"/>
                <w:sz w:val="22"/>
                <w:szCs w:val="22"/>
              </w:rPr>
            </w:pPr>
            <w:r w:rsidRPr="7849A67F">
              <w:rPr>
                <w:rFonts w:eastAsia="Arial" w:cs="Arial"/>
              </w:rPr>
              <w:t xml:space="preserve">TSU </w:t>
            </w:r>
            <w:r w:rsidR="74A51AF6" w:rsidRPr="7849A67F">
              <w:rPr>
                <w:rFonts w:eastAsia="Arial" w:cs="Arial"/>
              </w:rPr>
              <w:t>recruits</w:t>
            </w:r>
            <w:r w:rsidR="522854A0" w:rsidRPr="7849A67F">
              <w:rPr>
                <w:rFonts w:eastAsia="Arial" w:cs="Arial"/>
              </w:rPr>
              <w:t xml:space="preserve"> a </w:t>
            </w:r>
            <w:r w:rsidRPr="7849A67F">
              <w:rPr>
                <w:rFonts w:eastAsia="Arial" w:cs="Arial"/>
              </w:rPr>
              <w:t>finance expert</w:t>
            </w:r>
            <w:r w:rsidR="4813A111" w:rsidRPr="7849A67F">
              <w:rPr>
                <w:rFonts w:eastAsia="Arial" w:cs="Arial"/>
              </w:rPr>
              <w:t xml:space="preserve"> and additional desk officers</w:t>
            </w:r>
            <w:r w:rsidRPr="7849A67F">
              <w:rPr>
                <w:rFonts w:eastAsia="Arial" w:cs="Arial"/>
              </w:rPr>
              <w:t xml:space="preserve"> to enhance the capacity and function of the secretariat</w:t>
            </w:r>
            <w:r w:rsidR="3E9CB4EE" w:rsidRPr="07AF1209">
              <w:rPr>
                <w:rFonts w:eastAsia="Arial" w:cs="Arial"/>
              </w:rPr>
              <w:t>.</w:t>
            </w:r>
          </w:p>
        </w:tc>
        <w:tc>
          <w:tcPr>
            <w:tcW w:w="2475" w:type="dxa"/>
          </w:tcPr>
          <w:p w14:paraId="1A5E6B9B" w14:textId="2E9583DE" w:rsidR="00606822" w:rsidRDefault="27F0BE98" w:rsidP="5964CDA8">
            <w:pPr>
              <w:rPr>
                <w:rFonts w:eastAsia="Arial" w:cs="Arial"/>
                <w:i/>
                <w:iCs/>
                <w:sz w:val="22"/>
                <w:szCs w:val="22"/>
              </w:rPr>
            </w:pPr>
            <w:r w:rsidRPr="5964CDA8">
              <w:rPr>
                <w:rFonts w:eastAsia="Arial" w:cs="Arial"/>
                <w:i/>
                <w:iCs/>
                <w:sz w:val="22"/>
                <w:szCs w:val="22"/>
              </w:rPr>
              <w:t xml:space="preserve">September </w:t>
            </w:r>
            <w:r w:rsidR="59039E4E" w:rsidRPr="5964CDA8">
              <w:rPr>
                <w:rFonts w:eastAsia="Arial" w:cs="Arial"/>
                <w:i/>
                <w:iCs/>
                <w:sz w:val="22"/>
                <w:szCs w:val="22"/>
              </w:rPr>
              <w:t>202</w:t>
            </w:r>
            <w:r w:rsidR="1ED98AF8" w:rsidRPr="5964CDA8">
              <w:rPr>
                <w:rFonts w:eastAsia="Arial" w:cs="Arial"/>
                <w:i/>
                <w:iCs/>
                <w:sz w:val="22"/>
                <w:szCs w:val="22"/>
              </w:rPr>
              <w:t>4</w:t>
            </w:r>
          </w:p>
        </w:tc>
      </w:tr>
      <w:tr w:rsidR="006C29AC" w14:paraId="65A8977A" w14:textId="77777777" w:rsidTr="5964CDA8">
        <w:trPr>
          <w:trHeight w:val="300"/>
        </w:trPr>
        <w:tc>
          <w:tcPr>
            <w:tcW w:w="6541" w:type="dxa"/>
          </w:tcPr>
          <w:p w14:paraId="3D130EF9" w14:textId="64C5EB25" w:rsidR="006C29AC" w:rsidRPr="00993CA0" w:rsidRDefault="563AA989" w:rsidP="005B05EB">
            <w:pPr>
              <w:rPr>
                <w:rFonts w:eastAsia="Arial" w:cs="Arial"/>
              </w:rPr>
            </w:pPr>
            <w:r w:rsidRPr="7849A67F">
              <w:rPr>
                <w:rFonts w:eastAsia="Arial" w:cs="Arial"/>
              </w:rPr>
              <w:t xml:space="preserve">TSU and donors </w:t>
            </w:r>
            <w:r w:rsidR="3819D1AB" w:rsidRPr="7849A67F">
              <w:rPr>
                <w:rFonts w:eastAsia="Arial" w:cs="Arial"/>
              </w:rPr>
              <w:t xml:space="preserve">design and implement a </w:t>
            </w:r>
            <w:r w:rsidR="57999280" w:rsidRPr="7849A67F">
              <w:rPr>
                <w:rFonts w:eastAsia="Arial" w:cs="Arial"/>
              </w:rPr>
              <w:t xml:space="preserve">new </w:t>
            </w:r>
            <w:r w:rsidR="3819D1AB" w:rsidRPr="7849A67F">
              <w:rPr>
                <w:rFonts w:eastAsia="Arial" w:cs="Arial"/>
              </w:rPr>
              <w:t>communications plan</w:t>
            </w:r>
            <w:r w:rsidR="0480D9D5" w:rsidRPr="7849A67F">
              <w:rPr>
                <w:rFonts w:eastAsia="Arial" w:cs="Arial"/>
              </w:rPr>
              <w:t xml:space="preserve"> </w:t>
            </w:r>
            <w:r w:rsidR="7B1CD99A" w:rsidRPr="7849A67F">
              <w:rPr>
                <w:rFonts w:eastAsia="Arial" w:cs="Arial"/>
              </w:rPr>
              <w:t xml:space="preserve">including website improvements and more accessible comms materials </w:t>
            </w:r>
            <w:r w:rsidR="2DA68866" w:rsidRPr="7849A67F">
              <w:rPr>
                <w:rFonts w:eastAsia="Arial" w:cs="Arial"/>
              </w:rPr>
              <w:t xml:space="preserve">to enhance </w:t>
            </w:r>
            <w:r w:rsidR="06F51AC9" w:rsidRPr="7849A67F">
              <w:rPr>
                <w:rFonts w:eastAsia="Arial" w:cs="Arial"/>
              </w:rPr>
              <w:t xml:space="preserve">MAF’s </w:t>
            </w:r>
            <w:r w:rsidR="65FE3F8C" w:rsidRPr="7849A67F">
              <w:rPr>
                <w:rFonts w:eastAsia="Arial" w:cs="Arial"/>
              </w:rPr>
              <w:t>C</w:t>
            </w:r>
            <w:r w:rsidR="415A20DB" w:rsidRPr="7849A67F">
              <w:rPr>
                <w:rFonts w:eastAsia="Arial" w:cs="Arial"/>
              </w:rPr>
              <w:t>all</w:t>
            </w:r>
            <w:r w:rsidR="3FAB195F" w:rsidRPr="7849A67F">
              <w:rPr>
                <w:rFonts w:eastAsia="Arial" w:cs="Arial"/>
              </w:rPr>
              <w:t xml:space="preserve"> for Projects 2025</w:t>
            </w:r>
            <w:r w:rsidR="415A20DB" w:rsidRPr="7849A67F">
              <w:rPr>
                <w:rFonts w:eastAsia="Arial" w:cs="Arial"/>
              </w:rPr>
              <w:t xml:space="preserve"> and Facility promotional capabilities</w:t>
            </w:r>
            <w:r w:rsidR="3E9CB4EE" w:rsidRPr="07AF1209">
              <w:rPr>
                <w:rFonts w:eastAsia="Arial" w:cs="Arial"/>
              </w:rPr>
              <w:t>.</w:t>
            </w:r>
          </w:p>
        </w:tc>
        <w:tc>
          <w:tcPr>
            <w:tcW w:w="2475" w:type="dxa"/>
          </w:tcPr>
          <w:p w14:paraId="0EB3BE4A" w14:textId="3B39AF6B" w:rsidR="006C29AC" w:rsidRDefault="20F75F16" w:rsidP="07AF1209">
            <w:pPr>
              <w:rPr>
                <w:rFonts w:eastAsia="Arial" w:cs="Arial"/>
                <w:i/>
                <w:iCs/>
                <w:sz w:val="22"/>
                <w:szCs w:val="22"/>
              </w:rPr>
            </w:pPr>
            <w:r w:rsidRPr="07AF1209">
              <w:rPr>
                <w:rFonts w:eastAsia="Arial" w:cs="Arial"/>
                <w:i/>
                <w:iCs/>
                <w:sz w:val="22"/>
                <w:szCs w:val="22"/>
              </w:rPr>
              <w:t xml:space="preserve">November </w:t>
            </w:r>
            <w:r w:rsidR="1DC8E53D" w:rsidRPr="07AF1209">
              <w:rPr>
                <w:rFonts w:eastAsia="Arial" w:cs="Arial"/>
                <w:i/>
                <w:iCs/>
                <w:sz w:val="22"/>
                <w:szCs w:val="22"/>
              </w:rPr>
              <w:t>202</w:t>
            </w:r>
            <w:r w:rsidR="1FCD2F2D" w:rsidRPr="07AF1209">
              <w:rPr>
                <w:rFonts w:eastAsia="Arial" w:cs="Arial"/>
                <w:i/>
                <w:iCs/>
                <w:sz w:val="22"/>
                <w:szCs w:val="22"/>
              </w:rPr>
              <w:t>4</w:t>
            </w:r>
            <w:r w:rsidR="686E27A0" w:rsidRPr="07AF1209">
              <w:rPr>
                <w:rFonts w:eastAsia="Arial" w:cs="Arial"/>
                <w:i/>
                <w:iCs/>
                <w:sz w:val="22"/>
                <w:szCs w:val="22"/>
              </w:rPr>
              <w:t xml:space="preserve"> (launch of Call for Projects 2025 at COP29)</w:t>
            </w:r>
          </w:p>
          <w:p w14:paraId="1F323F06" w14:textId="43E0F89C" w:rsidR="006C29AC" w:rsidRDefault="006C29AC" w:rsidP="7849A67F">
            <w:pPr>
              <w:rPr>
                <w:rFonts w:eastAsia="Arial" w:cs="Arial"/>
                <w:i/>
                <w:iCs/>
                <w:sz w:val="22"/>
                <w:szCs w:val="22"/>
              </w:rPr>
            </w:pPr>
          </w:p>
        </w:tc>
      </w:tr>
      <w:tr w:rsidR="07AF1209" w14:paraId="75F94209" w14:textId="77777777" w:rsidTr="5964CDA8">
        <w:trPr>
          <w:trHeight w:val="300"/>
        </w:trPr>
        <w:tc>
          <w:tcPr>
            <w:tcW w:w="6541" w:type="dxa"/>
          </w:tcPr>
          <w:p w14:paraId="4EDEE149" w14:textId="49C24436" w:rsidR="4A4240A7" w:rsidRDefault="4A4240A7" w:rsidP="07AF1209">
            <w:pPr>
              <w:rPr>
                <w:rFonts w:eastAsia="Arial" w:cs="Arial"/>
              </w:rPr>
            </w:pPr>
            <w:r w:rsidRPr="07AF1209">
              <w:rPr>
                <w:rFonts w:eastAsia="Arial" w:cs="Arial"/>
              </w:rPr>
              <w:t>TSU and donors to implement TSU development plans for 2024, focussing on the funding journey, governance and internal processes. Successful implementation will improve engagement with, and the offer of support to projects, including but not limited to risk management, budgeting and forecasting and enhance the quality of the proposals presented at the end of Detailed Preparation Phase.</w:t>
            </w:r>
          </w:p>
          <w:p w14:paraId="4250C48B" w14:textId="1781A240" w:rsidR="07AF1209" w:rsidRDefault="07AF1209" w:rsidP="07AF1209">
            <w:pPr>
              <w:rPr>
                <w:rFonts w:eastAsia="Arial" w:cs="Arial"/>
              </w:rPr>
            </w:pPr>
          </w:p>
        </w:tc>
        <w:tc>
          <w:tcPr>
            <w:tcW w:w="2475" w:type="dxa"/>
          </w:tcPr>
          <w:p w14:paraId="652D917C" w14:textId="39C329AC" w:rsidR="4A4240A7" w:rsidRDefault="4A4240A7" w:rsidP="07AF1209">
            <w:pPr>
              <w:rPr>
                <w:rFonts w:eastAsia="Arial" w:cs="Arial"/>
                <w:i/>
                <w:iCs/>
                <w:sz w:val="22"/>
                <w:szCs w:val="22"/>
              </w:rPr>
            </w:pPr>
            <w:r w:rsidRPr="07AF1209">
              <w:rPr>
                <w:rFonts w:eastAsia="Arial" w:cs="Arial"/>
                <w:i/>
                <w:iCs/>
                <w:sz w:val="22"/>
                <w:szCs w:val="22"/>
              </w:rPr>
              <w:t>November 2024 (launch of Call for Projects 2025 at COP29)</w:t>
            </w:r>
          </w:p>
          <w:p w14:paraId="2071AF0C" w14:textId="5937B9A4" w:rsidR="07AF1209" w:rsidRDefault="07AF1209" w:rsidP="07AF1209">
            <w:pPr>
              <w:rPr>
                <w:rFonts w:eastAsia="Arial" w:cs="Arial"/>
                <w:i/>
                <w:iCs/>
                <w:sz w:val="22"/>
                <w:szCs w:val="22"/>
              </w:rPr>
            </w:pPr>
          </w:p>
        </w:tc>
      </w:tr>
      <w:tr w:rsidR="00C92FD4" w14:paraId="0270D18F" w14:textId="77777777" w:rsidTr="5964CDA8">
        <w:trPr>
          <w:trHeight w:val="300"/>
        </w:trPr>
        <w:tc>
          <w:tcPr>
            <w:tcW w:w="6541" w:type="dxa"/>
          </w:tcPr>
          <w:p w14:paraId="10F58E5F" w14:textId="3D1AFCFC" w:rsidR="00C92FD4" w:rsidRDefault="00DB12A2" w:rsidP="005B05EB">
            <w:pPr>
              <w:rPr>
                <w:rFonts w:eastAsia="Arial" w:cs="Arial"/>
              </w:rPr>
            </w:pPr>
            <w:r w:rsidRPr="7667BC36">
              <w:rPr>
                <w:rFonts w:eastAsia="Arial" w:cs="Arial"/>
              </w:rPr>
              <w:t>TSU to hold more</w:t>
            </w:r>
            <w:r w:rsidR="005F337D" w:rsidRPr="7667BC36">
              <w:rPr>
                <w:rFonts w:eastAsia="Arial" w:cs="Arial"/>
              </w:rPr>
              <w:t xml:space="preserve"> frequent</w:t>
            </w:r>
            <w:r w:rsidR="00384309" w:rsidRPr="7667BC36">
              <w:rPr>
                <w:rFonts w:eastAsia="Arial" w:cs="Arial"/>
              </w:rPr>
              <w:t xml:space="preserve"> (annual)</w:t>
            </w:r>
            <w:r w:rsidRPr="7667BC36">
              <w:rPr>
                <w:rFonts w:eastAsia="Arial" w:cs="Arial"/>
              </w:rPr>
              <w:t xml:space="preserve"> project exchange workshops</w:t>
            </w:r>
            <w:r w:rsidR="0070626E" w:rsidRPr="7667BC36">
              <w:rPr>
                <w:rFonts w:eastAsia="Arial" w:cs="Arial"/>
              </w:rPr>
              <w:t xml:space="preserve"> and facilitate engagement between donors and project leads</w:t>
            </w:r>
            <w:r w:rsidR="0A527C31" w:rsidRPr="07AF1209">
              <w:rPr>
                <w:rFonts w:eastAsia="Arial" w:cs="Arial"/>
              </w:rPr>
              <w:t>.</w:t>
            </w:r>
          </w:p>
        </w:tc>
        <w:tc>
          <w:tcPr>
            <w:tcW w:w="2475" w:type="dxa"/>
          </w:tcPr>
          <w:p w14:paraId="376395A6" w14:textId="5EC642A2" w:rsidR="00C92FD4" w:rsidRDefault="3A889337" w:rsidP="7849A67F">
            <w:pPr>
              <w:rPr>
                <w:rFonts w:eastAsia="Arial" w:cs="Arial"/>
                <w:i/>
                <w:iCs/>
                <w:sz w:val="22"/>
                <w:szCs w:val="22"/>
              </w:rPr>
            </w:pPr>
            <w:r w:rsidRPr="7849A67F">
              <w:rPr>
                <w:rFonts w:eastAsia="Arial" w:cs="Arial"/>
                <w:i/>
                <w:iCs/>
                <w:sz w:val="22"/>
                <w:szCs w:val="22"/>
              </w:rPr>
              <w:t>December 2024</w:t>
            </w:r>
          </w:p>
        </w:tc>
      </w:tr>
      <w:tr w:rsidR="07AF1209" w14:paraId="172CA77A" w14:textId="77777777" w:rsidTr="5964CDA8">
        <w:trPr>
          <w:trHeight w:val="300"/>
        </w:trPr>
        <w:tc>
          <w:tcPr>
            <w:tcW w:w="6541" w:type="dxa"/>
          </w:tcPr>
          <w:p w14:paraId="30E7E026" w14:textId="1EE1F26B" w:rsidR="578F4203" w:rsidRDefault="578F4203" w:rsidP="07AF1209">
            <w:pPr>
              <w:rPr>
                <w:rFonts w:eastAsia="Arial" w:cs="Arial"/>
                <w:sz w:val="22"/>
                <w:szCs w:val="22"/>
              </w:rPr>
            </w:pPr>
            <w:r w:rsidRPr="07AF1209">
              <w:rPr>
                <w:rFonts w:eastAsia="Arial" w:cs="Arial"/>
              </w:rPr>
              <w:t>Implement recommendations under Outputs 1, 2, 3, 4 and 5 as detailed in Section C.</w:t>
            </w:r>
          </w:p>
        </w:tc>
        <w:tc>
          <w:tcPr>
            <w:tcW w:w="2475" w:type="dxa"/>
          </w:tcPr>
          <w:p w14:paraId="251B202B" w14:textId="6FD4EE33" w:rsidR="578F4203" w:rsidRDefault="578F4203" w:rsidP="07AF1209">
            <w:pPr>
              <w:rPr>
                <w:rFonts w:eastAsia="Arial" w:cs="Arial"/>
                <w:i/>
                <w:iCs/>
                <w:sz w:val="22"/>
                <w:szCs w:val="22"/>
              </w:rPr>
            </w:pPr>
            <w:r w:rsidRPr="07AF1209">
              <w:rPr>
                <w:rFonts w:eastAsia="Arial" w:cs="Arial"/>
                <w:i/>
                <w:iCs/>
                <w:sz w:val="22"/>
                <w:szCs w:val="22"/>
              </w:rPr>
              <w:t>December 2024</w:t>
            </w:r>
          </w:p>
          <w:p w14:paraId="0AC0DBD3" w14:textId="34BC5529" w:rsidR="07AF1209" w:rsidRDefault="07AF1209" w:rsidP="07AF1209">
            <w:pPr>
              <w:rPr>
                <w:rFonts w:eastAsia="Arial" w:cs="Arial"/>
                <w:i/>
                <w:iCs/>
                <w:sz w:val="22"/>
                <w:szCs w:val="22"/>
              </w:rPr>
            </w:pPr>
          </w:p>
        </w:tc>
      </w:tr>
    </w:tbl>
    <w:p w14:paraId="723CFF79" w14:textId="694B70B3" w:rsidR="303493B1" w:rsidRDefault="303493B1">
      <w:pPr>
        <w:rPr>
          <w:rFonts w:eastAsia="Arial" w:cs="Arial"/>
        </w:rPr>
      </w:pPr>
    </w:p>
    <w:p w14:paraId="46255C5F" w14:textId="694B70B3" w:rsidR="303493B1" w:rsidRDefault="303493B1">
      <w:pPr>
        <w:rPr>
          <w:rFonts w:eastAsia="Arial" w:cs="Arial"/>
        </w:rPr>
      </w:pPr>
    </w:p>
    <w:p w14:paraId="7F17C967" w14:textId="6AFB122E" w:rsidR="00AC58EE" w:rsidRDefault="00AC58EE">
      <w:pPr>
        <w:spacing w:after="160" w:line="259" w:lineRule="auto"/>
        <w:rPr>
          <w:rFonts w:eastAsia="Arial" w:cs="Arial"/>
        </w:rPr>
      </w:pPr>
      <w:r>
        <w:rPr>
          <w:rFonts w:eastAsia="Arial" w:cs="Arial"/>
        </w:rPr>
        <w:br w:type="page"/>
      </w:r>
    </w:p>
    <w:p w14:paraId="3CF567A5" w14:textId="1044315E" w:rsidR="00CB2873" w:rsidDel="00AC58EE" w:rsidRDefault="00CB2873" w:rsidP="001B4FD0">
      <w:pPr>
        <w:rPr>
          <w:rFonts w:eastAsia="Arial" w:cs="Arial"/>
        </w:rPr>
      </w:pPr>
    </w:p>
    <w:tbl>
      <w:tblPr>
        <w:tblStyle w:val="TableGrid"/>
        <w:tblW w:w="0" w:type="auto"/>
        <w:tblLook w:val="04A0" w:firstRow="1" w:lastRow="0" w:firstColumn="1" w:lastColumn="0" w:noHBand="0" w:noVBand="1"/>
      </w:tblPr>
      <w:tblGrid>
        <w:gridCol w:w="9016"/>
      </w:tblGrid>
      <w:tr w:rsidR="00CB2873" w14:paraId="3D63871C" w14:textId="77777777" w:rsidTr="75FA93ED">
        <w:tc>
          <w:tcPr>
            <w:tcW w:w="9016" w:type="dxa"/>
            <w:shd w:val="clear" w:color="auto" w:fill="DEEAF6" w:themeFill="accent5" w:themeFillTint="33"/>
          </w:tcPr>
          <w:p w14:paraId="3A432808" w14:textId="167C6ADB" w:rsidR="00CB2873" w:rsidRDefault="00CB2873" w:rsidP="001B4FD0">
            <w:pPr>
              <w:rPr>
                <w:rFonts w:eastAsia="Arial" w:cs="Arial"/>
              </w:rPr>
            </w:pPr>
            <w:bookmarkStart w:id="10" w:name="_Toc172791895"/>
            <w:bookmarkStart w:id="11" w:name="_Toc830084573"/>
            <w:bookmarkStart w:id="12" w:name="_Hlk110858960"/>
            <w:r w:rsidRPr="75FA93ED">
              <w:rPr>
                <w:rStyle w:val="Heading1Char"/>
                <w:rFonts w:ascii="Arial" w:eastAsia="Arial" w:hAnsi="Arial" w:cs="Arial"/>
                <w:b/>
                <w:bCs/>
                <w:color w:val="auto"/>
              </w:rPr>
              <w:t xml:space="preserve">Section B: Theory of </w:t>
            </w:r>
            <w:r w:rsidR="64D780AB" w:rsidRPr="75FA93ED">
              <w:rPr>
                <w:rStyle w:val="Heading1Char"/>
                <w:rFonts w:ascii="Arial" w:eastAsia="Arial" w:hAnsi="Arial" w:cs="Arial"/>
                <w:b/>
                <w:bCs/>
                <w:color w:val="auto"/>
              </w:rPr>
              <w:t>c</w:t>
            </w:r>
            <w:r w:rsidRPr="75FA93ED">
              <w:rPr>
                <w:rStyle w:val="Heading1Char"/>
                <w:rFonts w:ascii="Arial" w:eastAsia="Arial" w:hAnsi="Arial" w:cs="Arial"/>
                <w:b/>
                <w:bCs/>
                <w:color w:val="auto"/>
              </w:rPr>
              <w:t>hange and progress towards outcomes</w:t>
            </w:r>
            <w:bookmarkEnd w:id="10"/>
            <w:bookmarkEnd w:id="11"/>
            <w:r w:rsidRPr="75FA93ED">
              <w:rPr>
                <w:rFonts w:eastAsia="Arial" w:cs="Arial"/>
              </w:rPr>
              <w:t xml:space="preserve"> </w:t>
            </w:r>
          </w:p>
        </w:tc>
      </w:tr>
      <w:bookmarkEnd w:id="12"/>
    </w:tbl>
    <w:p w14:paraId="799AF0D2" w14:textId="77777777" w:rsidR="00CB2873" w:rsidRPr="009E3F6E" w:rsidRDefault="00CB2873" w:rsidP="001B4FD0">
      <w:pPr>
        <w:rPr>
          <w:rFonts w:eastAsia="Arial" w:cs="Arial"/>
        </w:rPr>
      </w:pPr>
    </w:p>
    <w:p w14:paraId="25478844" w14:textId="49E59B0D" w:rsidR="003D222C" w:rsidRPr="00004515" w:rsidRDefault="00AA718D" w:rsidP="07AF1209">
      <w:pPr>
        <w:jc w:val="both"/>
        <w:rPr>
          <w:rFonts w:eastAsia="Arial" w:cs="Arial"/>
        </w:rPr>
      </w:pPr>
      <w:bookmarkStart w:id="13" w:name="_Toc172791896"/>
      <w:bookmarkStart w:id="14" w:name="_Toc1616573491"/>
      <w:r w:rsidRPr="75FA93ED">
        <w:rPr>
          <w:rStyle w:val="Heading2Char"/>
          <w:rFonts w:eastAsia="Arial" w:cs="Arial"/>
        </w:rPr>
        <w:t>Summary of the</w:t>
      </w:r>
      <w:r w:rsidR="007D6095" w:rsidRPr="75FA93ED">
        <w:rPr>
          <w:rStyle w:val="Heading2Char"/>
          <w:rFonts w:eastAsia="Arial" w:cs="Arial"/>
        </w:rPr>
        <w:t xml:space="preserve"> </w:t>
      </w:r>
      <w:r w:rsidR="003D222C" w:rsidRPr="75FA93ED">
        <w:rPr>
          <w:rStyle w:val="Heading2Char"/>
          <w:rFonts w:eastAsia="Arial" w:cs="Arial"/>
        </w:rPr>
        <w:t>programme’s theory of change, including any changes to outcome and impact indicators from the original business case</w:t>
      </w:r>
      <w:bookmarkEnd w:id="13"/>
      <w:bookmarkEnd w:id="14"/>
      <w:r w:rsidR="003D222C" w:rsidRPr="75FA93ED">
        <w:rPr>
          <w:rFonts w:eastAsia="Arial" w:cs="Arial"/>
        </w:rPr>
        <w:t xml:space="preserve"> </w:t>
      </w:r>
    </w:p>
    <w:p w14:paraId="44435565" w14:textId="77777777" w:rsidR="003D222C" w:rsidRPr="00D80C6C" w:rsidRDefault="003D222C" w:rsidP="07AF1209">
      <w:pPr>
        <w:jc w:val="both"/>
        <w:rPr>
          <w:rFonts w:eastAsia="Arial" w:cs="Arial"/>
          <w:b/>
          <w:sz w:val="22"/>
          <w:szCs w:val="22"/>
        </w:rPr>
      </w:pPr>
    </w:p>
    <w:p w14:paraId="70B85B5B" w14:textId="4DFDCC1F" w:rsidR="2E62525F" w:rsidRDefault="00F9059C" w:rsidP="07AF1209">
      <w:pPr>
        <w:pStyle w:val="paragraph"/>
        <w:spacing w:before="0" w:beforeAutospacing="0" w:after="0" w:afterAutospacing="0"/>
        <w:jc w:val="both"/>
        <w:textAlignment w:val="baseline"/>
        <w:rPr>
          <w:rStyle w:val="normaltextrun"/>
          <w:rFonts w:ascii="Arial" w:eastAsia="Arial" w:hAnsi="Arial" w:cs="Arial"/>
          <w:sz w:val="22"/>
          <w:szCs w:val="22"/>
          <w:lang w:eastAsia="en-US"/>
        </w:rPr>
      </w:pPr>
      <w:r w:rsidRPr="6CF0CCCA">
        <w:rPr>
          <w:rStyle w:val="normaltextrun"/>
          <w:rFonts w:ascii="Arial" w:eastAsia="Arial" w:hAnsi="Arial" w:cs="Arial"/>
          <w:sz w:val="22"/>
          <w:szCs w:val="22"/>
        </w:rPr>
        <w:t xml:space="preserve">The Mitigation Action Facility’s desired outcome is to demonstrate that climate finance can effectively catalyse transformational change in partner countries – including implementation of </w:t>
      </w:r>
      <w:r w:rsidR="22231BC7" w:rsidRPr="6CF0CCCA">
        <w:rPr>
          <w:rStyle w:val="normaltextrun"/>
          <w:rFonts w:ascii="Arial" w:eastAsia="Arial" w:hAnsi="Arial" w:cs="Arial"/>
          <w:sz w:val="22"/>
          <w:szCs w:val="22"/>
        </w:rPr>
        <w:t>N</w:t>
      </w:r>
      <w:r w:rsidR="1C3184E1" w:rsidRPr="6CF0CCCA">
        <w:rPr>
          <w:rStyle w:val="normaltextrun"/>
          <w:rFonts w:ascii="Arial" w:eastAsia="Arial" w:hAnsi="Arial" w:cs="Arial"/>
          <w:sz w:val="22"/>
          <w:szCs w:val="22"/>
        </w:rPr>
        <w:t xml:space="preserve">ationally </w:t>
      </w:r>
      <w:r w:rsidR="22231BC7" w:rsidRPr="6CF0CCCA">
        <w:rPr>
          <w:rStyle w:val="normaltextrun"/>
          <w:rFonts w:ascii="Arial" w:eastAsia="Arial" w:hAnsi="Arial" w:cs="Arial"/>
          <w:sz w:val="22"/>
          <w:szCs w:val="22"/>
        </w:rPr>
        <w:t>D</w:t>
      </w:r>
      <w:r w:rsidR="7A89278D" w:rsidRPr="6CF0CCCA">
        <w:rPr>
          <w:rStyle w:val="normaltextrun"/>
          <w:rFonts w:ascii="Arial" w:eastAsia="Arial" w:hAnsi="Arial" w:cs="Arial"/>
          <w:sz w:val="22"/>
          <w:szCs w:val="22"/>
        </w:rPr>
        <w:t xml:space="preserve">etermined </w:t>
      </w:r>
      <w:r w:rsidR="22231BC7" w:rsidRPr="6CF0CCCA">
        <w:rPr>
          <w:rStyle w:val="normaltextrun"/>
          <w:rFonts w:ascii="Arial" w:eastAsia="Arial" w:hAnsi="Arial" w:cs="Arial"/>
          <w:sz w:val="22"/>
          <w:szCs w:val="22"/>
        </w:rPr>
        <w:t>C</w:t>
      </w:r>
      <w:r w:rsidR="3C64657F" w:rsidRPr="6CF0CCCA">
        <w:rPr>
          <w:rStyle w:val="normaltextrun"/>
          <w:rFonts w:ascii="Arial" w:eastAsia="Arial" w:hAnsi="Arial" w:cs="Arial"/>
          <w:sz w:val="22"/>
          <w:szCs w:val="22"/>
        </w:rPr>
        <w:t>ontribution</w:t>
      </w:r>
      <w:r w:rsidR="22231BC7" w:rsidRPr="6CF0CCCA">
        <w:rPr>
          <w:rStyle w:val="normaltextrun"/>
          <w:rFonts w:ascii="Arial" w:eastAsia="Arial" w:hAnsi="Arial" w:cs="Arial"/>
          <w:sz w:val="22"/>
          <w:szCs w:val="22"/>
        </w:rPr>
        <w:t>s</w:t>
      </w:r>
      <w:r w:rsidR="1237FBE8" w:rsidRPr="6CF0CCCA">
        <w:rPr>
          <w:rStyle w:val="normaltextrun"/>
          <w:rFonts w:ascii="Arial" w:eastAsia="Arial" w:hAnsi="Arial" w:cs="Arial"/>
          <w:sz w:val="22"/>
          <w:szCs w:val="22"/>
        </w:rPr>
        <w:t xml:space="preserve"> (NDC)</w:t>
      </w:r>
      <w:r w:rsidRPr="6CF0CCCA">
        <w:rPr>
          <w:rStyle w:val="normaltextrun"/>
          <w:rFonts w:ascii="Arial" w:eastAsia="Arial" w:hAnsi="Arial" w:cs="Arial"/>
          <w:sz w:val="22"/>
          <w:szCs w:val="22"/>
        </w:rPr>
        <w:t xml:space="preserve"> – reduce greenhouse gas emissions and enhance carbon-neutral development.</w:t>
      </w:r>
    </w:p>
    <w:p w14:paraId="227B6D1A" w14:textId="2C4C2860" w:rsidR="07AF1209" w:rsidRDefault="07AF1209" w:rsidP="07AF1209">
      <w:pPr>
        <w:pStyle w:val="paragraph"/>
        <w:spacing w:before="0" w:beforeAutospacing="0" w:after="0" w:afterAutospacing="0"/>
        <w:jc w:val="both"/>
        <w:rPr>
          <w:rStyle w:val="normaltextrun"/>
          <w:rFonts w:ascii="Arial" w:eastAsia="Arial" w:hAnsi="Arial" w:cs="Arial"/>
          <w:sz w:val="22"/>
          <w:szCs w:val="22"/>
        </w:rPr>
      </w:pPr>
    </w:p>
    <w:p w14:paraId="770AF81A" w14:textId="5886F69E" w:rsidR="009B4B6C" w:rsidRDefault="00BE6AA5" w:rsidP="07AF1209">
      <w:pPr>
        <w:pStyle w:val="paragraph"/>
        <w:jc w:val="both"/>
        <w:textAlignment w:val="baseline"/>
        <w:rPr>
          <w:rStyle w:val="normaltextrun"/>
          <w:rFonts w:ascii="Arial" w:eastAsia="Arial" w:hAnsi="Arial" w:cs="Arial"/>
          <w:sz w:val="22"/>
          <w:szCs w:val="22"/>
        </w:rPr>
      </w:pPr>
      <w:r w:rsidRPr="7849A67F">
        <w:rPr>
          <w:rStyle w:val="normaltextrun"/>
          <w:rFonts w:ascii="Arial" w:eastAsia="Arial" w:hAnsi="Arial" w:cs="Arial"/>
          <w:sz w:val="22"/>
          <w:szCs w:val="22"/>
        </w:rPr>
        <w:t>The MAF’s Theory of Change (</w:t>
      </w:r>
      <w:proofErr w:type="spellStart"/>
      <w:r w:rsidRPr="7849A67F">
        <w:rPr>
          <w:rStyle w:val="normaltextrun"/>
          <w:rFonts w:ascii="Arial" w:eastAsia="Arial" w:hAnsi="Arial" w:cs="Arial"/>
          <w:sz w:val="22"/>
          <w:szCs w:val="22"/>
        </w:rPr>
        <w:t>ToC</w:t>
      </w:r>
      <w:proofErr w:type="spellEnd"/>
      <w:r w:rsidRPr="7849A67F">
        <w:rPr>
          <w:rStyle w:val="normaltextrun"/>
          <w:rFonts w:ascii="Arial" w:eastAsia="Arial" w:hAnsi="Arial" w:cs="Arial"/>
          <w:sz w:val="22"/>
          <w:szCs w:val="22"/>
        </w:rPr>
        <w:t xml:space="preserve">) </w:t>
      </w:r>
      <w:r w:rsidR="752C93B9" w:rsidRPr="7849A67F">
        <w:rPr>
          <w:rStyle w:val="normaltextrun"/>
          <w:rFonts w:ascii="Arial" w:eastAsia="Arial" w:hAnsi="Arial" w:cs="Arial"/>
          <w:sz w:val="22"/>
          <w:szCs w:val="22"/>
        </w:rPr>
        <w:t>depict</w:t>
      </w:r>
      <w:r w:rsidR="07661854" w:rsidRPr="7849A67F">
        <w:rPr>
          <w:rStyle w:val="normaltextrun"/>
          <w:rFonts w:ascii="Arial" w:eastAsia="Arial" w:hAnsi="Arial" w:cs="Arial"/>
          <w:sz w:val="22"/>
          <w:szCs w:val="22"/>
        </w:rPr>
        <w:t>s</w:t>
      </w:r>
      <w:r w:rsidRPr="7849A67F">
        <w:rPr>
          <w:rStyle w:val="normaltextrun"/>
          <w:rFonts w:ascii="Arial" w:eastAsia="Arial" w:hAnsi="Arial" w:cs="Arial"/>
          <w:sz w:val="22"/>
          <w:szCs w:val="22"/>
        </w:rPr>
        <w:t xml:space="preserve"> the pathway of changes that will be initiated through </w:t>
      </w:r>
      <w:r w:rsidR="00F443B7" w:rsidRPr="7849A67F">
        <w:rPr>
          <w:rStyle w:val="normaltextrun"/>
          <w:rFonts w:ascii="Arial" w:eastAsia="Arial" w:hAnsi="Arial" w:cs="Arial"/>
          <w:sz w:val="22"/>
          <w:szCs w:val="22"/>
        </w:rPr>
        <w:t>MAF</w:t>
      </w:r>
      <w:r w:rsidRPr="7849A67F">
        <w:rPr>
          <w:rStyle w:val="normaltextrun"/>
          <w:rFonts w:ascii="Arial" w:eastAsia="Arial" w:hAnsi="Arial" w:cs="Arial"/>
          <w:sz w:val="22"/>
          <w:szCs w:val="22"/>
        </w:rPr>
        <w:t xml:space="preserve"> support</w:t>
      </w:r>
      <w:r w:rsidR="7B5CC699" w:rsidRPr="7849A67F">
        <w:rPr>
          <w:rStyle w:val="normaltextrun"/>
          <w:rFonts w:ascii="Arial" w:eastAsia="Arial" w:hAnsi="Arial" w:cs="Arial"/>
          <w:sz w:val="22"/>
          <w:szCs w:val="22"/>
        </w:rPr>
        <w:t xml:space="preserve"> to catalyse transformative mitigation action</w:t>
      </w:r>
      <w:r w:rsidR="752C93B9" w:rsidRPr="7849A67F">
        <w:rPr>
          <w:rStyle w:val="normaltextrun"/>
          <w:rFonts w:ascii="Arial" w:eastAsia="Arial" w:hAnsi="Arial" w:cs="Arial"/>
          <w:sz w:val="22"/>
          <w:szCs w:val="22"/>
        </w:rPr>
        <w:t>.</w:t>
      </w:r>
      <w:r w:rsidRPr="7849A67F">
        <w:rPr>
          <w:rStyle w:val="normaltextrun"/>
          <w:rFonts w:ascii="Arial" w:eastAsia="Arial" w:hAnsi="Arial" w:cs="Arial"/>
          <w:sz w:val="22"/>
          <w:szCs w:val="22"/>
        </w:rPr>
        <w:t xml:space="preserve"> These desired changes are primarily triggered by the individual </w:t>
      </w:r>
      <w:r w:rsidR="004B0BE6" w:rsidRPr="7849A67F">
        <w:rPr>
          <w:rStyle w:val="normaltextrun"/>
          <w:rFonts w:ascii="Arial" w:eastAsia="Arial" w:hAnsi="Arial" w:cs="Arial"/>
          <w:sz w:val="22"/>
          <w:szCs w:val="22"/>
        </w:rPr>
        <w:t>p</w:t>
      </w:r>
      <w:r w:rsidR="00F443B7" w:rsidRPr="7849A67F">
        <w:rPr>
          <w:rStyle w:val="normaltextrun"/>
          <w:rFonts w:ascii="Arial" w:eastAsia="Arial" w:hAnsi="Arial" w:cs="Arial"/>
          <w:sz w:val="22"/>
          <w:szCs w:val="22"/>
        </w:rPr>
        <w:t>rojects</w:t>
      </w:r>
      <w:r w:rsidR="17AAC6BA" w:rsidRPr="7849A67F">
        <w:rPr>
          <w:rStyle w:val="normaltextrun"/>
          <w:rFonts w:ascii="Arial" w:eastAsia="Arial" w:hAnsi="Arial" w:cs="Arial"/>
          <w:sz w:val="22"/>
          <w:szCs w:val="22"/>
        </w:rPr>
        <w:t xml:space="preserve"> and</w:t>
      </w:r>
      <w:r w:rsidR="74BFB51E" w:rsidRPr="7849A67F">
        <w:rPr>
          <w:rStyle w:val="normaltextrun"/>
          <w:rFonts w:ascii="Arial" w:eastAsia="Arial" w:hAnsi="Arial" w:cs="Arial"/>
          <w:sz w:val="22"/>
          <w:szCs w:val="22"/>
        </w:rPr>
        <w:t xml:space="preserve"> </w:t>
      </w:r>
      <w:r w:rsidR="17AAC6BA" w:rsidRPr="7849A67F">
        <w:rPr>
          <w:rStyle w:val="normaltextrun"/>
          <w:rFonts w:ascii="Arial" w:eastAsia="Arial" w:hAnsi="Arial" w:cs="Arial"/>
          <w:sz w:val="22"/>
          <w:szCs w:val="22"/>
        </w:rPr>
        <w:t>are enhanced by the cross-cutting actions of the facility</w:t>
      </w:r>
      <w:r w:rsidR="752C93B9" w:rsidRPr="7849A67F">
        <w:rPr>
          <w:rStyle w:val="normaltextrun"/>
          <w:rFonts w:ascii="Arial" w:eastAsia="Arial" w:hAnsi="Arial" w:cs="Arial"/>
          <w:sz w:val="22"/>
          <w:szCs w:val="22"/>
        </w:rPr>
        <w:t xml:space="preserve">. </w:t>
      </w:r>
      <w:r w:rsidR="0248895B" w:rsidRPr="7849A67F">
        <w:rPr>
          <w:rStyle w:val="normaltextrun"/>
          <w:rFonts w:ascii="Arial" w:eastAsia="Arial" w:hAnsi="Arial" w:cs="Arial"/>
          <w:sz w:val="22"/>
          <w:szCs w:val="22"/>
        </w:rPr>
        <w:t xml:space="preserve">To achieve this outcome, </w:t>
      </w:r>
      <w:r w:rsidR="00C37F3A" w:rsidRPr="7849A67F">
        <w:rPr>
          <w:rStyle w:val="normaltextrun"/>
          <w:rFonts w:ascii="Arial" w:eastAsia="Arial" w:hAnsi="Arial" w:cs="Arial"/>
          <w:sz w:val="22"/>
          <w:szCs w:val="22"/>
        </w:rPr>
        <w:t>MAF</w:t>
      </w:r>
      <w:r w:rsidR="0248895B" w:rsidRPr="7849A67F">
        <w:rPr>
          <w:rStyle w:val="normaltextrun"/>
          <w:rFonts w:ascii="Arial" w:eastAsia="Arial" w:hAnsi="Arial" w:cs="Arial"/>
          <w:sz w:val="22"/>
          <w:szCs w:val="22"/>
        </w:rPr>
        <w:t xml:space="preserve"> relies on a successful demonstration effect produced by its projects.</w:t>
      </w:r>
      <w:r w:rsidRPr="7849A67F">
        <w:rPr>
          <w:rStyle w:val="normaltextrun"/>
          <w:rFonts w:ascii="Arial" w:eastAsia="Arial" w:hAnsi="Arial" w:cs="Arial"/>
          <w:sz w:val="22"/>
          <w:szCs w:val="22"/>
        </w:rPr>
        <w:t xml:space="preserve"> </w:t>
      </w:r>
      <w:r w:rsidR="009431A1" w:rsidRPr="7849A67F">
        <w:rPr>
          <w:rStyle w:val="normaltextrun"/>
          <w:rFonts w:ascii="Arial" w:eastAsia="Arial" w:hAnsi="Arial" w:cs="Arial"/>
          <w:sz w:val="22"/>
          <w:szCs w:val="22"/>
        </w:rPr>
        <w:t xml:space="preserve">In parallel, systemic change is accomplished as projects trigger shifts in market behaviour and economic incentives, prompting improvements in the regulatory environment and strengthening national capacity ensuring the sustainability of project impacts. Demonstration effect and systemic change pave the way for scale-up and replication by de-risking projects for other public and/or private investors, which leads to the overall improved financing of mitigation action. </w:t>
      </w:r>
    </w:p>
    <w:p w14:paraId="70047016" w14:textId="389A92D0" w:rsidR="07AF1209" w:rsidRDefault="07AF1209" w:rsidP="07AF1209">
      <w:pPr>
        <w:pStyle w:val="paragraph"/>
        <w:jc w:val="both"/>
        <w:rPr>
          <w:rStyle w:val="normaltextrun"/>
          <w:rFonts w:ascii="Arial" w:eastAsia="Arial" w:hAnsi="Arial" w:cs="Arial"/>
          <w:sz w:val="22"/>
          <w:szCs w:val="22"/>
        </w:rPr>
      </w:pPr>
    </w:p>
    <w:p w14:paraId="5FC15EC3" w14:textId="30988FBD" w:rsidR="00BE6AA5" w:rsidRPr="00F87E6A" w:rsidRDefault="52448654" w:rsidP="07AF1209">
      <w:pPr>
        <w:pStyle w:val="paragraph"/>
        <w:jc w:val="both"/>
        <w:textAlignment w:val="baseline"/>
        <w:rPr>
          <w:rFonts w:ascii="Arial" w:eastAsia="Arial" w:hAnsi="Arial" w:cs="Arial"/>
          <w:sz w:val="22"/>
          <w:szCs w:val="22"/>
        </w:rPr>
      </w:pPr>
      <w:r w:rsidRPr="5964CDA8">
        <w:rPr>
          <w:rStyle w:val="normaltextrun"/>
          <w:rFonts w:ascii="Arial" w:eastAsia="Arial" w:hAnsi="Arial" w:cs="Arial"/>
          <w:sz w:val="22"/>
          <w:szCs w:val="22"/>
        </w:rPr>
        <w:t xml:space="preserve">Given the </w:t>
      </w:r>
      <w:r w:rsidR="27F5325D" w:rsidRPr="5964CDA8">
        <w:rPr>
          <w:rStyle w:val="normaltextrun"/>
          <w:rFonts w:ascii="Arial" w:eastAsia="Arial" w:hAnsi="Arial" w:cs="Arial"/>
          <w:sz w:val="22"/>
          <w:szCs w:val="22"/>
        </w:rPr>
        <w:t>F</w:t>
      </w:r>
      <w:r w:rsidR="5F0A7D19" w:rsidRPr="5964CDA8">
        <w:rPr>
          <w:rStyle w:val="normaltextrun"/>
          <w:rFonts w:ascii="Arial" w:eastAsia="Arial" w:hAnsi="Arial" w:cs="Arial"/>
          <w:sz w:val="22"/>
          <w:szCs w:val="22"/>
        </w:rPr>
        <w:t>acility</w:t>
      </w:r>
      <w:r w:rsidR="27F5325D" w:rsidRPr="5964CDA8">
        <w:rPr>
          <w:rStyle w:val="normaltextrun"/>
          <w:rFonts w:ascii="Arial" w:eastAsia="Arial" w:hAnsi="Arial" w:cs="Arial"/>
          <w:sz w:val="22"/>
          <w:szCs w:val="22"/>
        </w:rPr>
        <w:t>’s</w:t>
      </w:r>
      <w:r w:rsidRPr="5964CDA8">
        <w:rPr>
          <w:rStyle w:val="normaltextrun"/>
          <w:rFonts w:ascii="Arial" w:eastAsia="Arial" w:hAnsi="Arial" w:cs="Arial"/>
          <w:sz w:val="22"/>
          <w:szCs w:val="22"/>
        </w:rPr>
        <w:t xml:space="preserve"> objective of supporting implementation, the focus of </w:t>
      </w:r>
      <w:r w:rsidR="67E9A483" w:rsidRPr="5964CDA8">
        <w:rPr>
          <w:rStyle w:val="normaltextrun"/>
          <w:rFonts w:ascii="Arial" w:eastAsia="Arial" w:hAnsi="Arial" w:cs="Arial"/>
          <w:sz w:val="22"/>
          <w:szCs w:val="22"/>
        </w:rPr>
        <w:t>projects in 202</w:t>
      </w:r>
      <w:r w:rsidR="786E0F7A" w:rsidRPr="5964CDA8">
        <w:rPr>
          <w:rStyle w:val="normaltextrun"/>
          <w:rFonts w:ascii="Arial" w:eastAsia="Arial" w:hAnsi="Arial" w:cs="Arial"/>
          <w:sz w:val="22"/>
          <w:szCs w:val="22"/>
        </w:rPr>
        <w:t>3</w:t>
      </w:r>
      <w:r w:rsidRPr="5964CDA8">
        <w:rPr>
          <w:rStyle w:val="normaltextrun"/>
          <w:rFonts w:ascii="Arial" w:eastAsia="Arial" w:hAnsi="Arial" w:cs="Arial"/>
          <w:sz w:val="22"/>
          <w:szCs w:val="22"/>
        </w:rPr>
        <w:t xml:space="preserve"> </w:t>
      </w:r>
      <w:r w:rsidR="1509E682" w:rsidRPr="5964CDA8">
        <w:rPr>
          <w:rStyle w:val="normaltextrun"/>
          <w:rFonts w:ascii="Arial" w:eastAsia="Arial" w:hAnsi="Arial" w:cs="Arial"/>
          <w:sz w:val="22"/>
          <w:szCs w:val="22"/>
        </w:rPr>
        <w:t>continue</w:t>
      </w:r>
      <w:r w:rsidR="6B993597" w:rsidRPr="5964CDA8">
        <w:rPr>
          <w:rStyle w:val="normaltextrun"/>
          <w:rFonts w:ascii="Arial" w:eastAsia="Arial" w:hAnsi="Arial" w:cs="Arial"/>
          <w:sz w:val="22"/>
          <w:szCs w:val="22"/>
        </w:rPr>
        <w:t>d</w:t>
      </w:r>
      <w:r w:rsidR="1509E682" w:rsidRPr="5964CDA8">
        <w:rPr>
          <w:rStyle w:val="normaltextrun"/>
          <w:rFonts w:ascii="Arial" w:eastAsia="Arial" w:hAnsi="Arial" w:cs="Arial"/>
          <w:sz w:val="22"/>
          <w:szCs w:val="22"/>
        </w:rPr>
        <w:t xml:space="preserve"> to be</w:t>
      </w:r>
      <w:r w:rsidR="061F2061" w:rsidRPr="5964CDA8">
        <w:rPr>
          <w:rStyle w:val="normaltextrun"/>
          <w:rFonts w:ascii="Arial" w:eastAsia="Arial" w:hAnsi="Arial" w:cs="Arial"/>
          <w:sz w:val="22"/>
          <w:szCs w:val="22"/>
        </w:rPr>
        <w:t xml:space="preserve"> </w:t>
      </w:r>
      <w:r w:rsidRPr="5964CDA8">
        <w:rPr>
          <w:rStyle w:val="normaltextrun"/>
          <w:rFonts w:ascii="Arial" w:eastAsia="Arial" w:hAnsi="Arial" w:cs="Arial"/>
          <w:sz w:val="22"/>
          <w:szCs w:val="22"/>
        </w:rPr>
        <w:t xml:space="preserve">on financial support mechanisms that serve to mobilise capital investments in, and </w:t>
      </w:r>
      <w:r w:rsidR="1F6E6E9E" w:rsidRPr="5964CDA8">
        <w:rPr>
          <w:rStyle w:val="normaltextrun"/>
          <w:rFonts w:ascii="Arial" w:eastAsia="Arial" w:hAnsi="Arial" w:cs="Arial"/>
          <w:sz w:val="22"/>
          <w:szCs w:val="22"/>
        </w:rPr>
        <w:t xml:space="preserve">support the </w:t>
      </w:r>
      <w:r w:rsidRPr="5964CDA8">
        <w:rPr>
          <w:rStyle w:val="normaltextrun"/>
          <w:rFonts w:ascii="Arial" w:eastAsia="Arial" w:hAnsi="Arial" w:cs="Arial"/>
          <w:sz w:val="22"/>
          <w:szCs w:val="22"/>
        </w:rPr>
        <w:t>opera</w:t>
      </w:r>
      <w:r w:rsidR="271408E4" w:rsidRPr="5964CDA8">
        <w:rPr>
          <w:rStyle w:val="normaltextrun"/>
          <w:rFonts w:ascii="Arial" w:eastAsia="Arial" w:hAnsi="Arial" w:cs="Arial"/>
          <w:sz w:val="22"/>
          <w:szCs w:val="22"/>
        </w:rPr>
        <w:t>bility</w:t>
      </w:r>
      <w:r w:rsidRPr="5964CDA8">
        <w:rPr>
          <w:rStyle w:val="normaltextrun"/>
          <w:rFonts w:ascii="Arial" w:eastAsia="Arial" w:hAnsi="Arial" w:cs="Arial"/>
          <w:sz w:val="22"/>
          <w:szCs w:val="22"/>
        </w:rPr>
        <w:t xml:space="preserve"> of, carbon-</w:t>
      </w:r>
      <w:r w:rsidR="061F2061" w:rsidRPr="5964CDA8">
        <w:rPr>
          <w:rStyle w:val="normaltextrun"/>
          <w:rFonts w:ascii="Arial" w:eastAsia="Arial" w:hAnsi="Arial" w:cs="Arial"/>
          <w:sz w:val="22"/>
          <w:szCs w:val="22"/>
        </w:rPr>
        <w:t>neutral alternatives</w:t>
      </w:r>
      <w:r w:rsidRPr="5964CDA8">
        <w:rPr>
          <w:rStyle w:val="normaltextrun"/>
          <w:rFonts w:ascii="Arial" w:eastAsia="Arial" w:hAnsi="Arial" w:cs="Arial"/>
          <w:sz w:val="22"/>
          <w:szCs w:val="22"/>
        </w:rPr>
        <w:t>.</w:t>
      </w:r>
      <w:r w:rsidR="29FFF8C3" w:rsidRPr="5964CDA8">
        <w:rPr>
          <w:rStyle w:val="normaltextrun"/>
          <w:rFonts w:ascii="Arial" w:eastAsia="Arial" w:hAnsi="Arial" w:cs="Arial"/>
          <w:sz w:val="22"/>
          <w:szCs w:val="22"/>
        </w:rPr>
        <w:t xml:space="preserve"> </w:t>
      </w:r>
      <w:r w:rsidR="3A8AF60C" w:rsidRPr="5964CDA8">
        <w:rPr>
          <w:rStyle w:val="normaltextrun"/>
          <w:rFonts w:ascii="Arial" w:eastAsia="Arial" w:hAnsi="Arial" w:cs="Arial"/>
          <w:sz w:val="22"/>
          <w:szCs w:val="22"/>
        </w:rPr>
        <w:t>Alongside this, t</w:t>
      </w:r>
      <w:r w:rsidR="061F2061" w:rsidRPr="5964CDA8">
        <w:rPr>
          <w:rStyle w:val="normaltextrun"/>
          <w:rFonts w:ascii="Arial" w:eastAsia="Arial" w:hAnsi="Arial" w:cs="Arial"/>
          <w:sz w:val="22"/>
          <w:szCs w:val="22"/>
        </w:rPr>
        <w:t>echnical</w:t>
      </w:r>
      <w:r w:rsidRPr="5964CDA8">
        <w:rPr>
          <w:rStyle w:val="normaltextrun"/>
          <w:rFonts w:ascii="Arial" w:eastAsia="Arial" w:hAnsi="Arial" w:cs="Arial"/>
          <w:sz w:val="22"/>
          <w:szCs w:val="22"/>
        </w:rPr>
        <w:t xml:space="preserve"> support and institutional and regulatory capacity development in partner countries </w:t>
      </w:r>
      <w:r w:rsidR="3A8AF60C" w:rsidRPr="5964CDA8">
        <w:rPr>
          <w:rStyle w:val="normaltextrun"/>
          <w:rFonts w:ascii="Arial" w:eastAsia="Arial" w:hAnsi="Arial" w:cs="Arial"/>
          <w:sz w:val="22"/>
          <w:szCs w:val="22"/>
        </w:rPr>
        <w:t>is</w:t>
      </w:r>
      <w:r w:rsidRPr="5964CDA8">
        <w:rPr>
          <w:rStyle w:val="normaltextrun"/>
          <w:rFonts w:ascii="Arial" w:eastAsia="Arial" w:hAnsi="Arial" w:cs="Arial"/>
          <w:sz w:val="22"/>
          <w:szCs w:val="22"/>
        </w:rPr>
        <w:t xml:space="preserve"> provided during </w:t>
      </w:r>
      <w:r w:rsidR="67E9A483" w:rsidRPr="5964CDA8">
        <w:rPr>
          <w:rStyle w:val="normaltextrun"/>
          <w:rFonts w:ascii="Arial" w:eastAsia="Arial" w:hAnsi="Arial" w:cs="Arial"/>
          <w:sz w:val="22"/>
          <w:szCs w:val="22"/>
        </w:rPr>
        <w:t>project</w:t>
      </w:r>
      <w:r w:rsidRPr="5964CDA8">
        <w:rPr>
          <w:rStyle w:val="normaltextrun"/>
          <w:rFonts w:ascii="Arial" w:eastAsia="Arial" w:hAnsi="Arial" w:cs="Arial"/>
          <w:sz w:val="22"/>
          <w:szCs w:val="22"/>
        </w:rPr>
        <w:t xml:space="preserve"> implementation to facilitate this objective.</w:t>
      </w:r>
    </w:p>
    <w:p w14:paraId="61EC444F" w14:textId="686AEF61" w:rsidR="00BE6AA5" w:rsidRPr="00F87E6A" w:rsidRDefault="00BE6AA5" w:rsidP="07AF1209">
      <w:pPr>
        <w:pStyle w:val="paragraph"/>
        <w:jc w:val="both"/>
        <w:textAlignment w:val="baseline"/>
        <w:rPr>
          <w:rFonts w:ascii="Arial" w:eastAsia="Arial" w:hAnsi="Arial" w:cs="Arial"/>
          <w:sz w:val="22"/>
          <w:szCs w:val="22"/>
        </w:rPr>
      </w:pPr>
      <w:r w:rsidRPr="6CF0CCCA">
        <w:rPr>
          <w:rStyle w:val="eop"/>
          <w:rFonts w:ascii="Arial" w:eastAsia="Arial" w:hAnsi="Arial" w:cs="Arial"/>
          <w:sz w:val="22"/>
          <w:szCs w:val="22"/>
        </w:rPr>
        <w:t> </w:t>
      </w:r>
    </w:p>
    <w:p w14:paraId="31EE7561" w14:textId="11147299" w:rsidR="00570BB8" w:rsidRPr="00570BB8" w:rsidRDefault="00BE6AA5" w:rsidP="5964CDA8">
      <w:pPr>
        <w:pStyle w:val="paragraph"/>
        <w:spacing w:before="0" w:beforeAutospacing="0" w:after="0" w:afterAutospacing="0"/>
        <w:jc w:val="both"/>
        <w:textAlignment w:val="baseline"/>
        <w:rPr>
          <w:rStyle w:val="normaltextrun"/>
          <w:rFonts w:ascii="Arial" w:eastAsia="Arial" w:hAnsi="Arial" w:cs="Arial"/>
          <w:sz w:val="22"/>
          <w:szCs w:val="22"/>
        </w:rPr>
      </w:pPr>
      <w:r w:rsidRPr="5964CDA8">
        <w:rPr>
          <w:rStyle w:val="normaltextrun"/>
          <w:rFonts w:ascii="Arial" w:eastAsia="Arial" w:hAnsi="Arial" w:cs="Arial"/>
          <w:sz w:val="22"/>
          <w:szCs w:val="22"/>
        </w:rPr>
        <w:t xml:space="preserve">Following the </w:t>
      </w:r>
      <w:r w:rsidR="752C93B9" w:rsidRPr="5964CDA8">
        <w:rPr>
          <w:rStyle w:val="normaltextrun"/>
          <w:rFonts w:ascii="Arial" w:eastAsia="Arial" w:hAnsi="Arial" w:cs="Arial"/>
          <w:sz w:val="22"/>
          <w:szCs w:val="22"/>
        </w:rPr>
        <w:t>202</w:t>
      </w:r>
      <w:r w:rsidR="013C67DC" w:rsidRPr="5964CDA8">
        <w:rPr>
          <w:rStyle w:val="normaltextrun"/>
          <w:rFonts w:ascii="Arial" w:eastAsia="Arial" w:hAnsi="Arial" w:cs="Arial"/>
          <w:sz w:val="22"/>
          <w:szCs w:val="22"/>
        </w:rPr>
        <w:t>0</w:t>
      </w:r>
      <w:r w:rsidR="752C93B9" w:rsidRPr="5964CDA8">
        <w:rPr>
          <w:rStyle w:val="normaltextrun"/>
          <w:rFonts w:ascii="Arial" w:eastAsia="Arial" w:hAnsi="Arial" w:cs="Arial"/>
          <w:sz w:val="22"/>
          <w:szCs w:val="22"/>
        </w:rPr>
        <w:t xml:space="preserve"> </w:t>
      </w:r>
      <w:r w:rsidR="013C67DC" w:rsidRPr="5964CDA8">
        <w:rPr>
          <w:rStyle w:val="normaltextrun"/>
          <w:rFonts w:ascii="Arial" w:eastAsia="Arial" w:hAnsi="Arial" w:cs="Arial"/>
          <w:sz w:val="22"/>
          <w:szCs w:val="22"/>
        </w:rPr>
        <w:t>interim</w:t>
      </w:r>
      <w:r w:rsidRPr="5964CDA8">
        <w:rPr>
          <w:rStyle w:val="normaltextrun"/>
          <w:rFonts w:ascii="Arial" w:eastAsia="Arial" w:hAnsi="Arial" w:cs="Arial"/>
          <w:sz w:val="22"/>
          <w:szCs w:val="22"/>
        </w:rPr>
        <w:t xml:space="preserve"> evaluation of the F</w:t>
      </w:r>
      <w:r w:rsidR="00E11358" w:rsidRPr="5964CDA8">
        <w:rPr>
          <w:rStyle w:val="normaltextrun"/>
          <w:rFonts w:ascii="Arial" w:eastAsia="Arial" w:hAnsi="Arial" w:cs="Arial"/>
          <w:sz w:val="22"/>
          <w:szCs w:val="22"/>
        </w:rPr>
        <w:t>acili</w:t>
      </w:r>
      <w:r w:rsidR="00D9009E" w:rsidRPr="5964CDA8">
        <w:rPr>
          <w:rStyle w:val="normaltextrun"/>
          <w:rFonts w:ascii="Arial" w:eastAsia="Arial" w:hAnsi="Arial" w:cs="Arial"/>
          <w:sz w:val="22"/>
          <w:szCs w:val="22"/>
        </w:rPr>
        <w:t>ty</w:t>
      </w:r>
      <w:r w:rsidR="5E0C04DE" w:rsidRPr="5964CDA8">
        <w:rPr>
          <w:rStyle w:val="normaltextrun"/>
          <w:rFonts w:ascii="Arial" w:eastAsia="Arial" w:hAnsi="Arial" w:cs="Arial"/>
          <w:sz w:val="22"/>
          <w:szCs w:val="22"/>
        </w:rPr>
        <w:t xml:space="preserve"> and the revision of</w:t>
      </w:r>
      <w:r w:rsidRPr="5964CDA8">
        <w:rPr>
          <w:rStyle w:val="normaltextrun"/>
          <w:rFonts w:ascii="Arial" w:eastAsia="Arial" w:hAnsi="Arial" w:cs="Arial"/>
          <w:sz w:val="22"/>
          <w:szCs w:val="22"/>
        </w:rPr>
        <w:t xml:space="preserve"> the </w:t>
      </w:r>
      <w:r w:rsidR="00D9009E" w:rsidRPr="5964CDA8">
        <w:rPr>
          <w:rStyle w:val="normaltextrun"/>
          <w:rFonts w:ascii="Arial" w:eastAsia="Arial" w:hAnsi="Arial" w:cs="Arial"/>
          <w:sz w:val="22"/>
          <w:szCs w:val="22"/>
        </w:rPr>
        <w:t>MA</w:t>
      </w:r>
      <w:r w:rsidRPr="5964CDA8">
        <w:rPr>
          <w:rStyle w:val="normaltextrun"/>
          <w:rFonts w:ascii="Arial" w:eastAsia="Arial" w:hAnsi="Arial" w:cs="Arial"/>
          <w:sz w:val="22"/>
          <w:szCs w:val="22"/>
        </w:rPr>
        <w:t xml:space="preserve">F </w:t>
      </w:r>
      <w:proofErr w:type="spellStart"/>
      <w:r w:rsidRPr="5964CDA8">
        <w:rPr>
          <w:rStyle w:val="normaltextrun"/>
          <w:rFonts w:ascii="Arial" w:eastAsia="Arial" w:hAnsi="Arial" w:cs="Arial"/>
          <w:sz w:val="22"/>
          <w:szCs w:val="22"/>
        </w:rPr>
        <w:t>ToC</w:t>
      </w:r>
      <w:proofErr w:type="spellEnd"/>
      <w:r w:rsidRPr="5964CDA8">
        <w:rPr>
          <w:rStyle w:val="normaltextrun"/>
          <w:rFonts w:ascii="Arial" w:eastAsia="Arial" w:hAnsi="Arial" w:cs="Arial"/>
          <w:sz w:val="22"/>
          <w:szCs w:val="22"/>
        </w:rPr>
        <w:t xml:space="preserve"> in </w:t>
      </w:r>
      <w:r w:rsidR="00697921" w:rsidRPr="5964CDA8">
        <w:rPr>
          <w:rStyle w:val="normaltextrun"/>
          <w:rFonts w:ascii="Arial" w:eastAsia="Arial" w:hAnsi="Arial" w:cs="Arial"/>
          <w:sz w:val="22"/>
          <w:szCs w:val="22"/>
        </w:rPr>
        <w:t xml:space="preserve">January </w:t>
      </w:r>
      <w:r w:rsidRPr="5964CDA8">
        <w:rPr>
          <w:rStyle w:val="normaltextrun"/>
          <w:rFonts w:ascii="Arial" w:eastAsia="Arial" w:hAnsi="Arial" w:cs="Arial"/>
          <w:sz w:val="22"/>
          <w:szCs w:val="22"/>
        </w:rPr>
        <w:t>202</w:t>
      </w:r>
      <w:r w:rsidR="004B1514" w:rsidRPr="5964CDA8">
        <w:rPr>
          <w:rStyle w:val="normaltextrun"/>
          <w:rFonts w:ascii="Arial" w:eastAsia="Arial" w:hAnsi="Arial" w:cs="Arial"/>
          <w:sz w:val="22"/>
          <w:szCs w:val="22"/>
        </w:rPr>
        <w:t>2</w:t>
      </w:r>
      <w:r w:rsidR="0C811285" w:rsidRPr="5964CDA8">
        <w:rPr>
          <w:rStyle w:val="normaltextrun"/>
          <w:rFonts w:ascii="Arial" w:eastAsia="Arial" w:hAnsi="Arial" w:cs="Arial"/>
          <w:sz w:val="22"/>
          <w:szCs w:val="22"/>
        </w:rPr>
        <w:t>,</w:t>
      </w:r>
      <w:r w:rsidR="1DEB8495" w:rsidRPr="5964CDA8">
        <w:rPr>
          <w:rStyle w:val="normaltextrun"/>
          <w:rFonts w:ascii="Arial" w:eastAsia="Arial" w:hAnsi="Arial" w:cs="Arial"/>
          <w:sz w:val="22"/>
          <w:szCs w:val="22"/>
        </w:rPr>
        <w:t xml:space="preserve"> </w:t>
      </w:r>
      <w:r w:rsidR="0C811285" w:rsidRPr="5964CDA8">
        <w:rPr>
          <w:rStyle w:val="normaltextrun"/>
          <w:rFonts w:ascii="Arial" w:eastAsia="Arial" w:hAnsi="Arial" w:cs="Arial"/>
          <w:sz w:val="22"/>
          <w:szCs w:val="22"/>
        </w:rPr>
        <w:t>t</w:t>
      </w:r>
      <w:r w:rsidRPr="5964CDA8">
        <w:rPr>
          <w:rStyle w:val="normaltextrun"/>
          <w:rFonts w:ascii="Arial" w:eastAsia="Arial" w:hAnsi="Arial" w:cs="Arial"/>
          <w:sz w:val="22"/>
          <w:szCs w:val="22"/>
        </w:rPr>
        <w:t xml:space="preserve">he updated </w:t>
      </w:r>
      <w:proofErr w:type="spellStart"/>
      <w:r w:rsidRPr="5964CDA8">
        <w:rPr>
          <w:rStyle w:val="normaltextrun"/>
          <w:rFonts w:ascii="Arial" w:eastAsia="Arial" w:hAnsi="Arial" w:cs="Arial"/>
          <w:sz w:val="22"/>
          <w:szCs w:val="22"/>
        </w:rPr>
        <w:t>ToC</w:t>
      </w:r>
      <w:proofErr w:type="spellEnd"/>
      <w:r w:rsidR="298E970E" w:rsidRPr="5964CDA8">
        <w:rPr>
          <w:rStyle w:val="normaltextrun"/>
          <w:rFonts w:ascii="Arial" w:eastAsia="Arial" w:hAnsi="Arial" w:cs="Arial"/>
          <w:sz w:val="22"/>
          <w:szCs w:val="22"/>
        </w:rPr>
        <w:t>,</w:t>
      </w:r>
      <w:r w:rsidR="6E6D95A0" w:rsidRPr="5964CDA8">
        <w:rPr>
          <w:rStyle w:val="normaltextrun"/>
          <w:rFonts w:ascii="Arial" w:eastAsia="Arial" w:hAnsi="Arial" w:cs="Arial"/>
          <w:sz w:val="22"/>
          <w:szCs w:val="22"/>
        </w:rPr>
        <w:t xml:space="preserve"> which</w:t>
      </w:r>
      <w:r w:rsidRPr="5964CDA8">
        <w:rPr>
          <w:rStyle w:val="normaltextrun"/>
          <w:rFonts w:ascii="Arial" w:eastAsia="Arial" w:hAnsi="Arial" w:cs="Arial"/>
          <w:sz w:val="22"/>
          <w:szCs w:val="22"/>
        </w:rPr>
        <w:t xml:space="preserve"> includes more accurate inputs, revised activities (split into programme-level, project-level and cross-cutting activities), and slightly reformulated outputs, outcome and impact statements</w:t>
      </w:r>
      <w:r w:rsidR="235CB4CA" w:rsidRPr="5964CDA8">
        <w:rPr>
          <w:rStyle w:val="normaltextrun"/>
          <w:rFonts w:ascii="Arial" w:eastAsia="Arial" w:hAnsi="Arial" w:cs="Arial"/>
          <w:sz w:val="22"/>
          <w:szCs w:val="22"/>
        </w:rPr>
        <w:t xml:space="preserve"> </w:t>
      </w:r>
      <w:r w:rsidR="6A1417F9" w:rsidRPr="5964CDA8">
        <w:rPr>
          <w:rStyle w:val="normaltextrun"/>
          <w:rFonts w:ascii="Arial" w:eastAsia="Arial" w:hAnsi="Arial" w:cs="Arial"/>
          <w:sz w:val="22"/>
          <w:szCs w:val="22"/>
        </w:rPr>
        <w:t xml:space="preserve">was </w:t>
      </w:r>
      <w:r w:rsidR="235CB4CA" w:rsidRPr="5964CDA8">
        <w:rPr>
          <w:rStyle w:val="normaltextrun"/>
          <w:rFonts w:ascii="Arial" w:eastAsia="Arial" w:hAnsi="Arial" w:cs="Arial"/>
          <w:sz w:val="22"/>
          <w:szCs w:val="22"/>
        </w:rPr>
        <w:t>a</w:t>
      </w:r>
      <w:r w:rsidRPr="5964CDA8">
        <w:rPr>
          <w:rStyle w:val="normaltextrun"/>
          <w:rFonts w:ascii="Arial" w:eastAsia="Arial" w:hAnsi="Arial" w:cs="Arial"/>
          <w:sz w:val="22"/>
          <w:szCs w:val="22"/>
        </w:rPr>
        <w:t>pprov</w:t>
      </w:r>
      <w:r w:rsidR="7E39AD3A" w:rsidRPr="5964CDA8">
        <w:rPr>
          <w:rStyle w:val="normaltextrun"/>
          <w:rFonts w:ascii="Arial" w:eastAsia="Arial" w:hAnsi="Arial" w:cs="Arial"/>
          <w:sz w:val="22"/>
          <w:szCs w:val="22"/>
        </w:rPr>
        <w:t>ed</w:t>
      </w:r>
      <w:r w:rsidRPr="5964CDA8">
        <w:rPr>
          <w:rStyle w:val="normaltextrun"/>
          <w:rFonts w:ascii="Arial" w:eastAsia="Arial" w:hAnsi="Arial" w:cs="Arial"/>
          <w:sz w:val="22"/>
          <w:szCs w:val="22"/>
        </w:rPr>
        <w:t xml:space="preserve"> by the </w:t>
      </w:r>
      <w:r w:rsidR="17547D25" w:rsidRPr="5964CDA8">
        <w:rPr>
          <w:rStyle w:val="normaltextrun"/>
          <w:rFonts w:ascii="Arial" w:eastAsia="Arial" w:hAnsi="Arial" w:cs="Arial"/>
          <w:sz w:val="22"/>
          <w:szCs w:val="22"/>
        </w:rPr>
        <w:t>M</w:t>
      </w:r>
      <w:r w:rsidR="4F5B62F4" w:rsidRPr="5964CDA8">
        <w:rPr>
          <w:rStyle w:val="normaltextrun"/>
          <w:rFonts w:ascii="Arial" w:eastAsia="Arial" w:hAnsi="Arial" w:cs="Arial"/>
          <w:sz w:val="22"/>
          <w:szCs w:val="22"/>
        </w:rPr>
        <w:t>AF</w:t>
      </w:r>
      <w:r w:rsidRPr="5964CDA8">
        <w:rPr>
          <w:rStyle w:val="normaltextrun"/>
          <w:rFonts w:ascii="Arial" w:eastAsia="Arial" w:hAnsi="Arial" w:cs="Arial"/>
          <w:sz w:val="22"/>
          <w:szCs w:val="22"/>
        </w:rPr>
        <w:t xml:space="preserve"> Board in 202</w:t>
      </w:r>
      <w:r w:rsidR="00932508" w:rsidRPr="5964CDA8">
        <w:rPr>
          <w:rStyle w:val="normaltextrun"/>
          <w:rFonts w:ascii="Arial" w:eastAsia="Arial" w:hAnsi="Arial" w:cs="Arial"/>
          <w:sz w:val="22"/>
          <w:szCs w:val="22"/>
        </w:rPr>
        <w:t>3</w:t>
      </w:r>
      <w:r w:rsidRPr="5964CDA8">
        <w:rPr>
          <w:rStyle w:val="normaltextrun"/>
          <w:rFonts w:ascii="Arial" w:eastAsia="Arial" w:hAnsi="Arial" w:cs="Arial"/>
          <w:sz w:val="22"/>
          <w:szCs w:val="22"/>
        </w:rPr>
        <w:t xml:space="preserve">. </w:t>
      </w:r>
      <w:r w:rsidR="00FD4187" w:rsidRPr="5964CDA8">
        <w:rPr>
          <w:rStyle w:val="normaltextrun"/>
          <w:rFonts w:ascii="Arial" w:eastAsia="Arial" w:hAnsi="Arial" w:cs="Arial"/>
          <w:sz w:val="22"/>
          <w:szCs w:val="22"/>
        </w:rPr>
        <w:t>The</w:t>
      </w:r>
      <w:r w:rsidR="0FAEBC26" w:rsidRPr="5964CDA8">
        <w:rPr>
          <w:rStyle w:val="normaltextrun"/>
          <w:rFonts w:ascii="Arial" w:eastAsia="Arial" w:hAnsi="Arial" w:cs="Arial"/>
          <w:sz w:val="22"/>
          <w:szCs w:val="22"/>
        </w:rPr>
        <w:t xml:space="preserve"> </w:t>
      </w:r>
      <w:proofErr w:type="spellStart"/>
      <w:r w:rsidR="4FB88590" w:rsidRPr="5964CDA8">
        <w:rPr>
          <w:rStyle w:val="normaltextrun"/>
          <w:rFonts w:ascii="Arial" w:eastAsia="Arial" w:hAnsi="Arial" w:cs="Arial"/>
          <w:sz w:val="22"/>
          <w:szCs w:val="22"/>
        </w:rPr>
        <w:t>ToC</w:t>
      </w:r>
      <w:proofErr w:type="spellEnd"/>
      <w:r w:rsidR="00FD4187" w:rsidRPr="5964CDA8">
        <w:rPr>
          <w:rStyle w:val="normaltextrun"/>
          <w:rFonts w:ascii="Arial" w:eastAsia="Arial" w:hAnsi="Arial" w:cs="Arial"/>
          <w:sz w:val="22"/>
          <w:szCs w:val="22"/>
        </w:rPr>
        <w:t xml:space="preserve"> narrative </w:t>
      </w:r>
      <w:r w:rsidR="6364C1AD" w:rsidRPr="5964CDA8">
        <w:rPr>
          <w:rStyle w:val="normaltextrun"/>
          <w:rFonts w:ascii="Arial" w:eastAsia="Arial" w:hAnsi="Arial" w:cs="Arial"/>
          <w:sz w:val="22"/>
          <w:szCs w:val="22"/>
        </w:rPr>
        <w:t xml:space="preserve">was </w:t>
      </w:r>
      <w:r w:rsidR="669AA59C" w:rsidRPr="5964CDA8">
        <w:rPr>
          <w:rStyle w:val="normaltextrun"/>
          <w:rFonts w:ascii="Arial" w:eastAsia="Arial" w:hAnsi="Arial" w:cs="Arial"/>
          <w:sz w:val="22"/>
          <w:szCs w:val="22"/>
        </w:rPr>
        <w:t>also</w:t>
      </w:r>
      <w:r w:rsidR="00FD4187" w:rsidRPr="5964CDA8">
        <w:rPr>
          <w:rStyle w:val="normaltextrun"/>
          <w:rFonts w:ascii="Arial" w:eastAsia="Arial" w:hAnsi="Arial" w:cs="Arial"/>
          <w:sz w:val="22"/>
          <w:szCs w:val="22"/>
        </w:rPr>
        <w:t xml:space="preserve"> updated,</w:t>
      </w:r>
      <w:r w:rsidRPr="5964CDA8">
        <w:rPr>
          <w:rStyle w:val="normaltextrun"/>
          <w:rFonts w:ascii="Arial" w:eastAsia="Arial" w:hAnsi="Arial" w:cs="Arial"/>
          <w:sz w:val="22"/>
          <w:szCs w:val="22"/>
        </w:rPr>
        <w:t xml:space="preserve"> explaining the</w:t>
      </w:r>
      <w:r w:rsidR="00CB1D3F" w:rsidRPr="5964CDA8">
        <w:rPr>
          <w:rStyle w:val="normaltextrun"/>
          <w:rFonts w:ascii="Arial" w:eastAsia="Arial" w:hAnsi="Arial" w:cs="Arial"/>
          <w:sz w:val="22"/>
          <w:szCs w:val="22"/>
        </w:rPr>
        <w:t xml:space="preserve"> logic of the intervention,</w:t>
      </w:r>
      <w:r w:rsidRPr="5964CDA8">
        <w:rPr>
          <w:rStyle w:val="normaltextrun"/>
          <w:rFonts w:ascii="Arial" w:eastAsia="Arial" w:hAnsi="Arial" w:cs="Arial"/>
          <w:sz w:val="22"/>
          <w:szCs w:val="22"/>
        </w:rPr>
        <w:t xml:space="preserve"> key assumptions and underlying causal pathways</w:t>
      </w:r>
      <w:r w:rsidR="00554D3A" w:rsidRPr="5964CDA8">
        <w:rPr>
          <w:rStyle w:val="normaltextrun"/>
          <w:rFonts w:ascii="Arial" w:eastAsia="Arial" w:hAnsi="Arial" w:cs="Arial"/>
          <w:sz w:val="22"/>
          <w:szCs w:val="22"/>
        </w:rPr>
        <w:t>.</w:t>
      </w:r>
    </w:p>
    <w:p w14:paraId="5DC1CEED" w14:textId="6B4E9977" w:rsidR="00601687" w:rsidRPr="00D80C6C" w:rsidRDefault="00601687" w:rsidP="07AF1209">
      <w:pPr>
        <w:jc w:val="both"/>
        <w:rPr>
          <w:rFonts w:eastAsia="Arial" w:cs="Arial"/>
          <w:sz w:val="22"/>
          <w:szCs w:val="22"/>
        </w:rPr>
      </w:pPr>
    </w:p>
    <w:p w14:paraId="6744E67C" w14:textId="105EA67D" w:rsidR="003D222C" w:rsidRPr="00D80C6C" w:rsidRDefault="007D6095" w:rsidP="07AF1209">
      <w:pPr>
        <w:jc w:val="both"/>
        <w:rPr>
          <w:rFonts w:eastAsia="Arial" w:cs="Arial"/>
          <w:sz w:val="22"/>
          <w:szCs w:val="22"/>
        </w:rPr>
      </w:pPr>
      <w:bookmarkStart w:id="15" w:name="_Toc172791897"/>
      <w:bookmarkStart w:id="16" w:name="_Toc300909227"/>
      <w:r w:rsidRPr="75FA93ED">
        <w:rPr>
          <w:rStyle w:val="Heading2Char"/>
          <w:rFonts w:eastAsia="Arial" w:cs="Arial"/>
        </w:rPr>
        <w:t>Progress against</w:t>
      </w:r>
      <w:r w:rsidR="003D222C" w:rsidRPr="75FA93ED">
        <w:rPr>
          <w:rStyle w:val="Heading2Char"/>
          <w:rFonts w:eastAsia="Arial" w:cs="Arial"/>
        </w:rPr>
        <w:t xml:space="preserve"> the expected outcomes and </w:t>
      </w:r>
      <w:r w:rsidRPr="75FA93ED">
        <w:rPr>
          <w:rStyle w:val="Heading2Char"/>
          <w:rFonts w:eastAsia="Arial" w:cs="Arial"/>
        </w:rPr>
        <w:t>impact, and</w:t>
      </w:r>
      <w:r w:rsidR="003D222C" w:rsidRPr="75FA93ED">
        <w:rPr>
          <w:rStyle w:val="Heading2Char"/>
          <w:rFonts w:eastAsia="Arial" w:cs="Arial"/>
        </w:rPr>
        <w:t xml:space="preserve"> action</w:t>
      </w:r>
      <w:r w:rsidRPr="75FA93ED">
        <w:rPr>
          <w:rStyle w:val="Heading2Char"/>
          <w:rFonts w:eastAsia="Arial" w:cs="Arial"/>
        </w:rPr>
        <w:t>s</w:t>
      </w:r>
      <w:r w:rsidR="003D222C" w:rsidRPr="75FA93ED">
        <w:rPr>
          <w:rStyle w:val="Heading2Char"/>
          <w:rFonts w:eastAsia="Arial" w:cs="Arial"/>
        </w:rPr>
        <w:t xml:space="preserve"> planned </w:t>
      </w:r>
      <w:r w:rsidR="002D09A5" w:rsidRPr="75FA93ED">
        <w:rPr>
          <w:rStyle w:val="Heading2Char"/>
          <w:rFonts w:eastAsia="Arial" w:cs="Arial"/>
        </w:rPr>
        <w:t>for</w:t>
      </w:r>
      <w:r w:rsidR="003D222C" w:rsidRPr="75FA93ED">
        <w:rPr>
          <w:rStyle w:val="Heading2Char"/>
          <w:rFonts w:eastAsia="Arial" w:cs="Arial"/>
        </w:rPr>
        <w:t xml:space="preserve"> the year ahead</w:t>
      </w:r>
      <w:bookmarkEnd w:id="15"/>
      <w:bookmarkEnd w:id="16"/>
      <w:r w:rsidR="003D222C" w:rsidRPr="75FA93ED">
        <w:rPr>
          <w:rFonts w:eastAsia="Arial" w:cs="Arial"/>
          <w:sz w:val="22"/>
          <w:szCs w:val="22"/>
        </w:rPr>
        <w:t xml:space="preserve"> </w:t>
      </w:r>
    </w:p>
    <w:p w14:paraId="594B159C" w14:textId="77777777" w:rsidR="003D222C" w:rsidRPr="00D80C6C" w:rsidRDefault="003D222C" w:rsidP="07AF1209">
      <w:pPr>
        <w:jc w:val="both"/>
        <w:rPr>
          <w:rFonts w:eastAsia="Arial" w:cs="Arial"/>
          <w:b/>
          <w:sz w:val="22"/>
          <w:szCs w:val="22"/>
        </w:rPr>
      </w:pPr>
    </w:p>
    <w:p w14:paraId="3F708F2D" w14:textId="3C652A75" w:rsidR="006A6FF8" w:rsidRPr="00F87E6A" w:rsidRDefault="006A6FF8" w:rsidP="07AF1209">
      <w:pPr>
        <w:jc w:val="both"/>
        <w:rPr>
          <w:rFonts w:eastAsia="Arial" w:cs="Arial"/>
          <w:sz w:val="22"/>
          <w:szCs w:val="22"/>
        </w:rPr>
      </w:pPr>
      <w:r w:rsidRPr="7849A67F">
        <w:rPr>
          <w:rFonts w:eastAsia="Arial" w:cs="Arial"/>
          <w:sz w:val="22"/>
          <w:szCs w:val="22"/>
        </w:rPr>
        <w:t>In 202</w:t>
      </w:r>
      <w:r w:rsidR="69C258AE" w:rsidRPr="7849A67F">
        <w:rPr>
          <w:rFonts w:eastAsia="Arial" w:cs="Arial"/>
          <w:sz w:val="22"/>
          <w:szCs w:val="22"/>
        </w:rPr>
        <w:t>3</w:t>
      </w:r>
      <w:r w:rsidRPr="7849A67F">
        <w:rPr>
          <w:rFonts w:eastAsia="Arial" w:cs="Arial"/>
          <w:sz w:val="22"/>
          <w:szCs w:val="22"/>
        </w:rPr>
        <w:t xml:space="preserve">, the </w:t>
      </w:r>
      <w:r w:rsidR="00524EF5" w:rsidRPr="7849A67F">
        <w:rPr>
          <w:rFonts w:eastAsia="Arial" w:cs="Arial"/>
          <w:sz w:val="22"/>
          <w:szCs w:val="22"/>
        </w:rPr>
        <w:t>MAF has achieved or surpassed most outputs</w:t>
      </w:r>
      <w:r w:rsidR="00255B5D" w:rsidRPr="7849A67F">
        <w:rPr>
          <w:rFonts w:eastAsia="Arial" w:cs="Arial"/>
          <w:sz w:val="22"/>
          <w:szCs w:val="22"/>
        </w:rPr>
        <w:t xml:space="preserve"> and early project outcome results have shown growth in line with project maturity expectations despite disbursements </w:t>
      </w:r>
      <w:r w:rsidR="003611F3" w:rsidRPr="7849A67F">
        <w:rPr>
          <w:rFonts w:eastAsia="Arial" w:cs="Arial"/>
          <w:sz w:val="22"/>
          <w:szCs w:val="22"/>
        </w:rPr>
        <w:t>delays in many cases.</w:t>
      </w:r>
      <w:r w:rsidR="4B5F6F49" w:rsidRPr="7849A67F">
        <w:rPr>
          <w:rFonts w:eastAsia="Arial" w:cs="Arial"/>
          <w:sz w:val="22"/>
          <w:szCs w:val="22"/>
        </w:rPr>
        <w:t xml:space="preserve"> </w:t>
      </w:r>
      <w:r w:rsidR="185D69EF" w:rsidRPr="7849A67F">
        <w:rPr>
          <w:rFonts w:eastAsia="Arial" w:cs="Arial"/>
          <w:sz w:val="22"/>
          <w:szCs w:val="22"/>
        </w:rPr>
        <w:t>The three outcome indicators (G</w:t>
      </w:r>
      <w:r w:rsidR="0FDA0FB6" w:rsidRPr="7849A67F">
        <w:rPr>
          <w:rFonts w:eastAsia="Arial" w:cs="Arial"/>
          <w:sz w:val="22"/>
          <w:szCs w:val="22"/>
        </w:rPr>
        <w:t>H</w:t>
      </w:r>
      <w:r w:rsidR="185D69EF" w:rsidRPr="7849A67F">
        <w:rPr>
          <w:rFonts w:eastAsia="Arial" w:cs="Arial"/>
          <w:sz w:val="22"/>
          <w:szCs w:val="22"/>
        </w:rPr>
        <w:t>G</w:t>
      </w:r>
      <w:r w:rsidR="5CD88C2D" w:rsidRPr="7849A67F">
        <w:rPr>
          <w:rFonts w:eastAsia="Arial" w:cs="Arial"/>
          <w:sz w:val="22"/>
          <w:szCs w:val="22"/>
        </w:rPr>
        <w:t xml:space="preserve"> emissions reductions, people benefitting from MAF projects and transformational change) achieved an average success rate of </w:t>
      </w:r>
      <w:r w:rsidR="4CCC3D0F" w:rsidRPr="7849A67F">
        <w:rPr>
          <w:rFonts w:eastAsia="Arial" w:cs="Arial"/>
          <w:sz w:val="22"/>
          <w:szCs w:val="22"/>
        </w:rPr>
        <w:t>97</w:t>
      </w:r>
      <w:r w:rsidR="5CD88C2D" w:rsidRPr="7849A67F">
        <w:rPr>
          <w:rFonts w:eastAsia="Arial" w:cs="Arial"/>
          <w:sz w:val="22"/>
          <w:szCs w:val="22"/>
        </w:rPr>
        <w:t>% in 202</w:t>
      </w:r>
      <w:r w:rsidR="4473C006" w:rsidRPr="7849A67F">
        <w:rPr>
          <w:rFonts w:eastAsia="Arial" w:cs="Arial"/>
          <w:sz w:val="22"/>
          <w:szCs w:val="22"/>
        </w:rPr>
        <w:t>3</w:t>
      </w:r>
      <w:r w:rsidR="001D713E" w:rsidRPr="7849A67F">
        <w:rPr>
          <w:rFonts w:eastAsia="Arial" w:cs="Arial"/>
          <w:sz w:val="22"/>
          <w:szCs w:val="22"/>
        </w:rPr>
        <w:t xml:space="preserve">. </w:t>
      </w:r>
    </w:p>
    <w:p w14:paraId="5AAC01F8" w14:textId="77777777" w:rsidR="00AF2C14" w:rsidRPr="00F87E6A" w:rsidRDefault="00AF2C14" w:rsidP="07AF1209">
      <w:pPr>
        <w:jc w:val="both"/>
        <w:rPr>
          <w:rFonts w:eastAsia="Arial" w:cs="Arial"/>
          <w:sz w:val="22"/>
          <w:szCs w:val="22"/>
        </w:rPr>
      </w:pPr>
    </w:p>
    <w:p w14:paraId="040B0153" w14:textId="46FF020A" w:rsidR="6E3241CA" w:rsidRPr="00045A11" w:rsidRDefault="59320F08" w:rsidP="07AF1209">
      <w:pPr>
        <w:jc w:val="both"/>
        <w:rPr>
          <w:rFonts w:eastAsia="Arial" w:cs="Arial"/>
          <w:sz w:val="22"/>
          <w:szCs w:val="22"/>
        </w:rPr>
      </w:pPr>
      <w:r w:rsidRPr="7849A67F">
        <w:rPr>
          <w:rFonts w:eastAsia="Arial" w:cs="Arial"/>
          <w:b/>
          <w:bCs/>
          <w:sz w:val="22"/>
          <w:szCs w:val="22"/>
        </w:rPr>
        <w:t>Outcome 1 (M1)</w:t>
      </w:r>
      <w:r w:rsidRPr="7849A67F">
        <w:rPr>
          <w:rFonts w:eastAsia="Arial" w:cs="Arial"/>
          <w:sz w:val="22"/>
          <w:szCs w:val="22"/>
        </w:rPr>
        <w:t xml:space="preserve">: </w:t>
      </w:r>
      <w:r w:rsidR="59A6EA1E" w:rsidRPr="7849A67F">
        <w:rPr>
          <w:rFonts w:eastAsia="Arial" w:cs="Arial"/>
          <w:sz w:val="22"/>
          <w:szCs w:val="22"/>
        </w:rPr>
        <w:t xml:space="preserve">GHG emissions reduction </w:t>
      </w:r>
      <w:r w:rsidR="7FCD0EF6" w:rsidRPr="7849A67F">
        <w:rPr>
          <w:rFonts w:eastAsia="Arial" w:cs="Arial"/>
          <w:sz w:val="22"/>
          <w:szCs w:val="22"/>
        </w:rPr>
        <w:t xml:space="preserve">across projects </w:t>
      </w:r>
      <w:r w:rsidR="097B044F" w:rsidRPr="7849A67F">
        <w:rPr>
          <w:rFonts w:eastAsia="Arial" w:cs="Arial"/>
          <w:sz w:val="22"/>
          <w:szCs w:val="22"/>
        </w:rPr>
        <w:t xml:space="preserve">continue to </w:t>
      </w:r>
      <w:r w:rsidR="00AA37E1" w:rsidRPr="7849A67F">
        <w:rPr>
          <w:rFonts w:eastAsia="Arial" w:cs="Arial"/>
          <w:sz w:val="22"/>
          <w:szCs w:val="22"/>
        </w:rPr>
        <w:t>demonstrate strong progress</w:t>
      </w:r>
      <w:r w:rsidR="005D4A23" w:rsidRPr="7849A67F">
        <w:rPr>
          <w:rFonts w:eastAsia="Arial" w:cs="Arial"/>
          <w:sz w:val="22"/>
          <w:szCs w:val="22"/>
        </w:rPr>
        <w:t xml:space="preserve"> </w:t>
      </w:r>
      <w:r w:rsidR="7F55B98B" w:rsidRPr="7849A67F">
        <w:rPr>
          <w:rFonts w:eastAsia="Arial" w:cs="Arial"/>
          <w:sz w:val="22"/>
          <w:szCs w:val="22"/>
        </w:rPr>
        <w:t>with</w:t>
      </w:r>
      <w:r w:rsidR="0BB7B7E2" w:rsidRPr="7849A67F">
        <w:rPr>
          <w:rFonts w:eastAsia="Arial" w:cs="Arial"/>
          <w:sz w:val="22"/>
          <w:szCs w:val="22"/>
        </w:rPr>
        <w:t xml:space="preserve"> overall</w:t>
      </w:r>
      <w:r w:rsidR="7F55B98B" w:rsidRPr="7849A67F">
        <w:rPr>
          <w:rFonts w:eastAsia="Arial" w:cs="Arial"/>
          <w:sz w:val="22"/>
          <w:szCs w:val="22"/>
        </w:rPr>
        <w:t xml:space="preserve"> reduction of </w:t>
      </w:r>
      <w:r w:rsidR="00878C0D" w:rsidRPr="7849A67F">
        <w:rPr>
          <w:rFonts w:eastAsia="Arial" w:cs="Arial"/>
          <w:sz w:val="22"/>
          <w:szCs w:val="22"/>
        </w:rPr>
        <w:t>11</w:t>
      </w:r>
      <w:r w:rsidR="28B364D7" w:rsidRPr="7849A67F">
        <w:rPr>
          <w:rFonts w:eastAsia="Arial" w:cs="Arial"/>
          <w:sz w:val="22"/>
          <w:szCs w:val="22"/>
        </w:rPr>
        <w:t>.</w:t>
      </w:r>
      <w:r w:rsidR="11A8A332" w:rsidRPr="7849A67F">
        <w:rPr>
          <w:rFonts w:eastAsia="Arial" w:cs="Arial"/>
          <w:sz w:val="22"/>
          <w:szCs w:val="22"/>
        </w:rPr>
        <w:t>3</w:t>
      </w:r>
      <w:r w:rsidR="7F55B98B" w:rsidRPr="7849A67F">
        <w:rPr>
          <w:rFonts w:eastAsia="Arial" w:cs="Arial"/>
          <w:sz w:val="22"/>
          <w:szCs w:val="22"/>
        </w:rPr>
        <w:t xml:space="preserve"> million tCO2e GHG</w:t>
      </w:r>
      <w:r w:rsidR="6F111DF0" w:rsidRPr="7849A67F">
        <w:rPr>
          <w:rFonts w:eastAsia="Arial" w:cs="Arial"/>
          <w:sz w:val="22"/>
          <w:szCs w:val="22"/>
        </w:rPr>
        <w:t xml:space="preserve"> up to 202</w:t>
      </w:r>
      <w:r w:rsidR="5C7B8DC2" w:rsidRPr="7849A67F">
        <w:rPr>
          <w:rFonts w:eastAsia="Arial" w:cs="Arial"/>
          <w:sz w:val="22"/>
          <w:szCs w:val="22"/>
        </w:rPr>
        <w:t>3</w:t>
      </w:r>
      <w:r w:rsidR="12AE7072" w:rsidRPr="7849A67F">
        <w:rPr>
          <w:rFonts w:eastAsia="Arial" w:cs="Arial"/>
          <w:sz w:val="22"/>
          <w:szCs w:val="22"/>
        </w:rPr>
        <w:t xml:space="preserve">, a 134% result on the </w:t>
      </w:r>
      <w:r w:rsidR="12AE7072" w:rsidRPr="7849A67F">
        <w:rPr>
          <w:rFonts w:eastAsia="Arial" w:cs="Arial"/>
          <w:sz w:val="22"/>
          <w:szCs w:val="22"/>
        </w:rPr>
        <w:lastRenderedPageBreak/>
        <w:t>set target of 8,419,567 tCO2e.</w:t>
      </w:r>
      <w:r w:rsidR="6F111DF0" w:rsidRPr="7849A67F">
        <w:rPr>
          <w:rFonts w:eastAsia="Arial" w:cs="Arial"/>
          <w:sz w:val="22"/>
          <w:szCs w:val="22"/>
        </w:rPr>
        <w:t xml:space="preserve"> </w:t>
      </w:r>
      <w:r w:rsidR="2AFFE0EB" w:rsidRPr="7849A67F">
        <w:rPr>
          <w:rFonts w:eastAsia="Arial" w:cs="Arial"/>
          <w:sz w:val="22"/>
          <w:szCs w:val="22"/>
        </w:rPr>
        <w:t>A cumulative KPI,</w:t>
      </w:r>
      <w:r w:rsidR="6F0AE248" w:rsidRPr="7849A67F">
        <w:rPr>
          <w:rFonts w:eastAsia="Arial" w:cs="Arial"/>
          <w:sz w:val="22"/>
          <w:szCs w:val="22"/>
        </w:rPr>
        <w:t xml:space="preserve"> </w:t>
      </w:r>
      <w:r w:rsidR="51D47C9F" w:rsidRPr="7849A67F">
        <w:rPr>
          <w:rFonts w:eastAsia="Arial" w:cs="Arial"/>
          <w:sz w:val="22"/>
          <w:szCs w:val="22"/>
        </w:rPr>
        <w:t xml:space="preserve">the results benefit from the inclusion of </w:t>
      </w:r>
      <w:r w:rsidR="6F0AE248" w:rsidRPr="7849A67F">
        <w:rPr>
          <w:rFonts w:eastAsia="Arial" w:cs="Arial"/>
          <w:sz w:val="22"/>
          <w:szCs w:val="22"/>
        </w:rPr>
        <w:t xml:space="preserve">completed projects </w:t>
      </w:r>
      <w:r w:rsidR="312EE715" w:rsidRPr="7849A67F">
        <w:rPr>
          <w:rFonts w:eastAsia="Arial" w:cs="Arial"/>
          <w:sz w:val="22"/>
          <w:szCs w:val="22"/>
        </w:rPr>
        <w:t xml:space="preserve">including </w:t>
      </w:r>
      <w:r w:rsidR="6F0AE248" w:rsidRPr="7849A67F">
        <w:rPr>
          <w:rFonts w:eastAsia="Arial" w:cs="Arial"/>
          <w:sz w:val="22"/>
          <w:szCs w:val="22"/>
        </w:rPr>
        <w:t xml:space="preserve">Costa Rica Coffee, </w:t>
      </w:r>
      <w:r w:rsidR="547067C5" w:rsidRPr="7849A67F">
        <w:rPr>
          <w:rFonts w:eastAsia="Arial" w:cs="Arial"/>
          <w:sz w:val="22"/>
          <w:szCs w:val="22"/>
        </w:rPr>
        <w:t>Thailand Refrigeration and Mexico Housing</w:t>
      </w:r>
      <w:r w:rsidR="76370840" w:rsidRPr="7849A67F">
        <w:rPr>
          <w:rFonts w:eastAsia="Arial" w:cs="Arial"/>
          <w:sz w:val="22"/>
          <w:szCs w:val="22"/>
        </w:rPr>
        <w:t xml:space="preserve">, </w:t>
      </w:r>
      <w:r w:rsidR="1B30CC0D" w:rsidRPr="7849A67F">
        <w:rPr>
          <w:rFonts w:eastAsia="Arial" w:cs="Arial"/>
          <w:sz w:val="22"/>
          <w:szCs w:val="22"/>
        </w:rPr>
        <w:t xml:space="preserve">where project </w:t>
      </w:r>
      <w:r w:rsidR="76370840" w:rsidRPr="7849A67F">
        <w:rPr>
          <w:rFonts w:eastAsia="Arial" w:cs="Arial"/>
          <w:sz w:val="22"/>
          <w:szCs w:val="22"/>
        </w:rPr>
        <w:t xml:space="preserve">impacts </w:t>
      </w:r>
      <w:r w:rsidR="547067C5" w:rsidRPr="7849A67F">
        <w:rPr>
          <w:rFonts w:eastAsia="Arial" w:cs="Arial"/>
          <w:sz w:val="22"/>
          <w:szCs w:val="22"/>
        </w:rPr>
        <w:t>extend beyond the projects’ active implementation phases</w:t>
      </w:r>
      <w:r w:rsidR="563E95D4" w:rsidRPr="7849A67F">
        <w:rPr>
          <w:rFonts w:eastAsia="Arial" w:cs="Arial"/>
          <w:sz w:val="22"/>
          <w:szCs w:val="22"/>
        </w:rPr>
        <w:t xml:space="preserve"> and continue to produce planned emissions reductions</w:t>
      </w:r>
      <w:r w:rsidR="547067C5" w:rsidRPr="7849A67F">
        <w:rPr>
          <w:rFonts w:eastAsia="Arial" w:cs="Arial"/>
          <w:sz w:val="22"/>
          <w:szCs w:val="22"/>
        </w:rPr>
        <w:t xml:space="preserve">. </w:t>
      </w:r>
      <w:r w:rsidR="6007A8FA" w:rsidRPr="7849A67F">
        <w:rPr>
          <w:rFonts w:eastAsia="Arial" w:cs="Arial"/>
          <w:sz w:val="22"/>
          <w:szCs w:val="22"/>
        </w:rPr>
        <w:t xml:space="preserve">Other </w:t>
      </w:r>
      <w:r w:rsidR="7EFC899D" w:rsidRPr="7849A67F">
        <w:rPr>
          <w:rFonts w:eastAsia="Arial" w:cs="Arial"/>
          <w:sz w:val="22"/>
          <w:szCs w:val="22"/>
        </w:rPr>
        <w:t>p</w:t>
      </w:r>
      <w:r w:rsidR="00A66463" w:rsidRPr="7849A67F">
        <w:rPr>
          <w:rFonts w:eastAsia="Arial" w:cs="Arial"/>
          <w:sz w:val="22"/>
          <w:szCs w:val="22"/>
        </w:rPr>
        <w:t>rojects of note</w:t>
      </w:r>
      <w:r w:rsidR="4AA6CFF8" w:rsidRPr="7849A67F">
        <w:rPr>
          <w:rFonts w:eastAsia="Arial" w:cs="Arial"/>
          <w:sz w:val="22"/>
          <w:szCs w:val="22"/>
        </w:rPr>
        <w:t xml:space="preserve"> include </w:t>
      </w:r>
      <w:r w:rsidR="6C9BA444" w:rsidRPr="7849A67F">
        <w:rPr>
          <w:rFonts w:eastAsia="Arial" w:cs="Arial"/>
          <w:sz w:val="22"/>
          <w:szCs w:val="22"/>
        </w:rPr>
        <w:t>China Waste Management</w:t>
      </w:r>
      <w:r w:rsidR="6B883019" w:rsidRPr="7849A67F">
        <w:rPr>
          <w:rFonts w:eastAsia="Arial" w:cs="Arial"/>
          <w:sz w:val="22"/>
          <w:szCs w:val="22"/>
        </w:rPr>
        <w:t xml:space="preserve"> and its </w:t>
      </w:r>
      <w:r w:rsidR="169C69B4" w:rsidRPr="7849A67F">
        <w:rPr>
          <w:rFonts w:eastAsia="Arial" w:cs="Arial"/>
          <w:sz w:val="22"/>
          <w:szCs w:val="22"/>
        </w:rPr>
        <w:t>7</w:t>
      </w:r>
      <w:r w:rsidR="6B883019" w:rsidRPr="7849A67F">
        <w:rPr>
          <w:rFonts w:eastAsia="Arial" w:cs="Arial"/>
          <w:sz w:val="22"/>
          <w:szCs w:val="22"/>
        </w:rPr>
        <w:t>.</w:t>
      </w:r>
      <w:r w:rsidR="75A2511D" w:rsidRPr="7849A67F">
        <w:rPr>
          <w:rFonts w:eastAsia="Arial" w:cs="Arial"/>
          <w:sz w:val="22"/>
          <w:szCs w:val="22"/>
        </w:rPr>
        <w:t>3</w:t>
      </w:r>
      <w:r w:rsidR="6B883019" w:rsidRPr="7849A67F">
        <w:rPr>
          <w:rFonts w:eastAsia="Arial" w:cs="Arial"/>
          <w:sz w:val="22"/>
          <w:szCs w:val="22"/>
        </w:rPr>
        <w:t xml:space="preserve">mtCO2 </w:t>
      </w:r>
      <w:r w:rsidR="00362F10" w:rsidRPr="7849A67F">
        <w:rPr>
          <w:rFonts w:eastAsia="Arial" w:cs="Arial"/>
          <w:sz w:val="22"/>
          <w:szCs w:val="22"/>
        </w:rPr>
        <w:t>reduc</w:t>
      </w:r>
      <w:r w:rsidR="37D60CF7" w:rsidRPr="7849A67F">
        <w:rPr>
          <w:rFonts w:eastAsia="Arial" w:cs="Arial"/>
          <w:sz w:val="22"/>
          <w:szCs w:val="22"/>
        </w:rPr>
        <w:t>tion</w:t>
      </w:r>
      <w:r w:rsidR="00362F10" w:rsidRPr="7849A67F">
        <w:rPr>
          <w:rFonts w:eastAsia="Arial" w:cs="Arial"/>
          <w:sz w:val="22"/>
          <w:szCs w:val="22"/>
        </w:rPr>
        <w:t xml:space="preserve"> </w:t>
      </w:r>
      <w:r w:rsidR="6B883019" w:rsidRPr="7849A67F">
        <w:rPr>
          <w:rFonts w:eastAsia="Arial" w:cs="Arial"/>
          <w:sz w:val="22"/>
          <w:szCs w:val="22"/>
        </w:rPr>
        <w:t>which make</w:t>
      </w:r>
      <w:r w:rsidR="2C3D7777" w:rsidRPr="7849A67F">
        <w:rPr>
          <w:rFonts w:eastAsia="Arial" w:cs="Arial"/>
          <w:sz w:val="22"/>
          <w:szCs w:val="22"/>
        </w:rPr>
        <w:t>s</w:t>
      </w:r>
      <w:r w:rsidR="6B883019" w:rsidRPr="7849A67F">
        <w:rPr>
          <w:rFonts w:eastAsia="Arial" w:cs="Arial"/>
          <w:sz w:val="22"/>
          <w:szCs w:val="22"/>
        </w:rPr>
        <w:t xml:space="preserve"> up </w:t>
      </w:r>
      <w:r w:rsidR="26CA3C5E" w:rsidRPr="7849A67F">
        <w:rPr>
          <w:rFonts w:eastAsia="Arial" w:cs="Arial"/>
          <w:sz w:val="22"/>
          <w:szCs w:val="22"/>
        </w:rPr>
        <w:t>64</w:t>
      </w:r>
      <w:r w:rsidR="6B883019" w:rsidRPr="7849A67F">
        <w:rPr>
          <w:rFonts w:eastAsia="Arial" w:cs="Arial"/>
          <w:sz w:val="22"/>
          <w:szCs w:val="22"/>
        </w:rPr>
        <w:t>% of the overall reduction numbers.</w:t>
      </w:r>
      <w:r w:rsidR="049B66D1" w:rsidRPr="7849A67F">
        <w:rPr>
          <w:rFonts w:eastAsia="Arial" w:cs="Arial"/>
          <w:sz w:val="22"/>
          <w:szCs w:val="22"/>
        </w:rPr>
        <w:t xml:space="preserve"> </w:t>
      </w:r>
      <w:r w:rsidR="1B208454" w:rsidRPr="7849A67F">
        <w:rPr>
          <w:rFonts w:eastAsia="Arial" w:cs="Arial"/>
          <w:sz w:val="22"/>
          <w:szCs w:val="22"/>
        </w:rPr>
        <w:t>Whilst a notable outlier, t</w:t>
      </w:r>
      <w:r w:rsidR="049B66D1" w:rsidRPr="7849A67F">
        <w:rPr>
          <w:rFonts w:eastAsia="Arial" w:cs="Arial"/>
          <w:sz w:val="22"/>
          <w:szCs w:val="22"/>
        </w:rPr>
        <w:t xml:space="preserve">his is </w:t>
      </w:r>
      <w:r w:rsidR="0B986BEB" w:rsidRPr="7849A67F">
        <w:rPr>
          <w:rFonts w:eastAsia="Arial" w:cs="Arial"/>
          <w:sz w:val="22"/>
          <w:szCs w:val="22"/>
        </w:rPr>
        <w:t xml:space="preserve">nevertheless </w:t>
      </w:r>
      <w:r w:rsidR="049B66D1" w:rsidRPr="7849A67F">
        <w:rPr>
          <w:rFonts w:eastAsia="Arial" w:cs="Arial"/>
          <w:sz w:val="22"/>
          <w:szCs w:val="22"/>
        </w:rPr>
        <w:t>a reduced proportion</w:t>
      </w:r>
      <w:r w:rsidR="021CE7CE" w:rsidRPr="7849A67F">
        <w:rPr>
          <w:rFonts w:eastAsia="Arial" w:cs="Arial"/>
          <w:sz w:val="22"/>
          <w:szCs w:val="22"/>
        </w:rPr>
        <w:t xml:space="preserve"> of the portfolio’s results</w:t>
      </w:r>
      <w:r w:rsidR="049B66D1" w:rsidRPr="7849A67F">
        <w:rPr>
          <w:rFonts w:eastAsia="Arial" w:cs="Arial"/>
          <w:sz w:val="22"/>
          <w:szCs w:val="22"/>
        </w:rPr>
        <w:t xml:space="preserve"> when compared with 2022 (70%)</w:t>
      </w:r>
      <w:r w:rsidR="78793AEA" w:rsidRPr="7849A67F">
        <w:rPr>
          <w:rFonts w:eastAsia="Arial" w:cs="Arial"/>
          <w:sz w:val="22"/>
          <w:szCs w:val="22"/>
        </w:rPr>
        <w:t>,</w:t>
      </w:r>
      <w:r w:rsidR="3E96020F" w:rsidRPr="7849A67F">
        <w:rPr>
          <w:rFonts w:eastAsia="Arial" w:cs="Arial"/>
          <w:sz w:val="22"/>
          <w:szCs w:val="22"/>
        </w:rPr>
        <w:t xml:space="preserve"> which can be explained by </w:t>
      </w:r>
      <w:r w:rsidR="3776D7B4" w:rsidRPr="7849A67F">
        <w:rPr>
          <w:rFonts w:eastAsia="Arial" w:cs="Arial"/>
          <w:sz w:val="22"/>
          <w:szCs w:val="22"/>
        </w:rPr>
        <w:t xml:space="preserve">the growing maturity of the portfolio as more projects reach later stages of implementation and </w:t>
      </w:r>
      <w:r w:rsidR="132DB108" w:rsidRPr="7849A67F">
        <w:rPr>
          <w:rFonts w:eastAsia="Arial" w:cs="Arial"/>
          <w:sz w:val="22"/>
          <w:szCs w:val="22"/>
        </w:rPr>
        <w:t xml:space="preserve">more pronounced impacts of projects’ financial mechanisms begin to yield </w:t>
      </w:r>
      <w:r w:rsidR="3776D7B4" w:rsidRPr="7849A67F">
        <w:rPr>
          <w:rFonts w:eastAsia="Arial" w:cs="Arial"/>
          <w:sz w:val="22"/>
          <w:szCs w:val="22"/>
        </w:rPr>
        <w:t>greater results</w:t>
      </w:r>
      <w:r w:rsidR="049B66D1" w:rsidRPr="7849A67F">
        <w:rPr>
          <w:rFonts w:eastAsia="Arial" w:cs="Arial"/>
          <w:sz w:val="22"/>
          <w:szCs w:val="22"/>
        </w:rPr>
        <w:t>.</w:t>
      </w:r>
      <w:r w:rsidR="6C9BA444" w:rsidRPr="7849A67F">
        <w:rPr>
          <w:rFonts w:eastAsia="Arial" w:cs="Arial"/>
          <w:sz w:val="22"/>
          <w:szCs w:val="22"/>
        </w:rPr>
        <w:t xml:space="preserve"> </w:t>
      </w:r>
      <w:r w:rsidR="1FC0A87D" w:rsidRPr="07AF1209">
        <w:rPr>
          <w:rFonts w:eastAsia="Arial" w:cs="Arial"/>
          <w:sz w:val="22"/>
          <w:szCs w:val="22"/>
        </w:rPr>
        <w:t>This</w:t>
      </w:r>
      <w:r w:rsidR="08B4BA1B" w:rsidRPr="7849A67F">
        <w:rPr>
          <w:rFonts w:eastAsia="Arial" w:cs="Arial"/>
          <w:sz w:val="22"/>
          <w:szCs w:val="22"/>
        </w:rPr>
        <w:t xml:space="preserve"> includes </w:t>
      </w:r>
      <w:r w:rsidR="7BDD139C" w:rsidRPr="7849A67F">
        <w:rPr>
          <w:rFonts w:eastAsia="Arial" w:cs="Arial"/>
          <w:sz w:val="22"/>
          <w:szCs w:val="22"/>
        </w:rPr>
        <w:t>the 1</w:t>
      </w:r>
      <w:r w:rsidR="44E5CCD9" w:rsidRPr="7849A67F">
        <w:rPr>
          <w:rFonts w:eastAsia="Arial" w:cs="Arial"/>
          <w:sz w:val="22"/>
          <w:szCs w:val="22"/>
        </w:rPr>
        <w:t>.6</w:t>
      </w:r>
      <w:r w:rsidR="7BDD139C" w:rsidRPr="7849A67F">
        <w:rPr>
          <w:rFonts w:eastAsia="Arial" w:cs="Arial"/>
          <w:sz w:val="22"/>
          <w:szCs w:val="22"/>
        </w:rPr>
        <w:t xml:space="preserve"> million tCO2e </w:t>
      </w:r>
      <w:r w:rsidR="7AFC37F3" w:rsidRPr="7849A67F">
        <w:rPr>
          <w:rFonts w:eastAsia="Arial" w:cs="Arial"/>
          <w:sz w:val="22"/>
          <w:szCs w:val="22"/>
        </w:rPr>
        <w:t xml:space="preserve">reduction </w:t>
      </w:r>
      <w:r w:rsidR="4AA6CFF8" w:rsidRPr="7849A67F">
        <w:rPr>
          <w:rFonts w:eastAsia="Arial" w:cs="Arial"/>
          <w:sz w:val="22"/>
          <w:szCs w:val="22"/>
        </w:rPr>
        <w:t xml:space="preserve">achieved by </w:t>
      </w:r>
      <w:r w:rsidR="4C725380" w:rsidRPr="7849A67F">
        <w:rPr>
          <w:rFonts w:eastAsia="Arial" w:cs="Arial"/>
          <w:sz w:val="22"/>
          <w:szCs w:val="22"/>
        </w:rPr>
        <w:t xml:space="preserve">the project </w:t>
      </w:r>
      <w:r w:rsidR="4AA6CFF8" w:rsidRPr="7849A67F">
        <w:rPr>
          <w:rFonts w:eastAsia="Arial" w:cs="Arial"/>
          <w:sz w:val="22"/>
          <w:szCs w:val="22"/>
        </w:rPr>
        <w:t>Thailand</w:t>
      </w:r>
      <w:r w:rsidR="49754F93" w:rsidRPr="7849A67F">
        <w:rPr>
          <w:rFonts w:eastAsia="Arial" w:cs="Arial"/>
          <w:sz w:val="22"/>
          <w:szCs w:val="22"/>
        </w:rPr>
        <w:t xml:space="preserve"> </w:t>
      </w:r>
      <w:r w:rsidR="1FFC3FEA" w:rsidRPr="7849A67F">
        <w:rPr>
          <w:rFonts w:eastAsia="Arial" w:cs="Arial"/>
          <w:sz w:val="22"/>
          <w:szCs w:val="22"/>
        </w:rPr>
        <w:t>Rice</w:t>
      </w:r>
      <w:r w:rsidR="4FEC95B9" w:rsidRPr="7849A67F">
        <w:rPr>
          <w:rFonts w:eastAsia="Arial" w:cs="Arial"/>
          <w:sz w:val="22"/>
          <w:szCs w:val="22"/>
        </w:rPr>
        <w:t>, contributing to 1</w:t>
      </w:r>
      <w:r w:rsidR="33E77E99" w:rsidRPr="7849A67F">
        <w:rPr>
          <w:rFonts w:eastAsia="Arial" w:cs="Arial"/>
          <w:sz w:val="22"/>
          <w:szCs w:val="22"/>
        </w:rPr>
        <w:t>4</w:t>
      </w:r>
      <w:r w:rsidR="1F9FF8E3" w:rsidRPr="7849A67F">
        <w:rPr>
          <w:rFonts w:eastAsia="Arial" w:cs="Arial"/>
          <w:sz w:val="22"/>
          <w:szCs w:val="22"/>
        </w:rPr>
        <w:t>.7</w:t>
      </w:r>
      <w:r w:rsidR="4FEC95B9" w:rsidRPr="7849A67F">
        <w:rPr>
          <w:rFonts w:eastAsia="Arial" w:cs="Arial"/>
          <w:sz w:val="22"/>
          <w:szCs w:val="22"/>
        </w:rPr>
        <w:t xml:space="preserve">% of overall mitigation numbers reported by </w:t>
      </w:r>
      <w:r w:rsidR="77C5A83B" w:rsidRPr="7849A67F">
        <w:rPr>
          <w:rFonts w:eastAsia="Arial" w:cs="Arial"/>
          <w:sz w:val="22"/>
          <w:szCs w:val="22"/>
        </w:rPr>
        <w:t xml:space="preserve">all projects at </w:t>
      </w:r>
      <w:r w:rsidR="4FEC95B9" w:rsidRPr="7849A67F">
        <w:rPr>
          <w:rFonts w:eastAsia="Arial" w:cs="Arial"/>
          <w:sz w:val="22"/>
          <w:szCs w:val="22"/>
        </w:rPr>
        <w:t>the end of 202</w:t>
      </w:r>
      <w:r w:rsidR="26176C07" w:rsidRPr="7849A67F">
        <w:rPr>
          <w:rFonts w:eastAsia="Arial" w:cs="Arial"/>
          <w:sz w:val="22"/>
          <w:szCs w:val="22"/>
        </w:rPr>
        <w:t>3</w:t>
      </w:r>
      <w:r w:rsidR="5FD4242C" w:rsidRPr="7849A67F">
        <w:rPr>
          <w:rFonts w:eastAsia="Arial" w:cs="Arial"/>
          <w:sz w:val="22"/>
          <w:szCs w:val="22"/>
        </w:rPr>
        <w:t xml:space="preserve"> and Colombia Refrigeration, reducing emissions by 550,666 tCO2e</w:t>
      </w:r>
      <w:r w:rsidR="7C29DD87" w:rsidRPr="7849A67F">
        <w:rPr>
          <w:rFonts w:eastAsia="Arial" w:cs="Arial"/>
          <w:sz w:val="22"/>
          <w:szCs w:val="22"/>
        </w:rPr>
        <w:t xml:space="preserve"> (4.8% across all projects)</w:t>
      </w:r>
      <w:r w:rsidR="0B7E3F75" w:rsidRPr="7849A67F">
        <w:rPr>
          <w:rFonts w:eastAsia="Arial" w:cs="Arial"/>
          <w:sz w:val="22"/>
          <w:szCs w:val="22"/>
        </w:rPr>
        <w:t xml:space="preserve">. </w:t>
      </w:r>
      <w:r w:rsidR="3311D8BC" w:rsidRPr="7849A67F">
        <w:rPr>
          <w:rFonts w:eastAsia="Arial" w:cs="Arial"/>
          <w:sz w:val="22"/>
          <w:szCs w:val="22"/>
        </w:rPr>
        <w:t>Where discrepancies have arisen between target</w:t>
      </w:r>
      <w:r w:rsidR="5C4ED2BA" w:rsidRPr="7849A67F">
        <w:rPr>
          <w:rFonts w:eastAsia="Arial" w:cs="Arial"/>
          <w:sz w:val="22"/>
          <w:szCs w:val="22"/>
        </w:rPr>
        <w:t xml:space="preserve"> (2023)</w:t>
      </w:r>
      <w:r w:rsidR="3311D8BC" w:rsidRPr="7849A67F">
        <w:rPr>
          <w:rFonts w:eastAsia="Arial" w:cs="Arial"/>
          <w:sz w:val="22"/>
          <w:szCs w:val="22"/>
        </w:rPr>
        <w:t xml:space="preserve"> and actual emissions reduction outcomes in over half of projects, this is typically due to </w:t>
      </w:r>
      <w:r w:rsidR="18C57243" w:rsidRPr="7849A67F">
        <w:rPr>
          <w:rFonts w:eastAsia="Arial" w:cs="Arial"/>
          <w:sz w:val="22"/>
          <w:szCs w:val="22"/>
        </w:rPr>
        <w:t xml:space="preserve">common upstream issues such as </w:t>
      </w:r>
      <w:r w:rsidR="59CC334B" w:rsidRPr="7849A67F">
        <w:rPr>
          <w:rFonts w:eastAsia="Arial" w:cs="Arial"/>
          <w:sz w:val="22"/>
          <w:szCs w:val="22"/>
        </w:rPr>
        <w:t xml:space="preserve">overestimation during project set up and target-setting, delays in </w:t>
      </w:r>
      <w:r w:rsidR="721E6FC4" w:rsidRPr="7849A67F">
        <w:rPr>
          <w:rFonts w:eastAsia="Arial" w:cs="Arial"/>
          <w:sz w:val="22"/>
          <w:szCs w:val="22"/>
        </w:rPr>
        <w:t>operationalising the financial mechanisms (such as in Brazil Energy Efficiency), or delays in signing contracts and administrating change requests such as in Tunisia Clean Energy B</w:t>
      </w:r>
      <w:r w:rsidR="4A4C915D" w:rsidRPr="7849A67F">
        <w:rPr>
          <w:rFonts w:eastAsia="Arial" w:cs="Arial"/>
          <w:sz w:val="22"/>
          <w:szCs w:val="22"/>
        </w:rPr>
        <w:t xml:space="preserve">uildings. </w:t>
      </w:r>
    </w:p>
    <w:p w14:paraId="2A79448D" w14:textId="48D7DD3B" w:rsidR="7849A67F" w:rsidRDefault="7849A67F" w:rsidP="07AF1209">
      <w:pPr>
        <w:jc w:val="both"/>
        <w:rPr>
          <w:rFonts w:eastAsia="Arial" w:cs="Arial"/>
          <w:sz w:val="22"/>
          <w:szCs w:val="22"/>
        </w:rPr>
      </w:pPr>
    </w:p>
    <w:p w14:paraId="67288798" w14:textId="2348BCD4" w:rsidR="6E3241CA" w:rsidRPr="00045A11" w:rsidRDefault="4F6D0A61" w:rsidP="07AF1209">
      <w:pPr>
        <w:jc w:val="both"/>
        <w:rPr>
          <w:rFonts w:eastAsia="Arial" w:cs="Arial"/>
          <w:sz w:val="22"/>
          <w:szCs w:val="22"/>
        </w:rPr>
      </w:pPr>
      <w:r w:rsidRPr="0A0530F7">
        <w:rPr>
          <w:rFonts w:eastAsia="Arial" w:cs="Arial"/>
          <w:b/>
          <w:bCs/>
          <w:sz w:val="22"/>
          <w:szCs w:val="22"/>
        </w:rPr>
        <w:t>Outcome 2 (M2)</w:t>
      </w:r>
      <w:r w:rsidRPr="0A0530F7">
        <w:rPr>
          <w:rFonts w:eastAsia="Arial" w:cs="Arial"/>
          <w:sz w:val="22"/>
          <w:szCs w:val="22"/>
        </w:rPr>
        <w:t xml:space="preserve">: </w:t>
      </w:r>
      <w:r w:rsidR="550401CB" w:rsidRPr="0A0530F7">
        <w:rPr>
          <w:rFonts w:eastAsia="Arial" w:cs="Arial"/>
          <w:sz w:val="22"/>
          <w:szCs w:val="22"/>
        </w:rPr>
        <w:t>The number of people directly benefitting from MAF projects</w:t>
      </w:r>
      <w:r w:rsidR="6A00BA20" w:rsidRPr="0A0530F7">
        <w:rPr>
          <w:rFonts w:eastAsia="Arial" w:cs="Arial"/>
          <w:sz w:val="22"/>
          <w:szCs w:val="22"/>
        </w:rPr>
        <w:t xml:space="preserve"> (outcome 2)</w:t>
      </w:r>
      <w:r w:rsidR="550401CB" w:rsidRPr="0A0530F7">
        <w:rPr>
          <w:rFonts w:eastAsia="Arial" w:cs="Arial"/>
          <w:sz w:val="22"/>
          <w:szCs w:val="22"/>
        </w:rPr>
        <w:t xml:space="preserve"> also shows </w:t>
      </w:r>
      <w:r w:rsidR="53294C33" w:rsidRPr="0A0530F7">
        <w:rPr>
          <w:rFonts w:eastAsia="Arial" w:cs="Arial"/>
          <w:sz w:val="22"/>
          <w:szCs w:val="22"/>
        </w:rPr>
        <w:t xml:space="preserve">more modest but </w:t>
      </w:r>
      <w:r w:rsidR="5D3632DA" w:rsidRPr="0A0530F7">
        <w:rPr>
          <w:rFonts w:eastAsia="Arial" w:cs="Arial"/>
          <w:sz w:val="22"/>
          <w:szCs w:val="22"/>
        </w:rPr>
        <w:t>steady increase</w:t>
      </w:r>
      <w:r w:rsidR="4A82A899" w:rsidRPr="0A0530F7">
        <w:rPr>
          <w:rFonts w:eastAsia="Arial" w:cs="Arial"/>
          <w:sz w:val="22"/>
          <w:szCs w:val="22"/>
        </w:rPr>
        <w:t xml:space="preserve"> and overall </w:t>
      </w:r>
      <w:proofErr w:type="gramStart"/>
      <w:r w:rsidR="4A82A899" w:rsidRPr="0A0530F7">
        <w:rPr>
          <w:rFonts w:eastAsia="Arial" w:cs="Arial"/>
          <w:sz w:val="22"/>
          <w:szCs w:val="22"/>
        </w:rPr>
        <w:t>near-achievement</w:t>
      </w:r>
      <w:proofErr w:type="gramEnd"/>
      <w:r w:rsidR="4A82A899" w:rsidRPr="0A0530F7">
        <w:rPr>
          <w:rFonts w:eastAsia="Arial" w:cs="Arial"/>
          <w:sz w:val="22"/>
          <w:szCs w:val="22"/>
        </w:rPr>
        <w:t xml:space="preserve"> of </w:t>
      </w:r>
      <w:r w:rsidR="72B82B5A" w:rsidRPr="0A0530F7">
        <w:rPr>
          <w:rFonts w:eastAsia="Arial" w:cs="Arial"/>
          <w:sz w:val="22"/>
          <w:szCs w:val="22"/>
        </w:rPr>
        <w:t>89</w:t>
      </w:r>
      <w:r w:rsidR="4A82A899" w:rsidRPr="0A0530F7">
        <w:rPr>
          <w:rFonts w:eastAsia="Arial" w:cs="Arial"/>
          <w:sz w:val="22"/>
          <w:szCs w:val="22"/>
        </w:rPr>
        <w:t>%</w:t>
      </w:r>
      <w:r w:rsidR="5D3632DA" w:rsidRPr="0A0530F7">
        <w:rPr>
          <w:rFonts w:eastAsia="Arial" w:cs="Arial"/>
          <w:sz w:val="22"/>
          <w:szCs w:val="22"/>
        </w:rPr>
        <w:t xml:space="preserve">, building on the </w:t>
      </w:r>
      <w:r w:rsidR="75144C93" w:rsidRPr="0A0530F7">
        <w:rPr>
          <w:rFonts w:eastAsia="Arial" w:cs="Arial"/>
          <w:sz w:val="22"/>
          <w:szCs w:val="22"/>
        </w:rPr>
        <w:t>25.5</w:t>
      </w:r>
      <w:r w:rsidR="5D3632DA" w:rsidRPr="0A0530F7">
        <w:rPr>
          <w:rFonts w:eastAsia="Arial" w:cs="Arial"/>
          <w:sz w:val="22"/>
          <w:szCs w:val="22"/>
        </w:rPr>
        <w:t xml:space="preserve"> million people supported in 202</w:t>
      </w:r>
      <w:r w:rsidR="70C57DAF" w:rsidRPr="0A0530F7">
        <w:rPr>
          <w:rFonts w:eastAsia="Arial" w:cs="Arial"/>
          <w:sz w:val="22"/>
          <w:szCs w:val="22"/>
        </w:rPr>
        <w:t>2</w:t>
      </w:r>
      <w:r w:rsidR="06964424" w:rsidRPr="0A0530F7">
        <w:rPr>
          <w:rFonts w:eastAsia="Arial" w:cs="Arial"/>
          <w:sz w:val="22"/>
          <w:szCs w:val="22"/>
        </w:rPr>
        <w:t xml:space="preserve">, </w:t>
      </w:r>
      <w:r w:rsidR="5D3632DA" w:rsidRPr="0A0530F7">
        <w:rPr>
          <w:rFonts w:eastAsia="Arial" w:cs="Arial"/>
          <w:sz w:val="22"/>
          <w:szCs w:val="22"/>
        </w:rPr>
        <w:t xml:space="preserve">expanding </w:t>
      </w:r>
      <w:r w:rsidR="007F1013" w:rsidRPr="0A0530F7">
        <w:rPr>
          <w:rFonts w:eastAsia="Arial" w:cs="Arial"/>
          <w:sz w:val="22"/>
          <w:szCs w:val="22"/>
        </w:rPr>
        <w:t>to</w:t>
      </w:r>
      <w:r w:rsidR="5D3632DA" w:rsidRPr="0A0530F7">
        <w:rPr>
          <w:rFonts w:eastAsia="Arial" w:cs="Arial"/>
          <w:sz w:val="22"/>
          <w:szCs w:val="22"/>
        </w:rPr>
        <w:t xml:space="preserve"> </w:t>
      </w:r>
      <w:r w:rsidR="6E4A0636" w:rsidRPr="0A0530F7">
        <w:rPr>
          <w:rFonts w:eastAsia="Arial" w:cs="Arial"/>
          <w:sz w:val="22"/>
          <w:szCs w:val="22"/>
        </w:rPr>
        <w:t>2</w:t>
      </w:r>
      <w:r w:rsidR="186EA3FB" w:rsidRPr="0A0530F7">
        <w:rPr>
          <w:rFonts w:eastAsia="Arial" w:cs="Arial"/>
          <w:sz w:val="22"/>
          <w:szCs w:val="22"/>
        </w:rPr>
        <w:t>8</w:t>
      </w:r>
      <w:r w:rsidR="41CEC14B" w:rsidRPr="0A0530F7">
        <w:rPr>
          <w:rFonts w:eastAsia="Arial" w:cs="Arial"/>
          <w:sz w:val="22"/>
          <w:szCs w:val="22"/>
        </w:rPr>
        <w:t>.1</w:t>
      </w:r>
      <w:r w:rsidR="6E4A0636" w:rsidRPr="0A0530F7">
        <w:rPr>
          <w:rFonts w:eastAsia="Arial" w:cs="Arial"/>
          <w:sz w:val="22"/>
          <w:szCs w:val="22"/>
        </w:rPr>
        <w:t xml:space="preserve"> million beneficiaries across the portfolio</w:t>
      </w:r>
      <w:r w:rsidR="7791BCA1" w:rsidRPr="0A0530F7">
        <w:rPr>
          <w:rFonts w:eastAsia="Arial" w:cs="Arial"/>
          <w:sz w:val="22"/>
          <w:szCs w:val="22"/>
        </w:rPr>
        <w:t xml:space="preserve"> in 202</w:t>
      </w:r>
      <w:r w:rsidR="5E3331F5" w:rsidRPr="0A0530F7">
        <w:rPr>
          <w:rFonts w:eastAsia="Arial" w:cs="Arial"/>
          <w:sz w:val="22"/>
          <w:szCs w:val="22"/>
        </w:rPr>
        <w:t>3</w:t>
      </w:r>
      <w:r w:rsidR="7791BCA1" w:rsidRPr="0A0530F7">
        <w:rPr>
          <w:rFonts w:eastAsia="Arial" w:cs="Arial"/>
          <w:sz w:val="22"/>
          <w:szCs w:val="22"/>
        </w:rPr>
        <w:t xml:space="preserve">. As </w:t>
      </w:r>
      <w:r w:rsidR="3F39BCA0" w:rsidRPr="0A0530F7">
        <w:rPr>
          <w:rFonts w:eastAsia="Arial" w:cs="Arial"/>
          <w:sz w:val="22"/>
          <w:szCs w:val="22"/>
        </w:rPr>
        <w:t>before</w:t>
      </w:r>
      <w:r w:rsidR="7791BCA1" w:rsidRPr="0A0530F7">
        <w:rPr>
          <w:rFonts w:eastAsia="Arial" w:cs="Arial"/>
          <w:sz w:val="22"/>
          <w:szCs w:val="22"/>
        </w:rPr>
        <w:t>, the highest-achieving projects</w:t>
      </w:r>
      <w:r w:rsidR="3518722C" w:rsidRPr="0A0530F7">
        <w:rPr>
          <w:rFonts w:eastAsia="Arial" w:cs="Arial"/>
          <w:sz w:val="22"/>
          <w:szCs w:val="22"/>
        </w:rPr>
        <w:t xml:space="preserve"> include China Waste Management and India Waste Management</w:t>
      </w:r>
      <w:r w:rsidR="4234CB6F" w:rsidRPr="0A0530F7">
        <w:rPr>
          <w:rFonts w:eastAsia="Arial" w:cs="Arial"/>
          <w:sz w:val="22"/>
          <w:szCs w:val="22"/>
        </w:rPr>
        <w:t>, alone comprising 27.1 million people of the 28 million total</w:t>
      </w:r>
      <w:r w:rsidR="7F285EF0" w:rsidRPr="0A0530F7">
        <w:rPr>
          <w:rFonts w:eastAsia="Arial" w:cs="Arial"/>
          <w:sz w:val="22"/>
          <w:szCs w:val="22"/>
        </w:rPr>
        <w:t>.</w:t>
      </w:r>
      <w:r w:rsidR="2DBC8A79" w:rsidRPr="0A0530F7">
        <w:rPr>
          <w:rFonts w:eastAsia="Arial" w:cs="Arial"/>
          <w:sz w:val="22"/>
          <w:szCs w:val="22"/>
        </w:rPr>
        <w:t xml:space="preserve"> The high number of beneficiaries in waste sector projects is comprised of total inhabitants in </w:t>
      </w:r>
      <w:r w:rsidR="6CCD3EAB" w:rsidRPr="0A0530F7">
        <w:rPr>
          <w:rFonts w:eastAsia="Arial" w:cs="Arial"/>
          <w:sz w:val="22"/>
          <w:szCs w:val="22"/>
        </w:rPr>
        <w:t>project-</w:t>
      </w:r>
      <w:r w:rsidR="2DBC8A79" w:rsidRPr="0A0530F7">
        <w:rPr>
          <w:rFonts w:eastAsia="Arial" w:cs="Arial"/>
          <w:sz w:val="22"/>
          <w:szCs w:val="22"/>
        </w:rPr>
        <w:t>relevant cities</w:t>
      </w:r>
      <w:r w:rsidR="171A1963" w:rsidRPr="0A0530F7">
        <w:rPr>
          <w:rFonts w:eastAsia="Arial" w:cs="Arial"/>
          <w:sz w:val="22"/>
          <w:szCs w:val="22"/>
        </w:rPr>
        <w:t xml:space="preserve"> that benefit from enhanced waste management systems attributable to the project</w:t>
      </w:r>
      <w:r w:rsidR="670EAB40" w:rsidRPr="0A0530F7">
        <w:rPr>
          <w:rFonts w:eastAsia="Arial" w:cs="Arial"/>
          <w:sz w:val="22"/>
          <w:szCs w:val="22"/>
        </w:rPr>
        <w:t xml:space="preserve">’s technical assistance component. </w:t>
      </w:r>
      <w:r w:rsidR="30E4539E" w:rsidRPr="0A0530F7">
        <w:rPr>
          <w:rFonts w:eastAsia="Arial" w:cs="Arial"/>
          <w:sz w:val="22"/>
          <w:szCs w:val="22"/>
        </w:rPr>
        <w:t>For example, individuals</w:t>
      </w:r>
      <w:r w:rsidR="1E4D8EE3" w:rsidRPr="0A0530F7">
        <w:rPr>
          <w:rFonts w:eastAsia="Arial" w:cs="Arial"/>
          <w:sz w:val="22"/>
          <w:szCs w:val="22"/>
        </w:rPr>
        <w:t xml:space="preserve"> in four </w:t>
      </w:r>
      <w:r w:rsidR="54D55467" w:rsidRPr="0A0530F7">
        <w:rPr>
          <w:rFonts w:eastAsia="Arial" w:cs="Arial"/>
          <w:sz w:val="22"/>
          <w:szCs w:val="22"/>
        </w:rPr>
        <w:t xml:space="preserve">population-dense </w:t>
      </w:r>
      <w:r w:rsidR="1E4D8EE3" w:rsidRPr="0A0530F7">
        <w:rPr>
          <w:rFonts w:eastAsia="Arial" w:cs="Arial"/>
          <w:sz w:val="22"/>
          <w:szCs w:val="22"/>
        </w:rPr>
        <w:t>geographical zones</w:t>
      </w:r>
      <w:r w:rsidR="0A35FA30" w:rsidRPr="0A0530F7">
        <w:rPr>
          <w:rFonts w:eastAsia="Arial" w:cs="Arial"/>
          <w:sz w:val="22"/>
          <w:szCs w:val="22"/>
        </w:rPr>
        <w:t xml:space="preserve"> in</w:t>
      </w:r>
      <w:r w:rsidR="1E4D8EE3" w:rsidRPr="0A0530F7">
        <w:rPr>
          <w:rFonts w:eastAsia="Arial" w:cs="Arial"/>
          <w:sz w:val="22"/>
          <w:szCs w:val="22"/>
        </w:rPr>
        <w:t xml:space="preserve"> India</w:t>
      </w:r>
      <w:r w:rsidR="30E4539E" w:rsidRPr="0A0530F7">
        <w:rPr>
          <w:rFonts w:eastAsia="Arial" w:cs="Arial"/>
          <w:sz w:val="22"/>
          <w:szCs w:val="22"/>
        </w:rPr>
        <w:t xml:space="preserve"> benefitt</w:t>
      </w:r>
      <w:r w:rsidR="470DC7B7" w:rsidRPr="0A0530F7">
        <w:rPr>
          <w:rFonts w:eastAsia="Arial" w:cs="Arial"/>
          <w:sz w:val="22"/>
          <w:szCs w:val="22"/>
        </w:rPr>
        <w:t>ing</w:t>
      </w:r>
      <w:r w:rsidR="30E4539E" w:rsidRPr="0A0530F7">
        <w:rPr>
          <w:rFonts w:eastAsia="Arial" w:cs="Arial"/>
          <w:sz w:val="22"/>
          <w:szCs w:val="22"/>
        </w:rPr>
        <w:t xml:space="preserve"> from both capacity building programmes</w:t>
      </w:r>
      <w:r w:rsidR="155774D9" w:rsidRPr="0A0530F7">
        <w:rPr>
          <w:rFonts w:eastAsia="Arial" w:cs="Arial"/>
          <w:sz w:val="22"/>
          <w:szCs w:val="22"/>
        </w:rPr>
        <w:t xml:space="preserve"> and activities</w:t>
      </w:r>
      <w:r w:rsidR="30E4539E" w:rsidRPr="0A0530F7">
        <w:rPr>
          <w:rFonts w:eastAsia="Arial" w:cs="Arial"/>
          <w:sz w:val="22"/>
          <w:szCs w:val="22"/>
        </w:rPr>
        <w:t xml:space="preserve"> on sustainable waste management as well as </w:t>
      </w:r>
      <w:r w:rsidR="2058FEB9" w:rsidRPr="0A0530F7">
        <w:rPr>
          <w:rFonts w:eastAsia="Arial" w:cs="Arial"/>
          <w:sz w:val="22"/>
          <w:szCs w:val="22"/>
        </w:rPr>
        <w:t xml:space="preserve">from waste management facility improvements, were included. </w:t>
      </w:r>
      <w:r w:rsidR="4E98BD17" w:rsidRPr="0A0530F7">
        <w:rPr>
          <w:rFonts w:eastAsia="Arial" w:cs="Arial"/>
          <w:sz w:val="22"/>
          <w:szCs w:val="22"/>
        </w:rPr>
        <w:t>F</w:t>
      </w:r>
      <w:r w:rsidR="58A15500" w:rsidRPr="0A0530F7">
        <w:rPr>
          <w:rFonts w:eastAsia="Arial" w:cs="Arial"/>
          <w:sz w:val="22"/>
          <w:szCs w:val="22"/>
        </w:rPr>
        <w:t xml:space="preserve">or the </w:t>
      </w:r>
      <w:r w:rsidR="6C5A0A43" w:rsidRPr="0A0530F7">
        <w:rPr>
          <w:rFonts w:eastAsia="Arial" w:cs="Arial"/>
          <w:sz w:val="22"/>
          <w:szCs w:val="22"/>
        </w:rPr>
        <w:t xml:space="preserve">11 </w:t>
      </w:r>
      <w:r w:rsidR="58A15500" w:rsidRPr="0A0530F7">
        <w:rPr>
          <w:rFonts w:eastAsia="Arial" w:cs="Arial"/>
          <w:sz w:val="22"/>
          <w:szCs w:val="22"/>
        </w:rPr>
        <w:t>projects that supported fewer beneficiaries than targeted, similar barriers were described</w:t>
      </w:r>
      <w:r w:rsidR="0B7BC80B" w:rsidRPr="0A0530F7">
        <w:rPr>
          <w:rFonts w:eastAsia="Arial" w:cs="Arial"/>
          <w:sz w:val="22"/>
          <w:szCs w:val="22"/>
        </w:rPr>
        <w:t xml:space="preserve"> as those inhibiting GHG emissions </w:t>
      </w:r>
      <w:proofErr w:type="gramStart"/>
      <w:r w:rsidR="0B7BC80B" w:rsidRPr="0A0530F7">
        <w:rPr>
          <w:rFonts w:eastAsia="Arial" w:cs="Arial"/>
          <w:sz w:val="22"/>
          <w:szCs w:val="22"/>
        </w:rPr>
        <w:t>reductions</w:t>
      </w:r>
      <w:r w:rsidR="58A15500" w:rsidRPr="0A0530F7">
        <w:rPr>
          <w:rFonts w:eastAsia="Arial" w:cs="Arial"/>
          <w:sz w:val="22"/>
          <w:szCs w:val="22"/>
        </w:rPr>
        <w:t>;</w:t>
      </w:r>
      <w:proofErr w:type="gramEnd"/>
      <w:r w:rsidR="58A15500" w:rsidRPr="0A0530F7">
        <w:rPr>
          <w:rFonts w:eastAsia="Arial" w:cs="Arial"/>
          <w:sz w:val="22"/>
          <w:szCs w:val="22"/>
        </w:rPr>
        <w:t xml:space="preserve"> project delays in implementation phase</w:t>
      </w:r>
      <w:r w:rsidR="1D41864D" w:rsidRPr="0A0530F7">
        <w:rPr>
          <w:rFonts w:eastAsia="Arial" w:cs="Arial"/>
          <w:sz w:val="22"/>
          <w:szCs w:val="22"/>
        </w:rPr>
        <w:t xml:space="preserve"> and</w:t>
      </w:r>
      <w:r w:rsidR="58A15500" w:rsidRPr="0A0530F7">
        <w:rPr>
          <w:rFonts w:eastAsia="Arial" w:cs="Arial"/>
          <w:sz w:val="22"/>
          <w:szCs w:val="22"/>
        </w:rPr>
        <w:t xml:space="preserve"> challenges in </w:t>
      </w:r>
      <w:r w:rsidR="2101C9CC" w:rsidRPr="0A0530F7">
        <w:rPr>
          <w:rFonts w:eastAsia="Arial" w:cs="Arial"/>
          <w:sz w:val="22"/>
          <w:szCs w:val="22"/>
        </w:rPr>
        <w:t xml:space="preserve">setting up </w:t>
      </w:r>
      <w:r w:rsidR="66B63C90" w:rsidRPr="0A0530F7">
        <w:rPr>
          <w:rFonts w:eastAsia="Arial" w:cs="Arial"/>
          <w:sz w:val="22"/>
          <w:szCs w:val="22"/>
        </w:rPr>
        <w:t xml:space="preserve">and in the take-up of </w:t>
      </w:r>
      <w:r w:rsidR="2101C9CC" w:rsidRPr="0A0530F7">
        <w:rPr>
          <w:rFonts w:eastAsia="Arial" w:cs="Arial"/>
          <w:sz w:val="22"/>
          <w:szCs w:val="22"/>
        </w:rPr>
        <w:t>financial components</w:t>
      </w:r>
      <w:r w:rsidR="0BC932F4" w:rsidRPr="0A0530F7">
        <w:rPr>
          <w:rFonts w:eastAsia="Arial" w:cs="Arial"/>
          <w:sz w:val="22"/>
          <w:szCs w:val="22"/>
        </w:rPr>
        <w:t xml:space="preserve"> of the project. </w:t>
      </w:r>
      <w:r w:rsidR="668196B6" w:rsidRPr="0A0530F7">
        <w:rPr>
          <w:rFonts w:eastAsia="Arial" w:cs="Arial"/>
          <w:sz w:val="22"/>
          <w:szCs w:val="22"/>
        </w:rPr>
        <w:t>G</w:t>
      </w:r>
      <w:r w:rsidR="1DA07BE7" w:rsidRPr="0A0530F7">
        <w:rPr>
          <w:rFonts w:eastAsia="Arial" w:cs="Arial"/>
          <w:sz w:val="22"/>
          <w:szCs w:val="22"/>
        </w:rPr>
        <w:t>ender parity in the 202</w:t>
      </w:r>
      <w:r w:rsidR="1EB2A9DC" w:rsidRPr="0A0530F7">
        <w:rPr>
          <w:rFonts w:eastAsia="Arial" w:cs="Arial"/>
          <w:sz w:val="22"/>
          <w:szCs w:val="22"/>
        </w:rPr>
        <w:t>3</w:t>
      </w:r>
      <w:r w:rsidR="1DA07BE7" w:rsidRPr="0A0530F7">
        <w:rPr>
          <w:rFonts w:eastAsia="Arial" w:cs="Arial"/>
          <w:sz w:val="22"/>
          <w:szCs w:val="22"/>
        </w:rPr>
        <w:t xml:space="preserve"> beneficiary numbers</w:t>
      </w:r>
      <w:r w:rsidR="69455B59" w:rsidRPr="0A0530F7">
        <w:rPr>
          <w:rFonts w:eastAsia="Arial" w:cs="Arial"/>
          <w:sz w:val="22"/>
          <w:szCs w:val="22"/>
        </w:rPr>
        <w:t xml:space="preserve"> </w:t>
      </w:r>
      <w:r w:rsidR="0F116F38" w:rsidRPr="0A0530F7">
        <w:rPr>
          <w:rFonts w:eastAsia="Arial" w:cs="Arial"/>
          <w:sz w:val="22"/>
          <w:szCs w:val="22"/>
        </w:rPr>
        <w:t xml:space="preserve">shows room for growth </w:t>
      </w:r>
      <w:r w:rsidR="69455B59" w:rsidRPr="0A0530F7">
        <w:rPr>
          <w:rFonts w:eastAsia="Arial" w:cs="Arial"/>
          <w:sz w:val="22"/>
          <w:szCs w:val="22"/>
        </w:rPr>
        <w:t>with 4</w:t>
      </w:r>
      <w:r w:rsidR="78193ECE" w:rsidRPr="0A0530F7">
        <w:rPr>
          <w:rFonts w:eastAsia="Arial" w:cs="Arial"/>
          <w:sz w:val="22"/>
          <w:szCs w:val="22"/>
        </w:rPr>
        <w:t>1</w:t>
      </w:r>
      <w:r w:rsidR="69455B59" w:rsidRPr="0A0530F7">
        <w:rPr>
          <w:rFonts w:eastAsia="Arial" w:cs="Arial"/>
          <w:sz w:val="22"/>
          <w:szCs w:val="22"/>
        </w:rPr>
        <w:t>% female beneficiaries</w:t>
      </w:r>
      <w:r w:rsidR="0007F8A1" w:rsidRPr="0A0530F7">
        <w:rPr>
          <w:rFonts w:eastAsia="Arial" w:cs="Arial"/>
          <w:sz w:val="22"/>
          <w:szCs w:val="22"/>
        </w:rPr>
        <w:t xml:space="preserve"> to 5</w:t>
      </w:r>
      <w:r w:rsidR="606C2E1A" w:rsidRPr="0A0530F7">
        <w:rPr>
          <w:rFonts w:eastAsia="Arial" w:cs="Arial"/>
          <w:sz w:val="22"/>
          <w:szCs w:val="22"/>
        </w:rPr>
        <w:t>9</w:t>
      </w:r>
      <w:r w:rsidR="0007F8A1" w:rsidRPr="0A0530F7">
        <w:rPr>
          <w:rFonts w:eastAsia="Arial" w:cs="Arial"/>
          <w:sz w:val="22"/>
          <w:szCs w:val="22"/>
        </w:rPr>
        <w:t>% male.</w:t>
      </w:r>
    </w:p>
    <w:p w14:paraId="0585B8B7" w14:textId="0F3E67E1" w:rsidR="226F715C" w:rsidRPr="00045A11" w:rsidRDefault="226F715C" w:rsidP="07AF1209">
      <w:pPr>
        <w:jc w:val="both"/>
        <w:rPr>
          <w:rFonts w:eastAsia="Arial" w:cs="Arial"/>
          <w:sz w:val="22"/>
          <w:szCs w:val="22"/>
        </w:rPr>
      </w:pPr>
    </w:p>
    <w:p w14:paraId="5260DABD" w14:textId="32CE3B81" w:rsidR="226F715C" w:rsidRPr="00045A11" w:rsidRDefault="259AF6B6" w:rsidP="75FA93ED">
      <w:pPr>
        <w:spacing w:after="160" w:line="257" w:lineRule="auto"/>
        <w:jc w:val="both"/>
        <w:rPr>
          <w:rFonts w:eastAsia="Arial" w:cs="Arial"/>
          <w:sz w:val="22"/>
          <w:szCs w:val="22"/>
        </w:rPr>
      </w:pPr>
      <w:r w:rsidRPr="75FA93ED">
        <w:rPr>
          <w:rFonts w:eastAsia="Arial" w:cs="Arial"/>
          <w:b/>
          <w:bCs/>
          <w:sz w:val="22"/>
          <w:szCs w:val="22"/>
        </w:rPr>
        <w:t>Outcome 3 (M3)</w:t>
      </w:r>
      <w:r w:rsidRPr="75FA93ED">
        <w:rPr>
          <w:rFonts w:eastAsia="Arial" w:cs="Arial"/>
          <w:sz w:val="22"/>
          <w:szCs w:val="22"/>
        </w:rPr>
        <w:t xml:space="preserve">: </w:t>
      </w:r>
      <w:r w:rsidR="5EAE0B8D" w:rsidRPr="75FA93ED">
        <w:rPr>
          <w:rFonts w:eastAsia="Arial" w:cs="Arial"/>
          <w:sz w:val="22"/>
          <w:szCs w:val="22"/>
        </w:rPr>
        <w:t xml:space="preserve">Finally, </w:t>
      </w:r>
      <w:r w:rsidR="0B6DB297" w:rsidRPr="75FA93ED">
        <w:rPr>
          <w:rFonts w:eastAsia="Arial" w:cs="Arial"/>
          <w:sz w:val="22"/>
          <w:szCs w:val="22"/>
        </w:rPr>
        <w:t>when looking at transformational change</w:t>
      </w:r>
      <w:r w:rsidR="5745A8CF" w:rsidRPr="75FA93ED">
        <w:rPr>
          <w:rFonts w:eastAsia="Arial" w:cs="Arial"/>
          <w:sz w:val="22"/>
          <w:szCs w:val="22"/>
        </w:rPr>
        <w:t xml:space="preserve"> (TC)</w:t>
      </w:r>
      <w:r w:rsidR="41151592" w:rsidRPr="75FA93ED">
        <w:rPr>
          <w:rFonts w:eastAsia="Arial" w:cs="Arial"/>
          <w:sz w:val="22"/>
          <w:szCs w:val="22"/>
        </w:rPr>
        <w:t xml:space="preserve"> likely to be catalysed</w:t>
      </w:r>
      <w:r w:rsidR="0B6DB297" w:rsidRPr="75FA93ED">
        <w:rPr>
          <w:rFonts w:eastAsia="Arial" w:cs="Arial"/>
          <w:sz w:val="22"/>
          <w:szCs w:val="22"/>
        </w:rPr>
        <w:t xml:space="preserve"> </w:t>
      </w:r>
      <w:r w:rsidR="3557C0BF" w:rsidRPr="75FA93ED">
        <w:rPr>
          <w:rFonts w:eastAsia="Arial" w:cs="Arial"/>
          <w:sz w:val="22"/>
          <w:szCs w:val="22"/>
        </w:rPr>
        <w:t>beyond the lifetime of projects</w:t>
      </w:r>
      <w:r w:rsidR="0B6DB297" w:rsidRPr="75FA93ED">
        <w:rPr>
          <w:rFonts w:eastAsia="Arial" w:cs="Arial"/>
          <w:sz w:val="22"/>
          <w:szCs w:val="22"/>
        </w:rPr>
        <w:t xml:space="preserve">, MAF projects </w:t>
      </w:r>
      <w:r w:rsidR="31D33BB1" w:rsidRPr="75FA93ED">
        <w:rPr>
          <w:rFonts w:eastAsia="Arial" w:cs="Arial"/>
          <w:sz w:val="22"/>
          <w:szCs w:val="22"/>
        </w:rPr>
        <w:t xml:space="preserve">increased from 2022 but </w:t>
      </w:r>
      <w:r w:rsidR="73FF840D" w:rsidRPr="75FA93ED">
        <w:rPr>
          <w:rFonts w:eastAsia="Arial" w:cs="Arial"/>
          <w:sz w:val="22"/>
          <w:szCs w:val="22"/>
        </w:rPr>
        <w:t xml:space="preserve">moderately underachieved </w:t>
      </w:r>
      <w:r w:rsidR="7A21581C" w:rsidRPr="75FA93ED">
        <w:rPr>
          <w:rFonts w:eastAsia="Arial" w:cs="Arial"/>
          <w:sz w:val="22"/>
          <w:szCs w:val="22"/>
        </w:rPr>
        <w:t xml:space="preserve">against a raised ambition </w:t>
      </w:r>
      <w:r w:rsidR="6A64372B" w:rsidRPr="75FA93ED">
        <w:rPr>
          <w:rFonts w:eastAsia="Arial" w:cs="Arial"/>
          <w:sz w:val="22"/>
          <w:szCs w:val="22"/>
        </w:rPr>
        <w:t>for</w:t>
      </w:r>
      <w:r w:rsidR="73FF840D" w:rsidRPr="75FA93ED">
        <w:rPr>
          <w:rFonts w:eastAsia="Arial" w:cs="Arial"/>
          <w:sz w:val="22"/>
          <w:szCs w:val="22"/>
        </w:rPr>
        <w:t xml:space="preserve"> 2023</w:t>
      </w:r>
      <w:r w:rsidR="0B6DB297" w:rsidRPr="75FA93ED">
        <w:rPr>
          <w:rFonts w:eastAsia="Arial" w:cs="Arial"/>
          <w:sz w:val="22"/>
          <w:szCs w:val="22"/>
        </w:rPr>
        <w:t>.</w:t>
      </w:r>
      <w:r w:rsidR="22A7EA2C" w:rsidRPr="75FA93ED">
        <w:rPr>
          <w:rFonts w:eastAsia="Arial" w:cs="Arial"/>
          <w:sz w:val="22"/>
          <w:szCs w:val="22"/>
        </w:rPr>
        <w:t xml:space="preserve"> </w:t>
      </w:r>
      <w:r w:rsidR="7CD02F34" w:rsidRPr="75FA93ED">
        <w:rPr>
          <w:rFonts w:eastAsia="Arial" w:cs="Arial"/>
          <w:sz w:val="22"/>
          <w:szCs w:val="22"/>
        </w:rPr>
        <w:t>The projects had an average TC</w:t>
      </w:r>
      <w:r w:rsidR="4556C654" w:rsidRPr="75FA93ED">
        <w:rPr>
          <w:rFonts w:eastAsia="Arial" w:cs="Arial"/>
          <w:sz w:val="22"/>
          <w:szCs w:val="22"/>
        </w:rPr>
        <w:t xml:space="preserve"> </w:t>
      </w:r>
      <w:r w:rsidR="0225CFBD" w:rsidRPr="75FA93ED">
        <w:rPr>
          <w:rFonts w:eastAsia="Arial" w:cs="Arial"/>
          <w:sz w:val="22"/>
          <w:szCs w:val="22"/>
        </w:rPr>
        <w:t xml:space="preserve">score </w:t>
      </w:r>
      <w:r w:rsidR="1E418D6F" w:rsidRPr="75FA93ED">
        <w:rPr>
          <w:rFonts w:eastAsia="Arial" w:cs="Arial"/>
          <w:sz w:val="22"/>
          <w:szCs w:val="22"/>
        </w:rPr>
        <w:t xml:space="preserve">of </w:t>
      </w:r>
      <w:r w:rsidR="7CD02F34" w:rsidRPr="75FA93ED">
        <w:rPr>
          <w:rFonts w:eastAsia="Arial" w:cs="Arial"/>
          <w:sz w:val="22"/>
          <w:szCs w:val="22"/>
        </w:rPr>
        <w:t>2</w:t>
      </w:r>
      <w:r w:rsidR="5232BE8E" w:rsidRPr="75FA93ED">
        <w:rPr>
          <w:rFonts w:eastAsia="Arial" w:cs="Arial"/>
          <w:sz w:val="22"/>
          <w:szCs w:val="22"/>
        </w:rPr>
        <w:t>.1</w:t>
      </w:r>
      <w:r w:rsidR="7CD02F34" w:rsidRPr="75FA93ED">
        <w:rPr>
          <w:rFonts w:eastAsia="Arial" w:cs="Arial"/>
          <w:sz w:val="22"/>
          <w:szCs w:val="22"/>
        </w:rPr>
        <w:t xml:space="preserve"> against </w:t>
      </w:r>
      <w:r w:rsidR="0F25AAE8" w:rsidRPr="75FA93ED">
        <w:rPr>
          <w:rFonts w:eastAsia="Arial" w:cs="Arial"/>
          <w:sz w:val="22"/>
          <w:szCs w:val="22"/>
        </w:rPr>
        <w:t>the</w:t>
      </w:r>
      <w:r w:rsidR="7CD02F34" w:rsidRPr="75FA93ED">
        <w:rPr>
          <w:rFonts w:eastAsia="Arial" w:cs="Arial"/>
          <w:sz w:val="22"/>
          <w:szCs w:val="22"/>
        </w:rPr>
        <w:t xml:space="preserve"> </w:t>
      </w:r>
      <w:r w:rsidR="7CB5AE02" w:rsidRPr="75FA93ED">
        <w:rPr>
          <w:rFonts w:eastAsia="Arial" w:cs="Arial"/>
          <w:sz w:val="22"/>
          <w:szCs w:val="22"/>
        </w:rPr>
        <w:t xml:space="preserve">raised </w:t>
      </w:r>
      <w:r w:rsidR="7CD02F34" w:rsidRPr="75FA93ED">
        <w:rPr>
          <w:rFonts w:eastAsia="Arial" w:cs="Arial"/>
          <w:sz w:val="22"/>
          <w:szCs w:val="22"/>
        </w:rPr>
        <w:t xml:space="preserve">target of </w:t>
      </w:r>
      <w:r w:rsidR="2A2D417B" w:rsidRPr="75FA93ED">
        <w:rPr>
          <w:rFonts w:eastAsia="Arial" w:cs="Arial"/>
          <w:sz w:val="22"/>
          <w:szCs w:val="22"/>
        </w:rPr>
        <w:t>3.1</w:t>
      </w:r>
      <w:r w:rsidR="72B61FE3" w:rsidRPr="75FA93ED">
        <w:rPr>
          <w:rFonts w:eastAsia="Arial" w:cs="Arial"/>
          <w:sz w:val="22"/>
          <w:szCs w:val="22"/>
        </w:rPr>
        <w:t xml:space="preserve">. Disaggregated, </w:t>
      </w:r>
      <w:r w:rsidR="7BC418B6" w:rsidRPr="75FA93ED">
        <w:rPr>
          <w:rFonts w:eastAsia="Arial" w:cs="Arial"/>
          <w:sz w:val="22"/>
          <w:szCs w:val="22"/>
        </w:rPr>
        <w:t xml:space="preserve">this means </w:t>
      </w:r>
      <w:r w:rsidR="72B61FE3" w:rsidRPr="75FA93ED">
        <w:rPr>
          <w:rFonts w:eastAsia="Arial" w:cs="Arial"/>
          <w:sz w:val="22"/>
          <w:szCs w:val="22"/>
        </w:rPr>
        <w:t>10 projects met or exceeded their targets whilst 6 fell below target.</w:t>
      </w:r>
      <w:r w:rsidR="1568A9CE" w:rsidRPr="75FA93ED">
        <w:rPr>
          <w:rFonts w:eastAsia="Arial" w:cs="Arial"/>
          <w:sz w:val="22"/>
          <w:szCs w:val="22"/>
        </w:rPr>
        <w:t xml:space="preserve"> </w:t>
      </w:r>
      <w:r w:rsidR="3C4FE885" w:rsidRPr="75FA93ED">
        <w:rPr>
          <w:rFonts w:eastAsia="Arial" w:cs="Arial"/>
          <w:sz w:val="22"/>
          <w:szCs w:val="22"/>
        </w:rPr>
        <w:t>D</w:t>
      </w:r>
      <w:r w:rsidR="7CD02F34" w:rsidRPr="75FA93ED">
        <w:rPr>
          <w:rFonts w:eastAsia="Arial" w:cs="Arial"/>
          <w:sz w:val="22"/>
          <w:szCs w:val="22"/>
        </w:rPr>
        <w:t>ue</w:t>
      </w:r>
      <w:r w:rsidR="1E418D6F" w:rsidRPr="75FA93ED">
        <w:rPr>
          <w:rFonts w:eastAsia="Arial" w:cs="Arial"/>
          <w:sz w:val="22"/>
          <w:szCs w:val="22"/>
        </w:rPr>
        <w:t xml:space="preserve"> to </w:t>
      </w:r>
      <w:r w:rsidR="7CD02F34" w:rsidRPr="75FA93ED">
        <w:rPr>
          <w:rFonts w:eastAsia="Arial" w:cs="Arial"/>
          <w:sz w:val="22"/>
          <w:szCs w:val="22"/>
        </w:rPr>
        <w:t>the reasons laid out below, this is not concerning due to the variance and difficulty in assessing TC</w:t>
      </w:r>
      <w:r w:rsidR="1F675991" w:rsidRPr="75FA93ED">
        <w:rPr>
          <w:rFonts w:eastAsia="Arial" w:cs="Arial"/>
          <w:sz w:val="22"/>
          <w:szCs w:val="22"/>
        </w:rPr>
        <w:t>, particularly as the only qualitative scoring system of the core M-indicators</w:t>
      </w:r>
      <w:r w:rsidR="7CD02F34" w:rsidRPr="75FA93ED">
        <w:rPr>
          <w:rFonts w:eastAsia="Arial" w:cs="Arial"/>
          <w:sz w:val="22"/>
          <w:szCs w:val="22"/>
        </w:rPr>
        <w:t xml:space="preserve">. </w:t>
      </w:r>
      <w:r w:rsidR="33155DC8" w:rsidRPr="75FA93ED">
        <w:rPr>
          <w:rFonts w:eastAsia="Arial" w:cs="Arial"/>
          <w:sz w:val="22"/>
          <w:szCs w:val="22"/>
        </w:rPr>
        <w:t xml:space="preserve">Transformational change, such as enhanced, sustained, and inclusive action on emission reductions, is hard to predict, multi-faceted, multi-causative, and takes time to unfold. </w:t>
      </w:r>
      <w:r w:rsidR="56B7E9FD" w:rsidRPr="75FA93ED">
        <w:rPr>
          <w:rFonts w:eastAsia="Arial" w:cs="Arial"/>
          <w:sz w:val="22"/>
          <w:szCs w:val="22"/>
        </w:rPr>
        <w:t xml:space="preserve">The ELE </w:t>
      </w:r>
      <w:proofErr w:type="spellStart"/>
      <w:r w:rsidR="56B7E9FD" w:rsidRPr="75FA93ED">
        <w:rPr>
          <w:rFonts w:eastAsia="Arial" w:cs="Arial"/>
          <w:sz w:val="22"/>
          <w:szCs w:val="22"/>
        </w:rPr>
        <w:t>metastudy</w:t>
      </w:r>
      <w:proofErr w:type="spellEnd"/>
      <w:r w:rsidR="56B7E9FD" w:rsidRPr="75FA93ED">
        <w:rPr>
          <w:rFonts w:eastAsia="Arial" w:cs="Arial"/>
          <w:sz w:val="22"/>
          <w:szCs w:val="22"/>
        </w:rPr>
        <w:t xml:space="preserve"> also points to the difficulty in measuring projects’ catalysed</w:t>
      </w:r>
      <w:r w:rsidR="3569908B" w:rsidRPr="75FA93ED">
        <w:rPr>
          <w:rFonts w:eastAsia="Arial" w:cs="Arial"/>
          <w:sz w:val="22"/>
          <w:szCs w:val="22"/>
        </w:rPr>
        <w:t xml:space="preserve"> TC. </w:t>
      </w:r>
      <w:r w:rsidR="2A5138C9" w:rsidRPr="75FA93ED">
        <w:rPr>
          <w:rFonts w:eastAsia="Arial" w:cs="Arial"/>
          <w:sz w:val="22"/>
          <w:szCs w:val="22"/>
        </w:rPr>
        <w:t>For instance,</w:t>
      </w:r>
      <w:r w:rsidR="00B31F95" w:rsidRPr="75FA93ED">
        <w:rPr>
          <w:rFonts w:eastAsia="Arial" w:cs="Arial"/>
          <w:sz w:val="22"/>
          <w:szCs w:val="22"/>
        </w:rPr>
        <w:t xml:space="preserve"> </w:t>
      </w:r>
      <w:r w:rsidR="0397532E" w:rsidRPr="75FA93ED">
        <w:rPr>
          <w:rFonts w:eastAsia="Arial" w:cs="Arial"/>
          <w:sz w:val="22"/>
          <w:szCs w:val="22"/>
        </w:rPr>
        <w:t xml:space="preserve">a </w:t>
      </w:r>
      <w:r w:rsidR="4711901B" w:rsidRPr="75FA93ED">
        <w:rPr>
          <w:rFonts w:eastAsia="Arial" w:cs="Arial"/>
          <w:sz w:val="22"/>
          <w:szCs w:val="22"/>
        </w:rPr>
        <w:t>key criterion</w:t>
      </w:r>
      <w:r w:rsidR="2A5138C9" w:rsidRPr="75FA93ED">
        <w:rPr>
          <w:rFonts w:eastAsia="Arial" w:cs="Arial"/>
          <w:sz w:val="22"/>
          <w:szCs w:val="22"/>
        </w:rPr>
        <w:t xml:space="preserve"> is whether projects are on track to meet the target for indirect GHG savings</w:t>
      </w:r>
      <w:r w:rsidR="00C96A13" w:rsidRPr="75FA93ED">
        <w:rPr>
          <w:rFonts w:eastAsia="Arial" w:cs="Arial"/>
          <w:sz w:val="22"/>
          <w:szCs w:val="22"/>
        </w:rPr>
        <w:t>.</w:t>
      </w:r>
      <w:r w:rsidR="2A5138C9" w:rsidRPr="75FA93ED">
        <w:rPr>
          <w:rFonts w:eastAsia="Arial" w:cs="Arial"/>
          <w:sz w:val="22"/>
          <w:szCs w:val="22"/>
        </w:rPr>
        <w:t xml:space="preserve"> </w:t>
      </w:r>
      <w:r w:rsidR="00C96A13" w:rsidRPr="75FA93ED">
        <w:rPr>
          <w:rFonts w:eastAsia="Arial" w:cs="Arial"/>
          <w:sz w:val="22"/>
          <w:szCs w:val="22"/>
        </w:rPr>
        <w:t>H</w:t>
      </w:r>
      <w:r w:rsidR="2A5138C9" w:rsidRPr="75FA93ED">
        <w:rPr>
          <w:rFonts w:eastAsia="Arial" w:cs="Arial"/>
          <w:sz w:val="22"/>
          <w:szCs w:val="22"/>
        </w:rPr>
        <w:t>owever</w:t>
      </w:r>
      <w:r w:rsidR="4E9E3F2D" w:rsidRPr="75FA93ED">
        <w:rPr>
          <w:rFonts w:eastAsia="Arial" w:cs="Arial"/>
          <w:sz w:val="22"/>
          <w:szCs w:val="22"/>
        </w:rPr>
        <w:t>,</w:t>
      </w:r>
      <w:r w:rsidR="2A5138C9" w:rsidRPr="75FA93ED">
        <w:rPr>
          <w:rFonts w:eastAsia="Arial" w:cs="Arial"/>
          <w:sz w:val="22"/>
          <w:szCs w:val="22"/>
        </w:rPr>
        <w:t xml:space="preserve"> these are to be realised during the ten-year period after the completion of the project</w:t>
      </w:r>
      <w:r w:rsidR="2EA07463" w:rsidRPr="75FA93ED">
        <w:rPr>
          <w:rFonts w:eastAsia="Arial" w:cs="Arial"/>
          <w:sz w:val="22"/>
          <w:szCs w:val="22"/>
        </w:rPr>
        <w:t>, making it difficult to assess TC during the project timeframe</w:t>
      </w:r>
      <w:r w:rsidR="480D18AD" w:rsidRPr="75FA93ED">
        <w:rPr>
          <w:rFonts w:eastAsia="Arial" w:cs="Arial"/>
          <w:sz w:val="22"/>
          <w:szCs w:val="22"/>
        </w:rPr>
        <w:t xml:space="preserve">. </w:t>
      </w:r>
    </w:p>
    <w:p w14:paraId="45A0832E" w14:textId="20FAF8B4" w:rsidR="226F715C" w:rsidRPr="00045A11" w:rsidRDefault="13EE2C8A" w:rsidP="07AF1209">
      <w:pPr>
        <w:spacing w:after="160" w:line="257" w:lineRule="auto"/>
        <w:jc w:val="both"/>
        <w:rPr>
          <w:rFonts w:eastAsia="Arial" w:cs="Arial"/>
          <w:sz w:val="22"/>
          <w:szCs w:val="22"/>
        </w:rPr>
      </w:pPr>
      <w:r w:rsidRPr="75FA93ED">
        <w:rPr>
          <w:rFonts w:eastAsia="Arial" w:cs="Arial"/>
          <w:sz w:val="22"/>
          <w:szCs w:val="22"/>
        </w:rPr>
        <w:t xml:space="preserve">The projects that </w:t>
      </w:r>
      <w:r w:rsidR="4203563F" w:rsidRPr="75FA93ED">
        <w:rPr>
          <w:rFonts w:eastAsia="Arial" w:cs="Arial"/>
          <w:sz w:val="22"/>
          <w:szCs w:val="22"/>
        </w:rPr>
        <w:t>overachieved</w:t>
      </w:r>
      <w:r w:rsidRPr="75FA93ED">
        <w:rPr>
          <w:rFonts w:eastAsia="Arial" w:cs="Arial"/>
          <w:sz w:val="22"/>
          <w:szCs w:val="22"/>
        </w:rPr>
        <w:t xml:space="preserve">, such as Brazil Energy Efficiency, </w:t>
      </w:r>
      <w:r w:rsidR="46269F06" w:rsidRPr="75FA93ED">
        <w:rPr>
          <w:rFonts w:eastAsia="Arial" w:cs="Arial"/>
          <w:sz w:val="22"/>
          <w:szCs w:val="22"/>
        </w:rPr>
        <w:t>garnered high interest and demand among target groups, creating an effective feedback loop with their financial mechanisms. In Brazil’s case it’s noteworthy to highligh</w:t>
      </w:r>
      <w:r w:rsidR="748F42BF" w:rsidRPr="75FA93ED">
        <w:rPr>
          <w:rFonts w:eastAsia="Arial" w:cs="Arial"/>
          <w:sz w:val="22"/>
          <w:szCs w:val="22"/>
        </w:rPr>
        <w:t>t a national-level programme announced by the project’s partner Government ministries due to the success of the project pilot. Where projects fell short of their target, thi</w:t>
      </w:r>
      <w:r w:rsidR="34439A97" w:rsidRPr="75FA93ED">
        <w:rPr>
          <w:rFonts w:eastAsia="Arial" w:cs="Arial"/>
          <w:sz w:val="22"/>
          <w:szCs w:val="22"/>
        </w:rPr>
        <w:t xml:space="preserve">s is attributable </w:t>
      </w:r>
      <w:r w:rsidR="00AB2E18" w:rsidRPr="75FA93ED">
        <w:rPr>
          <w:rFonts w:eastAsia="Arial" w:cs="Arial"/>
          <w:sz w:val="22"/>
          <w:szCs w:val="22"/>
        </w:rPr>
        <w:t xml:space="preserve">to </w:t>
      </w:r>
      <w:r w:rsidR="34439A97" w:rsidRPr="75FA93ED">
        <w:rPr>
          <w:rFonts w:eastAsia="Arial" w:cs="Arial"/>
          <w:sz w:val="22"/>
          <w:szCs w:val="22"/>
        </w:rPr>
        <w:t xml:space="preserve">a variety of factors, including delayed financial mechanism deployment, lower interest and uptake of these mechanisms than expected, </w:t>
      </w:r>
      <w:r w:rsidR="41C4B699" w:rsidRPr="75FA93ED">
        <w:rPr>
          <w:rFonts w:eastAsia="Arial" w:cs="Arial"/>
          <w:sz w:val="22"/>
          <w:szCs w:val="22"/>
        </w:rPr>
        <w:t>such as in the case of Guatemala Cookstoves with lower participation of microfinance institutions in the pr</w:t>
      </w:r>
      <w:r w:rsidR="2D399E15" w:rsidRPr="75FA93ED">
        <w:rPr>
          <w:rFonts w:eastAsia="Arial" w:cs="Arial"/>
          <w:sz w:val="22"/>
          <w:szCs w:val="22"/>
        </w:rPr>
        <w:t xml:space="preserve">oject’s </w:t>
      </w:r>
      <w:r w:rsidR="41C4B699" w:rsidRPr="75FA93ED">
        <w:rPr>
          <w:rFonts w:eastAsia="Arial" w:cs="Arial"/>
          <w:sz w:val="22"/>
          <w:szCs w:val="22"/>
        </w:rPr>
        <w:t xml:space="preserve">Guarantee Fund </w:t>
      </w:r>
      <w:r w:rsidR="17F483DD" w:rsidRPr="75FA93ED">
        <w:rPr>
          <w:rFonts w:eastAsia="Arial" w:cs="Arial"/>
          <w:sz w:val="22"/>
          <w:szCs w:val="22"/>
        </w:rPr>
        <w:t>than anticipated</w:t>
      </w:r>
      <w:r w:rsidR="41C4B699" w:rsidRPr="75FA93ED">
        <w:rPr>
          <w:rFonts w:eastAsia="Arial" w:cs="Arial"/>
          <w:sz w:val="22"/>
          <w:szCs w:val="22"/>
        </w:rPr>
        <w:t xml:space="preserve">. </w:t>
      </w:r>
    </w:p>
    <w:p w14:paraId="0A000B3D" w14:textId="46D7E889" w:rsidR="00AF2C14" w:rsidRPr="00045A11" w:rsidRDefault="3DC96231" w:rsidP="07AF1209">
      <w:pPr>
        <w:jc w:val="both"/>
        <w:rPr>
          <w:rFonts w:eastAsia="Arial" w:cs="Arial"/>
          <w:sz w:val="22"/>
          <w:szCs w:val="22"/>
        </w:rPr>
      </w:pPr>
      <w:r w:rsidRPr="7849A67F">
        <w:rPr>
          <w:rFonts w:eastAsia="Arial" w:cs="Arial"/>
          <w:sz w:val="22"/>
          <w:szCs w:val="22"/>
        </w:rPr>
        <w:lastRenderedPageBreak/>
        <w:t>Transformational change is often difficult to assess for ICF programmes</w:t>
      </w:r>
      <w:r w:rsidR="503A073F" w:rsidRPr="7849A67F">
        <w:rPr>
          <w:rFonts w:eastAsia="Arial" w:cs="Arial"/>
          <w:sz w:val="22"/>
          <w:szCs w:val="22"/>
        </w:rPr>
        <w:t>.</w:t>
      </w:r>
      <w:r w:rsidR="51CDAC44" w:rsidRPr="7849A67F">
        <w:rPr>
          <w:rFonts w:eastAsia="Arial" w:cs="Arial"/>
          <w:sz w:val="22"/>
          <w:szCs w:val="22"/>
        </w:rPr>
        <w:t xml:space="preserve"> It is encouraging that projects are engaging well with the TC </w:t>
      </w:r>
      <w:r w:rsidR="74A458BD" w:rsidRPr="7849A67F">
        <w:rPr>
          <w:rFonts w:eastAsia="Arial" w:cs="Arial"/>
          <w:sz w:val="22"/>
          <w:szCs w:val="22"/>
        </w:rPr>
        <w:t>measurement</w:t>
      </w:r>
      <w:r w:rsidR="51CDAC44" w:rsidRPr="7849A67F">
        <w:rPr>
          <w:rFonts w:eastAsia="Arial" w:cs="Arial"/>
          <w:sz w:val="22"/>
          <w:szCs w:val="22"/>
        </w:rPr>
        <w:t xml:space="preserve"> framework (which many p</w:t>
      </w:r>
      <w:r w:rsidR="563581EA" w:rsidRPr="7849A67F">
        <w:rPr>
          <w:rFonts w:eastAsia="Arial" w:cs="Arial"/>
          <w:sz w:val="22"/>
          <w:szCs w:val="22"/>
        </w:rPr>
        <w:t>rojects indicated was useful in focus groups in May 2023).</w:t>
      </w:r>
      <w:r w:rsidR="36B1B86B" w:rsidRPr="7849A67F">
        <w:rPr>
          <w:rFonts w:eastAsia="Arial" w:cs="Arial"/>
          <w:sz w:val="22"/>
          <w:szCs w:val="22"/>
        </w:rPr>
        <w:t xml:space="preserve"> </w:t>
      </w:r>
      <w:r w:rsidR="34A3F399" w:rsidRPr="7849A67F">
        <w:rPr>
          <w:rFonts w:eastAsia="Arial" w:cs="Arial"/>
          <w:sz w:val="22"/>
          <w:szCs w:val="22"/>
        </w:rPr>
        <w:t>The fact that projects are engaging well with the framework and using it to guide project decision making</w:t>
      </w:r>
      <w:r w:rsidR="606D4E7A" w:rsidRPr="7849A67F">
        <w:rPr>
          <w:rFonts w:eastAsia="Arial" w:cs="Arial"/>
          <w:sz w:val="22"/>
          <w:szCs w:val="22"/>
        </w:rPr>
        <w:t xml:space="preserve"> is positive and as important as achieving a ‘good’ score. </w:t>
      </w:r>
      <w:r w:rsidR="15F0A734" w:rsidRPr="7849A67F">
        <w:rPr>
          <w:rFonts w:eastAsia="Arial" w:cs="Arial"/>
          <w:sz w:val="22"/>
          <w:szCs w:val="22"/>
        </w:rPr>
        <w:t>One of the considerations in monitoring TC is to encou</w:t>
      </w:r>
      <w:r w:rsidR="0053D5D2" w:rsidRPr="7849A67F">
        <w:rPr>
          <w:rFonts w:eastAsia="Arial" w:cs="Arial"/>
          <w:sz w:val="22"/>
          <w:szCs w:val="22"/>
        </w:rPr>
        <w:t>rage</w:t>
      </w:r>
      <w:r w:rsidR="5CD23197" w:rsidRPr="7849A67F">
        <w:rPr>
          <w:rFonts w:eastAsia="Arial" w:cs="Arial"/>
          <w:sz w:val="22"/>
          <w:szCs w:val="22"/>
        </w:rPr>
        <w:t xml:space="preserve"> reflection on ‘how’ to catalyse TC on an annual basis, ensuring that projects </w:t>
      </w:r>
      <w:r w:rsidR="004B6036" w:rsidRPr="7849A67F">
        <w:rPr>
          <w:rFonts w:eastAsia="Arial" w:cs="Arial"/>
          <w:sz w:val="22"/>
          <w:szCs w:val="22"/>
        </w:rPr>
        <w:t>use learning</w:t>
      </w:r>
      <w:r w:rsidR="419B0786" w:rsidRPr="7849A67F">
        <w:rPr>
          <w:rFonts w:eastAsia="Arial" w:cs="Arial"/>
          <w:sz w:val="22"/>
          <w:szCs w:val="22"/>
        </w:rPr>
        <w:t xml:space="preserve"> to </w:t>
      </w:r>
      <w:r w:rsidR="004B6036" w:rsidRPr="7849A67F">
        <w:rPr>
          <w:rFonts w:eastAsia="Arial" w:cs="Arial"/>
          <w:sz w:val="22"/>
          <w:szCs w:val="22"/>
        </w:rPr>
        <w:t xml:space="preserve">strengthen </w:t>
      </w:r>
      <w:r w:rsidR="00CE717B" w:rsidRPr="7849A67F">
        <w:rPr>
          <w:rFonts w:eastAsia="Arial" w:cs="Arial"/>
          <w:sz w:val="22"/>
          <w:szCs w:val="22"/>
        </w:rPr>
        <w:t>their approach t</w:t>
      </w:r>
      <w:r w:rsidR="00720A7F" w:rsidRPr="7849A67F">
        <w:rPr>
          <w:rFonts w:eastAsia="Arial" w:cs="Arial"/>
          <w:sz w:val="22"/>
          <w:szCs w:val="22"/>
        </w:rPr>
        <w:t>o TC</w:t>
      </w:r>
      <w:r w:rsidR="419B0786" w:rsidRPr="7849A67F">
        <w:rPr>
          <w:rFonts w:eastAsia="Arial" w:cs="Arial"/>
          <w:sz w:val="22"/>
          <w:szCs w:val="22"/>
        </w:rPr>
        <w:t>. In the DESNZ annual assessment of KPI 15 on transformational change, MAF was scored a</w:t>
      </w:r>
      <w:r w:rsidR="6313DE21" w:rsidRPr="7849A67F">
        <w:rPr>
          <w:rFonts w:eastAsia="Arial" w:cs="Arial"/>
          <w:sz w:val="22"/>
          <w:szCs w:val="22"/>
        </w:rPr>
        <w:t xml:space="preserve">s showing ‘partial evidence that </w:t>
      </w:r>
      <w:r w:rsidR="02E89784" w:rsidRPr="7849A67F">
        <w:rPr>
          <w:rFonts w:eastAsia="Arial" w:cs="Arial"/>
          <w:sz w:val="22"/>
          <w:szCs w:val="22"/>
        </w:rPr>
        <w:t>suggest</w:t>
      </w:r>
      <w:r w:rsidR="6313DE21" w:rsidRPr="7849A67F">
        <w:rPr>
          <w:rFonts w:eastAsia="Arial" w:cs="Arial"/>
          <w:sz w:val="22"/>
          <w:szCs w:val="22"/>
        </w:rPr>
        <w:t xml:space="preserve"> transformational change is likely’. This methodology reflects the complexities and timeframes involved</w:t>
      </w:r>
      <w:r w:rsidR="6CF797FA" w:rsidRPr="7849A67F">
        <w:rPr>
          <w:rFonts w:eastAsia="Arial" w:cs="Arial"/>
          <w:sz w:val="22"/>
          <w:szCs w:val="22"/>
        </w:rPr>
        <w:t xml:space="preserve"> and the score is as expected for the maturity of the </w:t>
      </w:r>
      <w:r w:rsidR="1412C286" w:rsidRPr="7849A67F">
        <w:rPr>
          <w:rFonts w:eastAsia="Arial" w:cs="Arial"/>
          <w:sz w:val="22"/>
          <w:szCs w:val="22"/>
        </w:rPr>
        <w:t>programme's</w:t>
      </w:r>
      <w:r w:rsidR="6CF797FA" w:rsidRPr="7849A67F">
        <w:rPr>
          <w:rFonts w:eastAsia="Arial" w:cs="Arial"/>
          <w:sz w:val="22"/>
          <w:szCs w:val="22"/>
        </w:rPr>
        <w:t xml:space="preserve"> portfolio.</w:t>
      </w:r>
      <w:r w:rsidR="19716F51" w:rsidRPr="7849A67F">
        <w:rPr>
          <w:rFonts w:eastAsia="Arial" w:cs="Arial"/>
          <w:sz w:val="22"/>
          <w:szCs w:val="22"/>
        </w:rPr>
        <w:t xml:space="preserve"> For instance, in the case of more mature projects such as Thai Rice and Colombia Refrigeration, the Facility is seeing</w:t>
      </w:r>
      <w:r w:rsidR="01D29A3D" w:rsidRPr="7849A67F">
        <w:rPr>
          <w:rFonts w:eastAsia="Arial" w:cs="Arial"/>
          <w:sz w:val="22"/>
          <w:szCs w:val="22"/>
        </w:rPr>
        <w:t xml:space="preserve"> typically</w:t>
      </w:r>
      <w:r w:rsidR="19716F51" w:rsidRPr="7849A67F">
        <w:rPr>
          <w:rFonts w:eastAsia="Arial" w:cs="Arial"/>
          <w:sz w:val="22"/>
          <w:szCs w:val="22"/>
        </w:rPr>
        <w:t xml:space="preserve"> </w:t>
      </w:r>
      <w:r w:rsidR="5C4E0520" w:rsidRPr="7849A67F">
        <w:rPr>
          <w:rFonts w:eastAsia="Arial" w:cs="Arial"/>
          <w:sz w:val="22"/>
          <w:szCs w:val="22"/>
        </w:rPr>
        <w:t>higher levels of transformational change potential</w:t>
      </w:r>
      <w:r w:rsidR="33C237E0" w:rsidRPr="7849A67F">
        <w:rPr>
          <w:rFonts w:eastAsia="Arial" w:cs="Arial"/>
          <w:sz w:val="22"/>
          <w:szCs w:val="22"/>
        </w:rPr>
        <w:t>, an area which should continue to be monitored.</w:t>
      </w:r>
    </w:p>
    <w:p w14:paraId="5D95C77A" w14:textId="77777777" w:rsidR="00E61B4A" w:rsidRPr="00045A11" w:rsidRDefault="00E61B4A" w:rsidP="07AF1209">
      <w:pPr>
        <w:jc w:val="both"/>
        <w:rPr>
          <w:rFonts w:eastAsia="Arial" w:cs="Arial"/>
          <w:sz w:val="22"/>
          <w:szCs w:val="22"/>
        </w:rPr>
      </w:pPr>
    </w:p>
    <w:p w14:paraId="40D01C03" w14:textId="169A2788" w:rsidR="003D222C" w:rsidRPr="00D80C6C" w:rsidRDefault="00B34EB5" w:rsidP="07AF1209">
      <w:pPr>
        <w:contextualSpacing/>
        <w:jc w:val="both"/>
        <w:rPr>
          <w:rFonts w:eastAsia="Arial" w:cs="Arial"/>
          <w:sz w:val="22"/>
          <w:szCs w:val="22"/>
        </w:rPr>
      </w:pPr>
      <w:bookmarkStart w:id="17" w:name="_Toc172791898"/>
      <w:bookmarkStart w:id="18" w:name="_Toc154962493"/>
      <w:proofErr w:type="spellStart"/>
      <w:r w:rsidRPr="75FA93ED">
        <w:rPr>
          <w:rStyle w:val="Heading2Char"/>
          <w:rFonts w:eastAsia="Arial" w:cs="Arial"/>
        </w:rPr>
        <w:t>L</w:t>
      </w:r>
      <w:r w:rsidR="003D222C" w:rsidRPr="75FA93ED">
        <w:rPr>
          <w:rStyle w:val="Heading2Char"/>
          <w:rFonts w:eastAsia="Arial" w:cs="Arial"/>
        </w:rPr>
        <w:t>ogframe</w:t>
      </w:r>
      <w:proofErr w:type="spellEnd"/>
      <w:r w:rsidRPr="75FA93ED">
        <w:rPr>
          <w:rStyle w:val="Heading2Char"/>
          <w:rFonts w:eastAsia="Arial" w:cs="Arial"/>
        </w:rPr>
        <w:t xml:space="preserve"> </w:t>
      </w:r>
      <w:r w:rsidR="003D222C" w:rsidRPr="75FA93ED">
        <w:rPr>
          <w:rStyle w:val="Heading2Char"/>
          <w:rFonts w:eastAsia="Arial" w:cs="Arial"/>
        </w:rPr>
        <w:t>update</w:t>
      </w:r>
      <w:r w:rsidRPr="75FA93ED">
        <w:rPr>
          <w:rStyle w:val="Heading2Char"/>
          <w:rFonts w:eastAsia="Arial" w:cs="Arial"/>
        </w:rPr>
        <w:t>s</w:t>
      </w:r>
      <w:r w:rsidR="003D222C" w:rsidRPr="75FA93ED">
        <w:rPr>
          <w:rStyle w:val="Heading2Char"/>
          <w:rFonts w:eastAsia="Arial" w:cs="Arial"/>
        </w:rPr>
        <w:t xml:space="preserve"> since the last review</w:t>
      </w:r>
      <w:bookmarkEnd w:id="17"/>
      <w:bookmarkEnd w:id="18"/>
      <w:r w:rsidR="00F013F9" w:rsidRPr="75FA93ED">
        <w:rPr>
          <w:rFonts w:eastAsia="Arial" w:cs="Arial"/>
          <w:b/>
          <w:bCs/>
          <w:sz w:val="22"/>
          <w:szCs w:val="22"/>
        </w:rPr>
        <w:t xml:space="preserve"> </w:t>
      </w:r>
    </w:p>
    <w:p w14:paraId="0ACF7E8D" w14:textId="77777777" w:rsidR="003D222C" w:rsidRPr="00D80C6C" w:rsidRDefault="003D222C" w:rsidP="07AF1209">
      <w:pPr>
        <w:jc w:val="both"/>
        <w:rPr>
          <w:rFonts w:eastAsia="Arial" w:cs="Arial"/>
          <w:i/>
          <w:sz w:val="22"/>
          <w:szCs w:val="22"/>
        </w:rPr>
      </w:pPr>
    </w:p>
    <w:p w14:paraId="15274B5E" w14:textId="5FB8AB76" w:rsidR="000867F5" w:rsidRPr="00045A11" w:rsidRDefault="00F90999" w:rsidP="07AF1209">
      <w:pPr>
        <w:jc w:val="both"/>
        <w:rPr>
          <w:rFonts w:eastAsia="Arial" w:cs="Arial"/>
          <w:sz w:val="22"/>
          <w:szCs w:val="22"/>
          <w:lang w:val="en-US" w:eastAsia="en-GB"/>
        </w:rPr>
      </w:pPr>
      <w:r w:rsidRPr="7849A67F">
        <w:rPr>
          <w:rFonts w:eastAsia="Arial" w:cs="Arial"/>
          <w:sz w:val="22"/>
          <w:szCs w:val="22"/>
          <w:lang w:val="en-US" w:eastAsia="en-GB"/>
        </w:rPr>
        <w:t xml:space="preserve">The MAF </w:t>
      </w:r>
      <w:proofErr w:type="spellStart"/>
      <w:r w:rsidRPr="7849A67F">
        <w:rPr>
          <w:rFonts w:eastAsia="Arial" w:cs="Arial"/>
          <w:sz w:val="22"/>
          <w:szCs w:val="22"/>
          <w:lang w:val="en-US" w:eastAsia="en-GB"/>
        </w:rPr>
        <w:t>logframe</w:t>
      </w:r>
      <w:proofErr w:type="spellEnd"/>
      <w:r w:rsidRPr="7849A67F">
        <w:rPr>
          <w:rFonts w:eastAsia="Arial" w:cs="Arial"/>
          <w:sz w:val="22"/>
          <w:szCs w:val="22"/>
          <w:lang w:val="en-US" w:eastAsia="en-GB"/>
        </w:rPr>
        <w:t xml:space="preserve"> was </w:t>
      </w:r>
      <w:r w:rsidR="68CC828D" w:rsidRPr="7849A67F">
        <w:rPr>
          <w:rFonts w:eastAsia="Arial" w:cs="Arial"/>
          <w:sz w:val="22"/>
          <w:szCs w:val="22"/>
          <w:lang w:val="en-US" w:eastAsia="en-GB"/>
        </w:rPr>
        <w:t xml:space="preserve">only </w:t>
      </w:r>
      <w:r w:rsidR="52BA6B44" w:rsidRPr="7849A67F">
        <w:rPr>
          <w:rFonts w:eastAsia="Arial" w:cs="Arial"/>
          <w:sz w:val="22"/>
          <w:szCs w:val="22"/>
          <w:lang w:val="en-US" w:eastAsia="en-GB"/>
        </w:rPr>
        <w:t xml:space="preserve">moderately </w:t>
      </w:r>
      <w:r w:rsidRPr="7849A67F">
        <w:rPr>
          <w:rFonts w:eastAsia="Arial" w:cs="Arial"/>
          <w:sz w:val="22"/>
          <w:szCs w:val="22"/>
          <w:lang w:val="en-US" w:eastAsia="en-GB"/>
        </w:rPr>
        <w:t>revised in 202</w:t>
      </w:r>
      <w:r w:rsidR="3F354559" w:rsidRPr="7849A67F">
        <w:rPr>
          <w:rFonts w:eastAsia="Arial" w:cs="Arial"/>
          <w:sz w:val="22"/>
          <w:szCs w:val="22"/>
          <w:lang w:val="en-US" w:eastAsia="en-GB"/>
        </w:rPr>
        <w:t>3</w:t>
      </w:r>
      <w:r w:rsidRPr="7849A67F">
        <w:rPr>
          <w:rFonts w:eastAsia="Arial" w:cs="Arial"/>
          <w:sz w:val="22"/>
          <w:szCs w:val="22"/>
          <w:lang w:val="en-US" w:eastAsia="en-GB"/>
        </w:rPr>
        <w:t xml:space="preserve"> </w:t>
      </w:r>
      <w:r w:rsidR="6395934C" w:rsidRPr="7849A67F">
        <w:rPr>
          <w:rFonts w:eastAsia="Arial" w:cs="Arial"/>
          <w:sz w:val="22"/>
          <w:szCs w:val="22"/>
          <w:lang w:val="en-US" w:eastAsia="en-GB"/>
        </w:rPr>
        <w:t xml:space="preserve">to increase the ambition of </w:t>
      </w:r>
      <w:r w:rsidRPr="7849A67F">
        <w:rPr>
          <w:rFonts w:eastAsia="Arial" w:cs="Arial"/>
          <w:sz w:val="22"/>
          <w:szCs w:val="22"/>
          <w:lang w:val="en-US" w:eastAsia="en-GB"/>
        </w:rPr>
        <w:t>indicators and targe</w:t>
      </w:r>
      <w:r w:rsidR="0472F77D" w:rsidRPr="7849A67F">
        <w:rPr>
          <w:rFonts w:eastAsia="Arial" w:cs="Arial"/>
          <w:sz w:val="22"/>
          <w:szCs w:val="22"/>
          <w:lang w:val="en-US" w:eastAsia="en-GB"/>
        </w:rPr>
        <w:t xml:space="preserve">ts measuring the </w:t>
      </w:r>
      <w:r w:rsidR="13F9BD90" w:rsidRPr="7849A67F">
        <w:rPr>
          <w:rFonts w:eastAsia="Arial" w:cs="Arial"/>
          <w:sz w:val="22"/>
          <w:szCs w:val="22"/>
          <w:lang w:val="en-US" w:eastAsia="en-GB"/>
        </w:rPr>
        <w:t>achievements</w:t>
      </w:r>
      <w:r w:rsidR="0472F77D" w:rsidRPr="7849A67F">
        <w:rPr>
          <w:rFonts w:eastAsia="Arial" w:cs="Arial"/>
          <w:sz w:val="22"/>
          <w:szCs w:val="22"/>
          <w:lang w:val="en-US" w:eastAsia="en-GB"/>
        </w:rPr>
        <w:t xml:space="preserve"> of the Facility</w:t>
      </w:r>
      <w:r w:rsidR="1F22DE2D" w:rsidRPr="7849A67F">
        <w:rPr>
          <w:rFonts w:eastAsia="Arial" w:cs="Arial"/>
          <w:sz w:val="22"/>
          <w:szCs w:val="22"/>
          <w:lang w:val="en-US" w:eastAsia="en-GB"/>
        </w:rPr>
        <w:t xml:space="preserve"> following significant revisions in 2022 to </w:t>
      </w:r>
      <w:r w:rsidR="008675F4" w:rsidRPr="7849A67F">
        <w:rPr>
          <w:rFonts w:eastAsia="Arial" w:cs="Arial"/>
          <w:sz w:val="22"/>
          <w:szCs w:val="22"/>
          <w:lang w:val="en-US" w:eastAsia="en-GB"/>
        </w:rPr>
        <w:t xml:space="preserve">align with the Theory of Change revision. </w:t>
      </w:r>
    </w:p>
    <w:p w14:paraId="770AABA4" w14:textId="1579E452" w:rsidR="7849A67F" w:rsidRDefault="7849A67F" w:rsidP="07AF1209">
      <w:pPr>
        <w:jc w:val="both"/>
        <w:rPr>
          <w:rFonts w:eastAsia="Arial" w:cs="Arial"/>
          <w:sz w:val="22"/>
          <w:szCs w:val="22"/>
          <w:lang w:val="en-US"/>
        </w:rPr>
      </w:pPr>
    </w:p>
    <w:p w14:paraId="6658ECC3" w14:textId="2E3D3459" w:rsidR="008675F4" w:rsidRPr="00045A11" w:rsidRDefault="53F8410C" w:rsidP="07AF1209">
      <w:pPr>
        <w:jc w:val="both"/>
        <w:rPr>
          <w:rFonts w:eastAsia="Arial" w:cs="Arial"/>
          <w:sz w:val="22"/>
          <w:szCs w:val="22"/>
          <w:lang w:val="en-US"/>
        </w:rPr>
      </w:pPr>
      <w:r w:rsidRPr="7849A67F">
        <w:rPr>
          <w:rFonts w:eastAsia="Arial" w:cs="Arial"/>
          <w:sz w:val="22"/>
          <w:szCs w:val="22"/>
          <w:lang w:val="en-US"/>
        </w:rPr>
        <w:t xml:space="preserve">New indicators </w:t>
      </w:r>
      <w:r w:rsidR="18D7FD77" w:rsidRPr="7849A67F">
        <w:rPr>
          <w:rFonts w:eastAsia="Arial" w:cs="Arial"/>
          <w:sz w:val="22"/>
          <w:szCs w:val="22"/>
          <w:lang w:val="en-US"/>
        </w:rPr>
        <w:t xml:space="preserve">on </w:t>
      </w:r>
      <w:r w:rsidRPr="7849A67F">
        <w:rPr>
          <w:rFonts w:eastAsia="Arial" w:cs="Arial"/>
          <w:sz w:val="22"/>
          <w:szCs w:val="22"/>
          <w:lang w:val="en-US"/>
        </w:rPr>
        <w:t xml:space="preserve">upscaling and gender were introduced </w:t>
      </w:r>
      <w:r w:rsidR="3213BD1A" w:rsidRPr="7849A67F">
        <w:rPr>
          <w:rFonts w:eastAsia="Arial" w:cs="Arial"/>
          <w:sz w:val="22"/>
          <w:szCs w:val="22"/>
          <w:lang w:val="en-US"/>
        </w:rPr>
        <w:t xml:space="preserve">to Outputs 4 and 5 </w:t>
      </w:r>
      <w:r w:rsidRPr="7849A67F">
        <w:rPr>
          <w:rFonts w:eastAsia="Arial" w:cs="Arial"/>
          <w:sz w:val="22"/>
          <w:szCs w:val="22"/>
          <w:lang w:val="en-US"/>
        </w:rPr>
        <w:t xml:space="preserve">and will be </w:t>
      </w:r>
      <w:r w:rsidR="3F4CE3AE" w:rsidRPr="7849A67F">
        <w:rPr>
          <w:rFonts w:eastAsia="Arial" w:cs="Arial"/>
          <w:sz w:val="22"/>
          <w:szCs w:val="22"/>
          <w:lang w:val="en-US"/>
        </w:rPr>
        <w:t>reported against for the first time in 2024</w:t>
      </w:r>
      <w:r w:rsidRPr="7849A67F">
        <w:rPr>
          <w:rFonts w:eastAsia="Arial" w:cs="Arial"/>
          <w:sz w:val="22"/>
          <w:szCs w:val="22"/>
          <w:lang w:val="en-US"/>
        </w:rPr>
        <w:t>.</w:t>
      </w:r>
    </w:p>
    <w:p w14:paraId="156DBE69" w14:textId="42147977" w:rsidR="00AC58EE" w:rsidRDefault="00AC58EE">
      <w:pPr>
        <w:spacing w:after="160" w:line="259" w:lineRule="auto"/>
        <w:rPr>
          <w:rFonts w:eastAsia="Arial" w:cs="Arial"/>
          <w:sz w:val="22"/>
          <w:szCs w:val="22"/>
          <w:lang w:val="en" w:eastAsia="en-GB"/>
        </w:rPr>
      </w:pPr>
      <w:r>
        <w:rPr>
          <w:rFonts w:eastAsia="Arial" w:cs="Arial"/>
          <w:sz w:val="22"/>
          <w:szCs w:val="22"/>
          <w:lang w:val="en" w:eastAsia="en-GB"/>
        </w:rPr>
        <w:br w:type="page"/>
      </w:r>
    </w:p>
    <w:p w14:paraId="26849469" w14:textId="394E8394" w:rsidR="003558C3" w:rsidDel="00AC58EE" w:rsidRDefault="003558C3" w:rsidP="001B4FD0">
      <w:pPr>
        <w:rPr>
          <w:rFonts w:eastAsia="Arial" w:cs="Arial"/>
          <w:sz w:val="22"/>
          <w:szCs w:val="22"/>
          <w:lang w:val="en" w:eastAsia="en-GB"/>
        </w:rPr>
      </w:pPr>
    </w:p>
    <w:tbl>
      <w:tblPr>
        <w:tblStyle w:val="TableGrid"/>
        <w:tblW w:w="0" w:type="auto"/>
        <w:tblLook w:val="04A0" w:firstRow="1" w:lastRow="0" w:firstColumn="1" w:lastColumn="0" w:noHBand="0" w:noVBand="1"/>
      </w:tblPr>
      <w:tblGrid>
        <w:gridCol w:w="9016"/>
      </w:tblGrid>
      <w:tr w:rsidR="00CB2873" w14:paraId="13F66B93" w14:textId="77777777" w:rsidTr="75FA93ED">
        <w:tc>
          <w:tcPr>
            <w:tcW w:w="9016" w:type="dxa"/>
            <w:shd w:val="clear" w:color="auto" w:fill="DEEAF6" w:themeFill="accent5" w:themeFillTint="33"/>
          </w:tcPr>
          <w:p w14:paraId="3D58D529" w14:textId="51837EC8" w:rsidR="00CB2873" w:rsidRDefault="00CB2873" w:rsidP="75FA93ED">
            <w:pPr>
              <w:rPr>
                <w:rStyle w:val="Heading1Char"/>
                <w:rFonts w:ascii="Arial" w:eastAsia="Arial" w:hAnsi="Arial" w:cs="Arial"/>
                <w:b/>
                <w:bCs/>
                <w:color w:val="auto"/>
              </w:rPr>
            </w:pPr>
            <w:bookmarkStart w:id="19" w:name="_Toc172791899"/>
            <w:bookmarkStart w:id="20" w:name="_Toc623713379"/>
            <w:r w:rsidRPr="75FA93ED">
              <w:rPr>
                <w:rStyle w:val="Heading1Char"/>
                <w:rFonts w:ascii="Arial" w:eastAsia="Arial" w:hAnsi="Arial" w:cs="Arial"/>
                <w:b/>
                <w:bCs/>
                <w:color w:val="auto"/>
              </w:rPr>
              <w:t xml:space="preserve">Section C: Output </w:t>
            </w:r>
            <w:r w:rsidR="1DD1D324" w:rsidRPr="75FA93ED">
              <w:rPr>
                <w:rStyle w:val="Heading1Char"/>
                <w:rFonts w:ascii="Arial" w:eastAsia="Arial" w:hAnsi="Arial" w:cs="Arial"/>
                <w:b/>
                <w:bCs/>
                <w:color w:val="auto"/>
              </w:rPr>
              <w:t>s</w:t>
            </w:r>
            <w:r w:rsidRPr="75FA93ED">
              <w:rPr>
                <w:rStyle w:val="Heading1Char"/>
                <w:rFonts w:ascii="Arial" w:eastAsia="Arial" w:hAnsi="Arial" w:cs="Arial"/>
                <w:b/>
                <w:bCs/>
                <w:color w:val="auto"/>
              </w:rPr>
              <w:t>coring</w:t>
            </w:r>
            <w:bookmarkEnd w:id="19"/>
            <w:bookmarkEnd w:id="20"/>
          </w:p>
        </w:tc>
      </w:tr>
    </w:tbl>
    <w:p w14:paraId="452661DA" w14:textId="5BAC3EC1" w:rsidR="00953846" w:rsidRPr="00953846" w:rsidRDefault="00953846" w:rsidP="001B4FD0">
      <w:pPr>
        <w:pStyle w:val="Heading2"/>
        <w:rPr>
          <w:rFonts w:eastAsia="Arial" w:cs="Arial"/>
          <w:sz w:val="24"/>
          <w:szCs w:val="24"/>
        </w:rPr>
      </w:pPr>
      <w:bookmarkStart w:id="21" w:name="_Toc172791900"/>
      <w:bookmarkStart w:id="22" w:name="_Toc664309332"/>
      <w:r w:rsidRPr="75FA93ED">
        <w:rPr>
          <w:rFonts w:eastAsia="Arial" w:cs="Arial"/>
        </w:rPr>
        <w:t xml:space="preserve">Output 1: </w:t>
      </w:r>
      <w:r w:rsidR="006462E5" w:rsidRPr="75FA93ED">
        <w:rPr>
          <w:rFonts w:eastAsia="Arial" w:cs="Arial"/>
        </w:rPr>
        <w:t xml:space="preserve">The </w:t>
      </w:r>
      <w:r w:rsidR="6DD9763C" w:rsidRPr="75FA93ED">
        <w:rPr>
          <w:rFonts w:eastAsia="Arial" w:cs="Arial"/>
        </w:rPr>
        <w:t xml:space="preserve">Mitigation Action </w:t>
      </w:r>
      <w:r w:rsidR="006462E5" w:rsidRPr="75FA93ED">
        <w:rPr>
          <w:rFonts w:eastAsia="Arial" w:cs="Arial"/>
        </w:rPr>
        <w:t>Facility is effective and efficient in catalysing transformational mitigation action to implement NDCs</w:t>
      </w:r>
      <w:bookmarkEnd w:id="21"/>
      <w:bookmarkEnd w:id="22"/>
    </w:p>
    <w:p w14:paraId="055FDF8F" w14:textId="77777777" w:rsidR="00C22C27" w:rsidRPr="00D80C6C" w:rsidRDefault="00C22C27" w:rsidP="001B4FD0">
      <w:pPr>
        <w:rPr>
          <w:rFonts w:eastAsia="Arial" w:cs="Arial"/>
          <w:sz w:val="22"/>
          <w:szCs w:val="22"/>
        </w:rPr>
      </w:pPr>
    </w:p>
    <w:tbl>
      <w:tblPr>
        <w:tblStyle w:val="TableGrid"/>
        <w:tblW w:w="9072" w:type="dxa"/>
        <w:tblLook w:val="04A0" w:firstRow="1" w:lastRow="0" w:firstColumn="1" w:lastColumn="0" w:noHBand="0" w:noVBand="1"/>
      </w:tblPr>
      <w:tblGrid>
        <w:gridCol w:w="1548"/>
        <w:gridCol w:w="593"/>
        <w:gridCol w:w="1146"/>
        <w:gridCol w:w="2907"/>
        <w:gridCol w:w="2878"/>
      </w:tblGrid>
      <w:tr w:rsidR="003D222C" w:rsidRPr="00D80C6C" w14:paraId="2102EB17" w14:textId="77777777" w:rsidTr="5964CDA8">
        <w:trPr>
          <w:trHeight w:val="489"/>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A85D6B2" w14:textId="77777777" w:rsidR="003D222C" w:rsidRPr="00D80C6C" w:rsidRDefault="003D222C" w:rsidP="001B4FD0">
            <w:pPr>
              <w:rPr>
                <w:rFonts w:eastAsia="Arial" w:cs="Arial"/>
                <w:b/>
                <w:sz w:val="22"/>
                <w:szCs w:val="22"/>
              </w:rPr>
            </w:pPr>
            <w:r w:rsidRPr="6CF0CCCA">
              <w:rPr>
                <w:rFonts w:eastAsia="Arial" w:cs="Arial"/>
                <w:b/>
                <w:sz w:val="22"/>
                <w:szCs w:val="22"/>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8A3AEA" w14:textId="7C6B1920" w:rsidR="003D222C" w:rsidRPr="00D80C6C" w:rsidRDefault="52DDBAA5" w:rsidP="7849A67F">
            <w:pPr>
              <w:rPr>
                <w:rFonts w:eastAsia="Arial" w:cs="Arial"/>
                <w:i/>
                <w:iCs/>
                <w:color w:val="FF0000"/>
                <w:sz w:val="22"/>
                <w:szCs w:val="22"/>
              </w:rPr>
            </w:pPr>
            <w:r w:rsidRPr="7849A67F">
              <w:rPr>
                <w:rFonts w:eastAsia="Arial" w:cs="Arial"/>
                <w:sz w:val="22"/>
                <w:szCs w:val="22"/>
              </w:rPr>
              <w:t xml:space="preserve">The </w:t>
            </w:r>
            <w:r w:rsidR="3ACA7989" w:rsidRPr="7849A67F">
              <w:rPr>
                <w:rFonts w:eastAsia="Arial" w:cs="Arial"/>
                <w:sz w:val="22"/>
                <w:szCs w:val="22"/>
              </w:rPr>
              <w:t xml:space="preserve">Mitigation Action </w:t>
            </w:r>
            <w:r w:rsidRPr="7849A67F">
              <w:rPr>
                <w:rFonts w:eastAsia="Arial" w:cs="Arial"/>
                <w:sz w:val="22"/>
                <w:szCs w:val="22"/>
              </w:rPr>
              <w:t>Facility is effective and efficient in catalysing transformational mitigation action to implement NDCs</w:t>
            </w:r>
          </w:p>
        </w:tc>
      </w:tr>
      <w:tr w:rsidR="003D222C" w:rsidRPr="00D80C6C" w14:paraId="0CA17513" w14:textId="77777777" w:rsidTr="5964CDA8">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801A128" w14:textId="77777777" w:rsidR="003D222C" w:rsidRPr="00D80C6C" w:rsidRDefault="003D222C" w:rsidP="001B4FD0">
            <w:pPr>
              <w:rPr>
                <w:rFonts w:eastAsia="Arial" w:cs="Arial"/>
                <w:sz w:val="22"/>
                <w:szCs w:val="22"/>
              </w:rPr>
            </w:pPr>
            <w:r w:rsidRPr="6CF0CCCA">
              <w:rPr>
                <w:rFonts w:eastAsia="Arial" w:cs="Arial"/>
                <w:sz w:val="22"/>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4190402A" w14:textId="630749FA" w:rsidR="003D222C" w:rsidRPr="00D80C6C" w:rsidRDefault="0061581F" w:rsidP="001B4FD0">
            <w:pPr>
              <w:rPr>
                <w:rFonts w:eastAsia="Arial" w:cs="Arial"/>
                <w:sz w:val="22"/>
                <w:szCs w:val="22"/>
              </w:rPr>
            </w:pPr>
            <w:r w:rsidRPr="6CF0CCCA">
              <w:rPr>
                <w:rFonts w:eastAsia="Arial" w:cs="Arial"/>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5FA73C8" w14:textId="77777777" w:rsidR="003D222C" w:rsidRPr="00D80C6C" w:rsidRDefault="003D222C" w:rsidP="001B4FD0">
            <w:pPr>
              <w:rPr>
                <w:rFonts w:eastAsia="Arial" w:cs="Arial"/>
                <w:sz w:val="22"/>
                <w:szCs w:val="22"/>
              </w:rPr>
            </w:pPr>
            <w:r w:rsidRPr="6CF0CCCA">
              <w:rPr>
                <w:rFonts w:eastAsia="Arial" w:cs="Arial"/>
                <w:sz w:val="22"/>
                <w:szCs w:val="22"/>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0438A869" w14:textId="3B350853" w:rsidR="003D222C" w:rsidRPr="00D80C6C" w:rsidRDefault="1EEE37D9" w:rsidP="4A9EF9D3">
            <w:pPr>
              <w:rPr>
                <w:rFonts w:eastAsia="Arial" w:cs="Arial"/>
                <w:b/>
                <w:bCs/>
                <w:i/>
                <w:iCs/>
                <w:sz w:val="22"/>
                <w:szCs w:val="22"/>
              </w:rPr>
            </w:pPr>
            <w:r w:rsidRPr="4A9EF9D3">
              <w:rPr>
                <w:rFonts w:eastAsia="Arial" w:cs="Arial"/>
                <w:b/>
                <w:bCs/>
                <w:i/>
                <w:iCs/>
                <w:sz w:val="22"/>
                <w:szCs w:val="22"/>
              </w:rPr>
              <w:t>A</w:t>
            </w:r>
          </w:p>
        </w:tc>
      </w:tr>
      <w:tr w:rsidR="003D222C" w:rsidRPr="00D80C6C" w14:paraId="322D9463" w14:textId="77777777" w:rsidTr="5964CDA8">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91524D5" w14:textId="77777777" w:rsidR="003D222C" w:rsidRPr="00D80C6C" w:rsidRDefault="003D222C" w:rsidP="001B4FD0">
            <w:pPr>
              <w:rPr>
                <w:rFonts w:eastAsia="Arial" w:cs="Arial"/>
                <w:sz w:val="22"/>
                <w:szCs w:val="22"/>
              </w:rPr>
            </w:pPr>
            <w:r w:rsidRPr="6CF0CCCA">
              <w:rPr>
                <w:rFonts w:eastAsia="Arial" w:cs="Arial"/>
                <w:sz w:val="22"/>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2B32CB6F" w14:textId="0C069E8A" w:rsidR="003D222C" w:rsidRPr="00D80C6C" w:rsidRDefault="6A1DA3CB" w:rsidP="001B4FD0">
            <w:pPr>
              <w:rPr>
                <w:rFonts w:eastAsia="Arial" w:cs="Arial"/>
                <w:sz w:val="22"/>
                <w:szCs w:val="22"/>
              </w:rPr>
            </w:pPr>
            <w:r w:rsidRPr="6CF0CCCA">
              <w:rPr>
                <w:rFonts w:eastAsia="Arial" w:cs="Arial"/>
                <w:sz w:val="22"/>
                <w:szCs w:val="22"/>
              </w:rPr>
              <w:t>30%</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6B322CF" w14:textId="77777777" w:rsidR="003D222C" w:rsidRPr="00D80C6C" w:rsidRDefault="003D222C" w:rsidP="001B4FD0">
            <w:pPr>
              <w:rPr>
                <w:rFonts w:eastAsia="Arial" w:cs="Arial"/>
                <w:sz w:val="22"/>
                <w:szCs w:val="22"/>
              </w:rPr>
            </w:pPr>
            <w:r w:rsidRPr="6CF0CCCA">
              <w:rPr>
                <w:rFonts w:eastAsia="Arial" w:cs="Arial"/>
                <w:sz w:val="22"/>
                <w:szCs w:val="22"/>
              </w:rPr>
              <w:t xml:space="preserve">Weighting revised since last </w:t>
            </w:r>
            <w:proofErr w:type="gramStart"/>
            <w:r w:rsidRPr="6CF0CCCA">
              <w:rPr>
                <w:rFonts w:eastAsia="Arial" w:cs="Arial"/>
                <w:sz w:val="22"/>
                <w:szCs w:val="22"/>
              </w:rPr>
              <w:t>AR?</w:t>
            </w:r>
            <w:proofErr w:type="gramEnd"/>
            <w:r w:rsidRPr="6CF0CCCA">
              <w:rPr>
                <w:rFonts w:eastAsia="Arial" w:cs="Arial"/>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314B55F6" w14:textId="08852FBD" w:rsidR="003D222C" w:rsidRPr="00D80C6C" w:rsidRDefault="007B521F" w:rsidP="001B4FD0">
            <w:pPr>
              <w:rPr>
                <w:rFonts w:eastAsia="Arial" w:cs="Arial"/>
                <w:sz w:val="22"/>
                <w:szCs w:val="22"/>
              </w:rPr>
            </w:pPr>
            <w:r w:rsidRPr="6CF0CCCA">
              <w:rPr>
                <w:rFonts w:eastAsia="Arial" w:cs="Arial"/>
                <w:sz w:val="22"/>
                <w:szCs w:val="22"/>
              </w:rPr>
              <w:t>No</w:t>
            </w:r>
          </w:p>
        </w:tc>
      </w:tr>
      <w:tr w:rsidR="003D222C" w:rsidRPr="00D80C6C" w14:paraId="49FF75D8" w14:textId="77777777" w:rsidTr="5964CDA8">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A26186" w14:textId="77777777" w:rsidR="003D222C" w:rsidRPr="00D80C6C" w:rsidRDefault="003D222C" w:rsidP="001B4FD0">
            <w:pPr>
              <w:rPr>
                <w:rFonts w:eastAsia="Arial" w:cs="Arial"/>
                <w:sz w:val="22"/>
                <w:szCs w:val="22"/>
              </w:rPr>
            </w:pPr>
            <w:r w:rsidRPr="5964CDA8">
              <w:rPr>
                <w:rFonts w:eastAsia="Arial" w:cs="Arial"/>
                <w:sz w:val="22"/>
                <w:szCs w:val="22"/>
              </w:rPr>
              <w:t>Risk rating</w:t>
            </w:r>
          </w:p>
        </w:tc>
        <w:tc>
          <w:tcPr>
            <w:tcW w:w="937" w:type="dxa"/>
            <w:tcBorders>
              <w:top w:val="single" w:sz="4" w:space="0" w:color="auto"/>
              <w:left w:val="single" w:sz="4" w:space="0" w:color="auto"/>
              <w:bottom w:val="single" w:sz="4" w:space="0" w:color="auto"/>
              <w:right w:val="single" w:sz="4" w:space="0" w:color="auto"/>
            </w:tcBorders>
          </w:tcPr>
          <w:p w14:paraId="05841711" w14:textId="26990C71" w:rsidR="003D222C" w:rsidRPr="00D80C6C" w:rsidRDefault="3B6F410B" w:rsidP="001B4FD0">
            <w:pPr>
              <w:rPr>
                <w:rFonts w:eastAsia="Arial" w:cs="Arial"/>
                <w:sz w:val="22"/>
                <w:szCs w:val="22"/>
              </w:rPr>
            </w:pPr>
            <w:r w:rsidRPr="07AF1209">
              <w:rPr>
                <w:rFonts w:eastAsia="Arial" w:cs="Arial"/>
                <w:sz w:val="22"/>
                <w:szCs w:val="22"/>
              </w:rPr>
              <w:t>Moderate</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75A24C" w14:textId="77777777" w:rsidR="003D222C" w:rsidRPr="00D80C6C" w:rsidRDefault="003D222C" w:rsidP="001B4FD0">
            <w:pPr>
              <w:rPr>
                <w:rFonts w:eastAsia="Arial" w:cs="Arial"/>
                <w:sz w:val="22"/>
                <w:szCs w:val="22"/>
              </w:rPr>
            </w:pPr>
            <w:r w:rsidRPr="6CF0CCCA">
              <w:rPr>
                <w:rFonts w:eastAsia="Arial" w:cs="Arial"/>
                <w:sz w:val="22"/>
                <w:szCs w:val="22"/>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36DFFD26" w14:textId="63B968EC" w:rsidR="003D222C" w:rsidRPr="00D80C6C" w:rsidRDefault="7C117DE2" w:rsidP="001B4FD0">
            <w:pPr>
              <w:rPr>
                <w:rFonts w:eastAsia="Arial" w:cs="Arial"/>
                <w:sz w:val="22"/>
                <w:szCs w:val="22"/>
              </w:rPr>
            </w:pPr>
            <w:r w:rsidRPr="07AF1209">
              <w:rPr>
                <w:rFonts w:eastAsia="Arial" w:cs="Arial"/>
                <w:sz w:val="22"/>
                <w:szCs w:val="22"/>
              </w:rPr>
              <w:t>No</w:t>
            </w:r>
          </w:p>
        </w:tc>
      </w:tr>
    </w:tbl>
    <w:p w14:paraId="6858AD8B" w14:textId="77777777" w:rsidR="003D222C" w:rsidRPr="00D80C6C" w:rsidRDefault="003D222C" w:rsidP="001B4FD0">
      <w:pPr>
        <w:rPr>
          <w:rFonts w:eastAsia="Arial" w:cs="Arial"/>
          <w:b/>
          <w:sz w:val="22"/>
          <w:szCs w:val="22"/>
        </w:rPr>
      </w:pPr>
    </w:p>
    <w:tbl>
      <w:tblPr>
        <w:tblStyle w:val="TableGrid"/>
        <w:tblW w:w="9067" w:type="dxa"/>
        <w:tblLook w:val="04A0" w:firstRow="1" w:lastRow="0" w:firstColumn="1" w:lastColumn="0" w:noHBand="0" w:noVBand="1"/>
      </w:tblPr>
      <w:tblGrid>
        <w:gridCol w:w="2521"/>
        <w:gridCol w:w="1500"/>
        <w:gridCol w:w="5046"/>
      </w:tblGrid>
      <w:tr w:rsidR="003D222C" w:rsidRPr="00D80C6C" w14:paraId="2C0E4C57" w14:textId="77777777" w:rsidTr="5964CDA8">
        <w:trPr>
          <w:trHeight w:val="273"/>
        </w:trPr>
        <w:tc>
          <w:tcPr>
            <w:tcW w:w="252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D0691AD" w14:textId="77777777" w:rsidR="003D222C" w:rsidRPr="00D80C6C" w:rsidRDefault="003D222C" w:rsidP="008A07BD">
            <w:pPr>
              <w:rPr>
                <w:rFonts w:eastAsia="Arial" w:cs="Arial"/>
                <w:b/>
                <w:sz w:val="22"/>
                <w:szCs w:val="22"/>
              </w:rPr>
            </w:pPr>
            <w:r w:rsidRPr="6CF0CCCA">
              <w:rPr>
                <w:rFonts w:eastAsia="Arial" w:cs="Arial"/>
                <w:b/>
                <w:sz w:val="22"/>
                <w:szCs w:val="22"/>
              </w:rPr>
              <w:t>Indicator(s)</w:t>
            </w:r>
          </w:p>
        </w:tc>
        <w:tc>
          <w:tcPr>
            <w:tcW w:w="150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0F6E10" w14:textId="77777777" w:rsidR="003D222C" w:rsidRPr="00D80C6C" w:rsidRDefault="003D222C" w:rsidP="008A07BD">
            <w:pPr>
              <w:rPr>
                <w:rFonts w:eastAsia="Arial" w:cs="Arial"/>
                <w:b/>
                <w:sz w:val="22"/>
                <w:szCs w:val="22"/>
              </w:rPr>
            </w:pPr>
            <w:r w:rsidRPr="6CF0CCCA">
              <w:rPr>
                <w:rFonts w:eastAsia="Arial" w:cs="Arial"/>
                <w:b/>
                <w:sz w:val="22"/>
                <w:szCs w:val="22"/>
              </w:rPr>
              <w:t>Milestone(s) for this review</w:t>
            </w:r>
          </w:p>
        </w:tc>
        <w:tc>
          <w:tcPr>
            <w:tcW w:w="504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AFE6250" w14:textId="77777777" w:rsidR="003D222C" w:rsidRPr="00D80C6C" w:rsidRDefault="003D222C" w:rsidP="008A07BD">
            <w:pPr>
              <w:rPr>
                <w:rFonts w:eastAsia="Arial" w:cs="Arial"/>
                <w:b/>
                <w:sz w:val="22"/>
                <w:szCs w:val="22"/>
              </w:rPr>
            </w:pPr>
            <w:r w:rsidRPr="6CF0CCCA">
              <w:rPr>
                <w:rFonts w:eastAsia="Arial" w:cs="Arial"/>
                <w:b/>
                <w:sz w:val="22"/>
                <w:szCs w:val="22"/>
              </w:rPr>
              <w:t xml:space="preserve">Progress </w:t>
            </w:r>
          </w:p>
        </w:tc>
      </w:tr>
      <w:tr w:rsidR="003D222C" w:rsidRPr="00D80C6C" w14:paraId="4F7F057D" w14:textId="77777777" w:rsidTr="5964CDA8">
        <w:trPr>
          <w:trHeight w:val="300"/>
        </w:trPr>
        <w:tc>
          <w:tcPr>
            <w:tcW w:w="2521" w:type="dxa"/>
            <w:tcBorders>
              <w:top w:val="single" w:sz="4" w:space="0" w:color="auto"/>
              <w:left w:val="single" w:sz="4" w:space="0" w:color="auto"/>
              <w:bottom w:val="single" w:sz="4" w:space="0" w:color="auto"/>
              <w:right w:val="single" w:sz="4" w:space="0" w:color="auto"/>
            </w:tcBorders>
          </w:tcPr>
          <w:p w14:paraId="3B935EB4" w14:textId="6FB3CA2F" w:rsidR="003D222C" w:rsidRPr="00692080" w:rsidRDefault="001853C2" w:rsidP="008A07BD">
            <w:pPr>
              <w:rPr>
                <w:rFonts w:eastAsia="Arial" w:cs="Arial"/>
                <w:sz w:val="22"/>
                <w:szCs w:val="22"/>
              </w:rPr>
            </w:pPr>
            <w:r w:rsidRPr="6CF0CCCA">
              <w:rPr>
                <w:rFonts w:eastAsia="Arial" w:cs="Arial"/>
                <w:sz w:val="22"/>
                <w:szCs w:val="22"/>
                <w:shd w:val="clear" w:color="auto" w:fill="FFFFFF"/>
              </w:rPr>
              <w:t>1.1.a) Number of Countries in Calls</w:t>
            </w:r>
          </w:p>
        </w:tc>
        <w:tc>
          <w:tcPr>
            <w:tcW w:w="1500" w:type="dxa"/>
            <w:tcBorders>
              <w:top w:val="single" w:sz="4" w:space="0" w:color="auto"/>
              <w:left w:val="single" w:sz="4" w:space="0" w:color="auto"/>
              <w:bottom w:val="single" w:sz="4" w:space="0" w:color="auto"/>
              <w:right w:val="single" w:sz="4" w:space="0" w:color="auto"/>
            </w:tcBorders>
          </w:tcPr>
          <w:p w14:paraId="4217527C" w14:textId="6B7AF47C" w:rsidR="001853C2" w:rsidRPr="00692080" w:rsidRDefault="232F14BA" w:rsidP="008A07BD">
            <w:pPr>
              <w:rPr>
                <w:rFonts w:eastAsia="Arial" w:cs="Arial"/>
                <w:sz w:val="22"/>
                <w:szCs w:val="22"/>
              </w:rPr>
            </w:pPr>
            <w:r w:rsidRPr="7849A67F">
              <w:rPr>
                <w:rFonts w:eastAsia="Arial" w:cs="Arial"/>
                <w:sz w:val="22"/>
                <w:szCs w:val="22"/>
              </w:rPr>
              <w:t>50</w:t>
            </w:r>
          </w:p>
          <w:p w14:paraId="1FA4E29B" w14:textId="6801F102" w:rsidR="003D222C" w:rsidRPr="00692080" w:rsidRDefault="003D222C" w:rsidP="008A07BD">
            <w:pPr>
              <w:rPr>
                <w:rFonts w:eastAsia="Arial" w:cs="Arial"/>
                <w:sz w:val="22"/>
                <w:szCs w:val="22"/>
              </w:rPr>
            </w:pPr>
          </w:p>
        </w:tc>
        <w:tc>
          <w:tcPr>
            <w:tcW w:w="5046" w:type="dxa"/>
            <w:tcBorders>
              <w:top w:val="single" w:sz="4" w:space="0" w:color="auto"/>
              <w:left w:val="single" w:sz="4" w:space="0" w:color="auto"/>
              <w:bottom w:val="single" w:sz="4" w:space="0" w:color="auto"/>
              <w:right w:val="single" w:sz="4" w:space="0" w:color="auto"/>
            </w:tcBorders>
          </w:tcPr>
          <w:p w14:paraId="499006AB" w14:textId="197B118F" w:rsidR="003D222C" w:rsidRPr="00692080" w:rsidRDefault="59D59B02" w:rsidP="008A07BD">
            <w:pPr>
              <w:rPr>
                <w:rFonts w:eastAsia="Arial" w:cs="Arial"/>
                <w:sz w:val="22"/>
                <w:szCs w:val="22"/>
              </w:rPr>
            </w:pPr>
            <w:r w:rsidRPr="7849A67F">
              <w:rPr>
                <w:rFonts w:eastAsia="Arial" w:cs="Arial"/>
                <w:b/>
                <w:bCs/>
                <w:sz w:val="22"/>
                <w:szCs w:val="22"/>
                <w:u w:val="single"/>
              </w:rPr>
              <w:t xml:space="preserve">Progress </w:t>
            </w:r>
            <w:r w:rsidR="16A37C10" w:rsidRPr="7849A67F">
              <w:rPr>
                <w:rFonts w:eastAsia="Arial" w:cs="Arial"/>
                <w:b/>
                <w:bCs/>
                <w:sz w:val="22"/>
                <w:szCs w:val="22"/>
                <w:u w:val="single"/>
              </w:rPr>
              <w:t xml:space="preserve">substantially exceeded </w:t>
            </w:r>
            <w:r w:rsidRPr="7849A67F">
              <w:rPr>
                <w:rFonts w:eastAsia="Arial" w:cs="Arial"/>
                <w:b/>
                <w:bCs/>
                <w:sz w:val="22"/>
                <w:szCs w:val="22"/>
                <w:u w:val="single"/>
              </w:rPr>
              <w:t>expectatio</w:t>
            </w:r>
            <w:r w:rsidR="1E8CBBB6" w:rsidRPr="7849A67F">
              <w:rPr>
                <w:rFonts w:eastAsia="Arial" w:cs="Arial"/>
                <w:b/>
                <w:bCs/>
                <w:sz w:val="22"/>
                <w:szCs w:val="22"/>
                <w:u w:val="single"/>
              </w:rPr>
              <w:t>n (</w:t>
            </w:r>
            <w:r w:rsidR="1569D077" w:rsidRPr="7849A67F">
              <w:rPr>
                <w:rFonts w:eastAsia="Arial" w:cs="Arial"/>
                <w:b/>
                <w:bCs/>
                <w:sz w:val="22"/>
                <w:szCs w:val="22"/>
                <w:u w:val="single"/>
              </w:rPr>
              <w:t>212</w:t>
            </w:r>
            <w:r w:rsidR="1E8CBBB6" w:rsidRPr="7849A67F">
              <w:rPr>
                <w:rFonts w:eastAsia="Arial" w:cs="Arial"/>
                <w:b/>
                <w:bCs/>
                <w:sz w:val="22"/>
                <w:szCs w:val="22"/>
                <w:u w:val="single"/>
              </w:rPr>
              <w:t>%)</w:t>
            </w:r>
          </w:p>
          <w:p w14:paraId="1DF15CBA" w14:textId="4DFD7A68" w:rsidR="003D222C" w:rsidRPr="00692080" w:rsidRDefault="70A0521C" w:rsidP="008A07BD">
            <w:pPr>
              <w:rPr>
                <w:rFonts w:eastAsia="Arial" w:cs="Arial"/>
                <w:sz w:val="22"/>
                <w:szCs w:val="22"/>
              </w:rPr>
            </w:pPr>
            <w:r w:rsidRPr="7849A67F">
              <w:rPr>
                <w:rFonts w:eastAsia="Arial" w:cs="Arial"/>
                <w:sz w:val="22"/>
                <w:szCs w:val="22"/>
              </w:rPr>
              <w:t>202</w:t>
            </w:r>
            <w:r w:rsidR="55D7DEC4" w:rsidRPr="7849A67F">
              <w:rPr>
                <w:rFonts w:eastAsia="Arial" w:cs="Arial"/>
                <w:sz w:val="22"/>
                <w:szCs w:val="22"/>
              </w:rPr>
              <w:t>3</w:t>
            </w:r>
            <w:r w:rsidRPr="7849A67F">
              <w:rPr>
                <w:rFonts w:eastAsia="Arial" w:cs="Arial"/>
                <w:sz w:val="22"/>
                <w:szCs w:val="22"/>
              </w:rPr>
              <w:t xml:space="preserve">: </w:t>
            </w:r>
            <w:r w:rsidR="5AF2A5F9" w:rsidRPr="7849A67F">
              <w:rPr>
                <w:rFonts w:eastAsia="Arial" w:cs="Arial"/>
                <w:sz w:val="22"/>
                <w:szCs w:val="22"/>
              </w:rPr>
              <w:t>106</w:t>
            </w:r>
          </w:p>
        </w:tc>
      </w:tr>
      <w:tr w:rsidR="00691842" w:rsidRPr="00D80C6C" w14:paraId="5FC9728D" w14:textId="77777777" w:rsidTr="5964CDA8">
        <w:trPr>
          <w:trHeight w:val="300"/>
        </w:trPr>
        <w:tc>
          <w:tcPr>
            <w:tcW w:w="2521" w:type="dxa"/>
            <w:tcBorders>
              <w:top w:val="single" w:sz="4" w:space="0" w:color="auto"/>
              <w:left w:val="single" w:sz="4" w:space="0" w:color="auto"/>
              <w:bottom w:val="single" w:sz="4" w:space="0" w:color="auto"/>
              <w:right w:val="single" w:sz="4" w:space="0" w:color="auto"/>
            </w:tcBorders>
          </w:tcPr>
          <w:p w14:paraId="7962695B" w14:textId="709C4AF0" w:rsidR="00691842" w:rsidRPr="00692080" w:rsidRDefault="56F16C27" w:rsidP="008A07BD">
            <w:pPr>
              <w:rPr>
                <w:rFonts w:eastAsia="Arial" w:cs="Arial"/>
                <w:sz w:val="22"/>
                <w:szCs w:val="22"/>
              </w:rPr>
            </w:pPr>
            <w:r w:rsidRPr="0A0530F7">
              <w:rPr>
                <w:rFonts w:eastAsia="Arial" w:cs="Arial"/>
                <w:sz w:val="22"/>
                <w:szCs w:val="22"/>
              </w:rPr>
              <w:t xml:space="preserve">1.1.b) Percentage of eligible </w:t>
            </w:r>
            <w:r w:rsidR="1B9BB2C0" w:rsidRPr="0A0530F7">
              <w:rPr>
                <w:rFonts w:eastAsia="Arial" w:cs="Arial"/>
                <w:sz w:val="22"/>
                <w:szCs w:val="22"/>
              </w:rPr>
              <w:t>p</w:t>
            </w:r>
            <w:r w:rsidR="322471F5" w:rsidRPr="0A0530F7">
              <w:rPr>
                <w:rFonts w:eastAsia="Arial" w:cs="Arial"/>
                <w:sz w:val="22"/>
                <w:szCs w:val="22"/>
              </w:rPr>
              <w:t xml:space="preserve">rojects </w:t>
            </w:r>
            <w:r w:rsidRPr="0A0530F7">
              <w:rPr>
                <w:rFonts w:eastAsia="Arial" w:cs="Arial"/>
                <w:sz w:val="22"/>
                <w:szCs w:val="22"/>
              </w:rPr>
              <w:t>in Calls</w:t>
            </w:r>
          </w:p>
        </w:tc>
        <w:tc>
          <w:tcPr>
            <w:tcW w:w="1500" w:type="dxa"/>
            <w:tcBorders>
              <w:top w:val="single" w:sz="4" w:space="0" w:color="auto"/>
              <w:left w:val="single" w:sz="4" w:space="0" w:color="auto"/>
              <w:bottom w:val="single" w:sz="4" w:space="0" w:color="auto"/>
              <w:right w:val="single" w:sz="4" w:space="0" w:color="auto"/>
            </w:tcBorders>
          </w:tcPr>
          <w:p w14:paraId="4F70BD3F" w14:textId="5434C568" w:rsidR="00691842" w:rsidRPr="00692080" w:rsidRDefault="04C5771F" w:rsidP="008A07BD">
            <w:pPr>
              <w:rPr>
                <w:rFonts w:eastAsia="Arial" w:cs="Arial"/>
                <w:i/>
                <w:iCs/>
                <w:sz w:val="22"/>
                <w:szCs w:val="22"/>
              </w:rPr>
            </w:pPr>
            <w:r w:rsidRPr="7849A67F">
              <w:rPr>
                <w:rFonts w:eastAsia="Arial" w:cs="Arial"/>
                <w:sz w:val="22"/>
                <w:szCs w:val="22"/>
              </w:rPr>
              <w:t>8</w:t>
            </w:r>
            <w:r w:rsidR="3FA9091E" w:rsidRPr="7849A67F">
              <w:rPr>
                <w:rFonts w:eastAsia="Arial" w:cs="Arial"/>
                <w:sz w:val="22"/>
                <w:szCs w:val="22"/>
              </w:rPr>
              <w:t>2.5</w:t>
            </w:r>
            <w:r w:rsidRPr="7849A67F">
              <w:rPr>
                <w:rFonts w:eastAsia="Arial" w:cs="Arial"/>
                <w:sz w:val="22"/>
                <w:szCs w:val="22"/>
              </w:rPr>
              <w:t>%</w:t>
            </w:r>
          </w:p>
        </w:tc>
        <w:tc>
          <w:tcPr>
            <w:tcW w:w="5046" w:type="dxa"/>
            <w:tcBorders>
              <w:top w:val="single" w:sz="4" w:space="0" w:color="auto"/>
              <w:left w:val="single" w:sz="4" w:space="0" w:color="auto"/>
              <w:bottom w:val="single" w:sz="4" w:space="0" w:color="auto"/>
              <w:right w:val="single" w:sz="4" w:space="0" w:color="auto"/>
            </w:tcBorders>
          </w:tcPr>
          <w:p w14:paraId="3318F706" w14:textId="5428C6B4" w:rsidR="00691842" w:rsidRPr="00692080" w:rsidRDefault="6004FFB3" w:rsidP="008A07BD">
            <w:pPr>
              <w:contextualSpacing/>
              <w:rPr>
                <w:rFonts w:eastAsia="Arial" w:cs="Arial"/>
                <w:i/>
                <w:iCs/>
                <w:sz w:val="22"/>
                <w:szCs w:val="22"/>
              </w:rPr>
            </w:pPr>
            <w:r w:rsidRPr="7849A67F">
              <w:rPr>
                <w:rFonts w:eastAsia="Arial" w:cs="Arial"/>
                <w:b/>
                <w:bCs/>
                <w:sz w:val="22"/>
                <w:szCs w:val="22"/>
                <w:u w:val="single"/>
              </w:rPr>
              <w:t>Progress moderately exceeded expectation</w:t>
            </w:r>
            <w:r w:rsidR="1E8CBBB6" w:rsidRPr="7849A67F">
              <w:rPr>
                <w:rFonts w:eastAsia="Arial" w:cs="Arial"/>
                <w:b/>
                <w:bCs/>
                <w:sz w:val="22"/>
                <w:szCs w:val="22"/>
                <w:u w:val="single"/>
              </w:rPr>
              <w:t xml:space="preserve"> (1</w:t>
            </w:r>
            <w:r w:rsidR="62816F45" w:rsidRPr="7849A67F">
              <w:rPr>
                <w:rFonts w:eastAsia="Arial" w:cs="Arial"/>
                <w:b/>
                <w:bCs/>
                <w:sz w:val="22"/>
                <w:szCs w:val="22"/>
                <w:u w:val="single"/>
              </w:rPr>
              <w:t>10</w:t>
            </w:r>
            <w:r w:rsidR="1E8CBBB6" w:rsidRPr="7849A67F">
              <w:rPr>
                <w:rFonts w:eastAsia="Arial" w:cs="Arial"/>
                <w:b/>
                <w:bCs/>
                <w:sz w:val="22"/>
                <w:szCs w:val="22"/>
                <w:u w:val="single"/>
              </w:rPr>
              <w:t>%)</w:t>
            </w:r>
            <w:r w:rsidRPr="7849A67F">
              <w:rPr>
                <w:rFonts w:eastAsia="Arial" w:cs="Arial"/>
                <w:sz w:val="18"/>
                <w:szCs w:val="18"/>
              </w:rPr>
              <w:t xml:space="preserve"> </w:t>
            </w:r>
            <w:r w:rsidRPr="7849A67F">
              <w:rPr>
                <w:rFonts w:eastAsia="Arial" w:cs="Arial"/>
                <w:sz w:val="22"/>
                <w:szCs w:val="22"/>
              </w:rPr>
              <w:t xml:space="preserve"> </w:t>
            </w:r>
            <w:r w:rsidR="16303301">
              <w:br/>
            </w:r>
            <w:r w:rsidR="47AF4F7C" w:rsidRPr="7849A67F">
              <w:rPr>
                <w:rFonts w:eastAsia="Arial" w:cs="Arial"/>
                <w:i/>
                <w:iCs/>
                <w:sz w:val="22"/>
                <w:szCs w:val="22"/>
              </w:rPr>
              <w:t>202</w:t>
            </w:r>
            <w:r w:rsidR="1B98F962" w:rsidRPr="7849A67F">
              <w:rPr>
                <w:rFonts w:eastAsia="Arial" w:cs="Arial"/>
                <w:i/>
                <w:iCs/>
                <w:sz w:val="22"/>
                <w:szCs w:val="22"/>
              </w:rPr>
              <w:t>3</w:t>
            </w:r>
            <w:r w:rsidR="47AF4F7C" w:rsidRPr="7849A67F">
              <w:rPr>
                <w:rFonts w:eastAsia="Arial" w:cs="Arial"/>
                <w:i/>
                <w:iCs/>
                <w:sz w:val="22"/>
                <w:szCs w:val="22"/>
              </w:rPr>
              <w:t>: 9</w:t>
            </w:r>
            <w:r w:rsidR="05B467B1" w:rsidRPr="7849A67F">
              <w:rPr>
                <w:rFonts w:eastAsia="Arial" w:cs="Arial"/>
                <w:i/>
                <w:iCs/>
                <w:sz w:val="22"/>
                <w:szCs w:val="22"/>
              </w:rPr>
              <w:t>1.1</w:t>
            </w:r>
            <w:r w:rsidR="47AF4F7C" w:rsidRPr="7849A67F">
              <w:rPr>
                <w:rFonts w:eastAsia="Arial" w:cs="Arial"/>
                <w:i/>
                <w:iCs/>
                <w:sz w:val="22"/>
                <w:szCs w:val="22"/>
              </w:rPr>
              <w:t>%</w:t>
            </w:r>
          </w:p>
        </w:tc>
      </w:tr>
      <w:tr w:rsidR="001853C2" w:rsidRPr="00D80C6C" w14:paraId="25D77AC5" w14:textId="77777777" w:rsidTr="5964CDA8">
        <w:trPr>
          <w:trHeight w:val="300"/>
        </w:trPr>
        <w:tc>
          <w:tcPr>
            <w:tcW w:w="2521" w:type="dxa"/>
            <w:tcBorders>
              <w:top w:val="single" w:sz="4" w:space="0" w:color="auto"/>
              <w:left w:val="single" w:sz="4" w:space="0" w:color="auto"/>
              <w:bottom w:val="single" w:sz="4" w:space="0" w:color="auto"/>
              <w:right w:val="single" w:sz="4" w:space="0" w:color="auto"/>
            </w:tcBorders>
          </w:tcPr>
          <w:p w14:paraId="457464BC" w14:textId="6EB10754" w:rsidR="001853C2" w:rsidRPr="00692080" w:rsidRDefault="127CD137" w:rsidP="008A07BD">
            <w:pPr>
              <w:rPr>
                <w:rFonts w:eastAsia="Arial" w:cs="Arial"/>
                <w:sz w:val="22"/>
                <w:szCs w:val="22"/>
              </w:rPr>
            </w:pPr>
            <w:r w:rsidRPr="0A0530F7">
              <w:rPr>
                <w:rFonts w:eastAsia="Arial" w:cs="Arial"/>
                <w:sz w:val="22"/>
                <w:szCs w:val="22"/>
              </w:rPr>
              <w:t xml:space="preserve">1.2.a) Percentage of </w:t>
            </w:r>
            <w:r w:rsidR="0D5807F2" w:rsidRPr="0A0530F7">
              <w:rPr>
                <w:rFonts w:eastAsia="Arial" w:cs="Arial"/>
                <w:sz w:val="22"/>
                <w:szCs w:val="22"/>
              </w:rPr>
              <w:t>p</w:t>
            </w:r>
            <w:r w:rsidR="703EBB1C" w:rsidRPr="0A0530F7">
              <w:rPr>
                <w:rFonts w:eastAsia="Arial" w:cs="Arial"/>
                <w:sz w:val="22"/>
                <w:szCs w:val="22"/>
              </w:rPr>
              <w:t xml:space="preserve">rojects </w:t>
            </w:r>
            <w:r w:rsidRPr="0A0530F7">
              <w:rPr>
                <w:rFonts w:eastAsia="Arial" w:cs="Arial"/>
                <w:sz w:val="22"/>
                <w:szCs w:val="22"/>
              </w:rPr>
              <w:t>which conclude DPP within 15 months​</w:t>
            </w:r>
          </w:p>
        </w:tc>
        <w:tc>
          <w:tcPr>
            <w:tcW w:w="1500" w:type="dxa"/>
            <w:tcBorders>
              <w:top w:val="single" w:sz="4" w:space="0" w:color="auto"/>
              <w:left w:val="single" w:sz="4" w:space="0" w:color="auto"/>
              <w:bottom w:val="single" w:sz="4" w:space="0" w:color="auto"/>
              <w:right w:val="single" w:sz="4" w:space="0" w:color="auto"/>
            </w:tcBorders>
          </w:tcPr>
          <w:p w14:paraId="1D4966E0" w14:textId="7D7BB119" w:rsidR="001853C2" w:rsidRPr="00692080" w:rsidRDefault="001853C2" w:rsidP="008A07BD">
            <w:pPr>
              <w:rPr>
                <w:rFonts w:eastAsia="Arial" w:cs="Arial"/>
                <w:i/>
                <w:sz w:val="22"/>
                <w:szCs w:val="22"/>
              </w:rPr>
            </w:pPr>
            <w:r w:rsidRPr="6CF0CCCA">
              <w:rPr>
                <w:rFonts w:eastAsia="Arial" w:cs="Arial"/>
                <w:sz w:val="22"/>
                <w:szCs w:val="22"/>
              </w:rPr>
              <w:t>100%</w:t>
            </w:r>
          </w:p>
        </w:tc>
        <w:tc>
          <w:tcPr>
            <w:tcW w:w="5046" w:type="dxa"/>
            <w:tcBorders>
              <w:top w:val="single" w:sz="4" w:space="0" w:color="auto"/>
              <w:left w:val="single" w:sz="4" w:space="0" w:color="auto"/>
              <w:bottom w:val="single" w:sz="4" w:space="0" w:color="auto"/>
              <w:right w:val="single" w:sz="4" w:space="0" w:color="auto"/>
            </w:tcBorders>
          </w:tcPr>
          <w:p w14:paraId="2E6410E1" w14:textId="4245CB9A" w:rsidR="004B4D09" w:rsidRPr="00692080" w:rsidRDefault="40FA3DC0" w:rsidP="008A07BD">
            <w:pPr>
              <w:rPr>
                <w:rFonts w:eastAsia="Arial" w:cs="Arial"/>
                <w:sz w:val="22"/>
                <w:szCs w:val="22"/>
              </w:rPr>
            </w:pPr>
            <w:r w:rsidRPr="5964CDA8">
              <w:rPr>
                <w:rFonts w:eastAsia="Arial" w:cs="Arial"/>
                <w:b/>
                <w:bCs/>
                <w:sz w:val="22"/>
                <w:szCs w:val="22"/>
                <w:u w:val="single"/>
              </w:rPr>
              <w:t xml:space="preserve">Progress </w:t>
            </w:r>
            <w:r w:rsidR="649926EA" w:rsidRPr="5964CDA8">
              <w:rPr>
                <w:rFonts w:eastAsia="Arial" w:cs="Arial"/>
                <w:b/>
                <w:bCs/>
                <w:sz w:val="22"/>
                <w:szCs w:val="22"/>
                <w:u w:val="single"/>
              </w:rPr>
              <w:t>met</w:t>
            </w:r>
            <w:r w:rsidR="6000A4D8" w:rsidRPr="5964CDA8">
              <w:rPr>
                <w:rFonts w:eastAsia="Arial" w:cs="Arial"/>
                <w:b/>
                <w:bCs/>
                <w:sz w:val="22"/>
                <w:szCs w:val="22"/>
                <w:u w:val="single"/>
              </w:rPr>
              <w:t xml:space="preserve"> </w:t>
            </w:r>
            <w:r w:rsidRPr="5964CDA8">
              <w:rPr>
                <w:rFonts w:eastAsia="Arial" w:cs="Arial"/>
                <w:b/>
                <w:bCs/>
                <w:sz w:val="22"/>
                <w:szCs w:val="22"/>
                <w:u w:val="single"/>
              </w:rPr>
              <w:t>expectation</w:t>
            </w:r>
            <w:r w:rsidR="3836FC1A" w:rsidRPr="5964CDA8">
              <w:rPr>
                <w:rFonts w:eastAsia="Arial" w:cs="Arial"/>
                <w:b/>
                <w:bCs/>
                <w:sz w:val="22"/>
                <w:szCs w:val="22"/>
                <w:u w:val="single"/>
              </w:rPr>
              <w:t xml:space="preserve"> (</w:t>
            </w:r>
            <w:r w:rsidR="31ADB76B" w:rsidRPr="5964CDA8">
              <w:rPr>
                <w:rFonts w:eastAsia="Arial" w:cs="Arial"/>
                <w:b/>
                <w:bCs/>
                <w:sz w:val="22"/>
                <w:szCs w:val="22"/>
                <w:u w:val="single"/>
              </w:rPr>
              <w:t>100</w:t>
            </w:r>
            <w:r w:rsidR="3836FC1A" w:rsidRPr="5964CDA8">
              <w:rPr>
                <w:rFonts w:eastAsia="Arial" w:cs="Arial"/>
                <w:b/>
                <w:bCs/>
                <w:sz w:val="22"/>
                <w:szCs w:val="22"/>
                <w:u w:val="single"/>
              </w:rPr>
              <w:t>%)</w:t>
            </w:r>
            <w:r w:rsidRPr="5964CDA8">
              <w:rPr>
                <w:rFonts w:eastAsia="Arial" w:cs="Arial"/>
                <w:sz w:val="22"/>
                <w:szCs w:val="22"/>
              </w:rPr>
              <w:t xml:space="preserve"> </w:t>
            </w:r>
          </w:p>
          <w:p w14:paraId="6EA2CB7E" w14:textId="583BAF4D" w:rsidR="001853C2" w:rsidRPr="00692080" w:rsidRDefault="6E0F649F" w:rsidP="0A0530F7">
            <w:pPr>
              <w:contextualSpacing/>
              <w:rPr>
                <w:rFonts w:eastAsia="Arial" w:cs="Arial"/>
                <w:i/>
                <w:iCs/>
                <w:sz w:val="22"/>
                <w:szCs w:val="22"/>
              </w:rPr>
            </w:pPr>
            <w:r w:rsidRPr="0A0530F7">
              <w:rPr>
                <w:rFonts w:eastAsia="Arial" w:cs="Arial"/>
                <w:i/>
                <w:iCs/>
                <w:sz w:val="22"/>
                <w:szCs w:val="22"/>
              </w:rPr>
              <w:t>202</w:t>
            </w:r>
            <w:r w:rsidR="7667DD79" w:rsidRPr="0A0530F7">
              <w:rPr>
                <w:rFonts w:eastAsia="Arial" w:cs="Arial"/>
                <w:i/>
                <w:iCs/>
                <w:sz w:val="22"/>
                <w:szCs w:val="22"/>
              </w:rPr>
              <w:t>3</w:t>
            </w:r>
            <w:r w:rsidRPr="0A0530F7">
              <w:rPr>
                <w:rFonts w:eastAsia="Arial" w:cs="Arial"/>
                <w:i/>
                <w:iCs/>
                <w:sz w:val="22"/>
                <w:szCs w:val="22"/>
              </w:rPr>
              <w:t xml:space="preserve">: </w:t>
            </w:r>
            <w:r w:rsidR="1C5C9479" w:rsidRPr="0A0530F7">
              <w:rPr>
                <w:rFonts w:eastAsia="Arial" w:cs="Arial"/>
                <w:i/>
                <w:iCs/>
                <w:sz w:val="22"/>
                <w:szCs w:val="22"/>
              </w:rPr>
              <w:t>100</w:t>
            </w:r>
            <w:r w:rsidRPr="0A0530F7">
              <w:rPr>
                <w:rFonts w:eastAsia="Arial" w:cs="Arial"/>
                <w:i/>
                <w:iCs/>
                <w:sz w:val="22"/>
                <w:szCs w:val="22"/>
              </w:rPr>
              <w:t>%</w:t>
            </w:r>
          </w:p>
          <w:p w14:paraId="23FC6C67" w14:textId="2B5D9FB6" w:rsidR="006D6803" w:rsidRPr="00692080" w:rsidRDefault="006D6803" w:rsidP="008A07BD">
            <w:pPr>
              <w:contextualSpacing/>
              <w:rPr>
                <w:rFonts w:eastAsia="Arial" w:cs="Arial"/>
                <w:sz w:val="22"/>
                <w:szCs w:val="22"/>
              </w:rPr>
            </w:pPr>
          </w:p>
        </w:tc>
      </w:tr>
      <w:tr w:rsidR="001853C2" w:rsidRPr="00D80C6C" w14:paraId="1D2AE896" w14:textId="77777777" w:rsidTr="5964CDA8">
        <w:trPr>
          <w:trHeight w:val="300"/>
        </w:trPr>
        <w:tc>
          <w:tcPr>
            <w:tcW w:w="2521" w:type="dxa"/>
            <w:tcBorders>
              <w:top w:val="single" w:sz="4" w:space="0" w:color="auto"/>
              <w:left w:val="single" w:sz="4" w:space="0" w:color="auto"/>
              <w:bottom w:val="single" w:sz="4" w:space="0" w:color="auto"/>
              <w:right w:val="single" w:sz="4" w:space="0" w:color="auto"/>
            </w:tcBorders>
          </w:tcPr>
          <w:p w14:paraId="152FDFED" w14:textId="710A3E72" w:rsidR="001853C2" w:rsidRPr="00692080" w:rsidRDefault="436D85AA" w:rsidP="008A07BD">
            <w:pPr>
              <w:rPr>
                <w:rFonts w:eastAsia="Arial" w:cs="Arial"/>
                <w:sz w:val="22"/>
                <w:szCs w:val="22"/>
              </w:rPr>
            </w:pPr>
            <w:r w:rsidRPr="0A0530F7">
              <w:rPr>
                <w:rFonts w:eastAsia="Arial" w:cs="Arial"/>
                <w:sz w:val="22"/>
                <w:szCs w:val="22"/>
              </w:rPr>
              <w:t xml:space="preserve">1.2.b) Average timeline between </w:t>
            </w:r>
            <w:r w:rsidR="6473FE45" w:rsidRPr="0A0530F7">
              <w:rPr>
                <w:rFonts w:eastAsia="Arial" w:cs="Arial"/>
                <w:sz w:val="22"/>
                <w:szCs w:val="22"/>
              </w:rPr>
              <w:t xml:space="preserve">project </w:t>
            </w:r>
            <w:r w:rsidRPr="0A0530F7">
              <w:rPr>
                <w:rFonts w:eastAsia="Arial" w:cs="Arial"/>
                <w:sz w:val="22"/>
                <w:szCs w:val="22"/>
              </w:rPr>
              <w:t xml:space="preserve">selection and </w:t>
            </w:r>
            <w:r w:rsidR="7C7B5AD0" w:rsidRPr="0A0530F7">
              <w:rPr>
                <w:rFonts w:eastAsia="Arial" w:cs="Arial"/>
                <w:sz w:val="22"/>
                <w:szCs w:val="22"/>
              </w:rPr>
              <w:t xml:space="preserve">project </w:t>
            </w:r>
            <w:r w:rsidRPr="0A0530F7">
              <w:rPr>
                <w:rFonts w:eastAsia="Arial" w:cs="Arial"/>
                <w:sz w:val="22"/>
                <w:szCs w:val="22"/>
              </w:rPr>
              <w:t>approval</w:t>
            </w:r>
          </w:p>
        </w:tc>
        <w:tc>
          <w:tcPr>
            <w:tcW w:w="1500" w:type="dxa"/>
            <w:tcBorders>
              <w:top w:val="single" w:sz="4" w:space="0" w:color="auto"/>
              <w:left w:val="single" w:sz="4" w:space="0" w:color="auto"/>
              <w:bottom w:val="single" w:sz="4" w:space="0" w:color="auto"/>
              <w:right w:val="single" w:sz="4" w:space="0" w:color="auto"/>
            </w:tcBorders>
          </w:tcPr>
          <w:p w14:paraId="68AE3434" w14:textId="24311AFD" w:rsidR="001853C2" w:rsidRPr="00692080" w:rsidRDefault="008E4B7B" w:rsidP="008A07BD">
            <w:pPr>
              <w:rPr>
                <w:rFonts w:eastAsia="Arial" w:cs="Arial"/>
                <w:i/>
                <w:sz w:val="22"/>
                <w:szCs w:val="22"/>
              </w:rPr>
            </w:pPr>
            <w:r w:rsidRPr="6CF0CCCA">
              <w:rPr>
                <w:rFonts w:eastAsia="Arial" w:cs="Arial"/>
                <w:i/>
                <w:sz w:val="22"/>
                <w:szCs w:val="22"/>
              </w:rPr>
              <w:t>23 months</w:t>
            </w:r>
          </w:p>
        </w:tc>
        <w:tc>
          <w:tcPr>
            <w:tcW w:w="5046" w:type="dxa"/>
            <w:tcBorders>
              <w:top w:val="single" w:sz="4" w:space="0" w:color="auto"/>
              <w:left w:val="single" w:sz="4" w:space="0" w:color="auto"/>
              <w:bottom w:val="single" w:sz="4" w:space="0" w:color="auto"/>
              <w:right w:val="single" w:sz="4" w:space="0" w:color="auto"/>
            </w:tcBorders>
          </w:tcPr>
          <w:p w14:paraId="1D1768EE" w14:textId="5BE979E8" w:rsidR="004B4D09" w:rsidRPr="00692080" w:rsidRDefault="185803A0" w:rsidP="008A07BD">
            <w:pPr>
              <w:contextualSpacing/>
              <w:rPr>
                <w:rFonts w:eastAsia="Arial" w:cs="Arial"/>
                <w:b/>
                <w:bCs/>
                <w:sz w:val="22"/>
                <w:szCs w:val="22"/>
                <w:u w:val="single"/>
              </w:rPr>
            </w:pPr>
            <w:r w:rsidRPr="7849A67F">
              <w:rPr>
                <w:rFonts w:eastAsia="Arial" w:cs="Arial"/>
                <w:b/>
                <w:bCs/>
                <w:sz w:val="22"/>
                <w:szCs w:val="22"/>
                <w:u w:val="single"/>
              </w:rPr>
              <w:t xml:space="preserve">Progress </w:t>
            </w:r>
            <w:r w:rsidR="5E02DA1F" w:rsidRPr="7849A67F">
              <w:rPr>
                <w:rFonts w:eastAsia="Arial" w:cs="Arial"/>
                <w:b/>
                <w:bCs/>
                <w:sz w:val="22"/>
                <w:szCs w:val="22"/>
                <w:u w:val="single"/>
              </w:rPr>
              <w:t>moderately did not meet</w:t>
            </w:r>
            <w:r w:rsidRPr="7849A67F">
              <w:rPr>
                <w:rFonts w:eastAsia="Arial" w:cs="Arial"/>
                <w:b/>
                <w:bCs/>
                <w:sz w:val="22"/>
                <w:szCs w:val="22"/>
                <w:u w:val="single"/>
              </w:rPr>
              <w:t xml:space="preserve"> expectation</w:t>
            </w:r>
            <w:r w:rsidR="4F149248" w:rsidRPr="7849A67F">
              <w:rPr>
                <w:rFonts w:eastAsia="Arial" w:cs="Arial"/>
                <w:b/>
                <w:bCs/>
                <w:sz w:val="22"/>
                <w:szCs w:val="22"/>
                <w:u w:val="single"/>
              </w:rPr>
              <w:t xml:space="preserve"> (9</w:t>
            </w:r>
            <w:r w:rsidR="683ACBF8" w:rsidRPr="7849A67F">
              <w:rPr>
                <w:rFonts w:eastAsia="Arial" w:cs="Arial"/>
                <w:b/>
                <w:bCs/>
                <w:sz w:val="22"/>
                <w:szCs w:val="22"/>
                <w:u w:val="single"/>
              </w:rPr>
              <w:t>1</w:t>
            </w:r>
            <w:r w:rsidR="4F149248" w:rsidRPr="7849A67F">
              <w:rPr>
                <w:rFonts w:eastAsia="Arial" w:cs="Arial"/>
                <w:b/>
                <w:bCs/>
                <w:sz w:val="22"/>
                <w:szCs w:val="22"/>
                <w:u w:val="single"/>
              </w:rPr>
              <w:t>%)</w:t>
            </w:r>
          </w:p>
          <w:p w14:paraId="2D04DB16" w14:textId="7FDE0B1E" w:rsidR="001853C2" w:rsidRPr="00692080" w:rsidRDefault="6E95B453" w:rsidP="008A07BD">
            <w:pPr>
              <w:contextualSpacing/>
              <w:rPr>
                <w:rFonts w:eastAsia="Arial" w:cs="Arial"/>
                <w:i/>
                <w:iCs/>
                <w:sz w:val="22"/>
                <w:szCs w:val="22"/>
              </w:rPr>
            </w:pPr>
            <w:r w:rsidRPr="7849A67F">
              <w:rPr>
                <w:rFonts w:eastAsia="Arial" w:cs="Arial"/>
                <w:i/>
                <w:iCs/>
                <w:sz w:val="22"/>
                <w:szCs w:val="22"/>
              </w:rPr>
              <w:t>202</w:t>
            </w:r>
            <w:r w:rsidR="5166ED14" w:rsidRPr="7849A67F">
              <w:rPr>
                <w:rFonts w:eastAsia="Arial" w:cs="Arial"/>
                <w:i/>
                <w:iCs/>
                <w:sz w:val="22"/>
                <w:szCs w:val="22"/>
              </w:rPr>
              <w:t>3</w:t>
            </w:r>
            <w:r w:rsidRPr="7849A67F">
              <w:rPr>
                <w:rFonts w:eastAsia="Arial" w:cs="Arial"/>
                <w:i/>
                <w:iCs/>
                <w:sz w:val="22"/>
                <w:szCs w:val="22"/>
              </w:rPr>
              <w:t>: 2</w:t>
            </w:r>
            <w:r w:rsidR="0471CF62" w:rsidRPr="7849A67F">
              <w:rPr>
                <w:rFonts w:eastAsia="Arial" w:cs="Arial"/>
                <w:i/>
                <w:iCs/>
                <w:sz w:val="22"/>
                <w:szCs w:val="22"/>
              </w:rPr>
              <w:t>5</w:t>
            </w:r>
            <w:r w:rsidRPr="7849A67F">
              <w:rPr>
                <w:rFonts w:eastAsia="Arial" w:cs="Arial"/>
                <w:i/>
                <w:iCs/>
                <w:sz w:val="22"/>
                <w:szCs w:val="22"/>
              </w:rPr>
              <w:t xml:space="preserve"> months</w:t>
            </w:r>
          </w:p>
          <w:p w14:paraId="7E159610" w14:textId="436B6586" w:rsidR="00CB3A95" w:rsidRPr="00692080" w:rsidRDefault="00CB3A95" w:rsidP="008A07BD">
            <w:pPr>
              <w:contextualSpacing/>
              <w:rPr>
                <w:rFonts w:eastAsia="Arial" w:cs="Arial"/>
                <w:sz w:val="22"/>
                <w:szCs w:val="22"/>
              </w:rPr>
            </w:pPr>
          </w:p>
        </w:tc>
      </w:tr>
      <w:tr w:rsidR="001853C2" w:rsidRPr="00D80C6C" w14:paraId="038E520C" w14:textId="77777777" w:rsidTr="5964CDA8">
        <w:trPr>
          <w:trHeight w:val="300"/>
        </w:trPr>
        <w:tc>
          <w:tcPr>
            <w:tcW w:w="2521" w:type="dxa"/>
            <w:tcBorders>
              <w:top w:val="single" w:sz="4" w:space="0" w:color="auto"/>
              <w:left w:val="single" w:sz="4" w:space="0" w:color="auto"/>
              <w:bottom w:val="single" w:sz="4" w:space="0" w:color="auto"/>
              <w:right w:val="single" w:sz="4" w:space="0" w:color="auto"/>
            </w:tcBorders>
          </w:tcPr>
          <w:p w14:paraId="28E96379" w14:textId="4F2324F3" w:rsidR="001853C2" w:rsidRPr="00045A11" w:rsidRDefault="436D85AA" w:rsidP="008A07BD">
            <w:pPr>
              <w:rPr>
                <w:rFonts w:eastAsia="Arial" w:cs="Arial"/>
                <w:sz w:val="22"/>
                <w:szCs w:val="22"/>
              </w:rPr>
            </w:pPr>
            <w:r w:rsidRPr="0A0530F7">
              <w:rPr>
                <w:rFonts w:eastAsia="Arial" w:cs="Arial"/>
                <w:sz w:val="22"/>
                <w:szCs w:val="22"/>
              </w:rPr>
              <w:t xml:space="preserve">1.3.a) Percentage of </w:t>
            </w:r>
            <w:r w:rsidR="652F2484" w:rsidRPr="0A0530F7">
              <w:rPr>
                <w:rFonts w:eastAsia="Arial" w:cs="Arial"/>
                <w:sz w:val="22"/>
                <w:szCs w:val="22"/>
              </w:rPr>
              <w:t xml:space="preserve">projects </w:t>
            </w:r>
            <w:r w:rsidRPr="0A0530F7">
              <w:rPr>
                <w:rFonts w:eastAsia="Arial" w:cs="Arial"/>
                <w:sz w:val="22"/>
                <w:szCs w:val="22"/>
              </w:rPr>
              <w:t>completed, achieving the intended project outcome</w:t>
            </w:r>
          </w:p>
        </w:tc>
        <w:tc>
          <w:tcPr>
            <w:tcW w:w="1500" w:type="dxa"/>
            <w:tcBorders>
              <w:top w:val="single" w:sz="4" w:space="0" w:color="auto"/>
              <w:left w:val="single" w:sz="4" w:space="0" w:color="auto"/>
              <w:bottom w:val="single" w:sz="4" w:space="0" w:color="auto"/>
              <w:right w:val="single" w:sz="4" w:space="0" w:color="auto"/>
            </w:tcBorders>
          </w:tcPr>
          <w:p w14:paraId="1C99EE01" w14:textId="0A7626C4" w:rsidR="001853C2" w:rsidRPr="00045A11" w:rsidRDefault="008E4B7B" w:rsidP="008A07BD">
            <w:pPr>
              <w:rPr>
                <w:rFonts w:eastAsia="Arial" w:cs="Arial"/>
                <w:i/>
                <w:sz w:val="22"/>
                <w:szCs w:val="22"/>
              </w:rPr>
            </w:pPr>
            <w:r w:rsidRPr="6CF0CCCA">
              <w:rPr>
                <w:rFonts w:eastAsia="Arial" w:cs="Arial"/>
                <w:sz w:val="22"/>
                <w:szCs w:val="22"/>
              </w:rPr>
              <w:t>80%</w:t>
            </w:r>
          </w:p>
        </w:tc>
        <w:tc>
          <w:tcPr>
            <w:tcW w:w="5046" w:type="dxa"/>
            <w:tcBorders>
              <w:top w:val="single" w:sz="4" w:space="0" w:color="auto"/>
              <w:left w:val="single" w:sz="4" w:space="0" w:color="auto"/>
              <w:bottom w:val="single" w:sz="4" w:space="0" w:color="auto"/>
              <w:right w:val="single" w:sz="4" w:space="0" w:color="auto"/>
            </w:tcBorders>
          </w:tcPr>
          <w:p w14:paraId="59EF2583" w14:textId="4761348C" w:rsidR="002F72E4" w:rsidRPr="00045A11" w:rsidRDefault="293701CC" w:rsidP="008A07BD">
            <w:pPr>
              <w:contextualSpacing/>
              <w:rPr>
                <w:rFonts w:eastAsia="Arial" w:cs="Arial"/>
                <w:b/>
                <w:bCs/>
                <w:sz w:val="22"/>
                <w:szCs w:val="22"/>
                <w:u w:val="single"/>
              </w:rPr>
            </w:pPr>
            <w:r w:rsidRPr="7849A67F">
              <w:rPr>
                <w:rFonts w:eastAsia="Arial" w:cs="Arial"/>
                <w:b/>
                <w:bCs/>
                <w:sz w:val="22"/>
                <w:szCs w:val="22"/>
                <w:u w:val="single"/>
              </w:rPr>
              <w:t>Progress moderately did not meet expectation</w:t>
            </w:r>
            <w:r w:rsidR="4F149248" w:rsidRPr="7849A67F">
              <w:rPr>
                <w:rFonts w:eastAsia="Arial" w:cs="Arial"/>
                <w:b/>
                <w:bCs/>
                <w:sz w:val="22"/>
                <w:szCs w:val="22"/>
                <w:u w:val="single"/>
              </w:rPr>
              <w:t xml:space="preserve"> (</w:t>
            </w:r>
            <w:r w:rsidR="362C774E" w:rsidRPr="7849A67F">
              <w:rPr>
                <w:rFonts w:eastAsia="Arial" w:cs="Arial"/>
                <w:b/>
                <w:bCs/>
                <w:sz w:val="22"/>
                <w:szCs w:val="22"/>
                <w:u w:val="single"/>
              </w:rPr>
              <w:t>84</w:t>
            </w:r>
            <w:r w:rsidR="4F149248" w:rsidRPr="7849A67F">
              <w:rPr>
                <w:rFonts w:eastAsia="Arial" w:cs="Arial"/>
                <w:b/>
                <w:bCs/>
                <w:sz w:val="22"/>
                <w:szCs w:val="22"/>
                <w:u w:val="single"/>
              </w:rPr>
              <w:t>%)</w:t>
            </w:r>
          </w:p>
          <w:p w14:paraId="413B8E43" w14:textId="4D94B68F" w:rsidR="001853C2" w:rsidRPr="00045A11" w:rsidRDefault="605CBA15" w:rsidP="008A07BD">
            <w:pPr>
              <w:contextualSpacing/>
              <w:rPr>
                <w:rFonts w:eastAsia="Arial" w:cs="Arial"/>
                <w:i/>
                <w:iCs/>
                <w:sz w:val="22"/>
                <w:szCs w:val="22"/>
              </w:rPr>
            </w:pPr>
            <w:r w:rsidRPr="7849A67F">
              <w:rPr>
                <w:rFonts w:eastAsia="Arial" w:cs="Arial"/>
                <w:i/>
                <w:iCs/>
                <w:sz w:val="22"/>
                <w:szCs w:val="22"/>
              </w:rPr>
              <w:t>202</w:t>
            </w:r>
            <w:r w:rsidR="140B94F5" w:rsidRPr="7849A67F">
              <w:rPr>
                <w:rFonts w:eastAsia="Arial" w:cs="Arial"/>
                <w:i/>
                <w:iCs/>
                <w:sz w:val="22"/>
                <w:szCs w:val="22"/>
              </w:rPr>
              <w:t>3</w:t>
            </w:r>
            <w:r w:rsidRPr="7849A67F">
              <w:rPr>
                <w:rFonts w:eastAsia="Arial" w:cs="Arial"/>
                <w:i/>
                <w:iCs/>
                <w:sz w:val="22"/>
                <w:szCs w:val="22"/>
              </w:rPr>
              <w:t xml:space="preserve">: </w:t>
            </w:r>
            <w:r w:rsidR="0DA02738" w:rsidRPr="7849A67F">
              <w:rPr>
                <w:rFonts w:eastAsia="Arial" w:cs="Arial"/>
                <w:i/>
                <w:iCs/>
                <w:sz w:val="22"/>
                <w:szCs w:val="22"/>
              </w:rPr>
              <w:t>67</w:t>
            </w:r>
            <w:r w:rsidR="3D440E2D" w:rsidRPr="7849A67F">
              <w:rPr>
                <w:rFonts w:eastAsia="Arial" w:cs="Arial"/>
                <w:i/>
                <w:iCs/>
                <w:sz w:val="22"/>
                <w:szCs w:val="22"/>
              </w:rPr>
              <w:t>%</w:t>
            </w:r>
          </w:p>
          <w:p w14:paraId="584C560F" w14:textId="56E0C206" w:rsidR="0085274B" w:rsidRPr="00045A11" w:rsidRDefault="0085274B" w:rsidP="008A07BD">
            <w:pPr>
              <w:contextualSpacing/>
              <w:rPr>
                <w:rFonts w:eastAsia="Arial" w:cs="Arial"/>
                <w:sz w:val="22"/>
                <w:szCs w:val="22"/>
              </w:rPr>
            </w:pPr>
          </w:p>
        </w:tc>
      </w:tr>
      <w:tr w:rsidR="008E4B7B" w:rsidRPr="00D80C6C" w14:paraId="16B35E1B" w14:textId="77777777" w:rsidTr="5964CDA8">
        <w:trPr>
          <w:trHeight w:val="300"/>
        </w:trPr>
        <w:tc>
          <w:tcPr>
            <w:tcW w:w="2521" w:type="dxa"/>
            <w:tcBorders>
              <w:top w:val="single" w:sz="4" w:space="0" w:color="auto"/>
              <w:left w:val="single" w:sz="4" w:space="0" w:color="auto"/>
              <w:bottom w:val="single" w:sz="4" w:space="0" w:color="auto"/>
              <w:right w:val="single" w:sz="4" w:space="0" w:color="auto"/>
            </w:tcBorders>
          </w:tcPr>
          <w:p w14:paraId="62DACA76" w14:textId="7B5F02A8" w:rsidR="008E4B7B" w:rsidRPr="00045A11" w:rsidRDefault="54CDE73A" w:rsidP="008A07BD">
            <w:pPr>
              <w:rPr>
                <w:rFonts w:eastAsia="Arial" w:cs="Arial"/>
                <w:sz w:val="22"/>
                <w:szCs w:val="22"/>
              </w:rPr>
            </w:pPr>
            <w:r w:rsidRPr="0A0530F7">
              <w:rPr>
                <w:rFonts w:eastAsia="Arial" w:cs="Arial"/>
                <w:sz w:val="22"/>
                <w:szCs w:val="22"/>
              </w:rPr>
              <w:t xml:space="preserve">1.3.b) </w:t>
            </w:r>
            <w:r w:rsidR="7F1D0495" w:rsidRPr="0A0530F7">
              <w:rPr>
                <w:rFonts w:eastAsia="Arial" w:cs="Arial"/>
                <w:sz w:val="22"/>
                <w:szCs w:val="22"/>
              </w:rPr>
              <w:t>Percentage of projects that complete Implementation Phase 1 within 18 months</w:t>
            </w:r>
          </w:p>
        </w:tc>
        <w:tc>
          <w:tcPr>
            <w:tcW w:w="1500" w:type="dxa"/>
            <w:tcBorders>
              <w:top w:val="single" w:sz="4" w:space="0" w:color="auto"/>
              <w:left w:val="single" w:sz="4" w:space="0" w:color="auto"/>
              <w:bottom w:val="single" w:sz="4" w:space="0" w:color="auto"/>
              <w:right w:val="single" w:sz="4" w:space="0" w:color="auto"/>
            </w:tcBorders>
          </w:tcPr>
          <w:p w14:paraId="7E9608FA" w14:textId="4FB27E44" w:rsidR="008E4B7B" w:rsidRPr="00045A11" w:rsidRDefault="675571E7" w:rsidP="008A07BD">
            <w:pPr>
              <w:rPr>
                <w:rFonts w:eastAsia="Arial" w:cs="Arial"/>
                <w:sz w:val="22"/>
                <w:szCs w:val="22"/>
              </w:rPr>
            </w:pPr>
            <w:r w:rsidRPr="7849A67F">
              <w:rPr>
                <w:rFonts w:eastAsia="Arial" w:cs="Arial"/>
                <w:sz w:val="22"/>
                <w:szCs w:val="22"/>
              </w:rPr>
              <w:t>7</w:t>
            </w:r>
            <w:r w:rsidR="5A12798E" w:rsidRPr="7849A67F">
              <w:rPr>
                <w:rFonts w:eastAsia="Arial" w:cs="Arial"/>
                <w:sz w:val="22"/>
                <w:szCs w:val="22"/>
              </w:rPr>
              <w:t>0%</w:t>
            </w:r>
          </w:p>
        </w:tc>
        <w:tc>
          <w:tcPr>
            <w:tcW w:w="5046" w:type="dxa"/>
            <w:tcBorders>
              <w:top w:val="single" w:sz="4" w:space="0" w:color="auto"/>
              <w:left w:val="single" w:sz="4" w:space="0" w:color="auto"/>
              <w:bottom w:val="single" w:sz="4" w:space="0" w:color="auto"/>
              <w:right w:val="single" w:sz="4" w:space="0" w:color="auto"/>
            </w:tcBorders>
          </w:tcPr>
          <w:p w14:paraId="7EFCCC4B" w14:textId="5CA4D589" w:rsidR="008E4B7B" w:rsidRPr="00045A11" w:rsidRDefault="4C00718B" w:rsidP="008A07BD">
            <w:pPr>
              <w:contextualSpacing/>
              <w:rPr>
                <w:rFonts w:eastAsia="Arial" w:cs="Arial"/>
                <w:b/>
                <w:bCs/>
                <w:sz w:val="22"/>
                <w:szCs w:val="22"/>
                <w:u w:val="single"/>
              </w:rPr>
            </w:pPr>
            <w:r w:rsidRPr="7849A67F">
              <w:rPr>
                <w:rFonts w:eastAsia="Arial" w:cs="Arial"/>
                <w:b/>
                <w:bCs/>
                <w:sz w:val="22"/>
                <w:szCs w:val="22"/>
                <w:u w:val="single"/>
              </w:rPr>
              <w:t>Progress moderately exceeded expectation</w:t>
            </w:r>
            <w:r w:rsidR="4F149248" w:rsidRPr="7849A67F">
              <w:rPr>
                <w:rFonts w:eastAsia="Arial" w:cs="Arial"/>
                <w:b/>
                <w:bCs/>
                <w:sz w:val="22"/>
                <w:szCs w:val="22"/>
                <w:u w:val="single"/>
              </w:rPr>
              <w:t xml:space="preserve"> (11</w:t>
            </w:r>
            <w:r w:rsidR="70449D08" w:rsidRPr="7849A67F">
              <w:rPr>
                <w:rFonts w:eastAsia="Arial" w:cs="Arial"/>
                <w:b/>
                <w:bCs/>
                <w:sz w:val="22"/>
                <w:szCs w:val="22"/>
                <w:u w:val="single"/>
              </w:rPr>
              <w:t>4</w:t>
            </w:r>
            <w:r w:rsidR="4F149248" w:rsidRPr="7849A67F">
              <w:rPr>
                <w:rFonts w:eastAsia="Arial" w:cs="Arial"/>
                <w:b/>
                <w:bCs/>
                <w:sz w:val="22"/>
                <w:szCs w:val="22"/>
                <w:u w:val="single"/>
              </w:rPr>
              <w:t>%)</w:t>
            </w:r>
          </w:p>
          <w:p w14:paraId="24FC1069" w14:textId="57E69285" w:rsidR="00E55D3B" w:rsidRPr="00045A11" w:rsidRDefault="378FA8CE" w:rsidP="008A07BD">
            <w:pPr>
              <w:contextualSpacing/>
              <w:rPr>
                <w:rFonts w:eastAsia="Arial" w:cs="Arial"/>
                <w:i/>
                <w:iCs/>
                <w:sz w:val="22"/>
                <w:szCs w:val="22"/>
              </w:rPr>
            </w:pPr>
            <w:r w:rsidRPr="7849A67F">
              <w:rPr>
                <w:rFonts w:eastAsia="Arial" w:cs="Arial"/>
                <w:i/>
                <w:iCs/>
                <w:sz w:val="22"/>
                <w:szCs w:val="22"/>
              </w:rPr>
              <w:t>202</w:t>
            </w:r>
            <w:r w:rsidR="60E9ED72" w:rsidRPr="7849A67F">
              <w:rPr>
                <w:rFonts w:eastAsia="Arial" w:cs="Arial"/>
                <w:i/>
                <w:iCs/>
                <w:sz w:val="22"/>
                <w:szCs w:val="22"/>
              </w:rPr>
              <w:t>3</w:t>
            </w:r>
            <w:r w:rsidRPr="7849A67F">
              <w:rPr>
                <w:rFonts w:eastAsia="Arial" w:cs="Arial"/>
                <w:i/>
                <w:iCs/>
                <w:sz w:val="22"/>
                <w:szCs w:val="22"/>
              </w:rPr>
              <w:t>:</w:t>
            </w:r>
            <w:r w:rsidR="3D440E2D" w:rsidRPr="7849A67F">
              <w:rPr>
                <w:rFonts w:eastAsia="Arial" w:cs="Arial"/>
                <w:i/>
                <w:iCs/>
                <w:sz w:val="22"/>
                <w:szCs w:val="22"/>
              </w:rPr>
              <w:t>8</w:t>
            </w:r>
            <w:r w:rsidR="0A07F53C" w:rsidRPr="7849A67F">
              <w:rPr>
                <w:rFonts w:eastAsia="Arial" w:cs="Arial"/>
                <w:i/>
                <w:iCs/>
                <w:sz w:val="22"/>
                <w:szCs w:val="22"/>
              </w:rPr>
              <w:t>0</w:t>
            </w:r>
            <w:r w:rsidRPr="7849A67F">
              <w:rPr>
                <w:rFonts w:eastAsia="Arial" w:cs="Arial"/>
                <w:i/>
                <w:iCs/>
                <w:sz w:val="22"/>
                <w:szCs w:val="22"/>
              </w:rPr>
              <w:t>%</w:t>
            </w:r>
          </w:p>
          <w:p w14:paraId="5CE34AA4" w14:textId="3901D0A6" w:rsidR="006D6803" w:rsidRPr="00045A11" w:rsidRDefault="006D6803" w:rsidP="008A07BD">
            <w:pPr>
              <w:contextualSpacing/>
              <w:rPr>
                <w:rFonts w:eastAsia="Arial" w:cs="Arial"/>
                <w:sz w:val="22"/>
                <w:szCs w:val="22"/>
              </w:rPr>
            </w:pPr>
          </w:p>
        </w:tc>
      </w:tr>
      <w:tr w:rsidR="4A9EF9D3" w14:paraId="532BB714" w14:textId="77777777" w:rsidTr="5964CDA8">
        <w:trPr>
          <w:trHeight w:val="300"/>
        </w:trPr>
        <w:tc>
          <w:tcPr>
            <w:tcW w:w="2521" w:type="dxa"/>
            <w:tcBorders>
              <w:top w:val="single" w:sz="4" w:space="0" w:color="auto"/>
              <w:left w:val="single" w:sz="4" w:space="0" w:color="auto"/>
              <w:bottom w:val="single" w:sz="4" w:space="0" w:color="auto"/>
              <w:right w:val="single" w:sz="4" w:space="0" w:color="auto"/>
            </w:tcBorders>
          </w:tcPr>
          <w:p w14:paraId="3D323C76" w14:textId="7B014FAC" w:rsidR="3F6AA10D" w:rsidRDefault="07AFF667" w:rsidP="008A07BD">
            <w:pPr>
              <w:rPr>
                <w:rFonts w:eastAsia="Arial" w:cs="Arial"/>
                <w:sz w:val="22"/>
                <w:szCs w:val="22"/>
              </w:rPr>
            </w:pPr>
            <w:r w:rsidRPr="7849A67F">
              <w:rPr>
                <w:rFonts w:eastAsia="Arial" w:cs="Arial"/>
                <w:sz w:val="22"/>
                <w:szCs w:val="22"/>
              </w:rPr>
              <w:t>1.3.c) Percentage of projects that are completed within the approved timeline</w:t>
            </w:r>
          </w:p>
        </w:tc>
        <w:tc>
          <w:tcPr>
            <w:tcW w:w="1500" w:type="dxa"/>
            <w:tcBorders>
              <w:top w:val="single" w:sz="4" w:space="0" w:color="auto"/>
              <w:left w:val="single" w:sz="4" w:space="0" w:color="auto"/>
              <w:bottom w:val="single" w:sz="4" w:space="0" w:color="auto"/>
              <w:right w:val="single" w:sz="4" w:space="0" w:color="auto"/>
            </w:tcBorders>
          </w:tcPr>
          <w:p w14:paraId="5FC300FE" w14:textId="535F1D29" w:rsidR="3F6AA10D" w:rsidRDefault="07AFF667" w:rsidP="008A07BD">
            <w:pPr>
              <w:rPr>
                <w:rFonts w:eastAsia="Arial" w:cs="Arial"/>
                <w:sz w:val="22"/>
                <w:szCs w:val="22"/>
              </w:rPr>
            </w:pPr>
            <w:r w:rsidRPr="7849A67F">
              <w:rPr>
                <w:rFonts w:eastAsia="Arial" w:cs="Arial"/>
                <w:sz w:val="22"/>
                <w:szCs w:val="22"/>
              </w:rPr>
              <w:t>n/a</w:t>
            </w:r>
          </w:p>
        </w:tc>
        <w:tc>
          <w:tcPr>
            <w:tcW w:w="5046" w:type="dxa"/>
            <w:tcBorders>
              <w:top w:val="single" w:sz="4" w:space="0" w:color="auto"/>
              <w:left w:val="single" w:sz="4" w:space="0" w:color="auto"/>
              <w:bottom w:val="single" w:sz="4" w:space="0" w:color="auto"/>
              <w:right w:val="single" w:sz="4" w:space="0" w:color="auto"/>
            </w:tcBorders>
          </w:tcPr>
          <w:p w14:paraId="2D34C635" w14:textId="7B8D052B" w:rsidR="3F6AA10D" w:rsidRDefault="07AFF667" w:rsidP="008A07BD">
            <w:pPr>
              <w:rPr>
                <w:rFonts w:eastAsia="Arial" w:cs="Arial"/>
                <w:b/>
                <w:bCs/>
                <w:sz w:val="22"/>
                <w:szCs w:val="22"/>
                <w:u w:val="single"/>
              </w:rPr>
            </w:pPr>
            <w:r w:rsidRPr="7849A67F">
              <w:rPr>
                <w:rFonts w:eastAsia="Arial" w:cs="Arial"/>
                <w:b/>
                <w:bCs/>
                <w:sz w:val="22"/>
                <w:szCs w:val="22"/>
                <w:u w:val="single"/>
              </w:rPr>
              <w:t>n/a</w:t>
            </w:r>
          </w:p>
        </w:tc>
      </w:tr>
      <w:tr w:rsidR="4A9EF9D3" w14:paraId="250E087E" w14:textId="77777777" w:rsidTr="5964CDA8">
        <w:trPr>
          <w:trHeight w:val="300"/>
        </w:trPr>
        <w:tc>
          <w:tcPr>
            <w:tcW w:w="2521" w:type="dxa"/>
            <w:tcBorders>
              <w:top w:val="single" w:sz="4" w:space="0" w:color="auto"/>
              <w:left w:val="single" w:sz="4" w:space="0" w:color="auto"/>
              <w:bottom w:val="single" w:sz="4" w:space="0" w:color="auto"/>
              <w:right w:val="single" w:sz="4" w:space="0" w:color="auto"/>
            </w:tcBorders>
          </w:tcPr>
          <w:p w14:paraId="5DC47FC8" w14:textId="5BE7B057" w:rsidR="3F6AA10D" w:rsidRDefault="07AFF667" w:rsidP="008A07BD">
            <w:pPr>
              <w:rPr>
                <w:rFonts w:eastAsia="Arial" w:cs="Arial"/>
                <w:sz w:val="22"/>
                <w:szCs w:val="22"/>
              </w:rPr>
            </w:pPr>
            <w:r w:rsidRPr="7849A67F">
              <w:rPr>
                <w:rFonts w:eastAsia="Arial" w:cs="Arial"/>
                <w:sz w:val="22"/>
                <w:szCs w:val="22"/>
              </w:rPr>
              <w:t>1.3.d) Percentage of projects that have spent &gt;90 % of allocated funds by project completion</w:t>
            </w:r>
          </w:p>
        </w:tc>
        <w:tc>
          <w:tcPr>
            <w:tcW w:w="1500" w:type="dxa"/>
            <w:tcBorders>
              <w:top w:val="single" w:sz="4" w:space="0" w:color="auto"/>
              <w:left w:val="single" w:sz="4" w:space="0" w:color="auto"/>
              <w:bottom w:val="single" w:sz="4" w:space="0" w:color="auto"/>
              <w:right w:val="single" w:sz="4" w:space="0" w:color="auto"/>
            </w:tcBorders>
          </w:tcPr>
          <w:p w14:paraId="5D6A38DF" w14:textId="2007A18A" w:rsidR="78EFE23D" w:rsidRDefault="26B80412" w:rsidP="008A07BD">
            <w:pPr>
              <w:rPr>
                <w:rFonts w:eastAsia="Arial" w:cs="Arial"/>
                <w:sz w:val="22"/>
                <w:szCs w:val="22"/>
              </w:rPr>
            </w:pPr>
            <w:r w:rsidRPr="7849A67F">
              <w:rPr>
                <w:rFonts w:eastAsia="Arial" w:cs="Arial"/>
                <w:sz w:val="22"/>
                <w:szCs w:val="22"/>
              </w:rPr>
              <w:t>70%</w:t>
            </w:r>
          </w:p>
        </w:tc>
        <w:tc>
          <w:tcPr>
            <w:tcW w:w="5046" w:type="dxa"/>
            <w:tcBorders>
              <w:top w:val="single" w:sz="4" w:space="0" w:color="auto"/>
              <w:left w:val="single" w:sz="4" w:space="0" w:color="auto"/>
              <w:bottom w:val="single" w:sz="4" w:space="0" w:color="auto"/>
              <w:right w:val="single" w:sz="4" w:space="0" w:color="auto"/>
            </w:tcBorders>
          </w:tcPr>
          <w:p w14:paraId="52F8C0A6" w14:textId="151749F0" w:rsidR="78EFE23D" w:rsidRDefault="26B80412" w:rsidP="008A07BD">
            <w:pPr>
              <w:rPr>
                <w:rFonts w:eastAsia="Arial" w:cs="Arial"/>
                <w:b/>
                <w:bCs/>
                <w:sz w:val="22"/>
                <w:szCs w:val="22"/>
                <w:u w:val="single"/>
              </w:rPr>
            </w:pPr>
            <w:r w:rsidRPr="7849A67F">
              <w:rPr>
                <w:rFonts w:eastAsia="Arial" w:cs="Arial"/>
                <w:b/>
                <w:bCs/>
                <w:sz w:val="22"/>
                <w:szCs w:val="22"/>
                <w:u w:val="single"/>
              </w:rPr>
              <w:t>Progress moderately exceeded expectation (143%)</w:t>
            </w:r>
          </w:p>
          <w:p w14:paraId="4C347EC7" w14:textId="6F6F6159" w:rsidR="78EFE23D" w:rsidRDefault="26B80412" w:rsidP="008A07BD">
            <w:pPr>
              <w:rPr>
                <w:rFonts w:eastAsia="Arial" w:cs="Arial"/>
                <w:b/>
                <w:bCs/>
                <w:sz w:val="22"/>
                <w:szCs w:val="22"/>
                <w:u w:val="single"/>
              </w:rPr>
            </w:pPr>
            <w:r w:rsidRPr="7849A67F">
              <w:rPr>
                <w:rFonts w:eastAsia="Arial" w:cs="Arial"/>
                <w:b/>
                <w:bCs/>
                <w:sz w:val="22"/>
                <w:szCs w:val="22"/>
                <w:u w:val="single"/>
              </w:rPr>
              <w:t>2023: 100%</w:t>
            </w:r>
          </w:p>
          <w:p w14:paraId="18910857" w14:textId="2F5EF1A1" w:rsidR="46056D40" w:rsidRDefault="63507D63" w:rsidP="008A07BD">
            <w:pPr>
              <w:rPr>
                <w:rFonts w:eastAsia="Arial" w:cs="Arial"/>
                <w:sz w:val="22"/>
                <w:szCs w:val="22"/>
              </w:rPr>
            </w:pPr>
            <w:r w:rsidRPr="7849A67F">
              <w:rPr>
                <w:rFonts w:eastAsia="Arial" w:cs="Arial"/>
                <w:sz w:val="22"/>
                <w:szCs w:val="22"/>
              </w:rPr>
              <w:t xml:space="preserve">For 2022, it was recommended to shift to non-cumulative counting and adjust threshold from 95% to 90%. The higher result for 2023 is reflective of this change and provides scope for </w:t>
            </w:r>
            <w:r w:rsidR="2D0894A1" w:rsidRPr="7849A67F">
              <w:rPr>
                <w:rFonts w:eastAsia="Arial" w:cs="Arial"/>
                <w:sz w:val="22"/>
                <w:szCs w:val="22"/>
              </w:rPr>
              <w:t xml:space="preserve">greater </w:t>
            </w:r>
            <w:r w:rsidRPr="7849A67F">
              <w:rPr>
                <w:rFonts w:eastAsia="Arial" w:cs="Arial"/>
                <w:sz w:val="22"/>
                <w:szCs w:val="22"/>
              </w:rPr>
              <w:t>ambiti</w:t>
            </w:r>
            <w:r w:rsidR="7784F270" w:rsidRPr="7849A67F">
              <w:rPr>
                <w:rFonts w:eastAsia="Arial" w:cs="Arial"/>
                <w:sz w:val="22"/>
                <w:szCs w:val="22"/>
              </w:rPr>
              <w:t xml:space="preserve">on. </w:t>
            </w:r>
          </w:p>
        </w:tc>
      </w:tr>
      <w:tr w:rsidR="008E4B7B" w:rsidRPr="00D80C6C" w14:paraId="3F862FD8" w14:textId="77777777" w:rsidTr="5964CDA8">
        <w:trPr>
          <w:trHeight w:val="300"/>
        </w:trPr>
        <w:tc>
          <w:tcPr>
            <w:tcW w:w="2521" w:type="dxa"/>
            <w:tcBorders>
              <w:top w:val="single" w:sz="4" w:space="0" w:color="auto"/>
              <w:left w:val="single" w:sz="4" w:space="0" w:color="auto"/>
              <w:bottom w:val="single" w:sz="4" w:space="0" w:color="auto"/>
              <w:right w:val="single" w:sz="4" w:space="0" w:color="auto"/>
            </w:tcBorders>
          </w:tcPr>
          <w:p w14:paraId="0BBE97DE" w14:textId="08BA40C2" w:rsidR="008E4B7B" w:rsidRPr="00045A11" w:rsidRDefault="5A12798E" w:rsidP="008A07BD">
            <w:pPr>
              <w:rPr>
                <w:rFonts w:eastAsia="Arial" w:cs="Arial"/>
                <w:sz w:val="22"/>
                <w:szCs w:val="22"/>
              </w:rPr>
            </w:pPr>
            <w:r w:rsidRPr="7849A67F">
              <w:rPr>
                <w:rFonts w:eastAsia="Arial" w:cs="Arial"/>
                <w:sz w:val="22"/>
                <w:szCs w:val="22"/>
              </w:rPr>
              <w:t xml:space="preserve">1.4.a) </w:t>
            </w:r>
            <w:r w:rsidR="21C2CB09" w:rsidRPr="7849A67F">
              <w:rPr>
                <w:rFonts w:eastAsia="Arial" w:cs="Arial"/>
                <w:sz w:val="22"/>
                <w:szCs w:val="22"/>
              </w:rPr>
              <w:t xml:space="preserve">Average duration from the Board’s affirmative decision to the first disbursement </w:t>
            </w:r>
            <w:r w:rsidR="21C2CB09" w:rsidRPr="7849A67F">
              <w:rPr>
                <w:rFonts w:eastAsia="Arial" w:cs="Arial"/>
                <w:sz w:val="22"/>
                <w:szCs w:val="22"/>
              </w:rPr>
              <w:lastRenderedPageBreak/>
              <w:t>(third-party implementers)</w:t>
            </w:r>
          </w:p>
        </w:tc>
        <w:tc>
          <w:tcPr>
            <w:tcW w:w="1500" w:type="dxa"/>
            <w:tcBorders>
              <w:top w:val="single" w:sz="4" w:space="0" w:color="auto"/>
              <w:left w:val="single" w:sz="4" w:space="0" w:color="auto"/>
              <w:bottom w:val="single" w:sz="4" w:space="0" w:color="auto"/>
              <w:right w:val="single" w:sz="4" w:space="0" w:color="auto"/>
            </w:tcBorders>
          </w:tcPr>
          <w:p w14:paraId="29D4D12D" w14:textId="3F4C9726" w:rsidR="008E4B7B" w:rsidRPr="00045A11" w:rsidRDefault="008E4B7B" w:rsidP="008A07BD">
            <w:pPr>
              <w:rPr>
                <w:rFonts w:eastAsia="Arial" w:cs="Arial"/>
                <w:sz w:val="22"/>
                <w:szCs w:val="22"/>
              </w:rPr>
            </w:pPr>
            <w:r w:rsidRPr="6CF0CCCA">
              <w:rPr>
                <w:rFonts w:eastAsia="Arial" w:cs="Arial"/>
                <w:sz w:val="22"/>
                <w:szCs w:val="22"/>
              </w:rPr>
              <w:lastRenderedPageBreak/>
              <w:t>12 months</w:t>
            </w:r>
          </w:p>
        </w:tc>
        <w:tc>
          <w:tcPr>
            <w:tcW w:w="5046" w:type="dxa"/>
            <w:tcBorders>
              <w:top w:val="single" w:sz="4" w:space="0" w:color="auto"/>
              <w:left w:val="single" w:sz="4" w:space="0" w:color="auto"/>
              <w:bottom w:val="single" w:sz="4" w:space="0" w:color="auto"/>
              <w:right w:val="single" w:sz="4" w:space="0" w:color="auto"/>
            </w:tcBorders>
          </w:tcPr>
          <w:p w14:paraId="4095D1B9" w14:textId="657B396B" w:rsidR="008E4B7B" w:rsidRPr="00045A11" w:rsidRDefault="2564F511" w:rsidP="008A07BD">
            <w:pPr>
              <w:contextualSpacing/>
              <w:rPr>
                <w:rFonts w:eastAsia="Arial" w:cs="Arial"/>
                <w:b/>
                <w:bCs/>
                <w:sz w:val="22"/>
                <w:szCs w:val="22"/>
                <w:u w:val="single"/>
              </w:rPr>
            </w:pPr>
            <w:r w:rsidRPr="5964CDA8">
              <w:rPr>
                <w:rFonts w:eastAsia="Arial" w:cs="Arial"/>
                <w:b/>
                <w:bCs/>
                <w:sz w:val="22"/>
                <w:szCs w:val="22"/>
                <w:u w:val="single"/>
              </w:rPr>
              <w:t>Progress substantially did not meet expectation</w:t>
            </w:r>
            <w:r w:rsidR="4149A28E" w:rsidRPr="5964CDA8">
              <w:rPr>
                <w:rFonts w:eastAsia="Arial" w:cs="Arial"/>
                <w:b/>
                <w:bCs/>
                <w:sz w:val="22"/>
                <w:szCs w:val="22"/>
                <w:u w:val="single"/>
              </w:rPr>
              <w:t xml:space="preserve"> (</w:t>
            </w:r>
            <w:r w:rsidR="6C74EB5F" w:rsidRPr="5964CDA8">
              <w:rPr>
                <w:rFonts w:eastAsia="Arial" w:cs="Arial"/>
                <w:b/>
                <w:bCs/>
                <w:sz w:val="22"/>
                <w:szCs w:val="22"/>
                <w:u w:val="single"/>
              </w:rPr>
              <w:t>39</w:t>
            </w:r>
            <w:r w:rsidR="4149A28E" w:rsidRPr="5964CDA8">
              <w:rPr>
                <w:rFonts w:eastAsia="Arial" w:cs="Arial"/>
                <w:b/>
                <w:bCs/>
                <w:sz w:val="22"/>
                <w:szCs w:val="22"/>
                <w:u w:val="single"/>
              </w:rPr>
              <w:t>%)</w:t>
            </w:r>
          </w:p>
          <w:p w14:paraId="57647904" w14:textId="0E783AF3" w:rsidR="00E55D3B" w:rsidRPr="00045A11" w:rsidRDefault="378FA8CE" w:rsidP="008A07BD">
            <w:pPr>
              <w:contextualSpacing/>
              <w:rPr>
                <w:rFonts w:eastAsia="Arial" w:cs="Arial"/>
                <w:i/>
                <w:iCs/>
                <w:sz w:val="22"/>
                <w:szCs w:val="22"/>
              </w:rPr>
            </w:pPr>
            <w:r w:rsidRPr="7849A67F">
              <w:rPr>
                <w:rFonts w:eastAsia="Arial" w:cs="Arial"/>
                <w:i/>
                <w:iCs/>
                <w:sz w:val="22"/>
                <w:szCs w:val="22"/>
              </w:rPr>
              <w:t>202</w:t>
            </w:r>
            <w:r w:rsidR="498FAC5A" w:rsidRPr="7849A67F">
              <w:rPr>
                <w:rFonts w:eastAsia="Arial" w:cs="Arial"/>
                <w:i/>
                <w:iCs/>
                <w:sz w:val="22"/>
                <w:szCs w:val="22"/>
              </w:rPr>
              <w:t>3</w:t>
            </w:r>
            <w:r w:rsidRPr="7849A67F">
              <w:rPr>
                <w:rFonts w:eastAsia="Arial" w:cs="Arial"/>
                <w:i/>
                <w:iCs/>
                <w:sz w:val="22"/>
                <w:szCs w:val="22"/>
              </w:rPr>
              <w:t xml:space="preserve">: </w:t>
            </w:r>
            <w:r w:rsidR="44C5F032" w:rsidRPr="7849A67F">
              <w:rPr>
                <w:rFonts w:eastAsia="Arial" w:cs="Arial"/>
                <w:i/>
                <w:iCs/>
                <w:sz w:val="22"/>
                <w:szCs w:val="22"/>
              </w:rPr>
              <w:t>19</w:t>
            </w:r>
            <w:r w:rsidRPr="7849A67F">
              <w:rPr>
                <w:rFonts w:eastAsia="Arial" w:cs="Arial"/>
                <w:i/>
                <w:iCs/>
                <w:sz w:val="22"/>
                <w:szCs w:val="22"/>
              </w:rPr>
              <w:t xml:space="preserve"> months</w:t>
            </w:r>
          </w:p>
          <w:p w14:paraId="646987A8" w14:textId="70CFB1C1" w:rsidR="00827E6C" w:rsidRPr="00045A11" w:rsidRDefault="1F9DEF05" w:rsidP="5964CDA8">
            <w:pPr>
              <w:contextualSpacing/>
              <w:rPr>
                <w:rFonts w:eastAsia="Arial" w:cs="Arial"/>
                <w:i/>
                <w:iCs/>
                <w:sz w:val="22"/>
                <w:szCs w:val="22"/>
              </w:rPr>
            </w:pPr>
            <w:r w:rsidRPr="5964CDA8">
              <w:rPr>
                <w:rFonts w:eastAsia="Arial" w:cs="Arial"/>
                <w:i/>
                <w:iCs/>
                <w:sz w:val="22"/>
                <w:szCs w:val="22"/>
              </w:rPr>
              <w:lastRenderedPageBreak/>
              <w:t xml:space="preserve">The indicator was created in the 2022 </w:t>
            </w:r>
            <w:proofErr w:type="spellStart"/>
            <w:r w:rsidRPr="5964CDA8">
              <w:rPr>
                <w:rFonts w:eastAsia="Arial" w:cs="Arial"/>
                <w:i/>
                <w:iCs/>
                <w:sz w:val="22"/>
                <w:szCs w:val="22"/>
              </w:rPr>
              <w:t>logframe</w:t>
            </w:r>
            <w:proofErr w:type="spellEnd"/>
            <w:r w:rsidRPr="5964CDA8">
              <w:rPr>
                <w:rFonts w:eastAsia="Arial" w:cs="Arial"/>
                <w:i/>
                <w:iCs/>
                <w:sz w:val="22"/>
                <w:szCs w:val="22"/>
              </w:rPr>
              <w:t xml:space="preserve"> revision</w:t>
            </w:r>
            <w:r w:rsidR="007AFD39" w:rsidRPr="5964CDA8">
              <w:rPr>
                <w:rFonts w:eastAsia="Arial" w:cs="Arial"/>
                <w:i/>
                <w:iCs/>
                <w:sz w:val="22"/>
                <w:szCs w:val="22"/>
              </w:rPr>
              <w:t xml:space="preserve"> and</w:t>
            </w:r>
            <w:r w:rsidR="66B47098" w:rsidRPr="5964CDA8">
              <w:rPr>
                <w:rFonts w:eastAsia="Arial" w:cs="Arial"/>
                <w:i/>
                <w:iCs/>
                <w:sz w:val="22"/>
                <w:szCs w:val="22"/>
              </w:rPr>
              <w:t xml:space="preserve"> this year </w:t>
            </w:r>
            <w:r w:rsidR="0670A933" w:rsidRPr="5964CDA8">
              <w:rPr>
                <w:rFonts w:eastAsia="Arial" w:cs="Arial"/>
                <w:i/>
                <w:iCs/>
                <w:sz w:val="22"/>
                <w:szCs w:val="22"/>
              </w:rPr>
              <w:t xml:space="preserve">saw </w:t>
            </w:r>
            <w:r w:rsidR="66B47098" w:rsidRPr="5964CDA8">
              <w:rPr>
                <w:rFonts w:eastAsia="Arial" w:cs="Arial"/>
                <w:i/>
                <w:iCs/>
                <w:sz w:val="22"/>
                <w:szCs w:val="22"/>
              </w:rPr>
              <w:t>a slight increase</w:t>
            </w:r>
            <w:r w:rsidRPr="5964CDA8">
              <w:rPr>
                <w:rFonts w:eastAsia="Arial" w:cs="Arial"/>
                <w:i/>
                <w:iCs/>
                <w:sz w:val="22"/>
                <w:szCs w:val="22"/>
              </w:rPr>
              <w:t xml:space="preserve">. So far, only </w:t>
            </w:r>
            <w:r w:rsidR="4AE41ED8" w:rsidRPr="5964CDA8">
              <w:rPr>
                <w:rFonts w:eastAsia="Arial" w:cs="Arial"/>
                <w:i/>
                <w:iCs/>
                <w:sz w:val="22"/>
                <w:szCs w:val="22"/>
              </w:rPr>
              <w:t>4</w:t>
            </w:r>
            <w:r w:rsidRPr="5964CDA8">
              <w:rPr>
                <w:rFonts w:eastAsia="Arial" w:cs="Arial"/>
                <w:i/>
                <w:iCs/>
                <w:sz w:val="22"/>
                <w:szCs w:val="22"/>
              </w:rPr>
              <w:t xml:space="preserve"> projects </w:t>
            </w:r>
            <w:r w:rsidR="69E0CEF5" w:rsidRPr="5964CDA8">
              <w:rPr>
                <w:rFonts w:eastAsia="Arial" w:cs="Arial"/>
                <w:i/>
                <w:iCs/>
                <w:sz w:val="22"/>
                <w:szCs w:val="22"/>
              </w:rPr>
              <w:t xml:space="preserve">have </w:t>
            </w:r>
            <w:r w:rsidRPr="5964CDA8">
              <w:rPr>
                <w:rFonts w:eastAsia="Arial" w:cs="Arial"/>
                <w:i/>
                <w:iCs/>
                <w:sz w:val="22"/>
                <w:szCs w:val="22"/>
              </w:rPr>
              <w:t>concluded this process: Colombia TOD</w:t>
            </w:r>
            <w:r w:rsidR="65736EE4" w:rsidRPr="5964CDA8">
              <w:rPr>
                <w:rFonts w:eastAsia="Arial" w:cs="Arial"/>
                <w:i/>
                <w:iCs/>
                <w:sz w:val="22"/>
                <w:szCs w:val="22"/>
              </w:rPr>
              <w:t xml:space="preserve"> (</w:t>
            </w:r>
            <w:r w:rsidRPr="5964CDA8">
              <w:rPr>
                <w:rFonts w:eastAsia="Arial" w:cs="Arial"/>
                <w:i/>
                <w:iCs/>
                <w:sz w:val="22"/>
                <w:szCs w:val="22"/>
              </w:rPr>
              <w:t>26</w:t>
            </w:r>
            <w:r w:rsidR="65736EE4" w:rsidRPr="5964CDA8">
              <w:rPr>
                <w:rFonts w:eastAsia="Arial" w:cs="Arial"/>
                <w:i/>
                <w:iCs/>
                <w:sz w:val="22"/>
                <w:szCs w:val="22"/>
              </w:rPr>
              <w:t>)</w:t>
            </w:r>
            <w:r w:rsidRPr="5964CDA8">
              <w:rPr>
                <w:rFonts w:eastAsia="Arial" w:cs="Arial"/>
                <w:i/>
                <w:iCs/>
                <w:sz w:val="22"/>
                <w:szCs w:val="22"/>
              </w:rPr>
              <w:t xml:space="preserve"> The Gambia G. Solar: </w:t>
            </w:r>
            <w:r w:rsidR="65736EE4" w:rsidRPr="5964CDA8">
              <w:rPr>
                <w:rFonts w:eastAsia="Arial" w:cs="Arial"/>
                <w:i/>
                <w:iCs/>
                <w:sz w:val="22"/>
                <w:szCs w:val="22"/>
              </w:rPr>
              <w:t>(</w:t>
            </w:r>
            <w:r w:rsidRPr="5964CDA8">
              <w:rPr>
                <w:rFonts w:eastAsia="Arial" w:cs="Arial"/>
                <w:i/>
                <w:iCs/>
                <w:sz w:val="22"/>
                <w:szCs w:val="22"/>
              </w:rPr>
              <w:t>10</w:t>
            </w:r>
            <w:r w:rsidR="65736EE4" w:rsidRPr="5964CDA8">
              <w:rPr>
                <w:rFonts w:eastAsia="Arial" w:cs="Arial"/>
                <w:i/>
                <w:iCs/>
                <w:sz w:val="22"/>
                <w:szCs w:val="22"/>
              </w:rPr>
              <w:t>)</w:t>
            </w:r>
            <w:r w:rsidRPr="5964CDA8">
              <w:rPr>
                <w:rFonts w:eastAsia="Arial" w:cs="Arial"/>
                <w:i/>
                <w:iCs/>
                <w:sz w:val="22"/>
                <w:szCs w:val="22"/>
              </w:rPr>
              <w:t xml:space="preserve"> Guatemala Cookstoves </w:t>
            </w:r>
            <w:r w:rsidR="65736EE4" w:rsidRPr="5964CDA8">
              <w:rPr>
                <w:rFonts w:eastAsia="Arial" w:cs="Arial"/>
                <w:i/>
                <w:iCs/>
                <w:sz w:val="22"/>
                <w:szCs w:val="22"/>
              </w:rPr>
              <w:t>(</w:t>
            </w:r>
            <w:r w:rsidRPr="5964CDA8">
              <w:rPr>
                <w:rFonts w:eastAsia="Arial" w:cs="Arial"/>
                <w:i/>
                <w:iCs/>
                <w:sz w:val="22"/>
                <w:szCs w:val="22"/>
              </w:rPr>
              <w:t>42</w:t>
            </w:r>
            <w:r w:rsidR="65736EE4" w:rsidRPr="5964CDA8">
              <w:rPr>
                <w:rFonts w:eastAsia="Arial" w:cs="Arial"/>
                <w:i/>
                <w:iCs/>
                <w:sz w:val="22"/>
                <w:szCs w:val="22"/>
              </w:rPr>
              <w:t>)</w:t>
            </w:r>
            <w:r w:rsidR="671C72D0" w:rsidRPr="5964CDA8">
              <w:rPr>
                <w:rFonts w:eastAsia="Arial" w:cs="Arial"/>
                <w:i/>
                <w:iCs/>
                <w:sz w:val="22"/>
                <w:szCs w:val="22"/>
              </w:rPr>
              <w:t xml:space="preserve"> and Honduras Livestock (19)</w:t>
            </w:r>
            <w:r w:rsidR="65736EE4" w:rsidRPr="5964CDA8">
              <w:rPr>
                <w:rFonts w:eastAsia="Arial" w:cs="Arial"/>
                <w:i/>
                <w:iCs/>
                <w:sz w:val="22"/>
                <w:szCs w:val="22"/>
              </w:rPr>
              <w:t>.</w:t>
            </w:r>
            <w:r w:rsidRPr="5964CDA8">
              <w:rPr>
                <w:rFonts w:eastAsia="Arial" w:cs="Arial"/>
                <w:i/>
                <w:iCs/>
                <w:sz w:val="22"/>
                <w:szCs w:val="22"/>
              </w:rPr>
              <w:t xml:space="preserve"> </w:t>
            </w:r>
            <w:r w:rsidR="65736EE4" w:rsidRPr="5964CDA8">
              <w:rPr>
                <w:rFonts w:eastAsia="Arial" w:cs="Arial"/>
                <w:i/>
                <w:iCs/>
                <w:sz w:val="22"/>
                <w:szCs w:val="22"/>
              </w:rPr>
              <w:t xml:space="preserve">More information below. </w:t>
            </w:r>
            <w:r w:rsidRPr="5964CDA8">
              <w:rPr>
                <w:rFonts w:eastAsia="Arial" w:cs="Arial"/>
                <w:i/>
                <w:iCs/>
                <w:sz w:val="22"/>
                <w:szCs w:val="22"/>
              </w:rPr>
              <w:t>It was recommended to shift to non-cumulative counting</w:t>
            </w:r>
            <w:r w:rsidR="5B10FCAA" w:rsidRPr="5964CDA8">
              <w:rPr>
                <w:rFonts w:eastAsia="Arial" w:cs="Arial"/>
                <w:i/>
                <w:iCs/>
                <w:sz w:val="22"/>
                <w:szCs w:val="22"/>
              </w:rPr>
              <w:t xml:space="preserve"> to </w:t>
            </w:r>
            <w:r w:rsidR="775184B5" w:rsidRPr="5964CDA8">
              <w:rPr>
                <w:rFonts w:eastAsia="Arial" w:cs="Arial"/>
                <w:i/>
                <w:iCs/>
                <w:sz w:val="22"/>
                <w:szCs w:val="22"/>
              </w:rPr>
              <w:t xml:space="preserve">have a more accurate </w:t>
            </w:r>
            <w:r w:rsidR="12B991AA" w:rsidRPr="5964CDA8">
              <w:rPr>
                <w:rFonts w:eastAsia="Arial" w:cs="Arial"/>
                <w:i/>
                <w:iCs/>
                <w:sz w:val="22"/>
                <w:szCs w:val="22"/>
              </w:rPr>
              <w:t xml:space="preserve">picture </w:t>
            </w:r>
            <w:r w:rsidR="351CD591" w:rsidRPr="5964CDA8">
              <w:rPr>
                <w:rFonts w:eastAsia="Arial" w:cs="Arial"/>
                <w:i/>
                <w:iCs/>
                <w:sz w:val="22"/>
                <w:szCs w:val="22"/>
              </w:rPr>
              <w:t>on the average timeline over a specific period</w:t>
            </w:r>
            <w:r w:rsidRPr="5964CDA8">
              <w:rPr>
                <w:rFonts w:eastAsia="Arial" w:cs="Arial"/>
                <w:i/>
                <w:iCs/>
                <w:sz w:val="22"/>
                <w:szCs w:val="22"/>
              </w:rPr>
              <w:t xml:space="preserve"> and adjust targets as following: - 2023: 12 months - 2024: 10 months The Board agreed to this proposal.</w:t>
            </w:r>
            <w:r w:rsidR="2ABD2FC6" w:rsidRPr="5964CDA8">
              <w:rPr>
                <w:rFonts w:eastAsia="Arial" w:cs="Arial"/>
                <w:i/>
                <w:iCs/>
                <w:sz w:val="22"/>
                <w:szCs w:val="22"/>
              </w:rPr>
              <w:t xml:space="preserve"> As the project portfolio matures with </w:t>
            </w:r>
            <w:r w:rsidR="0A3BA1CC" w:rsidRPr="5964CDA8">
              <w:rPr>
                <w:rFonts w:eastAsia="Arial" w:cs="Arial"/>
                <w:i/>
                <w:iCs/>
                <w:sz w:val="22"/>
                <w:szCs w:val="22"/>
              </w:rPr>
              <w:t xml:space="preserve">further </w:t>
            </w:r>
            <w:r w:rsidR="2ABD2FC6" w:rsidRPr="5964CDA8">
              <w:rPr>
                <w:rFonts w:eastAsia="Arial" w:cs="Arial"/>
                <w:i/>
                <w:iCs/>
                <w:sz w:val="22"/>
                <w:szCs w:val="22"/>
              </w:rPr>
              <w:t>projects coming to completion which benefit from enhanced TSU support, it is expected that the average times will decrease</w:t>
            </w:r>
            <w:r w:rsidR="2A027069" w:rsidRPr="5964CDA8">
              <w:rPr>
                <w:rFonts w:eastAsia="Arial" w:cs="Arial"/>
                <w:i/>
                <w:iCs/>
                <w:sz w:val="22"/>
                <w:szCs w:val="22"/>
              </w:rPr>
              <w:t xml:space="preserve"> whilst the ambition is simultaneously raised</w:t>
            </w:r>
            <w:r w:rsidR="2ABD2FC6" w:rsidRPr="5964CDA8">
              <w:rPr>
                <w:rFonts w:eastAsia="Arial" w:cs="Arial"/>
                <w:i/>
                <w:iCs/>
                <w:sz w:val="22"/>
                <w:szCs w:val="22"/>
              </w:rPr>
              <w:t>.</w:t>
            </w:r>
          </w:p>
        </w:tc>
      </w:tr>
      <w:tr w:rsidR="008E4B7B" w:rsidRPr="00D80C6C" w14:paraId="5E8BBE54" w14:textId="77777777" w:rsidTr="5964CDA8">
        <w:trPr>
          <w:trHeight w:val="300"/>
        </w:trPr>
        <w:tc>
          <w:tcPr>
            <w:tcW w:w="2521" w:type="dxa"/>
            <w:tcBorders>
              <w:top w:val="single" w:sz="4" w:space="0" w:color="auto"/>
              <w:left w:val="single" w:sz="4" w:space="0" w:color="auto"/>
              <w:bottom w:val="single" w:sz="4" w:space="0" w:color="auto"/>
              <w:right w:val="single" w:sz="4" w:space="0" w:color="auto"/>
            </w:tcBorders>
          </w:tcPr>
          <w:p w14:paraId="666FB8C4" w14:textId="0FB9D17C" w:rsidR="008E4B7B" w:rsidRPr="00045A11" w:rsidRDefault="5A12798E" w:rsidP="008A07BD">
            <w:pPr>
              <w:rPr>
                <w:rFonts w:eastAsia="Arial" w:cs="Arial"/>
                <w:sz w:val="22"/>
                <w:szCs w:val="22"/>
              </w:rPr>
            </w:pPr>
            <w:r w:rsidRPr="7849A67F">
              <w:rPr>
                <w:rFonts w:eastAsia="Arial" w:cs="Arial"/>
                <w:sz w:val="22"/>
                <w:szCs w:val="22"/>
              </w:rPr>
              <w:lastRenderedPageBreak/>
              <w:t xml:space="preserve">1.4.b) </w:t>
            </w:r>
            <w:r w:rsidR="58F6431A" w:rsidRPr="7849A67F">
              <w:rPr>
                <w:rFonts w:eastAsia="Arial" w:cs="Arial"/>
                <w:sz w:val="22"/>
                <w:szCs w:val="22"/>
              </w:rPr>
              <w:t>Percentage of annual estimated funding spent by Mitigation Action Facility within the reporting year</w:t>
            </w:r>
          </w:p>
        </w:tc>
        <w:tc>
          <w:tcPr>
            <w:tcW w:w="1500" w:type="dxa"/>
            <w:tcBorders>
              <w:top w:val="single" w:sz="4" w:space="0" w:color="auto"/>
              <w:left w:val="single" w:sz="4" w:space="0" w:color="auto"/>
              <w:bottom w:val="single" w:sz="4" w:space="0" w:color="auto"/>
              <w:right w:val="single" w:sz="4" w:space="0" w:color="auto"/>
            </w:tcBorders>
          </w:tcPr>
          <w:p w14:paraId="671020ED" w14:textId="20287498" w:rsidR="008E4B7B" w:rsidRPr="00045A11" w:rsidRDefault="58F6431A" w:rsidP="008A07BD">
            <w:pPr>
              <w:rPr>
                <w:rFonts w:eastAsia="Arial" w:cs="Arial"/>
                <w:sz w:val="22"/>
                <w:szCs w:val="22"/>
              </w:rPr>
            </w:pPr>
            <w:r w:rsidRPr="7849A67F">
              <w:rPr>
                <w:rFonts w:eastAsia="Arial" w:cs="Arial"/>
                <w:sz w:val="22"/>
                <w:szCs w:val="22"/>
              </w:rPr>
              <w:t>75</w:t>
            </w:r>
            <w:r w:rsidR="5A12798E" w:rsidRPr="7849A67F">
              <w:rPr>
                <w:rFonts w:eastAsia="Arial" w:cs="Arial"/>
                <w:sz w:val="22"/>
                <w:szCs w:val="22"/>
              </w:rPr>
              <w:t>%</w:t>
            </w:r>
          </w:p>
        </w:tc>
        <w:tc>
          <w:tcPr>
            <w:tcW w:w="5046" w:type="dxa"/>
            <w:tcBorders>
              <w:top w:val="single" w:sz="4" w:space="0" w:color="auto"/>
              <w:left w:val="single" w:sz="4" w:space="0" w:color="auto"/>
              <w:bottom w:val="single" w:sz="4" w:space="0" w:color="auto"/>
              <w:right w:val="single" w:sz="4" w:space="0" w:color="auto"/>
            </w:tcBorders>
          </w:tcPr>
          <w:p w14:paraId="27EFF5F2" w14:textId="666A3998" w:rsidR="00626461" w:rsidRPr="00045A11" w:rsidRDefault="14D9D1B5" w:rsidP="008A07BD">
            <w:pPr>
              <w:contextualSpacing/>
              <w:rPr>
                <w:rFonts w:eastAsia="Arial" w:cs="Arial"/>
                <w:b/>
                <w:bCs/>
                <w:sz w:val="22"/>
                <w:szCs w:val="22"/>
                <w:u w:val="single"/>
              </w:rPr>
            </w:pPr>
            <w:r w:rsidRPr="0A0530F7">
              <w:rPr>
                <w:rFonts w:eastAsia="Arial" w:cs="Arial"/>
                <w:b/>
                <w:bCs/>
                <w:sz w:val="22"/>
                <w:szCs w:val="22"/>
                <w:u w:val="single"/>
              </w:rPr>
              <w:t>Progress moderately exceeded expectation</w:t>
            </w:r>
            <w:r w:rsidR="69BC59C7" w:rsidRPr="0A0530F7">
              <w:rPr>
                <w:rFonts w:eastAsia="Arial" w:cs="Arial"/>
                <w:b/>
                <w:bCs/>
                <w:sz w:val="22"/>
                <w:szCs w:val="22"/>
                <w:u w:val="single"/>
              </w:rPr>
              <w:t xml:space="preserve"> (1</w:t>
            </w:r>
            <w:r w:rsidR="692ABFED" w:rsidRPr="0A0530F7">
              <w:rPr>
                <w:rFonts w:eastAsia="Arial" w:cs="Arial"/>
                <w:b/>
                <w:bCs/>
                <w:sz w:val="22"/>
                <w:szCs w:val="22"/>
                <w:u w:val="single"/>
              </w:rPr>
              <w:t>13</w:t>
            </w:r>
            <w:r w:rsidR="51340857" w:rsidRPr="0A0530F7">
              <w:rPr>
                <w:rFonts w:eastAsia="Arial" w:cs="Arial"/>
                <w:b/>
                <w:bCs/>
                <w:sz w:val="22"/>
                <w:szCs w:val="22"/>
                <w:u w:val="single"/>
              </w:rPr>
              <w:t>.</w:t>
            </w:r>
            <w:r w:rsidR="468101BA" w:rsidRPr="0A0530F7">
              <w:rPr>
                <w:rFonts w:eastAsia="Arial" w:cs="Arial"/>
                <w:b/>
                <w:bCs/>
                <w:sz w:val="22"/>
                <w:szCs w:val="22"/>
                <w:u w:val="single"/>
              </w:rPr>
              <w:t>1%</w:t>
            </w:r>
            <w:r w:rsidR="69BC59C7" w:rsidRPr="0A0530F7">
              <w:rPr>
                <w:rFonts w:eastAsia="Arial" w:cs="Arial"/>
                <w:b/>
                <w:bCs/>
                <w:sz w:val="22"/>
                <w:szCs w:val="22"/>
                <w:u w:val="single"/>
              </w:rPr>
              <w:t>)</w:t>
            </w:r>
          </w:p>
          <w:p w14:paraId="4D156DD3" w14:textId="45E750B6" w:rsidR="006B7EDD" w:rsidRPr="00045A11" w:rsidRDefault="25ACFF0D" w:rsidP="0A0530F7">
            <w:pPr>
              <w:contextualSpacing/>
              <w:rPr>
                <w:rFonts w:eastAsia="Arial" w:cs="Arial"/>
                <w:i/>
                <w:iCs/>
                <w:sz w:val="22"/>
                <w:szCs w:val="22"/>
              </w:rPr>
            </w:pPr>
            <w:r w:rsidRPr="0A0530F7">
              <w:rPr>
                <w:rFonts w:eastAsia="Arial" w:cs="Arial"/>
                <w:i/>
                <w:iCs/>
                <w:sz w:val="22"/>
                <w:szCs w:val="22"/>
              </w:rPr>
              <w:t>202</w:t>
            </w:r>
            <w:r w:rsidR="64019192" w:rsidRPr="0A0530F7">
              <w:rPr>
                <w:rFonts w:eastAsia="Arial" w:cs="Arial"/>
                <w:i/>
                <w:iCs/>
                <w:sz w:val="22"/>
                <w:szCs w:val="22"/>
              </w:rPr>
              <w:t>3</w:t>
            </w:r>
            <w:r w:rsidRPr="0A0530F7">
              <w:rPr>
                <w:rFonts w:eastAsia="Arial" w:cs="Arial"/>
                <w:i/>
                <w:iCs/>
                <w:sz w:val="22"/>
                <w:szCs w:val="22"/>
              </w:rPr>
              <w:t xml:space="preserve">: </w:t>
            </w:r>
            <w:r w:rsidR="75FA20F8" w:rsidRPr="0A0530F7">
              <w:rPr>
                <w:rFonts w:eastAsia="Arial" w:cs="Arial"/>
                <w:i/>
                <w:iCs/>
                <w:sz w:val="22"/>
                <w:szCs w:val="22"/>
              </w:rPr>
              <w:t>8</w:t>
            </w:r>
            <w:r w:rsidR="3D072602" w:rsidRPr="0A0530F7">
              <w:rPr>
                <w:rFonts w:eastAsia="Arial" w:cs="Arial"/>
                <w:i/>
                <w:iCs/>
                <w:sz w:val="22"/>
                <w:szCs w:val="22"/>
              </w:rPr>
              <w:t>5</w:t>
            </w:r>
            <w:r w:rsidRPr="0A0530F7">
              <w:rPr>
                <w:rFonts w:eastAsia="Arial" w:cs="Arial"/>
                <w:i/>
                <w:iCs/>
                <w:sz w:val="22"/>
                <w:szCs w:val="22"/>
              </w:rPr>
              <w:t>%</w:t>
            </w:r>
          </w:p>
          <w:p w14:paraId="70CC0940" w14:textId="0289FA73" w:rsidR="006B7EDD" w:rsidRPr="00045A11" w:rsidRDefault="65A28B17" w:rsidP="0A0530F7">
            <w:pPr>
              <w:contextualSpacing/>
              <w:rPr>
                <w:rFonts w:eastAsia="Arial" w:cs="Arial"/>
                <w:i/>
                <w:iCs/>
                <w:sz w:val="22"/>
                <w:szCs w:val="22"/>
              </w:rPr>
            </w:pPr>
            <w:r w:rsidRPr="0A0530F7">
              <w:rPr>
                <w:rFonts w:eastAsia="Arial" w:cs="Arial"/>
                <w:i/>
                <w:iCs/>
                <w:sz w:val="22"/>
                <w:szCs w:val="22"/>
              </w:rPr>
              <w:t>This is an increase from 2022 (51%)</w:t>
            </w:r>
            <w:r w:rsidR="51348061" w:rsidRPr="0A0530F7">
              <w:rPr>
                <w:rFonts w:eastAsia="Arial" w:cs="Arial"/>
                <w:i/>
                <w:iCs/>
                <w:sz w:val="22"/>
                <w:szCs w:val="22"/>
              </w:rPr>
              <w:t xml:space="preserve"> and is also in </w:t>
            </w:r>
            <w:r w:rsidR="4AAF71D8" w:rsidRPr="0A0530F7">
              <w:rPr>
                <w:rFonts w:eastAsia="Arial" w:cs="Arial"/>
                <w:i/>
                <w:iCs/>
                <w:sz w:val="22"/>
                <w:szCs w:val="22"/>
              </w:rPr>
              <w:t>its</w:t>
            </w:r>
            <w:r w:rsidR="51348061" w:rsidRPr="0A0530F7">
              <w:rPr>
                <w:rFonts w:eastAsia="Arial" w:cs="Arial"/>
                <w:i/>
                <w:iCs/>
                <w:sz w:val="22"/>
                <w:szCs w:val="22"/>
              </w:rPr>
              <w:t xml:space="preserve"> second year as a </w:t>
            </w:r>
            <w:proofErr w:type="spellStart"/>
            <w:r w:rsidR="51348061" w:rsidRPr="0A0530F7">
              <w:rPr>
                <w:rFonts w:eastAsia="Arial" w:cs="Arial"/>
                <w:i/>
                <w:iCs/>
                <w:sz w:val="22"/>
                <w:szCs w:val="22"/>
              </w:rPr>
              <w:t>subindicator</w:t>
            </w:r>
            <w:proofErr w:type="spellEnd"/>
            <w:r w:rsidR="51348061" w:rsidRPr="0A0530F7">
              <w:rPr>
                <w:rFonts w:eastAsia="Arial" w:cs="Arial"/>
                <w:i/>
                <w:iCs/>
                <w:sz w:val="22"/>
                <w:szCs w:val="22"/>
              </w:rPr>
              <w:t xml:space="preserve"> so will require </w:t>
            </w:r>
            <w:r w:rsidR="7D224ABB" w:rsidRPr="0A0530F7">
              <w:rPr>
                <w:rFonts w:eastAsia="Arial" w:cs="Arial"/>
                <w:i/>
                <w:iCs/>
                <w:sz w:val="22"/>
                <w:szCs w:val="22"/>
              </w:rPr>
              <w:t>continuous</w:t>
            </w:r>
            <w:r w:rsidR="51348061" w:rsidRPr="0A0530F7">
              <w:rPr>
                <w:rFonts w:eastAsia="Arial" w:cs="Arial"/>
                <w:i/>
                <w:iCs/>
                <w:sz w:val="22"/>
                <w:szCs w:val="22"/>
              </w:rPr>
              <w:t xml:space="preserve"> monitoring.</w:t>
            </w:r>
          </w:p>
        </w:tc>
      </w:tr>
      <w:tr w:rsidR="008E4B7B" w:rsidRPr="00D80C6C" w14:paraId="1532E6B3" w14:textId="77777777" w:rsidTr="5964CDA8">
        <w:trPr>
          <w:trHeight w:val="300"/>
        </w:trPr>
        <w:tc>
          <w:tcPr>
            <w:tcW w:w="2521" w:type="dxa"/>
            <w:tcBorders>
              <w:top w:val="single" w:sz="4" w:space="0" w:color="auto"/>
              <w:left w:val="single" w:sz="4" w:space="0" w:color="auto"/>
              <w:bottom w:val="single" w:sz="4" w:space="0" w:color="auto"/>
              <w:right w:val="single" w:sz="4" w:space="0" w:color="auto"/>
            </w:tcBorders>
          </w:tcPr>
          <w:p w14:paraId="21343395" w14:textId="2DC122BE" w:rsidR="008E4B7B" w:rsidRPr="00045A11" w:rsidRDefault="5A12798E" w:rsidP="008A07BD">
            <w:pPr>
              <w:rPr>
                <w:rFonts w:eastAsia="Arial" w:cs="Arial"/>
                <w:sz w:val="22"/>
                <w:szCs w:val="22"/>
              </w:rPr>
            </w:pPr>
            <w:r w:rsidRPr="7849A67F">
              <w:rPr>
                <w:rFonts w:eastAsia="Arial" w:cs="Arial"/>
                <w:sz w:val="22"/>
                <w:szCs w:val="22"/>
              </w:rPr>
              <w:t xml:space="preserve">1.4.c) </w:t>
            </w:r>
            <w:r w:rsidR="050536E0" w:rsidRPr="7849A67F">
              <w:rPr>
                <w:rFonts w:eastAsia="Arial" w:cs="Arial"/>
                <w:sz w:val="22"/>
                <w:szCs w:val="22"/>
              </w:rPr>
              <w:t>Percentage of Implementation Organisations that consider Mitigation Action Facility implementation support to be valuable</w:t>
            </w:r>
          </w:p>
        </w:tc>
        <w:tc>
          <w:tcPr>
            <w:tcW w:w="1500" w:type="dxa"/>
            <w:tcBorders>
              <w:top w:val="single" w:sz="4" w:space="0" w:color="auto"/>
              <w:left w:val="single" w:sz="4" w:space="0" w:color="auto"/>
              <w:bottom w:val="single" w:sz="4" w:space="0" w:color="auto"/>
              <w:right w:val="single" w:sz="4" w:space="0" w:color="auto"/>
            </w:tcBorders>
          </w:tcPr>
          <w:p w14:paraId="6AABA681" w14:textId="72CBAFCE" w:rsidR="008E4B7B" w:rsidRPr="00045A11" w:rsidRDefault="050536E0" w:rsidP="008A07BD">
            <w:pPr>
              <w:rPr>
                <w:rFonts w:eastAsia="Arial" w:cs="Arial"/>
                <w:sz w:val="22"/>
                <w:szCs w:val="22"/>
              </w:rPr>
            </w:pPr>
            <w:r w:rsidRPr="7849A67F">
              <w:rPr>
                <w:rFonts w:eastAsia="Arial" w:cs="Arial"/>
                <w:sz w:val="22"/>
                <w:szCs w:val="22"/>
              </w:rPr>
              <w:t>85%</w:t>
            </w:r>
          </w:p>
        </w:tc>
        <w:tc>
          <w:tcPr>
            <w:tcW w:w="5046" w:type="dxa"/>
            <w:tcBorders>
              <w:top w:val="single" w:sz="4" w:space="0" w:color="auto"/>
              <w:left w:val="single" w:sz="4" w:space="0" w:color="auto"/>
              <w:bottom w:val="single" w:sz="4" w:space="0" w:color="auto"/>
              <w:right w:val="single" w:sz="4" w:space="0" w:color="auto"/>
            </w:tcBorders>
          </w:tcPr>
          <w:p w14:paraId="7BAE6E4C" w14:textId="498CC61E" w:rsidR="0039615C" w:rsidRPr="00045A11" w:rsidRDefault="2072AFD4" w:rsidP="008A07BD">
            <w:pPr>
              <w:contextualSpacing/>
              <w:rPr>
                <w:rFonts w:eastAsia="Arial" w:cs="Arial"/>
                <w:b/>
                <w:bCs/>
                <w:sz w:val="22"/>
                <w:szCs w:val="22"/>
                <w:u w:val="single"/>
              </w:rPr>
            </w:pPr>
            <w:r w:rsidRPr="7849A67F">
              <w:rPr>
                <w:rFonts w:eastAsia="Arial" w:cs="Arial"/>
                <w:b/>
                <w:bCs/>
                <w:sz w:val="22"/>
                <w:szCs w:val="22"/>
                <w:u w:val="single"/>
              </w:rPr>
              <w:t xml:space="preserve">Progress moderately </w:t>
            </w:r>
            <w:r w:rsidR="5840F624" w:rsidRPr="7849A67F">
              <w:rPr>
                <w:rFonts w:eastAsia="Arial" w:cs="Arial"/>
                <w:b/>
                <w:bCs/>
                <w:sz w:val="22"/>
                <w:szCs w:val="22"/>
                <w:u w:val="single"/>
              </w:rPr>
              <w:t>exceeded</w:t>
            </w:r>
            <w:r w:rsidRPr="7849A67F">
              <w:rPr>
                <w:rFonts w:eastAsia="Arial" w:cs="Arial"/>
                <w:b/>
                <w:bCs/>
                <w:sz w:val="22"/>
                <w:szCs w:val="22"/>
                <w:u w:val="single"/>
              </w:rPr>
              <w:t xml:space="preserve"> expectation</w:t>
            </w:r>
            <w:r w:rsidR="2DCA5146" w:rsidRPr="7849A67F">
              <w:rPr>
                <w:rFonts w:eastAsia="Arial" w:cs="Arial"/>
                <w:b/>
                <w:bCs/>
                <w:sz w:val="22"/>
                <w:szCs w:val="22"/>
                <w:u w:val="single"/>
              </w:rPr>
              <w:t xml:space="preserve"> (</w:t>
            </w:r>
            <w:r w:rsidR="10D2B5F1" w:rsidRPr="7849A67F">
              <w:rPr>
                <w:rFonts w:eastAsia="Arial" w:cs="Arial"/>
                <w:b/>
                <w:bCs/>
                <w:sz w:val="22"/>
                <w:szCs w:val="22"/>
                <w:u w:val="single"/>
              </w:rPr>
              <w:t>110</w:t>
            </w:r>
            <w:r w:rsidR="2DCA5146" w:rsidRPr="7849A67F">
              <w:rPr>
                <w:rFonts w:eastAsia="Arial" w:cs="Arial"/>
                <w:b/>
                <w:bCs/>
                <w:sz w:val="22"/>
                <w:szCs w:val="22"/>
                <w:u w:val="single"/>
              </w:rPr>
              <w:t>%)</w:t>
            </w:r>
          </w:p>
          <w:p w14:paraId="3BF3356A" w14:textId="61E78A6F" w:rsidR="006B7EDD" w:rsidRPr="00045A11" w:rsidRDefault="78421E5D" w:rsidP="008A07BD">
            <w:pPr>
              <w:contextualSpacing/>
              <w:rPr>
                <w:rFonts w:eastAsia="Arial" w:cs="Arial"/>
                <w:i/>
                <w:iCs/>
                <w:sz w:val="22"/>
                <w:szCs w:val="22"/>
              </w:rPr>
            </w:pPr>
            <w:r w:rsidRPr="7849A67F">
              <w:rPr>
                <w:rFonts w:eastAsia="Arial" w:cs="Arial"/>
                <w:i/>
                <w:iCs/>
                <w:sz w:val="22"/>
                <w:szCs w:val="22"/>
              </w:rPr>
              <w:t>202</w:t>
            </w:r>
            <w:r w:rsidR="23D07D28" w:rsidRPr="7849A67F">
              <w:rPr>
                <w:rFonts w:eastAsia="Arial" w:cs="Arial"/>
                <w:i/>
                <w:iCs/>
                <w:sz w:val="22"/>
                <w:szCs w:val="22"/>
              </w:rPr>
              <w:t>3</w:t>
            </w:r>
            <w:r w:rsidRPr="7849A67F">
              <w:rPr>
                <w:rFonts w:eastAsia="Arial" w:cs="Arial"/>
                <w:i/>
                <w:iCs/>
                <w:sz w:val="22"/>
                <w:szCs w:val="22"/>
              </w:rPr>
              <w:t xml:space="preserve">: </w:t>
            </w:r>
            <w:r w:rsidR="37CDDE61" w:rsidRPr="7849A67F">
              <w:rPr>
                <w:rFonts w:eastAsia="Arial" w:cs="Arial"/>
                <w:i/>
                <w:iCs/>
                <w:sz w:val="22"/>
                <w:szCs w:val="22"/>
              </w:rPr>
              <w:t>93.33%</w:t>
            </w:r>
          </w:p>
          <w:p w14:paraId="561F98B9" w14:textId="4F1CBE15" w:rsidR="00FD250A" w:rsidRPr="00045A11" w:rsidRDefault="00FD250A" w:rsidP="008A07BD">
            <w:pPr>
              <w:contextualSpacing/>
              <w:rPr>
                <w:rFonts w:eastAsia="Arial" w:cs="Arial"/>
                <w:sz w:val="22"/>
                <w:szCs w:val="22"/>
              </w:rPr>
            </w:pPr>
            <w:r w:rsidRPr="070E59A4">
              <w:rPr>
                <w:rFonts w:eastAsia="Arial" w:cs="Arial"/>
                <w:sz w:val="22"/>
                <w:szCs w:val="22"/>
              </w:rPr>
              <w:t xml:space="preserve">The targets were set based on portfolio projections in 2015/2016. Various projects have since been extended, e.g. Costa Rica Coffee and China Waste Management. Other projects have extended their implementation timeframe due to the separate execution of FC and TC, e.g. Chile SSRE. Other projects have been terminated, e.g. Mexico Sugar Mills and Brazil Beef. Extensions are rather standard for Project implementation and are often based on good reasons, just as for terminations. </w:t>
            </w:r>
          </w:p>
        </w:tc>
      </w:tr>
    </w:tbl>
    <w:p w14:paraId="0E275E28" w14:textId="1C8B3587" w:rsidR="00BA3B2A" w:rsidRDefault="00BA3B2A" w:rsidP="001B4FD0">
      <w:pPr>
        <w:rPr>
          <w:rFonts w:eastAsia="Arial"/>
        </w:rPr>
      </w:pPr>
    </w:p>
    <w:p w14:paraId="08AB1D93" w14:textId="462AABD9" w:rsidR="003D222C" w:rsidRPr="00D80C6C" w:rsidRDefault="00C02966" w:rsidP="07AF1209">
      <w:pPr>
        <w:jc w:val="both"/>
        <w:rPr>
          <w:rFonts w:eastAsia="Arial" w:cs="Arial"/>
          <w:b/>
          <w:i/>
          <w:sz w:val="22"/>
          <w:szCs w:val="22"/>
        </w:rPr>
      </w:pPr>
      <w:r w:rsidRPr="070E59A4">
        <w:rPr>
          <w:rFonts w:eastAsia="Arial" w:cs="Arial"/>
          <w:b/>
          <w:i/>
          <w:sz w:val="28"/>
          <w:szCs w:val="28"/>
        </w:rPr>
        <w:t>O</w:t>
      </w:r>
      <w:r w:rsidR="003D222C" w:rsidRPr="070E59A4">
        <w:rPr>
          <w:rFonts w:eastAsia="Arial" w:cs="Arial"/>
          <w:b/>
          <w:i/>
          <w:sz w:val="28"/>
          <w:szCs w:val="28"/>
        </w:rPr>
        <w:t>utput</w:t>
      </w:r>
      <w:r w:rsidRPr="070E59A4">
        <w:rPr>
          <w:rFonts w:eastAsia="Arial" w:cs="Arial"/>
          <w:b/>
          <w:i/>
          <w:sz w:val="28"/>
          <w:szCs w:val="28"/>
        </w:rPr>
        <w:t xml:space="preserve"> summary</w:t>
      </w:r>
      <w:r w:rsidR="003D222C" w:rsidRPr="070E59A4">
        <w:rPr>
          <w:rFonts w:eastAsia="Arial" w:cs="Arial"/>
          <w:b/>
          <w:i/>
          <w:sz w:val="28"/>
          <w:szCs w:val="28"/>
        </w:rPr>
        <w:t xml:space="preserve"> and supporting narrative for the score</w:t>
      </w:r>
      <w:r w:rsidR="003D222C" w:rsidRPr="070E59A4">
        <w:rPr>
          <w:rFonts w:eastAsia="Arial" w:cs="Arial"/>
          <w:b/>
          <w:i/>
          <w:sz w:val="22"/>
          <w:szCs w:val="22"/>
        </w:rPr>
        <w:t xml:space="preserve"> </w:t>
      </w:r>
    </w:p>
    <w:p w14:paraId="279A4EAB" w14:textId="01C02DF7" w:rsidR="003D222C" w:rsidRPr="00D80C6C" w:rsidRDefault="003D222C" w:rsidP="07AF1209">
      <w:pPr>
        <w:jc w:val="both"/>
        <w:rPr>
          <w:rFonts w:eastAsia="Arial" w:cs="Arial"/>
          <w:sz w:val="22"/>
          <w:szCs w:val="22"/>
        </w:rPr>
      </w:pPr>
    </w:p>
    <w:p w14:paraId="67D55174" w14:textId="6A64E92C" w:rsidR="003F5D6F" w:rsidRPr="00D85AD8" w:rsidRDefault="00717407" w:rsidP="07AF1209">
      <w:pPr>
        <w:pStyle w:val="ListParagraph"/>
        <w:numPr>
          <w:ilvl w:val="0"/>
          <w:numId w:val="6"/>
        </w:numPr>
        <w:jc w:val="both"/>
        <w:rPr>
          <w:rFonts w:eastAsia="Arial" w:cs="Arial"/>
          <w:sz w:val="22"/>
          <w:szCs w:val="22"/>
        </w:rPr>
      </w:pPr>
      <w:r w:rsidRPr="7849A67F">
        <w:rPr>
          <w:rFonts w:eastAsia="Arial" w:cs="Arial"/>
          <w:sz w:val="22"/>
          <w:szCs w:val="22"/>
        </w:rPr>
        <w:t xml:space="preserve">Output 1 </w:t>
      </w:r>
      <w:r w:rsidR="00B8183F" w:rsidRPr="7849A67F">
        <w:rPr>
          <w:rFonts w:eastAsia="Arial" w:cs="Arial"/>
          <w:sz w:val="22"/>
          <w:szCs w:val="22"/>
        </w:rPr>
        <w:t xml:space="preserve">measures MAF’s ability to </w:t>
      </w:r>
      <w:r w:rsidR="00133AA5" w:rsidRPr="7849A67F">
        <w:rPr>
          <w:rFonts w:eastAsia="Arial" w:cs="Arial"/>
          <w:sz w:val="22"/>
          <w:szCs w:val="22"/>
        </w:rPr>
        <w:t>award and disburse</w:t>
      </w:r>
      <w:r w:rsidR="005E60E1" w:rsidRPr="7849A67F">
        <w:rPr>
          <w:rFonts w:eastAsia="Arial" w:cs="Arial"/>
          <w:sz w:val="22"/>
          <w:szCs w:val="22"/>
        </w:rPr>
        <w:t xml:space="preserve"> </w:t>
      </w:r>
      <w:r w:rsidR="00BA3E88" w:rsidRPr="7849A67F">
        <w:rPr>
          <w:rFonts w:eastAsia="Arial" w:cs="Arial"/>
          <w:sz w:val="22"/>
          <w:szCs w:val="22"/>
        </w:rPr>
        <w:t>funding for climate mitigation</w:t>
      </w:r>
      <w:r w:rsidR="00133AA5" w:rsidRPr="7849A67F">
        <w:rPr>
          <w:rFonts w:eastAsia="Arial" w:cs="Arial"/>
          <w:sz w:val="22"/>
          <w:szCs w:val="22"/>
        </w:rPr>
        <w:t xml:space="preserve"> activities</w:t>
      </w:r>
      <w:r w:rsidR="00BA3E88" w:rsidRPr="7849A67F">
        <w:rPr>
          <w:rFonts w:eastAsia="Arial" w:cs="Arial"/>
          <w:sz w:val="22"/>
          <w:szCs w:val="22"/>
        </w:rPr>
        <w:t xml:space="preserve">. </w:t>
      </w:r>
      <w:r w:rsidR="7C8FAB48" w:rsidRPr="7849A67F">
        <w:rPr>
          <w:rFonts w:eastAsia="Arial" w:cs="Arial"/>
          <w:sz w:val="22"/>
          <w:szCs w:val="22"/>
        </w:rPr>
        <w:t>N</w:t>
      </w:r>
      <w:r w:rsidR="003F5D6F" w:rsidRPr="7849A67F">
        <w:rPr>
          <w:rFonts w:eastAsia="Arial" w:cs="Arial"/>
          <w:sz w:val="22"/>
          <w:szCs w:val="22"/>
        </w:rPr>
        <w:t>otable indicator success</w:t>
      </w:r>
      <w:r w:rsidR="6D10FCC3" w:rsidRPr="7849A67F">
        <w:rPr>
          <w:rFonts w:eastAsia="Arial" w:cs="Arial"/>
          <w:sz w:val="22"/>
          <w:szCs w:val="22"/>
        </w:rPr>
        <w:t>es</w:t>
      </w:r>
      <w:r w:rsidR="003F5D6F" w:rsidRPr="7849A67F">
        <w:rPr>
          <w:rFonts w:eastAsia="Arial" w:cs="Arial"/>
          <w:sz w:val="22"/>
          <w:szCs w:val="22"/>
        </w:rPr>
        <w:t xml:space="preserve"> for this output </w:t>
      </w:r>
      <w:r w:rsidR="1CA00773" w:rsidRPr="7849A67F">
        <w:rPr>
          <w:rFonts w:eastAsia="Arial" w:cs="Arial"/>
          <w:sz w:val="22"/>
          <w:szCs w:val="22"/>
        </w:rPr>
        <w:t xml:space="preserve">are the number of different countries applying to Calls for Projects and </w:t>
      </w:r>
      <w:r w:rsidR="003F5D6F" w:rsidRPr="7849A67F">
        <w:rPr>
          <w:rFonts w:eastAsia="Arial" w:cs="Arial"/>
          <w:sz w:val="22"/>
          <w:szCs w:val="22"/>
        </w:rPr>
        <w:t xml:space="preserve">the proportion of </w:t>
      </w:r>
      <w:r w:rsidR="00AA0327" w:rsidRPr="7849A67F">
        <w:rPr>
          <w:rFonts w:eastAsia="Arial" w:cs="Arial"/>
          <w:sz w:val="22"/>
          <w:szCs w:val="22"/>
        </w:rPr>
        <w:t xml:space="preserve">initial </w:t>
      </w:r>
      <w:r w:rsidR="003F5D6F" w:rsidRPr="7849A67F">
        <w:rPr>
          <w:rFonts w:eastAsia="Arial" w:cs="Arial"/>
          <w:sz w:val="22"/>
          <w:szCs w:val="22"/>
        </w:rPr>
        <w:t xml:space="preserve">project eligibility in new funding rounds </w:t>
      </w:r>
      <w:r w:rsidR="00BA3B2A" w:rsidRPr="7849A67F">
        <w:rPr>
          <w:rFonts w:eastAsia="Arial" w:cs="Arial"/>
          <w:sz w:val="22"/>
          <w:szCs w:val="22"/>
        </w:rPr>
        <w:t xml:space="preserve">which </w:t>
      </w:r>
      <w:r w:rsidR="3F1368BA" w:rsidRPr="7849A67F">
        <w:rPr>
          <w:rFonts w:eastAsia="Arial" w:cs="Arial"/>
          <w:sz w:val="22"/>
          <w:szCs w:val="22"/>
        </w:rPr>
        <w:t>both exceeded raised targets for 2023</w:t>
      </w:r>
      <w:r w:rsidR="003F5D6F" w:rsidRPr="7849A67F">
        <w:rPr>
          <w:rFonts w:eastAsia="Arial" w:cs="Arial"/>
          <w:sz w:val="22"/>
          <w:szCs w:val="22"/>
        </w:rPr>
        <w:t xml:space="preserve">. </w:t>
      </w:r>
      <w:r w:rsidR="26BA72F8" w:rsidRPr="7849A67F">
        <w:rPr>
          <w:rFonts w:eastAsia="Arial" w:cs="Arial"/>
          <w:sz w:val="22"/>
          <w:szCs w:val="22"/>
        </w:rPr>
        <w:t xml:space="preserve">106 countries were represented in Call for Projects 2023 applications, of which 91.1% </w:t>
      </w:r>
      <w:r w:rsidR="531BDB60" w:rsidRPr="07AF1209">
        <w:rPr>
          <w:rFonts w:eastAsia="Arial" w:cs="Arial"/>
          <w:sz w:val="22"/>
          <w:szCs w:val="22"/>
        </w:rPr>
        <w:t>applications</w:t>
      </w:r>
      <w:r w:rsidR="01B51AB3" w:rsidRPr="07AF1209">
        <w:rPr>
          <w:rFonts w:eastAsia="Arial" w:cs="Arial"/>
          <w:sz w:val="22"/>
          <w:szCs w:val="22"/>
        </w:rPr>
        <w:t xml:space="preserve"> </w:t>
      </w:r>
      <w:r w:rsidR="26BA72F8" w:rsidRPr="7849A67F">
        <w:rPr>
          <w:rFonts w:eastAsia="Arial" w:cs="Arial"/>
          <w:sz w:val="22"/>
          <w:szCs w:val="22"/>
        </w:rPr>
        <w:t>were deemed eligible.</w:t>
      </w:r>
      <w:r w:rsidR="12A0C547" w:rsidRPr="7849A67F">
        <w:rPr>
          <w:rFonts w:eastAsia="Arial" w:cs="Arial"/>
          <w:sz w:val="22"/>
          <w:szCs w:val="22"/>
        </w:rPr>
        <w:t xml:space="preserve"> The ambition should continue to be raised for these indicator targets in future.</w:t>
      </w:r>
    </w:p>
    <w:p w14:paraId="5F740F7E" w14:textId="62B63301" w:rsidR="00056982" w:rsidRPr="00D85AD8" w:rsidRDefault="65672CB8" w:rsidP="07AF1209">
      <w:pPr>
        <w:pStyle w:val="ListParagraph"/>
        <w:numPr>
          <w:ilvl w:val="0"/>
          <w:numId w:val="6"/>
        </w:numPr>
        <w:jc w:val="both"/>
        <w:rPr>
          <w:rFonts w:eastAsia="Arial" w:cs="Arial"/>
          <w:sz w:val="22"/>
          <w:szCs w:val="22"/>
        </w:rPr>
      </w:pPr>
      <w:r w:rsidRPr="0A0530F7">
        <w:rPr>
          <w:rFonts w:eastAsia="Arial" w:cs="Arial"/>
          <w:sz w:val="22"/>
          <w:szCs w:val="22"/>
        </w:rPr>
        <w:t xml:space="preserve">Two </w:t>
      </w:r>
      <w:r w:rsidR="00306349" w:rsidRPr="0A0530F7">
        <w:rPr>
          <w:rFonts w:eastAsia="Arial" w:cs="Arial"/>
          <w:sz w:val="22"/>
          <w:szCs w:val="22"/>
        </w:rPr>
        <w:t>sub-</w:t>
      </w:r>
      <w:r w:rsidR="00B16833" w:rsidRPr="0A0530F7">
        <w:rPr>
          <w:rFonts w:eastAsia="Arial" w:cs="Arial"/>
          <w:sz w:val="22"/>
          <w:szCs w:val="22"/>
        </w:rPr>
        <w:t>indicators score</w:t>
      </w:r>
      <w:r w:rsidR="5451F9CB" w:rsidRPr="0A0530F7">
        <w:rPr>
          <w:rFonts w:eastAsia="Arial" w:cs="Arial"/>
          <w:sz w:val="22"/>
          <w:szCs w:val="22"/>
        </w:rPr>
        <w:t>d</w:t>
      </w:r>
      <w:r w:rsidR="00B16833" w:rsidRPr="0A0530F7">
        <w:rPr>
          <w:rFonts w:eastAsia="Arial" w:cs="Arial"/>
          <w:sz w:val="22"/>
          <w:szCs w:val="22"/>
        </w:rPr>
        <w:t xml:space="preserve"> poorly</w:t>
      </w:r>
      <w:r w:rsidR="00216F7B" w:rsidRPr="0A0530F7">
        <w:rPr>
          <w:rFonts w:eastAsia="Arial" w:cs="Arial"/>
          <w:sz w:val="22"/>
          <w:szCs w:val="22"/>
        </w:rPr>
        <w:t xml:space="preserve"> (1.</w:t>
      </w:r>
      <w:r w:rsidR="636847BC" w:rsidRPr="0A0530F7">
        <w:rPr>
          <w:rFonts w:eastAsia="Arial" w:cs="Arial"/>
          <w:sz w:val="22"/>
          <w:szCs w:val="22"/>
        </w:rPr>
        <w:t>3</w:t>
      </w:r>
      <w:r w:rsidR="00216F7B" w:rsidRPr="0A0530F7">
        <w:rPr>
          <w:rFonts w:eastAsia="Arial" w:cs="Arial"/>
          <w:sz w:val="22"/>
          <w:szCs w:val="22"/>
        </w:rPr>
        <w:t>.</w:t>
      </w:r>
      <w:r w:rsidR="37CEDFA1" w:rsidRPr="0A0530F7">
        <w:rPr>
          <w:rFonts w:eastAsia="Arial" w:cs="Arial"/>
          <w:sz w:val="22"/>
          <w:szCs w:val="22"/>
        </w:rPr>
        <w:t>a</w:t>
      </w:r>
      <w:r w:rsidR="00216F7B" w:rsidRPr="0A0530F7">
        <w:rPr>
          <w:rFonts w:eastAsia="Arial" w:cs="Arial"/>
          <w:sz w:val="22"/>
          <w:szCs w:val="22"/>
        </w:rPr>
        <w:t>, and 1.</w:t>
      </w:r>
      <w:r w:rsidR="1E71022F" w:rsidRPr="0A0530F7">
        <w:rPr>
          <w:rFonts w:eastAsia="Arial" w:cs="Arial"/>
          <w:sz w:val="22"/>
          <w:szCs w:val="22"/>
        </w:rPr>
        <w:t>4</w:t>
      </w:r>
      <w:r w:rsidR="00216F7B" w:rsidRPr="0A0530F7">
        <w:rPr>
          <w:rFonts w:eastAsia="Arial" w:cs="Arial"/>
          <w:sz w:val="22"/>
          <w:szCs w:val="22"/>
        </w:rPr>
        <w:t>.</w:t>
      </w:r>
      <w:r w:rsidR="06B21952" w:rsidRPr="0A0530F7">
        <w:rPr>
          <w:rFonts w:eastAsia="Arial" w:cs="Arial"/>
          <w:sz w:val="22"/>
          <w:szCs w:val="22"/>
        </w:rPr>
        <w:t>a</w:t>
      </w:r>
      <w:r w:rsidR="00216F7B" w:rsidRPr="0A0530F7">
        <w:rPr>
          <w:rFonts w:eastAsia="Arial" w:cs="Arial"/>
          <w:sz w:val="22"/>
          <w:szCs w:val="22"/>
        </w:rPr>
        <w:t>)</w:t>
      </w:r>
      <w:r w:rsidR="749DDF2F" w:rsidRPr="0A0530F7">
        <w:rPr>
          <w:rFonts w:eastAsia="Arial" w:cs="Arial"/>
          <w:sz w:val="22"/>
          <w:szCs w:val="22"/>
        </w:rPr>
        <w:t xml:space="preserve">: </w:t>
      </w:r>
      <w:r w:rsidR="76611F45" w:rsidRPr="0A0530F7">
        <w:rPr>
          <w:rFonts w:eastAsia="Arial" w:cs="Arial"/>
          <w:sz w:val="22"/>
          <w:szCs w:val="22"/>
        </w:rPr>
        <w:t>These were, f</w:t>
      </w:r>
      <w:r w:rsidR="2243FDD1" w:rsidRPr="0A0530F7">
        <w:rPr>
          <w:rFonts w:eastAsia="Arial" w:cs="Arial"/>
          <w:sz w:val="22"/>
          <w:szCs w:val="22"/>
        </w:rPr>
        <w:t>irstly,</w:t>
      </w:r>
      <w:r w:rsidR="3135C02C" w:rsidRPr="0A0530F7">
        <w:rPr>
          <w:rFonts w:eastAsia="Arial" w:cs="Arial"/>
          <w:sz w:val="22"/>
          <w:szCs w:val="22"/>
        </w:rPr>
        <w:t xml:space="preserve"> </w:t>
      </w:r>
      <w:r w:rsidR="4804E36A" w:rsidRPr="0A0530F7">
        <w:rPr>
          <w:rFonts w:eastAsia="Arial" w:cs="Arial"/>
          <w:sz w:val="22"/>
          <w:szCs w:val="22"/>
        </w:rPr>
        <w:t>the</w:t>
      </w:r>
      <w:r w:rsidR="50E554DF" w:rsidRPr="0A0530F7">
        <w:rPr>
          <w:rFonts w:eastAsia="Arial" w:cs="Arial"/>
          <w:sz w:val="22"/>
          <w:szCs w:val="22"/>
        </w:rPr>
        <w:t xml:space="preserve"> </w:t>
      </w:r>
      <w:r w:rsidR="749DDF2F" w:rsidRPr="0A0530F7">
        <w:rPr>
          <w:rFonts w:eastAsia="Arial" w:cs="Arial"/>
          <w:sz w:val="22"/>
          <w:szCs w:val="22"/>
        </w:rPr>
        <w:t xml:space="preserve">percentage of projects completed, achieving outcomes and </w:t>
      </w:r>
      <w:r w:rsidR="1D111ACB" w:rsidRPr="0A0530F7">
        <w:rPr>
          <w:rFonts w:eastAsia="Arial" w:cs="Arial"/>
          <w:sz w:val="22"/>
          <w:szCs w:val="22"/>
        </w:rPr>
        <w:t>secondly</w:t>
      </w:r>
      <w:r w:rsidR="749DDF2F" w:rsidRPr="0A0530F7">
        <w:rPr>
          <w:rFonts w:eastAsia="Arial" w:cs="Arial"/>
          <w:sz w:val="22"/>
          <w:szCs w:val="22"/>
        </w:rPr>
        <w:t xml:space="preserve">, </w:t>
      </w:r>
      <w:r w:rsidR="4D90C369" w:rsidRPr="0A0530F7">
        <w:rPr>
          <w:rFonts w:eastAsia="Arial" w:cs="Arial"/>
          <w:sz w:val="22"/>
          <w:szCs w:val="22"/>
        </w:rPr>
        <w:t xml:space="preserve">the </w:t>
      </w:r>
      <w:r w:rsidR="749DDF2F" w:rsidRPr="0A0530F7">
        <w:rPr>
          <w:rFonts w:eastAsia="Arial" w:cs="Arial"/>
          <w:sz w:val="22"/>
          <w:szCs w:val="22"/>
        </w:rPr>
        <w:t>average duration betwe</w:t>
      </w:r>
      <w:r w:rsidR="29BD0D8D" w:rsidRPr="0A0530F7">
        <w:rPr>
          <w:rFonts w:eastAsia="Arial" w:cs="Arial"/>
          <w:sz w:val="22"/>
          <w:szCs w:val="22"/>
        </w:rPr>
        <w:t>en the board’s affirmative decision to the first disbursement of funding.</w:t>
      </w:r>
    </w:p>
    <w:p w14:paraId="28F35B11" w14:textId="1F1A2A04" w:rsidR="00240CE5" w:rsidRPr="00D85AD8" w:rsidRDefault="00240CE5" w:rsidP="07AF1209">
      <w:pPr>
        <w:pStyle w:val="ListParagraph"/>
        <w:numPr>
          <w:ilvl w:val="0"/>
          <w:numId w:val="6"/>
        </w:numPr>
        <w:jc w:val="both"/>
        <w:rPr>
          <w:rFonts w:eastAsia="Arial" w:cs="Arial"/>
          <w:sz w:val="22"/>
          <w:szCs w:val="22"/>
        </w:rPr>
      </w:pPr>
      <w:r w:rsidRPr="0A0530F7">
        <w:rPr>
          <w:rFonts w:eastAsia="Arial" w:cs="Arial"/>
          <w:sz w:val="22"/>
          <w:szCs w:val="22"/>
        </w:rPr>
        <w:t>The common thread</w:t>
      </w:r>
      <w:r w:rsidR="00510277" w:rsidRPr="0A0530F7">
        <w:rPr>
          <w:rFonts w:eastAsia="Arial" w:cs="Arial"/>
          <w:sz w:val="22"/>
          <w:szCs w:val="22"/>
        </w:rPr>
        <w:t xml:space="preserve"> running through the </w:t>
      </w:r>
      <w:r w:rsidR="28159E70" w:rsidRPr="0A0530F7">
        <w:rPr>
          <w:rFonts w:eastAsia="Arial" w:cs="Arial"/>
          <w:sz w:val="22"/>
          <w:szCs w:val="22"/>
        </w:rPr>
        <w:t xml:space="preserve">two </w:t>
      </w:r>
      <w:r w:rsidR="00A34252" w:rsidRPr="0A0530F7">
        <w:rPr>
          <w:rFonts w:eastAsia="Arial" w:cs="Arial"/>
          <w:sz w:val="22"/>
          <w:szCs w:val="22"/>
        </w:rPr>
        <w:t>lower scores</w:t>
      </w:r>
      <w:r w:rsidR="00510277" w:rsidRPr="0A0530F7">
        <w:rPr>
          <w:rFonts w:eastAsia="Arial" w:cs="Arial"/>
          <w:sz w:val="22"/>
          <w:szCs w:val="22"/>
        </w:rPr>
        <w:t xml:space="preserve"> is a combination of </w:t>
      </w:r>
      <w:r w:rsidR="00A36DBD" w:rsidRPr="0A0530F7">
        <w:rPr>
          <w:rFonts w:eastAsia="Arial" w:cs="Arial"/>
          <w:sz w:val="22"/>
          <w:szCs w:val="22"/>
        </w:rPr>
        <w:t>target-setting</w:t>
      </w:r>
      <w:r w:rsidR="00351712" w:rsidRPr="0A0530F7">
        <w:rPr>
          <w:rFonts w:eastAsia="Arial" w:cs="Arial"/>
          <w:sz w:val="22"/>
          <w:szCs w:val="22"/>
        </w:rPr>
        <w:t xml:space="preserve"> based on </w:t>
      </w:r>
      <w:r w:rsidR="002E0D3D" w:rsidRPr="0A0530F7">
        <w:rPr>
          <w:rFonts w:eastAsia="Arial" w:cs="Arial"/>
          <w:sz w:val="22"/>
          <w:szCs w:val="22"/>
        </w:rPr>
        <w:t xml:space="preserve">estimations made </w:t>
      </w:r>
      <w:r w:rsidR="002A2EE6" w:rsidRPr="0A0530F7">
        <w:rPr>
          <w:rFonts w:eastAsia="Arial" w:cs="Arial"/>
          <w:sz w:val="22"/>
          <w:szCs w:val="22"/>
        </w:rPr>
        <w:t>near the start of the programme</w:t>
      </w:r>
      <w:r w:rsidR="00A36DBD" w:rsidRPr="0A0530F7">
        <w:rPr>
          <w:rFonts w:eastAsia="Arial" w:cs="Arial"/>
          <w:sz w:val="22"/>
          <w:szCs w:val="22"/>
        </w:rPr>
        <w:t xml:space="preserve">, </w:t>
      </w:r>
      <w:r w:rsidR="002A2EE6" w:rsidRPr="0A0530F7">
        <w:rPr>
          <w:rFonts w:eastAsia="Arial" w:cs="Arial"/>
          <w:sz w:val="22"/>
          <w:szCs w:val="22"/>
        </w:rPr>
        <w:t xml:space="preserve">now </w:t>
      </w:r>
      <w:r w:rsidR="099E6136" w:rsidRPr="0A0530F7">
        <w:rPr>
          <w:rFonts w:eastAsia="Arial" w:cs="Arial"/>
          <w:sz w:val="22"/>
          <w:szCs w:val="22"/>
        </w:rPr>
        <w:t>adjusted</w:t>
      </w:r>
      <w:r w:rsidR="00904360" w:rsidRPr="0A0530F7">
        <w:rPr>
          <w:rFonts w:eastAsia="Arial" w:cs="Arial"/>
          <w:sz w:val="22"/>
          <w:szCs w:val="22"/>
        </w:rPr>
        <w:t xml:space="preserve"> for 202</w:t>
      </w:r>
      <w:r w:rsidR="0BCBE73C" w:rsidRPr="0A0530F7">
        <w:rPr>
          <w:rFonts w:eastAsia="Arial" w:cs="Arial"/>
          <w:sz w:val="22"/>
          <w:szCs w:val="22"/>
        </w:rPr>
        <w:t>4</w:t>
      </w:r>
      <w:r w:rsidR="5F9EE927" w:rsidRPr="0A0530F7">
        <w:rPr>
          <w:rFonts w:eastAsia="Arial" w:cs="Arial"/>
          <w:sz w:val="22"/>
          <w:szCs w:val="22"/>
        </w:rPr>
        <w:t xml:space="preserve"> reporting</w:t>
      </w:r>
      <w:r w:rsidR="00904360" w:rsidRPr="0A0530F7">
        <w:rPr>
          <w:rFonts w:eastAsia="Arial" w:cs="Arial"/>
          <w:sz w:val="22"/>
          <w:szCs w:val="22"/>
        </w:rPr>
        <w:t xml:space="preserve">, and </w:t>
      </w:r>
      <w:r w:rsidR="00CF167C" w:rsidRPr="0A0530F7">
        <w:rPr>
          <w:rFonts w:eastAsia="Arial" w:cs="Arial"/>
          <w:sz w:val="22"/>
          <w:szCs w:val="22"/>
        </w:rPr>
        <w:t>delays to project implementation and spend due to a range of external factors</w:t>
      </w:r>
      <w:r w:rsidR="00097FE4" w:rsidRPr="0A0530F7">
        <w:rPr>
          <w:rFonts w:eastAsia="Arial" w:cs="Arial"/>
          <w:sz w:val="22"/>
          <w:szCs w:val="22"/>
        </w:rPr>
        <w:t xml:space="preserve"> in-country.</w:t>
      </w:r>
      <w:r w:rsidR="634B162D" w:rsidRPr="0A0530F7">
        <w:rPr>
          <w:rFonts w:eastAsia="Arial" w:cs="Arial"/>
          <w:sz w:val="22"/>
          <w:szCs w:val="22"/>
        </w:rPr>
        <w:t xml:space="preserve"> Examples can be found below.</w:t>
      </w:r>
    </w:p>
    <w:p w14:paraId="784654D2" w14:textId="0D9E2803" w:rsidR="000C6F15" w:rsidRPr="00D85AD8" w:rsidRDefault="004D54C7" w:rsidP="0A0530F7">
      <w:pPr>
        <w:numPr>
          <w:ilvl w:val="0"/>
          <w:numId w:val="6"/>
        </w:numPr>
        <w:jc w:val="both"/>
        <w:rPr>
          <w:rFonts w:eastAsia="Arial" w:cs="Arial"/>
          <w:sz w:val="22"/>
          <w:szCs w:val="22"/>
        </w:rPr>
      </w:pPr>
      <w:r w:rsidRPr="0A0530F7">
        <w:rPr>
          <w:rFonts w:eastAsia="Arial" w:cs="Arial"/>
          <w:sz w:val="22"/>
          <w:szCs w:val="22"/>
        </w:rPr>
        <w:lastRenderedPageBreak/>
        <w:t xml:space="preserve">The number of completed projects </w:t>
      </w:r>
      <w:r w:rsidR="0E3DD1A8" w:rsidRPr="0A0530F7">
        <w:rPr>
          <w:rFonts w:eastAsia="Arial" w:cs="Arial"/>
          <w:sz w:val="22"/>
          <w:szCs w:val="22"/>
        </w:rPr>
        <w:t>with achieved outcomes</w:t>
      </w:r>
      <w:r w:rsidRPr="0A0530F7">
        <w:rPr>
          <w:rFonts w:eastAsia="Arial" w:cs="Arial"/>
          <w:sz w:val="22"/>
          <w:szCs w:val="22"/>
        </w:rPr>
        <w:t xml:space="preserve"> (1.</w:t>
      </w:r>
      <w:r w:rsidR="4FEFA747" w:rsidRPr="0A0530F7">
        <w:rPr>
          <w:rFonts w:eastAsia="Arial" w:cs="Arial"/>
          <w:sz w:val="22"/>
          <w:szCs w:val="22"/>
        </w:rPr>
        <w:t>3</w:t>
      </w:r>
      <w:r w:rsidRPr="0A0530F7">
        <w:rPr>
          <w:rFonts w:eastAsia="Arial" w:cs="Arial"/>
          <w:sz w:val="22"/>
          <w:szCs w:val="22"/>
        </w:rPr>
        <w:t>.</w:t>
      </w:r>
      <w:r w:rsidR="7070576C" w:rsidRPr="0A0530F7">
        <w:rPr>
          <w:rFonts w:eastAsia="Arial" w:cs="Arial"/>
          <w:sz w:val="22"/>
          <w:szCs w:val="22"/>
        </w:rPr>
        <w:t>a</w:t>
      </w:r>
      <w:r w:rsidRPr="0A0530F7">
        <w:rPr>
          <w:rFonts w:eastAsia="Arial" w:cs="Arial"/>
          <w:sz w:val="22"/>
          <w:szCs w:val="22"/>
        </w:rPr>
        <w:t xml:space="preserve">) </w:t>
      </w:r>
      <w:r w:rsidR="6DC527AD" w:rsidRPr="0A0530F7">
        <w:rPr>
          <w:rFonts w:eastAsia="Arial" w:cs="Arial"/>
          <w:sz w:val="22"/>
          <w:szCs w:val="22"/>
        </w:rPr>
        <w:t xml:space="preserve">spans </w:t>
      </w:r>
      <w:r w:rsidR="2E490409" w:rsidRPr="0A0530F7">
        <w:rPr>
          <w:rFonts w:eastAsia="Arial" w:cs="Arial"/>
          <w:sz w:val="22"/>
          <w:szCs w:val="22"/>
        </w:rPr>
        <w:t>3 eligible completed projects</w:t>
      </w:r>
      <w:r w:rsidR="113F8147" w:rsidRPr="0A0530F7">
        <w:rPr>
          <w:rFonts w:eastAsia="Arial" w:cs="Arial"/>
          <w:sz w:val="22"/>
          <w:szCs w:val="22"/>
        </w:rPr>
        <w:t xml:space="preserve"> with an average achievement of 84%. China Waste’s 282% overachievement </w:t>
      </w:r>
      <w:r w:rsidR="115B019E" w:rsidRPr="0A0530F7">
        <w:rPr>
          <w:rFonts w:eastAsia="Arial" w:cs="Arial"/>
          <w:sz w:val="22"/>
          <w:szCs w:val="22"/>
        </w:rPr>
        <w:t xml:space="preserve">masks </w:t>
      </w:r>
      <w:r w:rsidR="773FAEFE" w:rsidRPr="0A0530F7">
        <w:rPr>
          <w:rFonts w:eastAsia="Arial" w:cs="Arial"/>
          <w:sz w:val="22"/>
          <w:szCs w:val="22"/>
        </w:rPr>
        <w:t>underachievement</w:t>
      </w:r>
      <w:r w:rsidR="115B019E" w:rsidRPr="0A0530F7">
        <w:rPr>
          <w:rFonts w:eastAsia="Arial" w:cs="Arial"/>
          <w:sz w:val="22"/>
          <w:szCs w:val="22"/>
        </w:rPr>
        <w:t xml:space="preserve"> by Thai Refrigeration and Costa Rica Coffee</w:t>
      </w:r>
      <w:r w:rsidR="592DF80F" w:rsidRPr="0A0530F7">
        <w:rPr>
          <w:rFonts w:eastAsia="Arial" w:cs="Arial"/>
          <w:sz w:val="22"/>
          <w:szCs w:val="22"/>
        </w:rPr>
        <w:t xml:space="preserve">. </w:t>
      </w:r>
      <w:r w:rsidR="16E85343" w:rsidRPr="0A0530F7">
        <w:rPr>
          <w:rFonts w:eastAsia="Arial" w:cs="Arial"/>
          <w:sz w:val="22"/>
          <w:szCs w:val="22"/>
        </w:rPr>
        <w:t xml:space="preserve">The lower scores in these projects were affected by </w:t>
      </w:r>
      <w:r w:rsidR="285C1A2E" w:rsidRPr="0A0530F7">
        <w:rPr>
          <w:rFonts w:eastAsia="Arial" w:cs="Arial"/>
          <w:sz w:val="22"/>
          <w:szCs w:val="22"/>
        </w:rPr>
        <w:t>unforeseen barriers to implementing of some of the financial mechanisms</w:t>
      </w:r>
      <w:r w:rsidR="5D16295F" w:rsidRPr="0A0530F7">
        <w:rPr>
          <w:rFonts w:eastAsia="Arial" w:cs="Arial"/>
          <w:sz w:val="22"/>
          <w:szCs w:val="22"/>
        </w:rPr>
        <w:t>, such as an unsuccessful credit line in Costa Rica.</w:t>
      </w:r>
    </w:p>
    <w:p w14:paraId="05DFABF6" w14:textId="1383DD34" w:rsidR="003D222C" w:rsidRPr="000C06AC" w:rsidRDefault="00BC337D" w:rsidP="07AF1209">
      <w:pPr>
        <w:pStyle w:val="ListParagraph"/>
        <w:numPr>
          <w:ilvl w:val="0"/>
          <w:numId w:val="6"/>
        </w:numPr>
        <w:jc w:val="both"/>
        <w:rPr>
          <w:rFonts w:eastAsia="Arial" w:cs="Arial"/>
          <w:sz w:val="22"/>
          <w:szCs w:val="22"/>
        </w:rPr>
      </w:pPr>
      <w:r w:rsidRPr="7849A67F">
        <w:rPr>
          <w:rFonts w:eastAsia="Arial" w:cs="Arial"/>
          <w:sz w:val="22"/>
          <w:szCs w:val="22"/>
        </w:rPr>
        <w:t>The</w:t>
      </w:r>
      <w:r w:rsidR="00C175FD" w:rsidRPr="7849A67F">
        <w:rPr>
          <w:rFonts w:eastAsia="Arial" w:cs="Arial"/>
          <w:sz w:val="22"/>
          <w:szCs w:val="22"/>
        </w:rPr>
        <w:t xml:space="preserve"> results </w:t>
      </w:r>
      <w:r w:rsidRPr="7849A67F">
        <w:rPr>
          <w:rFonts w:eastAsia="Arial" w:cs="Arial"/>
          <w:sz w:val="22"/>
          <w:szCs w:val="22"/>
        </w:rPr>
        <w:t xml:space="preserve">of lower-scoring indicators </w:t>
      </w:r>
      <w:r w:rsidR="00C175FD" w:rsidRPr="7849A67F">
        <w:rPr>
          <w:rFonts w:eastAsia="Arial" w:cs="Arial"/>
          <w:sz w:val="22"/>
          <w:szCs w:val="22"/>
        </w:rPr>
        <w:t xml:space="preserve">are being </w:t>
      </w:r>
      <w:r w:rsidR="00340DDA" w:rsidRPr="7849A67F">
        <w:rPr>
          <w:rFonts w:eastAsia="Arial" w:cs="Arial"/>
          <w:sz w:val="22"/>
          <w:szCs w:val="22"/>
        </w:rPr>
        <w:t>factored into discussions with the Facility secretariat</w:t>
      </w:r>
      <w:r w:rsidR="003D20A1" w:rsidRPr="7849A67F">
        <w:rPr>
          <w:rFonts w:eastAsia="Arial" w:cs="Arial"/>
          <w:sz w:val="22"/>
          <w:szCs w:val="22"/>
        </w:rPr>
        <w:t xml:space="preserve"> on engagement with and support of projects in DPP phase</w:t>
      </w:r>
      <w:r w:rsidR="00340DDA" w:rsidRPr="7849A67F">
        <w:rPr>
          <w:rFonts w:eastAsia="Arial" w:cs="Arial"/>
          <w:sz w:val="22"/>
          <w:szCs w:val="22"/>
        </w:rPr>
        <w:t xml:space="preserve"> in 2023 at the time of writing</w:t>
      </w:r>
      <w:r w:rsidRPr="7849A67F">
        <w:rPr>
          <w:rFonts w:eastAsia="Arial" w:cs="Arial"/>
          <w:sz w:val="22"/>
          <w:szCs w:val="22"/>
        </w:rPr>
        <w:t>.</w:t>
      </w:r>
      <w:r w:rsidR="4A17BB37" w:rsidRPr="07AF1209">
        <w:rPr>
          <w:rFonts w:eastAsia="Arial" w:cs="Arial"/>
          <w:sz w:val="22"/>
          <w:szCs w:val="22"/>
        </w:rPr>
        <w:t xml:space="preserve"> The aim is to significantly improve the provision of support to projects in this phase with better risk management and developed in-house financial expertise.</w:t>
      </w:r>
    </w:p>
    <w:p w14:paraId="45AE6586" w14:textId="2A878933" w:rsidR="003D222C" w:rsidRPr="00D85AD8" w:rsidRDefault="06E098C9" w:rsidP="07AF1209">
      <w:pPr>
        <w:jc w:val="both"/>
        <w:rPr>
          <w:rFonts w:eastAsia="Arial" w:cs="Arial"/>
          <w:sz w:val="22"/>
          <w:szCs w:val="22"/>
        </w:rPr>
      </w:pPr>
      <w:r w:rsidRPr="7849A67F">
        <w:rPr>
          <w:rFonts w:eastAsia="Arial" w:cs="Arial"/>
          <w:sz w:val="22"/>
          <w:szCs w:val="22"/>
        </w:rPr>
        <w:t>Recommendations</w:t>
      </w:r>
    </w:p>
    <w:p w14:paraId="67C82ECA" w14:textId="21DA7B14" w:rsidR="7215EFC7" w:rsidRPr="00445DB8" w:rsidRDefault="7215EFC7" w:rsidP="07AF1209">
      <w:pPr>
        <w:pStyle w:val="ListParagraph"/>
        <w:numPr>
          <w:ilvl w:val="0"/>
          <w:numId w:val="18"/>
        </w:numPr>
        <w:jc w:val="both"/>
        <w:rPr>
          <w:rFonts w:eastAsia="Arial" w:cs="Arial"/>
          <w:sz w:val="22"/>
          <w:szCs w:val="22"/>
        </w:rPr>
      </w:pPr>
      <w:r w:rsidRPr="5964CDA8">
        <w:rPr>
          <w:rFonts w:eastAsia="Arial" w:cs="Arial"/>
          <w:sz w:val="22"/>
          <w:szCs w:val="22"/>
        </w:rPr>
        <w:t>Increase the ambition of 1.</w:t>
      </w:r>
      <w:r w:rsidR="42DFB836" w:rsidRPr="5964CDA8">
        <w:rPr>
          <w:rFonts w:eastAsia="Arial" w:cs="Arial"/>
          <w:sz w:val="22"/>
          <w:szCs w:val="22"/>
        </w:rPr>
        <w:t xml:space="preserve">1.a to be </w:t>
      </w:r>
      <w:r w:rsidR="371F097F" w:rsidRPr="5964CDA8">
        <w:rPr>
          <w:rFonts w:eastAsia="Arial" w:cs="Arial"/>
          <w:sz w:val="22"/>
          <w:szCs w:val="22"/>
        </w:rPr>
        <w:t xml:space="preserve">continue </w:t>
      </w:r>
      <w:r w:rsidR="06AEECD7" w:rsidRPr="5964CDA8">
        <w:rPr>
          <w:rFonts w:eastAsia="Arial" w:cs="Arial"/>
          <w:sz w:val="22"/>
          <w:szCs w:val="22"/>
        </w:rPr>
        <w:t xml:space="preserve">raising </w:t>
      </w:r>
      <w:r w:rsidR="371F097F" w:rsidRPr="5964CDA8">
        <w:rPr>
          <w:rFonts w:eastAsia="Arial" w:cs="Arial"/>
          <w:sz w:val="22"/>
          <w:szCs w:val="22"/>
        </w:rPr>
        <w:t>the ambition level</w:t>
      </w:r>
      <w:r w:rsidR="42DFB836" w:rsidRPr="5964CDA8">
        <w:rPr>
          <w:rFonts w:eastAsia="Arial" w:cs="Arial"/>
          <w:sz w:val="22"/>
          <w:szCs w:val="22"/>
        </w:rPr>
        <w:t xml:space="preserve"> for 2024: 1</w:t>
      </w:r>
      <w:r w:rsidR="4FE60634" w:rsidRPr="5964CDA8">
        <w:rPr>
          <w:rFonts w:eastAsia="Arial" w:cs="Arial"/>
          <w:sz w:val="22"/>
          <w:szCs w:val="22"/>
        </w:rPr>
        <w:t>05</w:t>
      </w:r>
      <w:r w:rsidR="42DFB836" w:rsidRPr="5964CDA8">
        <w:rPr>
          <w:rFonts w:eastAsia="Arial" w:cs="Arial"/>
          <w:sz w:val="22"/>
          <w:szCs w:val="22"/>
        </w:rPr>
        <w:t xml:space="preserve"> countries minimum</w:t>
      </w:r>
      <w:r w:rsidR="50456CDB" w:rsidRPr="5964CDA8">
        <w:rPr>
          <w:rFonts w:eastAsia="Arial" w:cs="Arial"/>
          <w:sz w:val="22"/>
          <w:szCs w:val="22"/>
        </w:rPr>
        <w:t>.</w:t>
      </w:r>
    </w:p>
    <w:p w14:paraId="2878DEC1" w14:textId="3419F4ED" w:rsidR="5A2897B2" w:rsidRDefault="672919A1" w:rsidP="07AF1209">
      <w:pPr>
        <w:pStyle w:val="ListParagraph"/>
        <w:numPr>
          <w:ilvl w:val="0"/>
          <w:numId w:val="18"/>
        </w:numPr>
        <w:jc w:val="both"/>
        <w:rPr>
          <w:rFonts w:eastAsia="Arial" w:cs="Arial"/>
          <w:sz w:val="22"/>
          <w:szCs w:val="22"/>
        </w:rPr>
      </w:pPr>
      <w:r w:rsidRPr="0A0530F7">
        <w:rPr>
          <w:rFonts w:eastAsia="Arial" w:cs="Arial"/>
          <w:sz w:val="22"/>
          <w:szCs w:val="22"/>
        </w:rPr>
        <w:t xml:space="preserve">Change </w:t>
      </w:r>
      <w:r w:rsidR="5A2897B2" w:rsidRPr="0A0530F7">
        <w:rPr>
          <w:rFonts w:eastAsia="Arial" w:cs="Arial"/>
          <w:sz w:val="22"/>
          <w:szCs w:val="22"/>
        </w:rPr>
        <w:t>the ambition</w:t>
      </w:r>
      <w:r w:rsidR="19548EF8" w:rsidRPr="0A0530F7">
        <w:rPr>
          <w:rFonts w:eastAsia="Arial" w:cs="Arial"/>
          <w:sz w:val="22"/>
          <w:szCs w:val="22"/>
        </w:rPr>
        <w:t xml:space="preserve"> of</w:t>
      </w:r>
      <w:r w:rsidR="5A2897B2" w:rsidRPr="0A0530F7">
        <w:rPr>
          <w:rFonts w:eastAsia="Arial" w:cs="Arial"/>
          <w:sz w:val="22"/>
          <w:szCs w:val="22"/>
        </w:rPr>
        <w:t xml:space="preserve"> 1.3.</w:t>
      </w:r>
      <w:r w:rsidR="0EB4F501" w:rsidRPr="0A0530F7">
        <w:rPr>
          <w:rFonts w:eastAsia="Arial" w:cs="Arial"/>
          <w:sz w:val="22"/>
          <w:szCs w:val="22"/>
        </w:rPr>
        <w:t>a</w:t>
      </w:r>
      <w:r w:rsidR="5A2897B2" w:rsidRPr="0A0530F7">
        <w:rPr>
          <w:rFonts w:eastAsia="Arial" w:cs="Arial"/>
          <w:sz w:val="22"/>
          <w:szCs w:val="22"/>
        </w:rPr>
        <w:t xml:space="preserve"> so that the target is </w:t>
      </w:r>
      <w:r w:rsidR="45C8B745" w:rsidRPr="0A0530F7">
        <w:rPr>
          <w:rFonts w:eastAsia="Arial" w:cs="Arial"/>
          <w:sz w:val="22"/>
          <w:szCs w:val="22"/>
        </w:rPr>
        <w:t xml:space="preserve">calculated </w:t>
      </w:r>
      <w:r w:rsidR="10C1757C" w:rsidRPr="0A0530F7">
        <w:rPr>
          <w:rFonts w:eastAsia="Arial" w:cs="Arial"/>
          <w:sz w:val="22"/>
          <w:szCs w:val="22"/>
        </w:rPr>
        <w:t>cumulatively,</w:t>
      </w:r>
      <w:r w:rsidR="45C8B745" w:rsidRPr="0A0530F7">
        <w:rPr>
          <w:rFonts w:eastAsia="Arial" w:cs="Arial"/>
          <w:sz w:val="22"/>
          <w:szCs w:val="22"/>
        </w:rPr>
        <w:t xml:space="preserve"> and the ambition is raised year on</w:t>
      </w:r>
      <w:r w:rsidR="1D8C768E" w:rsidRPr="0A0530F7">
        <w:rPr>
          <w:rFonts w:eastAsia="Arial" w:cs="Arial"/>
          <w:sz w:val="22"/>
          <w:szCs w:val="22"/>
        </w:rPr>
        <w:t xml:space="preserve"> year</w:t>
      </w:r>
      <w:r w:rsidR="28A3582A" w:rsidRPr="0A0530F7">
        <w:rPr>
          <w:rFonts w:eastAsia="Arial" w:cs="Arial"/>
          <w:sz w:val="22"/>
          <w:szCs w:val="22"/>
        </w:rPr>
        <w:t xml:space="preserve"> for</w:t>
      </w:r>
      <w:r w:rsidR="5A2897B2" w:rsidRPr="0A0530F7">
        <w:rPr>
          <w:rFonts w:eastAsia="Arial" w:cs="Arial"/>
          <w:sz w:val="22"/>
          <w:szCs w:val="22"/>
        </w:rPr>
        <w:t xml:space="preserve"> projects achiev</w:t>
      </w:r>
      <w:r w:rsidR="3FBF8E02" w:rsidRPr="0A0530F7">
        <w:rPr>
          <w:rFonts w:eastAsia="Arial" w:cs="Arial"/>
          <w:sz w:val="22"/>
          <w:szCs w:val="22"/>
        </w:rPr>
        <w:t>ing</w:t>
      </w:r>
      <w:r w:rsidR="5A2897B2" w:rsidRPr="0A0530F7">
        <w:rPr>
          <w:rFonts w:eastAsia="Arial" w:cs="Arial"/>
          <w:sz w:val="22"/>
          <w:szCs w:val="22"/>
        </w:rPr>
        <w:t xml:space="preserve"> their intended outcomes.</w:t>
      </w:r>
    </w:p>
    <w:p w14:paraId="321D8F75" w14:textId="0A88837E" w:rsidR="6080517A" w:rsidRDefault="6080517A" w:rsidP="07AF1209">
      <w:pPr>
        <w:pStyle w:val="ListParagraph"/>
        <w:numPr>
          <w:ilvl w:val="0"/>
          <w:numId w:val="18"/>
        </w:numPr>
        <w:jc w:val="both"/>
        <w:rPr>
          <w:rFonts w:eastAsia="Arial" w:cs="Arial"/>
          <w:sz w:val="22"/>
          <w:szCs w:val="22"/>
        </w:rPr>
      </w:pPr>
      <w:r w:rsidRPr="7849A67F">
        <w:rPr>
          <w:rFonts w:eastAsia="Arial" w:cs="Arial"/>
          <w:sz w:val="22"/>
          <w:szCs w:val="22"/>
        </w:rPr>
        <w:t xml:space="preserve">Continue pushing the ambition for 1.4.a by making relevant changes to </w:t>
      </w:r>
      <w:r w:rsidR="2732F6C3" w:rsidRPr="7849A67F">
        <w:rPr>
          <w:rFonts w:eastAsia="Arial" w:cs="Arial"/>
          <w:sz w:val="22"/>
          <w:szCs w:val="22"/>
        </w:rPr>
        <w:t>minimise delays in the lead up to first disbursement of funds. Some modification</w:t>
      </w:r>
      <w:r w:rsidR="6F5C902D" w:rsidRPr="7849A67F">
        <w:rPr>
          <w:rFonts w:eastAsia="Arial" w:cs="Arial"/>
          <w:sz w:val="22"/>
          <w:szCs w:val="22"/>
        </w:rPr>
        <w:t>s</w:t>
      </w:r>
      <w:r w:rsidR="2732F6C3" w:rsidRPr="7849A67F">
        <w:rPr>
          <w:rFonts w:eastAsia="Arial" w:cs="Arial"/>
          <w:sz w:val="22"/>
          <w:szCs w:val="22"/>
        </w:rPr>
        <w:t xml:space="preserve"> are already in action at the time of writing in 2024, including </w:t>
      </w:r>
      <w:r w:rsidR="3F6498A4" w:rsidRPr="7849A67F">
        <w:rPr>
          <w:rFonts w:eastAsia="Arial" w:cs="Arial"/>
          <w:sz w:val="22"/>
          <w:szCs w:val="22"/>
        </w:rPr>
        <w:t xml:space="preserve">the finalisation of </w:t>
      </w:r>
      <w:r w:rsidR="2732F6C3" w:rsidRPr="7849A67F">
        <w:rPr>
          <w:rFonts w:eastAsia="Arial" w:cs="Arial"/>
          <w:sz w:val="22"/>
          <w:szCs w:val="22"/>
        </w:rPr>
        <w:t>a standardised grant agreement template</w:t>
      </w:r>
      <w:r w:rsidR="44A12D3A" w:rsidRPr="7849A67F">
        <w:rPr>
          <w:rFonts w:eastAsia="Arial" w:cs="Arial"/>
          <w:sz w:val="22"/>
          <w:szCs w:val="22"/>
        </w:rPr>
        <w:t xml:space="preserve"> for new non-GIZ projects. </w:t>
      </w:r>
      <w:r w:rsidR="77711493" w:rsidRPr="7849A67F">
        <w:rPr>
          <w:rFonts w:eastAsia="Arial" w:cs="Arial"/>
          <w:sz w:val="22"/>
          <w:szCs w:val="22"/>
        </w:rPr>
        <w:t xml:space="preserve">The effect of this new product on delays </w:t>
      </w:r>
      <w:r w:rsidR="44A12D3A" w:rsidRPr="7849A67F">
        <w:rPr>
          <w:rFonts w:eastAsia="Arial" w:cs="Arial"/>
          <w:sz w:val="22"/>
          <w:szCs w:val="22"/>
        </w:rPr>
        <w:t>should be monitored for potential indicator changes for 2025.</w:t>
      </w:r>
    </w:p>
    <w:p w14:paraId="23FD12F6" w14:textId="77777777" w:rsidR="00AC58EE" w:rsidRDefault="00AC58EE">
      <w:pPr>
        <w:spacing w:after="160" w:line="259" w:lineRule="auto"/>
        <w:rPr>
          <w:rFonts w:eastAsia="Arial" w:cs="Arial"/>
          <w:b/>
          <w:i/>
          <w:kern w:val="28"/>
          <w:sz w:val="28"/>
          <w:szCs w:val="28"/>
        </w:rPr>
      </w:pPr>
      <w:r>
        <w:rPr>
          <w:rFonts w:eastAsia="Arial" w:cs="Arial"/>
        </w:rPr>
        <w:br w:type="page"/>
      </w:r>
    </w:p>
    <w:p w14:paraId="6F13DE51" w14:textId="1A0A9B86" w:rsidR="004A367B" w:rsidRDefault="004A367B" w:rsidP="07AF1209">
      <w:pPr>
        <w:pStyle w:val="Heading2"/>
        <w:rPr>
          <w:rFonts w:eastAsia="Arial" w:cs="Arial"/>
        </w:rPr>
      </w:pPr>
      <w:bookmarkStart w:id="23" w:name="_Toc172791901"/>
      <w:bookmarkStart w:id="24" w:name="_Toc1711497391"/>
      <w:r w:rsidRPr="75FA93ED">
        <w:rPr>
          <w:rFonts w:eastAsia="Arial" w:cs="Arial"/>
        </w:rPr>
        <w:lastRenderedPageBreak/>
        <w:t xml:space="preserve">Output 2: </w:t>
      </w:r>
      <w:r w:rsidR="006462E5" w:rsidRPr="75FA93ED">
        <w:rPr>
          <w:rFonts w:eastAsia="Arial" w:cs="Arial"/>
        </w:rPr>
        <w:t>Additional public and private finance supported to drive carbon-neutral development</w:t>
      </w:r>
      <w:bookmarkEnd w:id="23"/>
      <w:bookmarkEnd w:id="24"/>
    </w:p>
    <w:p w14:paraId="6614CA3C" w14:textId="77777777" w:rsidR="00691842" w:rsidRPr="00691842" w:rsidRDefault="00691842" w:rsidP="001B4FD0">
      <w:pPr>
        <w:rPr>
          <w:rFonts w:eastAsia="Arial" w:cs="Arial"/>
        </w:rPr>
      </w:pPr>
    </w:p>
    <w:tbl>
      <w:tblPr>
        <w:tblStyle w:val="TableGrid"/>
        <w:tblW w:w="9072" w:type="dxa"/>
        <w:tblLook w:val="04A0" w:firstRow="1" w:lastRow="0" w:firstColumn="1" w:lastColumn="0" w:noHBand="0" w:noVBand="1"/>
      </w:tblPr>
      <w:tblGrid>
        <w:gridCol w:w="1548"/>
        <w:gridCol w:w="593"/>
        <w:gridCol w:w="1146"/>
        <w:gridCol w:w="2907"/>
        <w:gridCol w:w="2878"/>
      </w:tblGrid>
      <w:tr w:rsidR="00691842" w:rsidRPr="00D80C6C" w14:paraId="41CE7F22" w14:textId="77777777" w:rsidTr="5964CDA8">
        <w:trPr>
          <w:trHeight w:val="489"/>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57EFC7" w14:textId="77777777" w:rsidR="00691842" w:rsidRPr="00D80C6C" w:rsidRDefault="00691842" w:rsidP="001B4FD0">
            <w:pPr>
              <w:rPr>
                <w:rFonts w:eastAsia="Arial" w:cs="Arial"/>
                <w:b/>
                <w:sz w:val="22"/>
                <w:szCs w:val="22"/>
              </w:rPr>
            </w:pPr>
            <w:r w:rsidRPr="070E59A4">
              <w:rPr>
                <w:rFonts w:eastAsia="Arial" w:cs="Arial"/>
                <w:b/>
                <w:sz w:val="22"/>
                <w:szCs w:val="22"/>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8968739" w14:textId="3F48709F" w:rsidR="00691842" w:rsidRPr="00ED5FD4" w:rsidRDefault="00292BB5" w:rsidP="001B4FD0">
            <w:pPr>
              <w:rPr>
                <w:rFonts w:eastAsia="Arial" w:cs="Arial"/>
                <w:color w:val="FF0000"/>
                <w:sz w:val="22"/>
                <w:szCs w:val="22"/>
              </w:rPr>
            </w:pPr>
            <w:r w:rsidRPr="070E59A4">
              <w:rPr>
                <w:rFonts w:eastAsia="Arial" w:cs="Arial"/>
                <w:sz w:val="22"/>
                <w:szCs w:val="22"/>
              </w:rPr>
              <w:t>Additional public and private finance supported to drive carbon-neutral development</w:t>
            </w:r>
          </w:p>
        </w:tc>
      </w:tr>
      <w:tr w:rsidR="00691842" w:rsidRPr="00D80C6C" w14:paraId="1A461D66" w14:textId="77777777" w:rsidTr="5964CDA8">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9F004B5" w14:textId="77777777" w:rsidR="00691842" w:rsidRPr="00D80C6C" w:rsidRDefault="00691842" w:rsidP="001B4FD0">
            <w:pPr>
              <w:rPr>
                <w:rFonts w:eastAsia="Arial" w:cs="Arial"/>
                <w:sz w:val="22"/>
                <w:szCs w:val="22"/>
              </w:rPr>
            </w:pPr>
            <w:r w:rsidRPr="070E59A4">
              <w:rPr>
                <w:rFonts w:eastAsia="Arial" w:cs="Arial"/>
                <w:sz w:val="22"/>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77F166EC" w14:textId="0D4610A2" w:rsidR="00691842" w:rsidRPr="00D80C6C" w:rsidRDefault="001853C2" w:rsidP="001B4FD0">
            <w:pPr>
              <w:rPr>
                <w:rFonts w:eastAsia="Arial" w:cs="Arial"/>
                <w:sz w:val="22"/>
                <w:szCs w:val="22"/>
              </w:rPr>
            </w:pPr>
            <w:r w:rsidRPr="070E59A4">
              <w:rPr>
                <w:rFonts w:eastAsia="Arial" w:cs="Arial"/>
                <w:sz w:val="22"/>
                <w:szCs w:val="22"/>
              </w:rPr>
              <w:t>2</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3065D68" w14:textId="77777777" w:rsidR="00691842" w:rsidRPr="00D80C6C" w:rsidRDefault="00691842" w:rsidP="001B4FD0">
            <w:pPr>
              <w:rPr>
                <w:rFonts w:eastAsia="Arial" w:cs="Arial"/>
                <w:sz w:val="22"/>
                <w:szCs w:val="22"/>
              </w:rPr>
            </w:pPr>
            <w:r w:rsidRPr="070E59A4">
              <w:rPr>
                <w:rFonts w:eastAsia="Arial" w:cs="Arial"/>
                <w:sz w:val="22"/>
                <w:szCs w:val="22"/>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263A0106" w14:textId="32B12597" w:rsidR="00691842" w:rsidRPr="00D80C6C" w:rsidRDefault="0079781D" w:rsidP="001B4FD0">
            <w:pPr>
              <w:rPr>
                <w:rFonts w:eastAsia="Arial" w:cs="Arial"/>
                <w:b/>
                <w:i/>
                <w:color w:val="FF0000"/>
                <w:sz w:val="22"/>
                <w:szCs w:val="22"/>
              </w:rPr>
            </w:pPr>
            <w:r w:rsidRPr="070E59A4">
              <w:rPr>
                <w:rFonts w:eastAsia="Arial" w:cs="Arial"/>
                <w:b/>
                <w:i/>
                <w:sz w:val="22"/>
                <w:szCs w:val="22"/>
              </w:rPr>
              <w:t>A</w:t>
            </w:r>
          </w:p>
        </w:tc>
      </w:tr>
      <w:tr w:rsidR="00691842" w:rsidRPr="00D80C6C" w14:paraId="08DC1373" w14:textId="77777777" w:rsidTr="5964CDA8">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E290D9" w14:textId="77777777" w:rsidR="00691842" w:rsidRPr="00D80C6C" w:rsidRDefault="00691842" w:rsidP="001B4FD0">
            <w:pPr>
              <w:rPr>
                <w:rFonts w:eastAsia="Arial" w:cs="Arial"/>
                <w:sz w:val="22"/>
                <w:szCs w:val="22"/>
              </w:rPr>
            </w:pPr>
            <w:r w:rsidRPr="58ABD160">
              <w:rPr>
                <w:rFonts w:eastAsia="Arial" w:cs="Arial"/>
                <w:sz w:val="22"/>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24DB908D" w14:textId="000898B2" w:rsidR="00691842" w:rsidRPr="00D80C6C" w:rsidRDefault="6E4B0656" w:rsidP="001B4FD0">
            <w:pPr>
              <w:rPr>
                <w:rFonts w:eastAsia="Arial" w:cs="Arial"/>
                <w:sz w:val="22"/>
                <w:szCs w:val="22"/>
              </w:rPr>
            </w:pPr>
            <w:r w:rsidRPr="58ABD160">
              <w:rPr>
                <w:rFonts w:eastAsia="Arial" w:cs="Arial"/>
                <w:sz w:val="22"/>
                <w:szCs w:val="22"/>
              </w:rPr>
              <w:t>20%</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6454226" w14:textId="77777777" w:rsidR="00691842" w:rsidRPr="00D80C6C" w:rsidRDefault="00691842" w:rsidP="001B4FD0">
            <w:pPr>
              <w:rPr>
                <w:rFonts w:eastAsia="Arial" w:cs="Arial"/>
                <w:sz w:val="22"/>
                <w:szCs w:val="22"/>
              </w:rPr>
            </w:pPr>
            <w:r w:rsidRPr="58ABD160">
              <w:rPr>
                <w:rFonts w:eastAsia="Arial" w:cs="Arial"/>
                <w:sz w:val="22"/>
                <w:szCs w:val="22"/>
              </w:rPr>
              <w:t xml:space="preserve">Weighting revised since last </w:t>
            </w:r>
            <w:proofErr w:type="gramStart"/>
            <w:r w:rsidRPr="58ABD160">
              <w:rPr>
                <w:rFonts w:eastAsia="Arial" w:cs="Arial"/>
                <w:sz w:val="22"/>
                <w:szCs w:val="22"/>
              </w:rPr>
              <w:t>AR?</w:t>
            </w:r>
            <w:proofErr w:type="gramEnd"/>
            <w:r w:rsidRPr="58ABD160">
              <w:rPr>
                <w:rFonts w:eastAsia="Arial" w:cs="Arial"/>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7A0765DF" w14:textId="1E03960B" w:rsidR="00691842" w:rsidRPr="00D80C6C" w:rsidRDefault="642160B7" w:rsidP="001B4FD0">
            <w:pPr>
              <w:rPr>
                <w:rFonts w:eastAsia="Arial" w:cs="Arial"/>
                <w:sz w:val="22"/>
                <w:szCs w:val="22"/>
              </w:rPr>
            </w:pPr>
            <w:r w:rsidRPr="4629A6F6">
              <w:rPr>
                <w:rFonts w:eastAsia="Arial" w:cs="Arial"/>
                <w:sz w:val="22"/>
                <w:szCs w:val="22"/>
              </w:rPr>
              <w:t>No</w:t>
            </w:r>
          </w:p>
        </w:tc>
      </w:tr>
      <w:tr w:rsidR="00691842" w:rsidRPr="00D80C6C" w14:paraId="2D4E6664" w14:textId="77777777" w:rsidTr="5964CDA8">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E2EAEE" w14:textId="77777777" w:rsidR="00691842" w:rsidRPr="00D80C6C" w:rsidRDefault="21D324F6" w:rsidP="001B4FD0">
            <w:pPr>
              <w:rPr>
                <w:rFonts w:eastAsia="Arial" w:cs="Arial"/>
                <w:sz w:val="22"/>
                <w:szCs w:val="22"/>
              </w:rPr>
            </w:pPr>
            <w:r w:rsidRPr="5964CDA8">
              <w:rPr>
                <w:rFonts w:eastAsia="Arial" w:cs="Arial"/>
                <w:sz w:val="22"/>
                <w:szCs w:val="22"/>
              </w:rPr>
              <w:t>Risk rating</w:t>
            </w:r>
          </w:p>
        </w:tc>
        <w:tc>
          <w:tcPr>
            <w:tcW w:w="937" w:type="dxa"/>
            <w:tcBorders>
              <w:top w:val="single" w:sz="4" w:space="0" w:color="auto"/>
              <w:left w:val="single" w:sz="4" w:space="0" w:color="auto"/>
              <w:bottom w:val="single" w:sz="4" w:space="0" w:color="auto"/>
              <w:right w:val="single" w:sz="4" w:space="0" w:color="auto"/>
            </w:tcBorders>
          </w:tcPr>
          <w:p w14:paraId="055BA998" w14:textId="04372F1C" w:rsidR="00691842" w:rsidRPr="00D80C6C" w:rsidRDefault="1707DFBC" w:rsidP="001B4FD0">
            <w:pPr>
              <w:rPr>
                <w:rFonts w:eastAsia="Arial" w:cs="Arial"/>
                <w:sz w:val="22"/>
                <w:szCs w:val="22"/>
              </w:rPr>
            </w:pPr>
            <w:r w:rsidRPr="07AF1209">
              <w:rPr>
                <w:rFonts w:eastAsia="Arial" w:cs="Arial"/>
                <w:sz w:val="22"/>
                <w:szCs w:val="22"/>
              </w:rPr>
              <w:t>Moderate</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85ECE2" w14:textId="77777777" w:rsidR="00691842" w:rsidRPr="00D80C6C" w:rsidRDefault="21D324F6" w:rsidP="001B4FD0">
            <w:pPr>
              <w:rPr>
                <w:rFonts w:eastAsia="Arial" w:cs="Arial"/>
                <w:sz w:val="22"/>
                <w:szCs w:val="22"/>
              </w:rPr>
            </w:pPr>
            <w:r w:rsidRPr="5964CDA8">
              <w:rPr>
                <w:rFonts w:eastAsia="Arial" w:cs="Arial"/>
                <w:sz w:val="22"/>
                <w:szCs w:val="22"/>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34DD6A93" w14:textId="27ED6401" w:rsidR="00691842" w:rsidRPr="00D80C6C" w:rsidRDefault="7963769A" w:rsidP="001B4FD0">
            <w:pPr>
              <w:rPr>
                <w:rFonts w:eastAsia="Arial" w:cs="Arial"/>
                <w:sz w:val="22"/>
                <w:szCs w:val="22"/>
              </w:rPr>
            </w:pPr>
            <w:r w:rsidRPr="07AF1209">
              <w:rPr>
                <w:rFonts w:eastAsia="Arial" w:cs="Arial"/>
                <w:sz w:val="22"/>
                <w:szCs w:val="22"/>
              </w:rPr>
              <w:t>No</w:t>
            </w:r>
          </w:p>
        </w:tc>
      </w:tr>
    </w:tbl>
    <w:p w14:paraId="2B0D2AB6" w14:textId="77777777" w:rsidR="006462E5" w:rsidRPr="00D80C6C" w:rsidRDefault="006462E5" w:rsidP="001B4FD0">
      <w:pPr>
        <w:rPr>
          <w:rFonts w:eastAsia="Arial" w:cs="Arial"/>
          <w:b/>
          <w:sz w:val="22"/>
          <w:szCs w:val="22"/>
        </w:rPr>
      </w:pPr>
    </w:p>
    <w:tbl>
      <w:tblPr>
        <w:tblStyle w:val="TableGrid"/>
        <w:tblpPr w:leftFromText="180" w:rightFromText="180" w:vertAnchor="text" w:horzAnchor="page" w:tblpX="1462" w:tblpY="-10"/>
        <w:tblOverlap w:val="never"/>
        <w:tblW w:w="9067" w:type="dxa"/>
        <w:tblLook w:val="04A0" w:firstRow="1" w:lastRow="0" w:firstColumn="1" w:lastColumn="0" w:noHBand="0" w:noVBand="1"/>
      </w:tblPr>
      <w:tblGrid>
        <w:gridCol w:w="2122"/>
        <w:gridCol w:w="1842"/>
        <w:gridCol w:w="5103"/>
      </w:tblGrid>
      <w:tr w:rsidR="00691842" w:rsidRPr="00D80C6C" w14:paraId="72BA5779" w14:textId="77777777" w:rsidTr="7849A67F">
        <w:trPr>
          <w:trHeight w:val="273"/>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0749DF7" w14:textId="77777777" w:rsidR="00691842" w:rsidRPr="00D80C6C" w:rsidRDefault="00691842" w:rsidP="001B4FD0">
            <w:pPr>
              <w:rPr>
                <w:rFonts w:eastAsia="Arial" w:cs="Arial"/>
                <w:b/>
                <w:sz w:val="22"/>
                <w:szCs w:val="22"/>
              </w:rPr>
            </w:pPr>
            <w:r w:rsidRPr="58ABD160">
              <w:rPr>
                <w:rFonts w:eastAsia="Arial" w:cs="Arial"/>
                <w:b/>
                <w:sz w:val="22"/>
                <w:szCs w:val="22"/>
              </w:rPr>
              <w:t>Indicator(s)</w:t>
            </w: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4DCC454" w14:textId="77777777" w:rsidR="00691842" w:rsidRPr="00D80C6C" w:rsidRDefault="00691842" w:rsidP="001B4FD0">
            <w:pPr>
              <w:rPr>
                <w:rFonts w:eastAsia="Arial" w:cs="Arial"/>
                <w:b/>
                <w:sz w:val="22"/>
                <w:szCs w:val="22"/>
              </w:rPr>
            </w:pPr>
            <w:r w:rsidRPr="58ABD160">
              <w:rPr>
                <w:rFonts w:eastAsia="Arial" w:cs="Arial"/>
                <w:b/>
                <w:sz w:val="22"/>
                <w:szCs w:val="22"/>
              </w:rPr>
              <w:t>Milestone(s) for this review</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649BD1" w14:textId="77777777" w:rsidR="00691842" w:rsidRPr="00D80C6C" w:rsidRDefault="00691842" w:rsidP="001B4FD0">
            <w:pPr>
              <w:rPr>
                <w:rFonts w:eastAsia="Arial" w:cs="Arial"/>
                <w:b/>
                <w:sz w:val="22"/>
                <w:szCs w:val="22"/>
              </w:rPr>
            </w:pPr>
            <w:r w:rsidRPr="58ABD160">
              <w:rPr>
                <w:rFonts w:eastAsia="Arial" w:cs="Arial"/>
                <w:b/>
                <w:sz w:val="22"/>
                <w:szCs w:val="22"/>
              </w:rPr>
              <w:t xml:space="preserve">Progress </w:t>
            </w:r>
          </w:p>
        </w:tc>
      </w:tr>
      <w:tr w:rsidR="00691842" w:rsidRPr="00D80C6C" w14:paraId="1A9B1DC3" w14:textId="77777777" w:rsidTr="7849A67F">
        <w:tc>
          <w:tcPr>
            <w:tcW w:w="2122" w:type="dxa"/>
            <w:tcBorders>
              <w:top w:val="single" w:sz="4" w:space="0" w:color="auto"/>
              <w:left w:val="single" w:sz="4" w:space="0" w:color="auto"/>
              <w:bottom w:val="single" w:sz="4" w:space="0" w:color="auto"/>
              <w:right w:val="single" w:sz="4" w:space="0" w:color="auto"/>
            </w:tcBorders>
          </w:tcPr>
          <w:p w14:paraId="71BA9FC9" w14:textId="06BCDA43" w:rsidR="00691842" w:rsidRPr="00445DB8" w:rsidRDefault="001853C2" w:rsidP="001B4FD0">
            <w:pPr>
              <w:rPr>
                <w:rFonts w:eastAsia="Arial" w:cs="Arial"/>
                <w:sz w:val="22"/>
                <w:szCs w:val="22"/>
              </w:rPr>
            </w:pPr>
            <w:r w:rsidRPr="58ABD160">
              <w:rPr>
                <w:rFonts w:eastAsia="Arial" w:cs="Arial"/>
                <w:sz w:val="22"/>
                <w:szCs w:val="22"/>
              </w:rPr>
              <w:t>2.1 Volume of public finance supported for low-carbon investment and development (M4)</w:t>
            </w:r>
          </w:p>
        </w:tc>
        <w:tc>
          <w:tcPr>
            <w:tcW w:w="1842" w:type="dxa"/>
            <w:tcBorders>
              <w:top w:val="single" w:sz="4" w:space="0" w:color="auto"/>
              <w:left w:val="single" w:sz="4" w:space="0" w:color="auto"/>
              <w:bottom w:val="single" w:sz="4" w:space="0" w:color="auto"/>
              <w:right w:val="single" w:sz="4" w:space="0" w:color="auto"/>
            </w:tcBorders>
          </w:tcPr>
          <w:p w14:paraId="1F90D257" w14:textId="579A49B6" w:rsidR="00691842" w:rsidRPr="00445DB8" w:rsidRDefault="04C5771F" w:rsidP="001B4FD0">
            <w:pPr>
              <w:rPr>
                <w:rFonts w:eastAsia="Arial" w:cs="Arial"/>
                <w:sz w:val="22"/>
                <w:szCs w:val="22"/>
              </w:rPr>
            </w:pPr>
            <w:r w:rsidRPr="7849A67F">
              <w:rPr>
                <w:rFonts w:eastAsia="Arial" w:cs="Arial"/>
                <w:sz w:val="22"/>
                <w:szCs w:val="22"/>
              </w:rPr>
              <w:t>56</w:t>
            </w:r>
            <w:r w:rsidR="312D3609" w:rsidRPr="7849A67F">
              <w:rPr>
                <w:rFonts w:eastAsia="Arial" w:cs="Arial"/>
                <w:sz w:val="22"/>
                <w:szCs w:val="22"/>
              </w:rPr>
              <w:t>6</w:t>
            </w:r>
            <w:r w:rsidRPr="7849A67F">
              <w:rPr>
                <w:rFonts w:eastAsia="Arial" w:cs="Arial"/>
                <w:sz w:val="22"/>
                <w:szCs w:val="22"/>
              </w:rPr>
              <w:t>,</w:t>
            </w:r>
            <w:r w:rsidR="581B6425" w:rsidRPr="7849A67F">
              <w:rPr>
                <w:rFonts w:eastAsia="Arial" w:cs="Arial"/>
                <w:sz w:val="22"/>
                <w:szCs w:val="22"/>
              </w:rPr>
              <w:t>674</w:t>
            </w:r>
            <w:r w:rsidRPr="7849A67F">
              <w:rPr>
                <w:rFonts w:eastAsia="Arial" w:cs="Arial"/>
                <w:sz w:val="22"/>
                <w:szCs w:val="22"/>
              </w:rPr>
              <w:t>,</w:t>
            </w:r>
            <w:r w:rsidR="272993D0" w:rsidRPr="7849A67F">
              <w:rPr>
                <w:rFonts w:eastAsia="Arial" w:cs="Arial"/>
                <w:sz w:val="22"/>
                <w:szCs w:val="22"/>
              </w:rPr>
              <w:t>323</w:t>
            </w:r>
            <w:r w:rsidR="2823A5D7" w:rsidRPr="7849A67F">
              <w:rPr>
                <w:rFonts w:eastAsia="Arial" w:cs="Arial"/>
                <w:sz w:val="22"/>
                <w:szCs w:val="22"/>
              </w:rPr>
              <w:t xml:space="preserve"> EUR</w:t>
            </w:r>
          </w:p>
        </w:tc>
        <w:tc>
          <w:tcPr>
            <w:tcW w:w="5103" w:type="dxa"/>
            <w:tcBorders>
              <w:top w:val="single" w:sz="4" w:space="0" w:color="auto"/>
              <w:left w:val="single" w:sz="4" w:space="0" w:color="auto"/>
              <w:bottom w:val="single" w:sz="4" w:space="0" w:color="auto"/>
              <w:right w:val="single" w:sz="4" w:space="0" w:color="auto"/>
            </w:tcBorders>
          </w:tcPr>
          <w:p w14:paraId="334437D1" w14:textId="772778BF" w:rsidR="00691842" w:rsidRPr="00445DB8" w:rsidRDefault="3242225C" w:rsidP="4A9EF9D3">
            <w:pPr>
              <w:contextualSpacing/>
              <w:rPr>
                <w:rFonts w:eastAsia="Arial" w:cs="Arial"/>
                <w:b/>
                <w:bCs/>
                <w:sz w:val="22"/>
                <w:szCs w:val="22"/>
                <w:u w:val="single"/>
              </w:rPr>
            </w:pPr>
            <w:r w:rsidRPr="7849A67F">
              <w:rPr>
                <w:rFonts w:eastAsia="Arial" w:cs="Arial"/>
                <w:b/>
                <w:bCs/>
                <w:sz w:val="22"/>
                <w:szCs w:val="22"/>
                <w:u w:val="single"/>
              </w:rPr>
              <w:t>Progress moderately exceeded expectation</w:t>
            </w:r>
            <w:r w:rsidR="23AB0971" w:rsidRPr="7849A67F">
              <w:rPr>
                <w:rFonts w:eastAsia="Arial" w:cs="Arial"/>
                <w:b/>
                <w:bCs/>
                <w:sz w:val="22"/>
                <w:szCs w:val="22"/>
                <w:u w:val="single"/>
              </w:rPr>
              <w:t xml:space="preserve"> (1</w:t>
            </w:r>
            <w:r w:rsidR="6605C505" w:rsidRPr="7849A67F">
              <w:rPr>
                <w:rFonts w:eastAsia="Arial" w:cs="Arial"/>
                <w:b/>
                <w:bCs/>
                <w:sz w:val="22"/>
                <w:szCs w:val="22"/>
                <w:u w:val="single"/>
              </w:rPr>
              <w:t>48</w:t>
            </w:r>
            <w:r w:rsidR="23AB0971" w:rsidRPr="7849A67F">
              <w:rPr>
                <w:rFonts w:eastAsia="Arial" w:cs="Arial"/>
                <w:b/>
                <w:bCs/>
                <w:sz w:val="22"/>
                <w:szCs w:val="22"/>
                <w:u w:val="single"/>
              </w:rPr>
              <w:t>%)</w:t>
            </w:r>
          </w:p>
          <w:p w14:paraId="1C0583B9" w14:textId="2676BFC2" w:rsidR="00525664" w:rsidRPr="00445DB8" w:rsidRDefault="4E76F798" w:rsidP="001B4FD0">
            <w:pPr>
              <w:contextualSpacing/>
              <w:rPr>
                <w:rFonts w:eastAsia="Arial" w:cs="Arial"/>
                <w:sz w:val="22"/>
                <w:szCs w:val="22"/>
              </w:rPr>
            </w:pPr>
            <w:r w:rsidRPr="7849A67F">
              <w:rPr>
                <w:rFonts w:eastAsia="Arial" w:cs="Arial"/>
                <w:sz w:val="22"/>
                <w:szCs w:val="22"/>
              </w:rPr>
              <w:t>202</w:t>
            </w:r>
            <w:r w:rsidR="48E61B73" w:rsidRPr="7849A67F">
              <w:rPr>
                <w:rFonts w:eastAsia="Arial" w:cs="Arial"/>
                <w:sz w:val="22"/>
                <w:szCs w:val="22"/>
              </w:rPr>
              <w:t>3</w:t>
            </w:r>
            <w:r w:rsidRPr="7849A67F">
              <w:rPr>
                <w:rFonts w:eastAsia="Arial" w:cs="Arial"/>
                <w:sz w:val="22"/>
                <w:szCs w:val="22"/>
              </w:rPr>
              <w:t xml:space="preserve">: </w:t>
            </w:r>
            <w:r w:rsidRPr="7849A67F">
              <w:rPr>
                <w:rFonts w:eastAsia="Arial" w:cs="Arial"/>
              </w:rPr>
              <w:t xml:space="preserve"> </w:t>
            </w:r>
            <w:r w:rsidR="3CDFEFF6" w:rsidRPr="7849A67F">
              <w:rPr>
                <w:rFonts w:eastAsia="Arial" w:cs="Arial"/>
                <w:sz w:val="22"/>
                <w:szCs w:val="22"/>
              </w:rPr>
              <w:t>836,285,442</w:t>
            </w:r>
            <w:r w:rsidR="2823A5D7" w:rsidRPr="7849A67F">
              <w:rPr>
                <w:rFonts w:eastAsia="Arial" w:cs="Arial"/>
                <w:sz w:val="22"/>
                <w:szCs w:val="22"/>
              </w:rPr>
              <w:t xml:space="preserve"> EUR</w:t>
            </w:r>
            <w:r w:rsidR="78DF06C8">
              <w:br/>
            </w:r>
            <w:r w:rsidR="44F94BD2" w:rsidRPr="7849A67F">
              <w:rPr>
                <w:rFonts w:eastAsia="Arial" w:cs="Arial"/>
                <w:sz w:val="22"/>
                <w:szCs w:val="22"/>
              </w:rPr>
              <w:t>The 202</w:t>
            </w:r>
            <w:r w:rsidR="684C1A62" w:rsidRPr="7849A67F">
              <w:rPr>
                <w:rFonts w:eastAsia="Arial" w:cs="Arial"/>
                <w:sz w:val="22"/>
                <w:szCs w:val="22"/>
              </w:rPr>
              <w:t>3</w:t>
            </w:r>
            <w:r w:rsidR="44F94BD2" w:rsidRPr="7849A67F">
              <w:rPr>
                <w:rFonts w:eastAsia="Arial" w:cs="Arial"/>
                <w:sz w:val="22"/>
                <w:szCs w:val="22"/>
              </w:rPr>
              <w:t xml:space="preserve"> target value of EUR </w:t>
            </w:r>
            <w:r w:rsidR="5D814F45" w:rsidRPr="7849A67F">
              <w:rPr>
                <w:rFonts w:eastAsia="Arial" w:cs="Arial"/>
                <w:sz w:val="22"/>
                <w:szCs w:val="22"/>
              </w:rPr>
              <w:t>567m</w:t>
            </w:r>
            <w:r w:rsidR="44F94BD2" w:rsidRPr="7849A67F">
              <w:rPr>
                <w:rFonts w:eastAsia="Arial" w:cs="Arial"/>
                <w:sz w:val="22"/>
                <w:szCs w:val="22"/>
              </w:rPr>
              <w:t xml:space="preserve"> has been overachieved.</w:t>
            </w:r>
            <w:r w:rsidR="15363EF6" w:rsidRPr="7849A67F">
              <w:rPr>
                <w:rFonts w:eastAsia="Arial" w:cs="Arial"/>
                <w:sz w:val="22"/>
                <w:szCs w:val="22"/>
              </w:rPr>
              <w:t> This</w:t>
            </w:r>
            <w:r w:rsidR="44F94BD2" w:rsidRPr="7849A67F">
              <w:rPr>
                <w:rFonts w:eastAsia="Arial" w:cs="Arial"/>
                <w:sz w:val="22"/>
                <w:szCs w:val="22"/>
              </w:rPr>
              <w:t xml:space="preserve"> is largely due to the </w:t>
            </w:r>
            <w:r w:rsidR="5D814F45" w:rsidRPr="7849A67F">
              <w:rPr>
                <w:rFonts w:eastAsia="Arial" w:cs="Arial"/>
                <w:sz w:val="22"/>
                <w:szCs w:val="22"/>
              </w:rPr>
              <w:t>projects</w:t>
            </w:r>
            <w:r w:rsidR="44F94BD2" w:rsidRPr="7849A67F">
              <w:rPr>
                <w:rFonts w:eastAsia="Arial" w:cs="Arial"/>
                <w:sz w:val="22"/>
                <w:szCs w:val="22"/>
              </w:rPr>
              <w:t xml:space="preserve"> China Waste Management, and Mexico Housing, which mobilised EUR </w:t>
            </w:r>
            <w:r w:rsidR="4830AF89" w:rsidRPr="7849A67F">
              <w:rPr>
                <w:rFonts w:eastAsia="Arial" w:cs="Arial"/>
                <w:sz w:val="22"/>
                <w:szCs w:val="22"/>
              </w:rPr>
              <w:t>580</w:t>
            </w:r>
            <w:r w:rsidR="44F94BD2" w:rsidRPr="7849A67F">
              <w:rPr>
                <w:rFonts w:eastAsia="Arial" w:cs="Arial"/>
                <w:sz w:val="22"/>
                <w:szCs w:val="22"/>
              </w:rPr>
              <w:t xml:space="preserve">m and EUR 183m. </w:t>
            </w:r>
          </w:p>
        </w:tc>
      </w:tr>
      <w:tr w:rsidR="00691842" w:rsidRPr="00D80C6C" w14:paraId="6F627DFA" w14:textId="77777777" w:rsidTr="7849A67F">
        <w:tc>
          <w:tcPr>
            <w:tcW w:w="2122" w:type="dxa"/>
            <w:tcBorders>
              <w:top w:val="single" w:sz="4" w:space="0" w:color="auto"/>
              <w:left w:val="single" w:sz="4" w:space="0" w:color="auto"/>
              <w:bottom w:val="single" w:sz="4" w:space="0" w:color="auto"/>
              <w:right w:val="single" w:sz="4" w:space="0" w:color="auto"/>
            </w:tcBorders>
          </w:tcPr>
          <w:p w14:paraId="4BD1753E" w14:textId="7BA981C9" w:rsidR="00691842" w:rsidRPr="00445DB8" w:rsidRDefault="001853C2" w:rsidP="001B4FD0">
            <w:pPr>
              <w:rPr>
                <w:rFonts w:eastAsia="Arial" w:cs="Arial"/>
                <w:sz w:val="22"/>
                <w:szCs w:val="22"/>
              </w:rPr>
            </w:pPr>
            <w:r w:rsidRPr="58ABD160">
              <w:rPr>
                <w:rFonts w:eastAsia="Arial" w:cs="Arial"/>
                <w:sz w:val="22"/>
                <w:szCs w:val="22"/>
              </w:rPr>
              <w:t>2.2. Volume of private finance supported for low-carbon investment and development (M5)</w:t>
            </w:r>
          </w:p>
        </w:tc>
        <w:tc>
          <w:tcPr>
            <w:tcW w:w="1842" w:type="dxa"/>
            <w:tcBorders>
              <w:top w:val="single" w:sz="4" w:space="0" w:color="auto"/>
              <w:left w:val="single" w:sz="4" w:space="0" w:color="auto"/>
              <w:bottom w:val="single" w:sz="4" w:space="0" w:color="auto"/>
              <w:right w:val="single" w:sz="4" w:space="0" w:color="auto"/>
            </w:tcBorders>
          </w:tcPr>
          <w:p w14:paraId="3D8B963A" w14:textId="0C36BAAA" w:rsidR="00691842" w:rsidRPr="00445DB8" w:rsidRDefault="58A9CD11" w:rsidP="001B4FD0">
            <w:pPr>
              <w:rPr>
                <w:rFonts w:eastAsia="Arial" w:cs="Arial"/>
                <w:sz w:val="22"/>
                <w:szCs w:val="22"/>
              </w:rPr>
            </w:pPr>
            <w:r w:rsidRPr="7849A67F">
              <w:rPr>
                <w:rFonts w:eastAsia="Arial" w:cs="Arial"/>
                <w:sz w:val="22"/>
                <w:szCs w:val="22"/>
              </w:rPr>
              <w:t>1,071,906,361</w:t>
            </w:r>
            <w:r w:rsidR="2823A5D7" w:rsidRPr="7849A67F">
              <w:rPr>
                <w:rFonts w:eastAsia="Arial" w:cs="Arial"/>
                <w:sz w:val="22"/>
                <w:szCs w:val="22"/>
              </w:rPr>
              <w:t xml:space="preserve"> EUR</w:t>
            </w:r>
          </w:p>
        </w:tc>
        <w:tc>
          <w:tcPr>
            <w:tcW w:w="5103" w:type="dxa"/>
            <w:tcBorders>
              <w:top w:val="single" w:sz="4" w:space="0" w:color="auto"/>
              <w:left w:val="single" w:sz="4" w:space="0" w:color="auto"/>
              <w:bottom w:val="single" w:sz="4" w:space="0" w:color="auto"/>
              <w:right w:val="single" w:sz="4" w:space="0" w:color="auto"/>
            </w:tcBorders>
          </w:tcPr>
          <w:p w14:paraId="13B57BFC" w14:textId="1803849C" w:rsidR="00966221" w:rsidRPr="00445DB8" w:rsidRDefault="3242225C" w:rsidP="4A9EF9D3">
            <w:pPr>
              <w:contextualSpacing/>
              <w:rPr>
                <w:rFonts w:eastAsia="Arial" w:cs="Arial"/>
                <w:b/>
                <w:bCs/>
                <w:sz w:val="22"/>
                <w:szCs w:val="22"/>
                <w:u w:val="single"/>
              </w:rPr>
            </w:pPr>
            <w:r w:rsidRPr="7849A67F">
              <w:rPr>
                <w:rFonts w:eastAsia="Arial" w:cs="Arial"/>
                <w:b/>
                <w:bCs/>
                <w:sz w:val="22"/>
                <w:szCs w:val="22"/>
                <w:u w:val="single"/>
              </w:rPr>
              <w:t xml:space="preserve">Progress </w:t>
            </w:r>
            <w:r w:rsidR="03EDC7D8" w:rsidRPr="7849A67F">
              <w:rPr>
                <w:rFonts w:eastAsia="Arial" w:cs="Arial"/>
                <w:b/>
                <w:bCs/>
                <w:sz w:val="22"/>
                <w:szCs w:val="22"/>
                <w:u w:val="single"/>
              </w:rPr>
              <w:t xml:space="preserve">moderately did not meet </w:t>
            </w:r>
            <w:r w:rsidRPr="7849A67F">
              <w:rPr>
                <w:rFonts w:eastAsia="Arial" w:cs="Arial"/>
                <w:b/>
                <w:bCs/>
                <w:sz w:val="22"/>
                <w:szCs w:val="22"/>
                <w:u w:val="single"/>
              </w:rPr>
              <w:t>expectation</w:t>
            </w:r>
            <w:r w:rsidR="23AB0971" w:rsidRPr="7849A67F">
              <w:rPr>
                <w:rFonts w:eastAsia="Arial" w:cs="Arial"/>
                <w:b/>
                <w:bCs/>
                <w:sz w:val="22"/>
                <w:szCs w:val="22"/>
                <w:u w:val="single"/>
              </w:rPr>
              <w:t xml:space="preserve"> (</w:t>
            </w:r>
            <w:r w:rsidR="4590F751" w:rsidRPr="7849A67F">
              <w:rPr>
                <w:rFonts w:eastAsia="Arial" w:cs="Arial"/>
                <w:b/>
                <w:bCs/>
                <w:sz w:val="22"/>
                <w:szCs w:val="22"/>
                <w:u w:val="single"/>
              </w:rPr>
              <w:t>91</w:t>
            </w:r>
            <w:r w:rsidR="23AB0971" w:rsidRPr="7849A67F">
              <w:rPr>
                <w:rFonts w:eastAsia="Arial" w:cs="Arial"/>
                <w:b/>
                <w:bCs/>
                <w:sz w:val="22"/>
                <w:szCs w:val="22"/>
                <w:u w:val="single"/>
              </w:rPr>
              <w:t>%)</w:t>
            </w:r>
          </w:p>
          <w:p w14:paraId="2328D063" w14:textId="552A31BD" w:rsidR="005A7114" w:rsidRPr="00445DB8" w:rsidRDefault="1C5C637B" w:rsidP="001B4FD0">
            <w:pPr>
              <w:contextualSpacing/>
              <w:rPr>
                <w:rFonts w:eastAsia="Arial" w:cs="Arial"/>
                <w:sz w:val="22"/>
                <w:szCs w:val="22"/>
              </w:rPr>
            </w:pPr>
            <w:r w:rsidRPr="7849A67F">
              <w:rPr>
                <w:rFonts w:eastAsia="Arial" w:cs="Arial"/>
                <w:sz w:val="22"/>
                <w:szCs w:val="22"/>
              </w:rPr>
              <w:t>202</w:t>
            </w:r>
            <w:r w:rsidR="005CB948" w:rsidRPr="7849A67F">
              <w:rPr>
                <w:rFonts w:eastAsia="Arial" w:cs="Arial"/>
                <w:sz w:val="22"/>
                <w:szCs w:val="22"/>
              </w:rPr>
              <w:t>3</w:t>
            </w:r>
            <w:r w:rsidRPr="7849A67F">
              <w:rPr>
                <w:rFonts w:eastAsia="Arial" w:cs="Arial"/>
                <w:sz w:val="22"/>
                <w:szCs w:val="22"/>
              </w:rPr>
              <w:t xml:space="preserve">: </w:t>
            </w:r>
            <w:r w:rsidRPr="7849A67F">
              <w:rPr>
                <w:rFonts w:eastAsia="Arial" w:cs="Arial"/>
              </w:rPr>
              <w:t xml:space="preserve"> </w:t>
            </w:r>
            <w:r w:rsidRPr="7849A67F">
              <w:rPr>
                <w:rFonts w:eastAsia="Arial" w:cs="Arial"/>
                <w:sz w:val="22"/>
                <w:szCs w:val="22"/>
              </w:rPr>
              <w:t>9</w:t>
            </w:r>
            <w:r w:rsidR="6CF76D2F" w:rsidRPr="7849A67F">
              <w:rPr>
                <w:rFonts w:eastAsia="Arial" w:cs="Arial"/>
                <w:sz w:val="22"/>
                <w:szCs w:val="22"/>
              </w:rPr>
              <w:t>8</w:t>
            </w:r>
            <w:r w:rsidRPr="7849A67F">
              <w:rPr>
                <w:rFonts w:eastAsia="Arial" w:cs="Arial"/>
                <w:sz w:val="22"/>
                <w:szCs w:val="22"/>
              </w:rPr>
              <w:t>0,</w:t>
            </w:r>
            <w:r w:rsidR="7FF03502" w:rsidRPr="7849A67F">
              <w:rPr>
                <w:rFonts w:eastAsia="Arial" w:cs="Arial"/>
                <w:sz w:val="22"/>
                <w:szCs w:val="22"/>
              </w:rPr>
              <w:t>111,728</w:t>
            </w:r>
            <w:r w:rsidR="2823A5D7" w:rsidRPr="7849A67F">
              <w:rPr>
                <w:rFonts w:eastAsia="Arial" w:cs="Arial"/>
                <w:sz w:val="22"/>
                <w:szCs w:val="22"/>
              </w:rPr>
              <w:t xml:space="preserve"> EUR</w:t>
            </w:r>
          </w:p>
          <w:p w14:paraId="2F0F0C95" w14:textId="627831A5" w:rsidR="00730A25" w:rsidRPr="00445DB8" w:rsidRDefault="3D400B65" w:rsidP="001B4FD0">
            <w:pPr>
              <w:contextualSpacing/>
              <w:rPr>
                <w:rFonts w:eastAsia="Arial" w:cs="Arial"/>
                <w:sz w:val="22"/>
                <w:szCs w:val="22"/>
              </w:rPr>
            </w:pPr>
            <w:r w:rsidRPr="7849A67F">
              <w:rPr>
                <w:rFonts w:eastAsia="Arial" w:cs="Arial"/>
                <w:sz w:val="22"/>
                <w:szCs w:val="22"/>
              </w:rPr>
              <w:t xml:space="preserve">This </w:t>
            </w:r>
            <w:r w:rsidR="2A7232A0" w:rsidRPr="7849A67F">
              <w:rPr>
                <w:rFonts w:eastAsia="Arial" w:cs="Arial"/>
                <w:sz w:val="22"/>
                <w:szCs w:val="22"/>
              </w:rPr>
              <w:t>target</w:t>
            </w:r>
            <w:r w:rsidR="7FE4342E" w:rsidRPr="7849A67F">
              <w:rPr>
                <w:rFonts w:eastAsia="Arial" w:cs="Arial"/>
                <w:sz w:val="22"/>
                <w:szCs w:val="22"/>
              </w:rPr>
              <w:t xml:space="preserve"> was made more ambitious for 2023 due to previous overachievement.</w:t>
            </w:r>
          </w:p>
        </w:tc>
      </w:tr>
      <w:tr w:rsidR="001853C2" w:rsidRPr="00D80C6C" w14:paraId="1DC8CEF2" w14:textId="77777777" w:rsidTr="7849A67F">
        <w:tc>
          <w:tcPr>
            <w:tcW w:w="2122" w:type="dxa"/>
            <w:tcBorders>
              <w:top w:val="single" w:sz="4" w:space="0" w:color="auto"/>
              <w:left w:val="single" w:sz="4" w:space="0" w:color="auto"/>
              <w:bottom w:val="single" w:sz="4" w:space="0" w:color="auto"/>
              <w:right w:val="single" w:sz="4" w:space="0" w:color="auto"/>
            </w:tcBorders>
          </w:tcPr>
          <w:p w14:paraId="1C205DDE" w14:textId="44C5A55E" w:rsidR="001853C2" w:rsidRPr="00445DB8" w:rsidRDefault="001853C2" w:rsidP="001B4FD0">
            <w:pPr>
              <w:rPr>
                <w:rFonts w:eastAsia="Arial" w:cs="Arial"/>
                <w:sz w:val="22"/>
                <w:szCs w:val="22"/>
              </w:rPr>
            </w:pPr>
            <w:r w:rsidRPr="58ABD160">
              <w:rPr>
                <w:rFonts w:eastAsia="Arial" w:cs="Arial"/>
                <w:sz w:val="22"/>
                <w:szCs w:val="22"/>
              </w:rPr>
              <w:t>2.3. Ratio of public, private and co-funding supported versus NAMA Facility funding provided</w:t>
            </w:r>
          </w:p>
        </w:tc>
        <w:tc>
          <w:tcPr>
            <w:tcW w:w="1842" w:type="dxa"/>
            <w:tcBorders>
              <w:top w:val="single" w:sz="4" w:space="0" w:color="auto"/>
              <w:left w:val="single" w:sz="4" w:space="0" w:color="auto"/>
              <w:bottom w:val="single" w:sz="4" w:space="0" w:color="auto"/>
              <w:right w:val="single" w:sz="4" w:space="0" w:color="auto"/>
            </w:tcBorders>
          </w:tcPr>
          <w:p w14:paraId="20BDD19C" w14:textId="02C952B4" w:rsidR="001853C2" w:rsidRPr="00445DB8" w:rsidRDefault="04C5771F" w:rsidP="001B4FD0">
            <w:pPr>
              <w:rPr>
                <w:rFonts w:eastAsia="Arial" w:cs="Arial"/>
                <w:sz w:val="22"/>
                <w:szCs w:val="22"/>
              </w:rPr>
            </w:pPr>
            <w:r w:rsidRPr="7849A67F">
              <w:rPr>
                <w:rFonts w:eastAsia="Arial" w:cs="Arial"/>
                <w:sz w:val="22"/>
                <w:szCs w:val="22"/>
              </w:rPr>
              <w:t>2</w:t>
            </w:r>
            <w:r w:rsidR="7526616F" w:rsidRPr="7849A67F">
              <w:rPr>
                <w:rFonts w:eastAsia="Arial" w:cs="Arial"/>
                <w:sz w:val="22"/>
                <w:szCs w:val="22"/>
              </w:rPr>
              <w:t>5</w:t>
            </w:r>
          </w:p>
        </w:tc>
        <w:tc>
          <w:tcPr>
            <w:tcW w:w="5103" w:type="dxa"/>
            <w:tcBorders>
              <w:top w:val="single" w:sz="4" w:space="0" w:color="auto"/>
              <w:left w:val="single" w:sz="4" w:space="0" w:color="auto"/>
              <w:bottom w:val="single" w:sz="4" w:space="0" w:color="auto"/>
              <w:right w:val="single" w:sz="4" w:space="0" w:color="auto"/>
            </w:tcBorders>
          </w:tcPr>
          <w:p w14:paraId="5CCC1A3F" w14:textId="35730827" w:rsidR="001853C2" w:rsidRPr="00445DB8" w:rsidRDefault="54E2B3ED" w:rsidP="4A9EF9D3">
            <w:pPr>
              <w:contextualSpacing/>
              <w:rPr>
                <w:rFonts w:eastAsia="Arial" w:cs="Arial"/>
                <w:b/>
                <w:bCs/>
                <w:sz w:val="22"/>
                <w:szCs w:val="22"/>
                <w:u w:val="single"/>
              </w:rPr>
            </w:pPr>
            <w:r w:rsidRPr="7849A67F">
              <w:rPr>
                <w:rFonts w:eastAsia="Arial" w:cs="Arial"/>
                <w:b/>
                <w:bCs/>
                <w:sz w:val="22"/>
                <w:szCs w:val="22"/>
                <w:u w:val="single"/>
              </w:rPr>
              <w:t>Progress moderately did not meet expectation (</w:t>
            </w:r>
            <w:r w:rsidR="34FB9415" w:rsidRPr="7849A67F">
              <w:rPr>
                <w:rFonts w:eastAsia="Arial" w:cs="Arial"/>
                <w:b/>
                <w:bCs/>
                <w:sz w:val="22"/>
                <w:szCs w:val="22"/>
                <w:u w:val="single"/>
              </w:rPr>
              <w:t>6</w:t>
            </w:r>
            <w:r w:rsidRPr="7849A67F">
              <w:rPr>
                <w:rFonts w:eastAsia="Arial" w:cs="Arial"/>
                <w:b/>
                <w:bCs/>
                <w:sz w:val="22"/>
                <w:szCs w:val="22"/>
                <w:u w:val="single"/>
              </w:rPr>
              <w:t>9%)</w:t>
            </w:r>
          </w:p>
          <w:p w14:paraId="2921BF61" w14:textId="5070B218" w:rsidR="00C10DDD" w:rsidRPr="00445DB8" w:rsidRDefault="23AB0971" w:rsidP="001B4FD0">
            <w:pPr>
              <w:contextualSpacing/>
              <w:rPr>
                <w:rFonts w:eastAsia="Arial" w:cs="Arial"/>
                <w:sz w:val="22"/>
                <w:szCs w:val="22"/>
              </w:rPr>
            </w:pPr>
            <w:r w:rsidRPr="7849A67F">
              <w:rPr>
                <w:rFonts w:eastAsia="Arial" w:cs="Arial"/>
                <w:sz w:val="22"/>
                <w:szCs w:val="22"/>
              </w:rPr>
              <w:t>202</w:t>
            </w:r>
            <w:r w:rsidR="1141C896" w:rsidRPr="7849A67F">
              <w:rPr>
                <w:rFonts w:eastAsia="Arial" w:cs="Arial"/>
                <w:sz w:val="22"/>
                <w:szCs w:val="22"/>
              </w:rPr>
              <w:t>3</w:t>
            </w:r>
            <w:r w:rsidRPr="7849A67F">
              <w:rPr>
                <w:rFonts w:eastAsia="Arial" w:cs="Arial"/>
                <w:sz w:val="22"/>
                <w:szCs w:val="22"/>
              </w:rPr>
              <w:t>: 17.</w:t>
            </w:r>
            <w:r w:rsidR="124D07B5" w:rsidRPr="7849A67F">
              <w:rPr>
                <w:rFonts w:eastAsia="Arial" w:cs="Arial"/>
                <w:sz w:val="22"/>
                <w:szCs w:val="22"/>
              </w:rPr>
              <w:t>19</w:t>
            </w:r>
          </w:p>
          <w:p w14:paraId="2D1F1DD9" w14:textId="4DB3B6B3" w:rsidR="00730A25" w:rsidRPr="00445DB8" w:rsidRDefault="2A7232A0" w:rsidP="001B4FD0">
            <w:pPr>
              <w:contextualSpacing/>
              <w:rPr>
                <w:rFonts w:eastAsia="Arial" w:cs="Arial"/>
                <w:sz w:val="22"/>
                <w:szCs w:val="22"/>
              </w:rPr>
            </w:pPr>
            <w:r w:rsidRPr="7849A67F">
              <w:rPr>
                <w:rFonts w:eastAsia="Arial" w:cs="Arial"/>
                <w:sz w:val="22"/>
                <w:szCs w:val="22"/>
              </w:rPr>
              <w:t>The 202</w:t>
            </w:r>
            <w:r w:rsidR="569BC0EE" w:rsidRPr="7849A67F">
              <w:rPr>
                <w:rFonts w:eastAsia="Arial" w:cs="Arial"/>
                <w:sz w:val="22"/>
                <w:szCs w:val="22"/>
              </w:rPr>
              <w:t>3</w:t>
            </w:r>
            <w:r w:rsidRPr="7849A67F">
              <w:rPr>
                <w:rFonts w:eastAsia="Arial" w:cs="Arial"/>
                <w:sz w:val="22"/>
                <w:szCs w:val="22"/>
              </w:rPr>
              <w:t xml:space="preserve"> target was revised</w:t>
            </w:r>
            <w:r w:rsidR="57738875" w:rsidRPr="7849A67F">
              <w:rPr>
                <w:rFonts w:eastAsia="Arial" w:cs="Arial"/>
                <w:sz w:val="22"/>
                <w:szCs w:val="22"/>
              </w:rPr>
              <w:t xml:space="preserve"> to be more ambitious</w:t>
            </w:r>
            <w:r w:rsidRPr="7849A67F">
              <w:rPr>
                <w:rFonts w:eastAsia="Arial" w:cs="Arial"/>
                <w:sz w:val="22"/>
                <w:szCs w:val="22"/>
              </w:rPr>
              <w:t xml:space="preserve"> </w:t>
            </w:r>
            <w:r w:rsidR="60223225" w:rsidRPr="7849A67F">
              <w:rPr>
                <w:rFonts w:eastAsia="Arial" w:cs="Arial"/>
                <w:sz w:val="22"/>
                <w:szCs w:val="22"/>
              </w:rPr>
              <w:t xml:space="preserve">following continued overachievement against this milestone in the previous </w:t>
            </w:r>
            <w:r w:rsidR="0675C2EC" w:rsidRPr="7849A67F">
              <w:rPr>
                <w:rFonts w:eastAsia="Arial" w:cs="Arial"/>
                <w:sz w:val="22"/>
                <w:szCs w:val="22"/>
              </w:rPr>
              <w:t>4</w:t>
            </w:r>
            <w:r w:rsidR="60223225" w:rsidRPr="7849A67F">
              <w:rPr>
                <w:rFonts w:eastAsia="Arial" w:cs="Arial"/>
                <w:sz w:val="22"/>
                <w:szCs w:val="22"/>
              </w:rPr>
              <w:t xml:space="preserve"> years.</w:t>
            </w:r>
          </w:p>
        </w:tc>
      </w:tr>
    </w:tbl>
    <w:p w14:paraId="3054DB41" w14:textId="4E9EDFC7" w:rsidR="00452183" w:rsidDel="008A07BD" w:rsidRDefault="00452183" w:rsidP="07AF1209">
      <w:pPr>
        <w:jc w:val="both"/>
        <w:rPr>
          <w:rFonts w:eastAsia="Arial" w:cs="Arial"/>
          <w:b/>
          <w:i/>
          <w:sz w:val="28"/>
          <w:szCs w:val="28"/>
        </w:rPr>
      </w:pPr>
    </w:p>
    <w:p w14:paraId="513509DC" w14:textId="4943BCF6" w:rsidR="006462E5" w:rsidRPr="00D80C6C" w:rsidRDefault="006462E5" w:rsidP="07AF1209">
      <w:pPr>
        <w:jc w:val="both"/>
        <w:rPr>
          <w:rFonts w:eastAsia="Arial" w:cs="Arial"/>
          <w:b/>
          <w:i/>
          <w:sz w:val="22"/>
          <w:szCs w:val="22"/>
        </w:rPr>
      </w:pPr>
      <w:r w:rsidRPr="58ABD160">
        <w:rPr>
          <w:rFonts w:eastAsia="Arial" w:cs="Arial"/>
          <w:b/>
          <w:i/>
          <w:sz w:val="28"/>
          <w:szCs w:val="28"/>
        </w:rPr>
        <w:t>Output summary and supporting narrative for the score</w:t>
      </w:r>
      <w:r w:rsidRPr="58ABD160">
        <w:rPr>
          <w:rFonts w:eastAsia="Arial" w:cs="Arial"/>
          <w:b/>
          <w:i/>
          <w:sz w:val="22"/>
          <w:szCs w:val="22"/>
        </w:rPr>
        <w:t xml:space="preserve"> </w:t>
      </w:r>
    </w:p>
    <w:p w14:paraId="7AC81B41" w14:textId="77777777" w:rsidR="006462E5" w:rsidRPr="00D80C6C" w:rsidRDefault="006462E5" w:rsidP="07AF1209">
      <w:pPr>
        <w:jc w:val="both"/>
        <w:rPr>
          <w:rFonts w:eastAsia="Arial" w:cs="Arial"/>
          <w:sz w:val="22"/>
          <w:szCs w:val="22"/>
        </w:rPr>
      </w:pPr>
    </w:p>
    <w:p w14:paraId="4A304D85" w14:textId="77777777" w:rsidR="0050732A" w:rsidRPr="00445DB8" w:rsidRDefault="0050732A" w:rsidP="07AF1209">
      <w:pPr>
        <w:pStyle w:val="ListParagraph"/>
        <w:numPr>
          <w:ilvl w:val="0"/>
          <w:numId w:val="6"/>
        </w:numPr>
        <w:jc w:val="both"/>
        <w:rPr>
          <w:rFonts w:eastAsia="Arial" w:cs="Arial"/>
          <w:sz w:val="22"/>
          <w:szCs w:val="22"/>
        </w:rPr>
      </w:pPr>
      <w:r w:rsidRPr="58ABD160">
        <w:rPr>
          <w:rFonts w:eastAsia="Arial" w:cs="Arial"/>
          <w:sz w:val="22"/>
          <w:szCs w:val="22"/>
        </w:rPr>
        <w:t xml:space="preserve">Output 2 looks at the ability of MAF projects to leverage further private or public funding. </w:t>
      </w:r>
    </w:p>
    <w:p w14:paraId="4D36435D" w14:textId="74E5E23E" w:rsidR="0050732A" w:rsidRPr="00445DB8" w:rsidRDefault="00205C74" w:rsidP="07AF1209">
      <w:pPr>
        <w:pStyle w:val="ListParagraph"/>
        <w:numPr>
          <w:ilvl w:val="0"/>
          <w:numId w:val="6"/>
        </w:numPr>
        <w:jc w:val="both"/>
        <w:rPr>
          <w:rFonts w:eastAsia="Arial" w:cs="Arial"/>
          <w:sz w:val="22"/>
          <w:szCs w:val="22"/>
        </w:rPr>
      </w:pPr>
      <w:r w:rsidRPr="7849A67F">
        <w:rPr>
          <w:rFonts w:eastAsia="Arial" w:cs="Arial"/>
          <w:sz w:val="22"/>
          <w:szCs w:val="22"/>
        </w:rPr>
        <w:t>The volume of public finance leveraged up to 202</w:t>
      </w:r>
      <w:r w:rsidR="76BF58F4" w:rsidRPr="7849A67F">
        <w:rPr>
          <w:rFonts w:eastAsia="Arial" w:cs="Arial"/>
          <w:sz w:val="22"/>
          <w:szCs w:val="22"/>
        </w:rPr>
        <w:t>3</w:t>
      </w:r>
      <w:r w:rsidRPr="7849A67F">
        <w:rPr>
          <w:rFonts w:eastAsia="Arial" w:cs="Arial"/>
          <w:sz w:val="22"/>
          <w:szCs w:val="22"/>
        </w:rPr>
        <w:t xml:space="preserve">, measured by indicator M4, was </w:t>
      </w:r>
      <w:r w:rsidR="5B2AACB7" w:rsidRPr="7849A67F">
        <w:rPr>
          <w:rFonts w:eastAsia="Arial" w:cs="Arial"/>
          <w:sz w:val="22"/>
          <w:szCs w:val="22"/>
        </w:rPr>
        <w:t>EUR</w:t>
      </w:r>
      <w:r w:rsidR="11E48A70" w:rsidRPr="7849A67F">
        <w:rPr>
          <w:rFonts w:eastAsia="Arial" w:cs="Arial"/>
          <w:sz w:val="22"/>
          <w:szCs w:val="22"/>
        </w:rPr>
        <w:t xml:space="preserve"> </w:t>
      </w:r>
      <w:r w:rsidR="4D51C2F7" w:rsidRPr="7849A67F">
        <w:rPr>
          <w:rFonts w:eastAsia="Arial" w:cs="Arial"/>
          <w:sz w:val="22"/>
          <w:szCs w:val="22"/>
        </w:rPr>
        <w:t>836</w:t>
      </w:r>
      <w:r w:rsidR="5B2AACB7" w:rsidRPr="7849A67F">
        <w:rPr>
          <w:rFonts w:eastAsia="Arial" w:cs="Arial"/>
          <w:sz w:val="22"/>
          <w:szCs w:val="22"/>
        </w:rPr>
        <w:t>m</w:t>
      </w:r>
      <w:r w:rsidRPr="7849A67F">
        <w:rPr>
          <w:rFonts w:eastAsia="Arial" w:cs="Arial"/>
          <w:sz w:val="22"/>
          <w:szCs w:val="22"/>
        </w:rPr>
        <w:t xml:space="preserve">, showing strong progress following </w:t>
      </w:r>
      <w:r w:rsidR="5B2AACB7" w:rsidRPr="7849A67F">
        <w:rPr>
          <w:rFonts w:eastAsia="Arial" w:cs="Arial"/>
          <w:sz w:val="22"/>
          <w:szCs w:val="22"/>
        </w:rPr>
        <w:t>EUR</w:t>
      </w:r>
      <w:r w:rsidR="4A109E0C" w:rsidRPr="7849A67F">
        <w:rPr>
          <w:rFonts w:eastAsia="Arial" w:cs="Arial"/>
          <w:sz w:val="22"/>
          <w:szCs w:val="22"/>
        </w:rPr>
        <w:t xml:space="preserve"> </w:t>
      </w:r>
      <w:r w:rsidR="5C54AA4D" w:rsidRPr="7849A67F">
        <w:rPr>
          <w:rFonts w:eastAsia="Arial" w:cs="Arial"/>
          <w:sz w:val="22"/>
          <w:szCs w:val="22"/>
        </w:rPr>
        <w:t>647</w:t>
      </w:r>
      <w:r w:rsidR="5B2AACB7" w:rsidRPr="7849A67F">
        <w:rPr>
          <w:rFonts w:eastAsia="Arial" w:cs="Arial"/>
          <w:sz w:val="22"/>
          <w:szCs w:val="22"/>
        </w:rPr>
        <w:t>m</w:t>
      </w:r>
      <w:r w:rsidRPr="7849A67F">
        <w:rPr>
          <w:rFonts w:eastAsia="Arial" w:cs="Arial"/>
          <w:sz w:val="22"/>
          <w:szCs w:val="22"/>
        </w:rPr>
        <w:t xml:space="preserve"> being reported in the 202</w:t>
      </w:r>
      <w:r w:rsidR="58456CAE" w:rsidRPr="7849A67F">
        <w:rPr>
          <w:rFonts w:eastAsia="Arial" w:cs="Arial"/>
          <w:sz w:val="22"/>
          <w:szCs w:val="22"/>
        </w:rPr>
        <w:t>2</w:t>
      </w:r>
      <w:r w:rsidRPr="7849A67F">
        <w:rPr>
          <w:rFonts w:eastAsia="Arial" w:cs="Arial"/>
          <w:sz w:val="22"/>
          <w:szCs w:val="22"/>
        </w:rPr>
        <w:t xml:space="preserve"> report and remaining </w:t>
      </w:r>
      <w:r w:rsidR="611DABFC" w:rsidRPr="7849A67F">
        <w:rPr>
          <w:rFonts w:eastAsia="Arial" w:cs="Arial"/>
          <w:sz w:val="22"/>
          <w:szCs w:val="22"/>
        </w:rPr>
        <w:t xml:space="preserve">well </w:t>
      </w:r>
      <w:r w:rsidRPr="7849A67F">
        <w:rPr>
          <w:rFonts w:eastAsia="Arial" w:cs="Arial"/>
          <w:sz w:val="22"/>
          <w:szCs w:val="22"/>
        </w:rPr>
        <w:t xml:space="preserve">above the target of EUR 567m. </w:t>
      </w:r>
    </w:p>
    <w:p w14:paraId="1B900F33" w14:textId="50DCEF7E" w:rsidR="0050732A" w:rsidRPr="00445DB8" w:rsidRDefault="65D860DE" w:rsidP="07AF1209">
      <w:pPr>
        <w:pStyle w:val="ListParagraph"/>
        <w:numPr>
          <w:ilvl w:val="0"/>
          <w:numId w:val="6"/>
        </w:numPr>
        <w:jc w:val="both"/>
        <w:rPr>
          <w:rFonts w:eastAsia="Arial" w:cs="Arial"/>
          <w:sz w:val="22"/>
          <w:szCs w:val="22"/>
        </w:rPr>
      </w:pPr>
      <w:r w:rsidRPr="7849A67F">
        <w:rPr>
          <w:rFonts w:eastAsia="Arial" w:cs="Arial"/>
          <w:sz w:val="22"/>
          <w:szCs w:val="22"/>
        </w:rPr>
        <w:t xml:space="preserve">As reflected across other output results, </w:t>
      </w:r>
      <w:r w:rsidR="00205C74" w:rsidRPr="7849A67F">
        <w:rPr>
          <w:rFonts w:eastAsia="Arial" w:cs="Arial"/>
          <w:sz w:val="22"/>
          <w:szCs w:val="22"/>
        </w:rPr>
        <w:t xml:space="preserve">China Waste Management and </w:t>
      </w:r>
      <w:r w:rsidR="6163F72C" w:rsidRPr="7849A67F">
        <w:rPr>
          <w:rFonts w:eastAsia="Arial" w:cs="Arial"/>
          <w:sz w:val="22"/>
          <w:szCs w:val="22"/>
        </w:rPr>
        <w:t>Mexico Housing</w:t>
      </w:r>
      <w:r w:rsidR="00205C74" w:rsidRPr="7849A67F">
        <w:rPr>
          <w:rFonts w:eastAsia="Arial" w:cs="Arial"/>
          <w:sz w:val="22"/>
          <w:szCs w:val="22"/>
        </w:rPr>
        <w:t xml:space="preserve"> </w:t>
      </w:r>
      <w:r w:rsidR="6E5A38F6" w:rsidRPr="7849A67F">
        <w:rPr>
          <w:rFonts w:eastAsia="Arial" w:cs="Arial"/>
          <w:sz w:val="22"/>
          <w:szCs w:val="22"/>
        </w:rPr>
        <w:t>continue to strengthen the cumulative scoring</w:t>
      </w:r>
      <w:r w:rsidR="33FE7F57" w:rsidRPr="7849A67F">
        <w:rPr>
          <w:rFonts w:eastAsia="Arial" w:cs="Arial"/>
          <w:sz w:val="22"/>
          <w:szCs w:val="22"/>
        </w:rPr>
        <w:t xml:space="preserve"> of M4</w:t>
      </w:r>
      <w:r w:rsidR="00205C74" w:rsidRPr="7849A67F">
        <w:rPr>
          <w:rFonts w:eastAsia="Arial" w:cs="Arial"/>
          <w:sz w:val="22"/>
          <w:szCs w:val="22"/>
        </w:rPr>
        <w:t>, leveraging</w:t>
      </w:r>
      <w:r w:rsidR="126CABAF" w:rsidRPr="7849A67F">
        <w:rPr>
          <w:rFonts w:eastAsia="Arial" w:cs="Arial"/>
          <w:sz w:val="22"/>
          <w:szCs w:val="22"/>
        </w:rPr>
        <w:t xml:space="preserve">, since projects began, </w:t>
      </w:r>
      <w:r w:rsidR="00205C74" w:rsidRPr="7849A67F">
        <w:rPr>
          <w:rFonts w:eastAsia="Arial" w:cs="Arial"/>
          <w:sz w:val="22"/>
          <w:szCs w:val="22"/>
        </w:rPr>
        <w:t>EUR</w:t>
      </w:r>
      <w:r w:rsidR="44A26601" w:rsidRPr="7849A67F">
        <w:rPr>
          <w:rFonts w:eastAsia="Arial" w:cs="Arial"/>
          <w:sz w:val="22"/>
          <w:szCs w:val="22"/>
        </w:rPr>
        <w:t xml:space="preserve"> </w:t>
      </w:r>
      <w:r w:rsidR="7F9E98B5" w:rsidRPr="7849A67F">
        <w:rPr>
          <w:rFonts w:eastAsia="Arial" w:cs="Arial"/>
          <w:sz w:val="22"/>
          <w:szCs w:val="22"/>
        </w:rPr>
        <w:t>580</w:t>
      </w:r>
      <w:r w:rsidR="00205C74" w:rsidRPr="7849A67F">
        <w:rPr>
          <w:rFonts w:eastAsia="Arial" w:cs="Arial"/>
          <w:sz w:val="22"/>
          <w:szCs w:val="22"/>
        </w:rPr>
        <w:t>m and EUR</w:t>
      </w:r>
      <w:r w:rsidR="416B2C89" w:rsidRPr="7849A67F">
        <w:rPr>
          <w:rFonts w:eastAsia="Arial" w:cs="Arial"/>
          <w:sz w:val="22"/>
          <w:szCs w:val="22"/>
        </w:rPr>
        <w:t xml:space="preserve"> 183</w:t>
      </w:r>
      <w:r w:rsidR="00205C74" w:rsidRPr="7849A67F">
        <w:rPr>
          <w:rFonts w:eastAsia="Arial" w:cs="Arial"/>
          <w:sz w:val="22"/>
          <w:szCs w:val="22"/>
        </w:rPr>
        <w:t>m respectively</w:t>
      </w:r>
      <w:r w:rsidR="291E166A" w:rsidRPr="7849A67F">
        <w:rPr>
          <w:rFonts w:eastAsia="Arial" w:cs="Arial"/>
          <w:sz w:val="22"/>
          <w:szCs w:val="22"/>
        </w:rPr>
        <w:t xml:space="preserve"> on their own</w:t>
      </w:r>
      <w:r w:rsidR="00205C74" w:rsidRPr="7849A67F">
        <w:rPr>
          <w:rFonts w:eastAsia="Arial" w:cs="Arial"/>
          <w:sz w:val="22"/>
          <w:szCs w:val="22"/>
        </w:rPr>
        <w:t xml:space="preserve">. </w:t>
      </w:r>
      <w:r w:rsidR="1B2578AF" w:rsidRPr="7849A67F">
        <w:rPr>
          <w:rFonts w:eastAsia="Arial" w:cs="Arial"/>
          <w:sz w:val="22"/>
          <w:szCs w:val="22"/>
        </w:rPr>
        <w:t>For both M4</w:t>
      </w:r>
      <w:r w:rsidR="5BB55645" w:rsidRPr="7849A67F">
        <w:rPr>
          <w:rFonts w:eastAsia="Arial" w:cs="Arial"/>
          <w:sz w:val="22"/>
          <w:szCs w:val="22"/>
        </w:rPr>
        <w:t xml:space="preserve"> (2.1)</w:t>
      </w:r>
      <w:r w:rsidR="1B2578AF" w:rsidRPr="7849A67F">
        <w:rPr>
          <w:rFonts w:eastAsia="Arial" w:cs="Arial"/>
          <w:sz w:val="22"/>
          <w:szCs w:val="22"/>
        </w:rPr>
        <w:t xml:space="preserve"> and M5</w:t>
      </w:r>
      <w:r w:rsidR="65659EF5" w:rsidRPr="7849A67F">
        <w:rPr>
          <w:rFonts w:eastAsia="Arial" w:cs="Arial"/>
          <w:sz w:val="22"/>
          <w:szCs w:val="22"/>
        </w:rPr>
        <w:t xml:space="preserve"> (2.2)</w:t>
      </w:r>
      <w:r w:rsidR="1B2578AF" w:rsidRPr="7849A67F">
        <w:rPr>
          <w:rFonts w:eastAsia="Arial" w:cs="Arial"/>
          <w:sz w:val="22"/>
          <w:szCs w:val="22"/>
        </w:rPr>
        <w:t xml:space="preserve">, both </w:t>
      </w:r>
      <w:r w:rsidR="5D126D05" w:rsidRPr="7849A67F">
        <w:rPr>
          <w:rFonts w:eastAsia="Arial" w:cs="Arial"/>
          <w:sz w:val="22"/>
          <w:szCs w:val="22"/>
        </w:rPr>
        <w:t xml:space="preserve">China and Mexico </w:t>
      </w:r>
      <w:r w:rsidR="1B2578AF" w:rsidRPr="7849A67F">
        <w:rPr>
          <w:rFonts w:eastAsia="Arial" w:cs="Arial"/>
          <w:sz w:val="22"/>
          <w:szCs w:val="22"/>
        </w:rPr>
        <w:t xml:space="preserve">projects </w:t>
      </w:r>
      <w:r w:rsidR="054FC457" w:rsidRPr="7849A67F">
        <w:rPr>
          <w:rFonts w:eastAsia="Arial" w:cs="Arial"/>
          <w:sz w:val="22"/>
          <w:szCs w:val="22"/>
        </w:rPr>
        <w:t xml:space="preserve">historically </w:t>
      </w:r>
      <w:r w:rsidR="1B2578AF" w:rsidRPr="7849A67F">
        <w:rPr>
          <w:rFonts w:eastAsia="Arial" w:cs="Arial"/>
          <w:sz w:val="22"/>
          <w:szCs w:val="22"/>
        </w:rPr>
        <w:t>perform significantly higher than other projects</w:t>
      </w:r>
      <w:r w:rsidR="4783D7CE" w:rsidRPr="7849A67F">
        <w:rPr>
          <w:rFonts w:eastAsia="Arial" w:cs="Arial"/>
          <w:sz w:val="22"/>
          <w:szCs w:val="22"/>
        </w:rPr>
        <w:t xml:space="preserve"> which should be taken into consideration in looking at the overall score</w:t>
      </w:r>
      <w:r w:rsidR="2087E68D" w:rsidRPr="7849A67F">
        <w:rPr>
          <w:rFonts w:eastAsia="Arial" w:cs="Arial"/>
          <w:sz w:val="22"/>
          <w:szCs w:val="22"/>
        </w:rPr>
        <w:t>.</w:t>
      </w:r>
    </w:p>
    <w:p w14:paraId="3F3522D2" w14:textId="67D894DD" w:rsidR="60FC1672" w:rsidRDefault="60FC1672" w:rsidP="07AF1209">
      <w:pPr>
        <w:pStyle w:val="ListParagraph"/>
        <w:numPr>
          <w:ilvl w:val="0"/>
          <w:numId w:val="6"/>
        </w:numPr>
        <w:jc w:val="both"/>
        <w:rPr>
          <w:rFonts w:eastAsia="Arial" w:cs="Arial"/>
          <w:sz w:val="22"/>
          <w:szCs w:val="22"/>
        </w:rPr>
      </w:pPr>
      <w:r w:rsidRPr="7849A67F">
        <w:rPr>
          <w:rFonts w:eastAsia="Arial" w:cs="Arial"/>
          <w:sz w:val="22"/>
          <w:szCs w:val="22"/>
        </w:rPr>
        <w:t>Where projects leveraged less public finance than their target, this was due to the delay of the financial component establishment (such as Cabo Verde Vehicles</w:t>
      </w:r>
      <w:r w:rsidR="339F58B0" w:rsidRPr="7849A67F">
        <w:rPr>
          <w:rFonts w:eastAsia="Arial" w:cs="Arial"/>
          <w:sz w:val="22"/>
          <w:szCs w:val="22"/>
        </w:rPr>
        <w:t xml:space="preserve"> and South Africa Public Buildings), unsuccessful operation of their financial component (e.g. Colombia Refrigeration), or obstacles in finalising key contracts </w:t>
      </w:r>
      <w:r w:rsidR="34987AB6" w:rsidRPr="7849A67F">
        <w:rPr>
          <w:rFonts w:eastAsia="Arial" w:cs="Arial"/>
          <w:sz w:val="22"/>
          <w:szCs w:val="22"/>
        </w:rPr>
        <w:t xml:space="preserve">(as in the case of Mongolia Building Retrofitting). </w:t>
      </w:r>
    </w:p>
    <w:p w14:paraId="43FC96CF" w14:textId="6F8799D0" w:rsidR="00205C74" w:rsidRPr="008B591C" w:rsidRDefault="00205C74" w:rsidP="07AF1209">
      <w:pPr>
        <w:pStyle w:val="ListParagraph"/>
        <w:numPr>
          <w:ilvl w:val="0"/>
          <w:numId w:val="6"/>
        </w:numPr>
        <w:jc w:val="both"/>
        <w:rPr>
          <w:rFonts w:eastAsia="Arial" w:cs="Arial"/>
          <w:sz w:val="22"/>
          <w:szCs w:val="22"/>
        </w:rPr>
      </w:pPr>
      <w:r w:rsidRPr="7849A67F">
        <w:rPr>
          <w:rFonts w:eastAsia="Arial" w:cs="Arial"/>
          <w:sz w:val="22"/>
          <w:szCs w:val="22"/>
        </w:rPr>
        <w:t>The volume of private finance leveraged up to 202</w:t>
      </w:r>
      <w:r w:rsidR="53572EB2" w:rsidRPr="7849A67F">
        <w:rPr>
          <w:rFonts w:eastAsia="Arial" w:cs="Arial"/>
          <w:sz w:val="22"/>
          <w:szCs w:val="22"/>
        </w:rPr>
        <w:t>3</w:t>
      </w:r>
      <w:r w:rsidRPr="7849A67F">
        <w:rPr>
          <w:rFonts w:eastAsia="Arial" w:cs="Arial"/>
          <w:sz w:val="22"/>
          <w:szCs w:val="22"/>
        </w:rPr>
        <w:t>, measured by M5, was EUR 9</w:t>
      </w:r>
      <w:r w:rsidR="7F0F6ACA" w:rsidRPr="7849A67F">
        <w:rPr>
          <w:rFonts w:eastAsia="Arial" w:cs="Arial"/>
          <w:sz w:val="22"/>
          <w:szCs w:val="22"/>
        </w:rPr>
        <w:t>80</w:t>
      </w:r>
      <w:r w:rsidRPr="7849A67F">
        <w:rPr>
          <w:rFonts w:eastAsia="Arial" w:cs="Arial"/>
          <w:sz w:val="22"/>
          <w:szCs w:val="22"/>
        </w:rPr>
        <w:t xml:space="preserve">m, showing </w:t>
      </w:r>
      <w:r w:rsidR="3C7CDD08" w:rsidRPr="7849A67F">
        <w:rPr>
          <w:rFonts w:eastAsia="Arial" w:cs="Arial"/>
          <w:sz w:val="22"/>
          <w:szCs w:val="22"/>
        </w:rPr>
        <w:t xml:space="preserve">some but </w:t>
      </w:r>
      <w:r w:rsidRPr="7849A67F">
        <w:rPr>
          <w:rFonts w:eastAsia="Arial" w:cs="Arial"/>
          <w:sz w:val="22"/>
          <w:szCs w:val="22"/>
        </w:rPr>
        <w:t xml:space="preserve">limited progress following </w:t>
      </w:r>
      <w:r w:rsidR="6D8237E5" w:rsidRPr="7849A67F">
        <w:rPr>
          <w:rFonts w:eastAsia="Arial" w:cs="Arial"/>
          <w:sz w:val="22"/>
          <w:szCs w:val="22"/>
        </w:rPr>
        <w:t xml:space="preserve">the </w:t>
      </w:r>
      <w:r w:rsidR="5B2AACB7" w:rsidRPr="7849A67F">
        <w:rPr>
          <w:rFonts w:eastAsia="Arial" w:cs="Arial"/>
          <w:sz w:val="22"/>
          <w:szCs w:val="22"/>
        </w:rPr>
        <w:t>EUR</w:t>
      </w:r>
      <w:r w:rsidR="08336FF6" w:rsidRPr="7849A67F">
        <w:rPr>
          <w:rFonts w:eastAsia="Arial" w:cs="Arial"/>
          <w:sz w:val="22"/>
          <w:szCs w:val="22"/>
        </w:rPr>
        <w:t xml:space="preserve"> </w:t>
      </w:r>
      <w:r w:rsidR="5B2AACB7" w:rsidRPr="7849A67F">
        <w:rPr>
          <w:rFonts w:eastAsia="Arial" w:cs="Arial"/>
          <w:sz w:val="22"/>
          <w:szCs w:val="22"/>
        </w:rPr>
        <w:t>9</w:t>
      </w:r>
      <w:r w:rsidR="2BD8DC10" w:rsidRPr="7849A67F">
        <w:rPr>
          <w:rFonts w:eastAsia="Arial" w:cs="Arial"/>
          <w:sz w:val="22"/>
          <w:szCs w:val="22"/>
        </w:rPr>
        <w:t>71</w:t>
      </w:r>
      <w:r w:rsidR="5B2AACB7" w:rsidRPr="7849A67F">
        <w:rPr>
          <w:rFonts w:eastAsia="Arial" w:cs="Arial"/>
          <w:sz w:val="22"/>
          <w:szCs w:val="22"/>
        </w:rPr>
        <w:t>m</w:t>
      </w:r>
      <w:r w:rsidRPr="7849A67F">
        <w:rPr>
          <w:rFonts w:eastAsia="Arial" w:cs="Arial"/>
          <w:sz w:val="22"/>
          <w:szCs w:val="22"/>
        </w:rPr>
        <w:t xml:space="preserve"> reported in 202</w:t>
      </w:r>
      <w:r w:rsidR="40058C63" w:rsidRPr="7849A67F">
        <w:rPr>
          <w:rFonts w:eastAsia="Arial" w:cs="Arial"/>
          <w:sz w:val="22"/>
          <w:szCs w:val="22"/>
        </w:rPr>
        <w:t>2</w:t>
      </w:r>
      <w:r w:rsidRPr="7849A67F">
        <w:rPr>
          <w:rFonts w:eastAsia="Arial" w:cs="Arial"/>
          <w:sz w:val="22"/>
          <w:szCs w:val="22"/>
        </w:rPr>
        <w:t xml:space="preserve">. This </w:t>
      </w:r>
      <w:r w:rsidRPr="7849A67F">
        <w:rPr>
          <w:rFonts w:eastAsia="Arial" w:cs="Arial"/>
          <w:sz w:val="22"/>
          <w:szCs w:val="22"/>
        </w:rPr>
        <w:lastRenderedPageBreak/>
        <w:t xml:space="preserve">indicator </w:t>
      </w:r>
      <w:r w:rsidR="1AFF9D30" w:rsidRPr="7849A67F">
        <w:rPr>
          <w:rFonts w:eastAsia="Arial" w:cs="Arial"/>
          <w:sz w:val="22"/>
          <w:szCs w:val="22"/>
        </w:rPr>
        <w:t xml:space="preserve">target was increased for 2023 to </w:t>
      </w:r>
      <w:r w:rsidR="5FC5EC00" w:rsidRPr="7849A67F">
        <w:rPr>
          <w:rFonts w:eastAsia="Arial" w:cs="Arial"/>
          <w:sz w:val="22"/>
          <w:szCs w:val="22"/>
        </w:rPr>
        <w:t xml:space="preserve">curtail the trend of overachievement in this category and </w:t>
      </w:r>
      <w:r w:rsidR="1AFF9D30" w:rsidRPr="7849A67F">
        <w:rPr>
          <w:rFonts w:eastAsia="Arial" w:cs="Arial"/>
          <w:sz w:val="22"/>
          <w:szCs w:val="22"/>
        </w:rPr>
        <w:t xml:space="preserve">drive greater ambition </w:t>
      </w:r>
      <w:r w:rsidR="3DC4DF97" w:rsidRPr="7849A67F">
        <w:rPr>
          <w:rFonts w:eastAsia="Arial" w:cs="Arial"/>
          <w:sz w:val="22"/>
          <w:szCs w:val="22"/>
        </w:rPr>
        <w:t xml:space="preserve">and </w:t>
      </w:r>
      <w:r w:rsidR="1AFF9D30" w:rsidRPr="7849A67F">
        <w:rPr>
          <w:rFonts w:eastAsia="Arial" w:cs="Arial"/>
          <w:sz w:val="22"/>
          <w:szCs w:val="22"/>
        </w:rPr>
        <w:t>is therefore only 91% met</w:t>
      </w:r>
      <w:r w:rsidR="3770213C" w:rsidRPr="7849A67F">
        <w:rPr>
          <w:rFonts w:eastAsia="Arial" w:cs="Arial"/>
          <w:sz w:val="22"/>
          <w:szCs w:val="22"/>
        </w:rPr>
        <w:t xml:space="preserve"> in 2023</w:t>
      </w:r>
      <w:r w:rsidRPr="7849A67F">
        <w:rPr>
          <w:rFonts w:eastAsia="Arial" w:cs="Arial"/>
          <w:sz w:val="22"/>
          <w:szCs w:val="22"/>
        </w:rPr>
        <w:t>.</w:t>
      </w:r>
    </w:p>
    <w:p w14:paraId="6C834362" w14:textId="7832BD82" w:rsidR="2510F773" w:rsidRDefault="2510F773" w:rsidP="07AF1209">
      <w:pPr>
        <w:pStyle w:val="ListParagraph"/>
        <w:numPr>
          <w:ilvl w:val="0"/>
          <w:numId w:val="6"/>
        </w:numPr>
        <w:jc w:val="both"/>
        <w:rPr>
          <w:rFonts w:eastAsia="Arial" w:cs="Arial"/>
          <w:sz w:val="22"/>
          <w:szCs w:val="22"/>
        </w:rPr>
      </w:pPr>
      <w:r w:rsidRPr="7849A67F">
        <w:rPr>
          <w:rFonts w:eastAsia="Arial" w:cs="Arial"/>
          <w:sz w:val="22"/>
          <w:szCs w:val="22"/>
        </w:rPr>
        <w:t>Looking beyond Chinese capex investments in waste facilities in China Waste which remains an outlier, there are underperformances</w:t>
      </w:r>
      <w:r w:rsidR="373986AF" w:rsidRPr="7849A67F">
        <w:rPr>
          <w:rFonts w:eastAsia="Arial" w:cs="Arial"/>
          <w:sz w:val="22"/>
          <w:szCs w:val="22"/>
        </w:rPr>
        <w:t xml:space="preserve"> in M5 (private sector finance leveraging)</w:t>
      </w:r>
      <w:r w:rsidRPr="7849A67F">
        <w:rPr>
          <w:rFonts w:eastAsia="Arial" w:cs="Arial"/>
          <w:sz w:val="22"/>
          <w:szCs w:val="22"/>
        </w:rPr>
        <w:t xml:space="preserve"> to take lessons from </w:t>
      </w:r>
      <w:r w:rsidR="0B017625" w:rsidRPr="7849A67F">
        <w:rPr>
          <w:rFonts w:eastAsia="Arial" w:cs="Arial"/>
          <w:sz w:val="22"/>
          <w:szCs w:val="22"/>
        </w:rPr>
        <w:t xml:space="preserve">that </w:t>
      </w:r>
      <w:r w:rsidR="130B058D" w:rsidRPr="7849A67F">
        <w:rPr>
          <w:rFonts w:eastAsia="Arial" w:cs="Arial"/>
          <w:sz w:val="22"/>
          <w:szCs w:val="22"/>
        </w:rPr>
        <w:t xml:space="preserve">directly </w:t>
      </w:r>
      <w:r w:rsidR="0B017625" w:rsidRPr="7849A67F">
        <w:rPr>
          <w:rFonts w:eastAsia="Arial" w:cs="Arial"/>
          <w:sz w:val="22"/>
          <w:szCs w:val="22"/>
        </w:rPr>
        <w:t>mirror the underperformances recorded under M4</w:t>
      </w:r>
      <w:r w:rsidR="6865EECA" w:rsidRPr="7849A67F">
        <w:rPr>
          <w:rFonts w:eastAsia="Arial" w:cs="Arial"/>
          <w:sz w:val="22"/>
          <w:szCs w:val="22"/>
        </w:rPr>
        <w:t xml:space="preserve"> and the leveraging of public finance with many of the same factors at play.</w:t>
      </w:r>
    </w:p>
    <w:p w14:paraId="4D6D1ADD" w14:textId="4EBFEAFB" w:rsidR="00E81FDB" w:rsidRPr="008B591C" w:rsidRDefault="05BE67A7" w:rsidP="07AF1209">
      <w:pPr>
        <w:pStyle w:val="ListParagraph"/>
        <w:numPr>
          <w:ilvl w:val="0"/>
          <w:numId w:val="6"/>
        </w:numPr>
        <w:jc w:val="both"/>
        <w:rPr>
          <w:rFonts w:eastAsia="Arial" w:cs="Arial"/>
          <w:sz w:val="22"/>
          <w:szCs w:val="22"/>
        </w:rPr>
      </w:pPr>
      <w:r w:rsidRPr="7849A67F">
        <w:rPr>
          <w:rFonts w:eastAsia="Arial" w:cs="Arial"/>
          <w:sz w:val="22"/>
          <w:szCs w:val="22"/>
        </w:rPr>
        <w:t>Where there is more substantial room for improvement is indicator 2.3, where the</w:t>
      </w:r>
      <w:r w:rsidR="002F0A65" w:rsidRPr="7849A67F">
        <w:rPr>
          <w:rFonts w:eastAsia="Arial" w:cs="Arial"/>
          <w:sz w:val="22"/>
          <w:szCs w:val="22"/>
        </w:rPr>
        <w:t xml:space="preserve"> </w:t>
      </w:r>
      <w:r w:rsidR="05DC0D67" w:rsidRPr="7849A67F">
        <w:rPr>
          <w:rFonts w:eastAsia="Arial" w:cs="Arial"/>
          <w:sz w:val="22"/>
          <w:szCs w:val="22"/>
        </w:rPr>
        <w:t xml:space="preserve">overall </w:t>
      </w:r>
      <w:r w:rsidR="002F0A65" w:rsidRPr="7849A67F">
        <w:rPr>
          <w:rFonts w:eastAsia="Arial" w:cs="Arial"/>
          <w:sz w:val="22"/>
          <w:szCs w:val="22"/>
        </w:rPr>
        <w:t xml:space="preserve">ratio between mobilised public and private funding </w:t>
      </w:r>
      <w:r w:rsidR="00E50DB4" w:rsidRPr="7849A67F">
        <w:rPr>
          <w:rFonts w:eastAsia="Arial" w:cs="Arial"/>
          <w:sz w:val="22"/>
          <w:szCs w:val="22"/>
        </w:rPr>
        <w:t>compared to MAF funding</w:t>
      </w:r>
      <w:r w:rsidR="29C13573" w:rsidRPr="7849A67F">
        <w:rPr>
          <w:rFonts w:eastAsia="Arial" w:cs="Arial"/>
          <w:sz w:val="22"/>
          <w:szCs w:val="22"/>
        </w:rPr>
        <w:t xml:space="preserve"> remains lower than the target</w:t>
      </w:r>
      <w:r w:rsidR="00E50DB4" w:rsidRPr="7849A67F">
        <w:rPr>
          <w:rFonts w:eastAsia="Arial" w:cs="Arial"/>
          <w:sz w:val="22"/>
          <w:szCs w:val="22"/>
        </w:rPr>
        <w:t xml:space="preserve">. </w:t>
      </w:r>
      <w:r w:rsidR="008D3C67" w:rsidRPr="7849A67F">
        <w:rPr>
          <w:rFonts w:eastAsia="Arial" w:cs="Arial"/>
          <w:sz w:val="22"/>
          <w:szCs w:val="22"/>
        </w:rPr>
        <w:t xml:space="preserve"> </w:t>
      </w:r>
    </w:p>
    <w:p w14:paraId="62B40C70" w14:textId="2BB2B841" w:rsidR="00A46762" w:rsidRPr="006462E5" w:rsidRDefault="0C9F8213" w:rsidP="07AF1209">
      <w:pPr>
        <w:pStyle w:val="ListParagraph"/>
        <w:numPr>
          <w:ilvl w:val="0"/>
          <w:numId w:val="6"/>
        </w:numPr>
        <w:jc w:val="both"/>
        <w:rPr>
          <w:rFonts w:eastAsia="Arial" w:cs="Arial"/>
          <w:sz w:val="22"/>
          <w:szCs w:val="22"/>
        </w:rPr>
      </w:pPr>
      <w:r w:rsidRPr="5964CDA8">
        <w:rPr>
          <w:rFonts w:eastAsia="Arial" w:cs="Arial"/>
          <w:sz w:val="22"/>
          <w:szCs w:val="22"/>
        </w:rPr>
        <w:t xml:space="preserve">The results currently represent a ratio, </w:t>
      </w:r>
      <w:r w:rsidR="17F2C7F8" w:rsidRPr="5964CDA8">
        <w:rPr>
          <w:rFonts w:eastAsia="Arial" w:cs="Arial"/>
          <w:sz w:val="22"/>
          <w:szCs w:val="22"/>
        </w:rPr>
        <w:t>which</w:t>
      </w:r>
      <w:r w:rsidRPr="5964CDA8">
        <w:rPr>
          <w:rFonts w:eastAsia="Arial" w:cs="Arial"/>
          <w:sz w:val="22"/>
          <w:szCs w:val="22"/>
        </w:rPr>
        <w:t xml:space="preserve"> is acceptable for the time being</w:t>
      </w:r>
      <w:r w:rsidR="00884B73" w:rsidRPr="5964CDA8">
        <w:rPr>
          <w:rFonts w:eastAsia="Arial" w:cs="Arial"/>
          <w:sz w:val="22"/>
          <w:szCs w:val="22"/>
        </w:rPr>
        <w:t>,</w:t>
      </w:r>
      <w:r w:rsidRPr="5964CDA8">
        <w:rPr>
          <w:rFonts w:eastAsia="Arial" w:cs="Arial"/>
          <w:sz w:val="22"/>
          <w:szCs w:val="22"/>
        </w:rPr>
        <w:t xml:space="preserve"> but this will continue to be </w:t>
      </w:r>
      <w:proofErr w:type="gramStart"/>
      <w:r w:rsidRPr="5964CDA8">
        <w:rPr>
          <w:rFonts w:eastAsia="Arial" w:cs="Arial"/>
          <w:sz w:val="22"/>
          <w:szCs w:val="22"/>
        </w:rPr>
        <w:t>monitored</w:t>
      </w:r>
      <w:proofErr w:type="gramEnd"/>
      <w:r w:rsidRPr="5964CDA8">
        <w:rPr>
          <w:rFonts w:eastAsia="Arial" w:cs="Arial"/>
          <w:sz w:val="22"/>
          <w:szCs w:val="22"/>
        </w:rPr>
        <w:t xml:space="preserve"> and the target </w:t>
      </w:r>
      <w:r w:rsidR="20BFD711" w:rsidRPr="5964CDA8">
        <w:rPr>
          <w:rFonts w:eastAsia="Arial" w:cs="Arial"/>
          <w:sz w:val="22"/>
          <w:szCs w:val="22"/>
        </w:rPr>
        <w:t>will</w:t>
      </w:r>
      <w:r w:rsidRPr="5964CDA8">
        <w:rPr>
          <w:rFonts w:eastAsia="Arial" w:cs="Arial"/>
          <w:sz w:val="22"/>
          <w:szCs w:val="22"/>
        </w:rPr>
        <w:t xml:space="preserve"> </w:t>
      </w:r>
      <w:r w:rsidR="0F6F7FB1" w:rsidRPr="5964CDA8">
        <w:rPr>
          <w:rFonts w:eastAsia="Arial" w:cs="Arial"/>
          <w:sz w:val="22"/>
          <w:szCs w:val="22"/>
        </w:rPr>
        <w:t>persist on the side of ambition for the coming year.</w:t>
      </w:r>
    </w:p>
    <w:p w14:paraId="2F1B7D3C" w14:textId="77D446CF" w:rsidR="27AA0597" w:rsidRDefault="27AA0597" w:rsidP="07AF1209">
      <w:pPr>
        <w:jc w:val="both"/>
      </w:pPr>
      <w:r w:rsidRPr="75FA93ED">
        <w:rPr>
          <w:rFonts w:eastAsia="Arial" w:cs="Arial"/>
          <w:sz w:val="22"/>
          <w:szCs w:val="22"/>
        </w:rPr>
        <w:t>Recommendation</w:t>
      </w:r>
      <w:r w:rsidR="03B05E88" w:rsidRPr="75FA93ED">
        <w:rPr>
          <w:rFonts w:eastAsia="Arial" w:cs="Arial"/>
          <w:sz w:val="22"/>
          <w:szCs w:val="22"/>
        </w:rPr>
        <w:t>s</w:t>
      </w:r>
    </w:p>
    <w:p w14:paraId="65F34C80" w14:textId="3D71D684" w:rsidR="2F79E5E6" w:rsidRDefault="2F79E5E6" w:rsidP="07AF1209">
      <w:pPr>
        <w:pStyle w:val="ListParagraph"/>
        <w:numPr>
          <w:ilvl w:val="0"/>
          <w:numId w:val="2"/>
        </w:numPr>
        <w:jc w:val="both"/>
        <w:rPr>
          <w:rFonts w:eastAsia="Arial" w:cs="Arial"/>
          <w:sz w:val="22"/>
          <w:szCs w:val="22"/>
        </w:rPr>
      </w:pPr>
      <w:r w:rsidRPr="7849A67F">
        <w:rPr>
          <w:rFonts w:eastAsia="Arial" w:cs="Arial"/>
          <w:sz w:val="22"/>
          <w:szCs w:val="22"/>
        </w:rPr>
        <w:t>Identify lessons learnt from the success of China Waste Management and Mexico Housing projects which led to higher finance leveraging scores.</w:t>
      </w:r>
    </w:p>
    <w:p w14:paraId="3F5C6CDA" w14:textId="4377C61E" w:rsidR="4D0B9004" w:rsidRDefault="4D0B9004" w:rsidP="07AF1209">
      <w:pPr>
        <w:pStyle w:val="ListParagraph"/>
        <w:numPr>
          <w:ilvl w:val="0"/>
          <w:numId w:val="2"/>
        </w:numPr>
        <w:jc w:val="both"/>
        <w:rPr>
          <w:rFonts w:eastAsia="Arial" w:cs="Arial"/>
          <w:sz w:val="22"/>
          <w:szCs w:val="22"/>
        </w:rPr>
      </w:pPr>
      <w:r w:rsidRPr="5964CDA8">
        <w:rPr>
          <w:rFonts w:eastAsia="Arial" w:cs="Arial"/>
          <w:sz w:val="22"/>
          <w:szCs w:val="22"/>
        </w:rPr>
        <w:t>Assess the target for 2.1 (M4) and consider raising ambition in future years</w:t>
      </w:r>
      <w:r w:rsidR="721B9671" w:rsidRPr="5964CDA8">
        <w:rPr>
          <w:rFonts w:eastAsia="Arial" w:cs="Arial"/>
          <w:sz w:val="22"/>
          <w:szCs w:val="22"/>
        </w:rPr>
        <w:t>.</w:t>
      </w:r>
    </w:p>
    <w:p w14:paraId="7FF69462" w14:textId="357757B2" w:rsidR="24A1631D" w:rsidRDefault="24A1631D" w:rsidP="3EB06537">
      <w:pPr>
        <w:pStyle w:val="ListParagraph"/>
        <w:numPr>
          <w:ilvl w:val="0"/>
          <w:numId w:val="2"/>
        </w:numPr>
        <w:jc w:val="both"/>
        <w:rPr>
          <w:rFonts w:eastAsia="Arial" w:cs="Arial"/>
          <w:sz w:val="22"/>
          <w:szCs w:val="22"/>
        </w:rPr>
      </w:pPr>
      <w:r w:rsidRPr="5964CDA8">
        <w:rPr>
          <w:rFonts w:eastAsia="Arial" w:cs="Arial"/>
          <w:sz w:val="22"/>
          <w:szCs w:val="22"/>
        </w:rPr>
        <w:t xml:space="preserve">Consider the attribution methodology for 2.3 to </w:t>
      </w:r>
      <w:proofErr w:type="gramStart"/>
      <w:r w:rsidRPr="5964CDA8">
        <w:rPr>
          <w:rFonts w:eastAsia="Arial" w:cs="Arial"/>
          <w:sz w:val="22"/>
          <w:szCs w:val="22"/>
        </w:rPr>
        <w:t>take into account</w:t>
      </w:r>
      <w:proofErr w:type="gramEnd"/>
      <w:r w:rsidRPr="5964CDA8">
        <w:rPr>
          <w:rFonts w:eastAsia="Arial" w:cs="Arial"/>
          <w:sz w:val="22"/>
          <w:szCs w:val="22"/>
        </w:rPr>
        <w:t xml:space="preserve"> significant anomalies in the results across projects. </w:t>
      </w:r>
    </w:p>
    <w:p w14:paraId="0FB5431B" w14:textId="777A18C5" w:rsidR="4FBDF37B" w:rsidRDefault="4FBDF37B" w:rsidP="4FBDF37B">
      <w:pPr>
        <w:rPr>
          <w:rFonts w:eastAsia="Arial" w:cs="Arial"/>
          <w:sz w:val="22"/>
          <w:szCs w:val="22"/>
        </w:rPr>
      </w:pPr>
    </w:p>
    <w:p w14:paraId="19F6C296" w14:textId="77777777" w:rsidR="00AC58EE" w:rsidRDefault="00AC58EE">
      <w:pPr>
        <w:spacing w:after="160" w:line="259" w:lineRule="auto"/>
        <w:rPr>
          <w:rFonts w:eastAsia="Arial" w:cs="Arial"/>
          <w:b/>
          <w:i/>
          <w:kern w:val="28"/>
          <w:sz w:val="28"/>
          <w:szCs w:val="28"/>
        </w:rPr>
      </w:pPr>
      <w:r>
        <w:rPr>
          <w:rFonts w:eastAsia="Arial" w:cs="Arial"/>
        </w:rPr>
        <w:br w:type="page"/>
      </w:r>
    </w:p>
    <w:p w14:paraId="345661C3" w14:textId="41D4C0D7" w:rsidR="004A367B" w:rsidRDefault="004A367B" w:rsidP="07AF1209">
      <w:pPr>
        <w:pStyle w:val="Heading2"/>
        <w:jc w:val="both"/>
        <w:rPr>
          <w:rFonts w:eastAsia="Arial" w:cs="Arial"/>
        </w:rPr>
      </w:pPr>
      <w:bookmarkStart w:id="25" w:name="_Toc172791902"/>
      <w:bookmarkStart w:id="26" w:name="_Toc305922553"/>
      <w:r w:rsidRPr="75FA93ED">
        <w:rPr>
          <w:rFonts w:eastAsia="Arial" w:cs="Arial"/>
        </w:rPr>
        <w:lastRenderedPageBreak/>
        <w:t xml:space="preserve">Output 3: </w:t>
      </w:r>
      <w:r w:rsidR="00287DAA" w:rsidRPr="75FA93ED">
        <w:rPr>
          <w:rFonts w:eastAsia="Arial" w:cs="Arial"/>
        </w:rPr>
        <w:t xml:space="preserve">The </w:t>
      </w:r>
      <w:r w:rsidR="670C1D40" w:rsidRPr="75FA93ED">
        <w:rPr>
          <w:rFonts w:eastAsia="Arial" w:cs="Arial"/>
        </w:rPr>
        <w:t>Mitigation Action Facility</w:t>
      </w:r>
      <w:r w:rsidR="00287DAA" w:rsidRPr="75FA93ED">
        <w:rPr>
          <w:rFonts w:eastAsia="Arial" w:cs="Arial"/>
        </w:rPr>
        <w:t xml:space="preserve"> disseminates lessons from transformational mitigation action, contributing to an effective learning environment</w:t>
      </w:r>
      <w:bookmarkEnd w:id="25"/>
      <w:bookmarkEnd w:id="26"/>
    </w:p>
    <w:p w14:paraId="23CF0139" w14:textId="77777777" w:rsidR="00ED5FD4" w:rsidRPr="00ED5FD4" w:rsidRDefault="00ED5FD4" w:rsidP="001B4FD0">
      <w:pPr>
        <w:rPr>
          <w:rFonts w:eastAsia="Arial" w:cs="Arial"/>
        </w:rPr>
      </w:pPr>
    </w:p>
    <w:tbl>
      <w:tblPr>
        <w:tblStyle w:val="TableGrid"/>
        <w:tblW w:w="9072" w:type="dxa"/>
        <w:tblLook w:val="04A0" w:firstRow="1" w:lastRow="0" w:firstColumn="1" w:lastColumn="0" w:noHBand="0" w:noVBand="1"/>
      </w:tblPr>
      <w:tblGrid>
        <w:gridCol w:w="1567"/>
        <w:gridCol w:w="533"/>
        <w:gridCol w:w="58"/>
        <w:gridCol w:w="1146"/>
        <w:gridCol w:w="1649"/>
        <w:gridCol w:w="1250"/>
        <w:gridCol w:w="2869"/>
      </w:tblGrid>
      <w:tr w:rsidR="00ED5FD4" w:rsidRPr="00D80C6C" w14:paraId="343E8A59" w14:textId="77777777" w:rsidTr="5964CDA8">
        <w:trPr>
          <w:trHeight w:val="489"/>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6358D7" w14:textId="77777777" w:rsidR="00ED5FD4" w:rsidRPr="00D80C6C" w:rsidRDefault="00ED5FD4" w:rsidP="001B4FD0">
            <w:pPr>
              <w:rPr>
                <w:rFonts w:eastAsia="Arial" w:cs="Arial"/>
                <w:b/>
                <w:sz w:val="22"/>
                <w:szCs w:val="22"/>
              </w:rPr>
            </w:pPr>
            <w:r w:rsidRPr="5D6E3982">
              <w:rPr>
                <w:rFonts w:eastAsia="Arial" w:cs="Arial"/>
                <w:b/>
                <w:sz w:val="22"/>
                <w:szCs w:val="22"/>
              </w:rPr>
              <w:t xml:space="preserve">Output Title </w:t>
            </w:r>
          </w:p>
        </w:tc>
        <w:tc>
          <w:tcPr>
            <w:tcW w:w="75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15425E5" w14:textId="70B01115" w:rsidR="00ED5FD4" w:rsidRPr="00ED5FD4" w:rsidRDefault="52DDBAA5" w:rsidP="001B4FD0">
            <w:pPr>
              <w:rPr>
                <w:rFonts w:eastAsia="Arial" w:cs="Arial"/>
                <w:color w:val="FF0000"/>
                <w:sz w:val="22"/>
                <w:szCs w:val="22"/>
              </w:rPr>
            </w:pPr>
            <w:r w:rsidRPr="7849A67F">
              <w:rPr>
                <w:rFonts w:eastAsia="Arial" w:cs="Arial"/>
                <w:sz w:val="22"/>
                <w:szCs w:val="22"/>
              </w:rPr>
              <w:t xml:space="preserve">The </w:t>
            </w:r>
            <w:r w:rsidR="5A591AE5" w:rsidRPr="7849A67F">
              <w:rPr>
                <w:rFonts w:eastAsia="Arial" w:cs="Arial"/>
                <w:sz w:val="22"/>
                <w:szCs w:val="22"/>
              </w:rPr>
              <w:t xml:space="preserve">Mitigation Action Facility </w:t>
            </w:r>
            <w:r w:rsidRPr="7849A67F">
              <w:rPr>
                <w:rFonts w:eastAsia="Arial" w:cs="Arial"/>
                <w:sz w:val="22"/>
                <w:szCs w:val="22"/>
              </w:rPr>
              <w:t>disseminates lessons from transformational mitigation action, contributing to an effective learning environment</w:t>
            </w:r>
          </w:p>
        </w:tc>
      </w:tr>
      <w:tr w:rsidR="00ED5FD4" w:rsidRPr="00D80C6C" w14:paraId="0D129A7F" w14:textId="77777777" w:rsidTr="5964CDA8">
        <w:trPr>
          <w:trHeight w:val="347"/>
        </w:trPr>
        <w:tc>
          <w:tcPr>
            <w:tcW w:w="21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4E4F19" w14:textId="77777777" w:rsidR="00ED5FD4" w:rsidRPr="00D80C6C" w:rsidRDefault="00ED5FD4" w:rsidP="001B4FD0">
            <w:pPr>
              <w:rPr>
                <w:rFonts w:eastAsia="Arial" w:cs="Arial"/>
                <w:sz w:val="22"/>
                <w:szCs w:val="22"/>
              </w:rPr>
            </w:pPr>
            <w:r w:rsidRPr="5D6E3982">
              <w:rPr>
                <w:rFonts w:eastAsia="Arial" w:cs="Arial"/>
                <w:sz w:val="22"/>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7D3D58F5" w14:textId="434D391E" w:rsidR="00ED5FD4" w:rsidRPr="00D80C6C" w:rsidRDefault="009E6166" w:rsidP="001B4FD0">
            <w:pPr>
              <w:rPr>
                <w:rFonts w:eastAsia="Arial" w:cs="Arial"/>
                <w:sz w:val="22"/>
                <w:szCs w:val="22"/>
              </w:rPr>
            </w:pPr>
            <w:r w:rsidRPr="5D6E3982">
              <w:rPr>
                <w:rFonts w:eastAsia="Arial" w:cs="Arial"/>
                <w:sz w:val="22"/>
                <w:szCs w:val="22"/>
              </w:rPr>
              <w:t>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8A97E8" w14:textId="77777777" w:rsidR="00ED5FD4" w:rsidRPr="00D80C6C" w:rsidRDefault="00ED5FD4" w:rsidP="001B4FD0">
            <w:pPr>
              <w:rPr>
                <w:rFonts w:eastAsia="Arial" w:cs="Arial"/>
                <w:sz w:val="22"/>
                <w:szCs w:val="22"/>
              </w:rPr>
            </w:pPr>
            <w:r w:rsidRPr="5D6E3982">
              <w:rPr>
                <w:rFonts w:eastAsia="Arial" w:cs="Arial"/>
                <w:sz w:val="22"/>
                <w:szCs w:val="22"/>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20F25E26" w14:textId="478DA429" w:rsidR="00ED5FD4" w:rsidRPr="00D80C6C" w:rsidRDefault="02041F54" w:rsidP="7849A67F">
            <w:pPr>
              <w:rPr>
                <w:rFonts w:eastAsia="Arial" w:cs="Arial"/>
                <w:b/>
                <w:bCs/>
                <w:i/>
                <w:iCs/>
                <w:sz w:val="22"/>
                <w:szCs w:val="22"/>
              </w:rPr>
            </w:pPr>
            <w:r w:rsidRPr="7849A67F">
              <w:rPr>
                <w:rFonts w:eastAsia="Arial" w:cs="Arial"/>
                <w:b/>
                <w:bCs/>
                <w:i/>
                <w:iCs/>
                <w:sz w:val="22"/>
                <w:szCs w:val="22"/>
              </w:rPr>
              <w:t>A</w:t>
            </w:r>
          </w:p>
        </w:tc>
      </w:tr>
      <w:tr w:rsidR="00ED5FD4" w:rsidRPr="00D80C6C" w14:paraId="71D6D4AA" w14:textId="77777777" w:rsidTr="009D6172">
        <w:trPr>
          <w:trHeight w:val="345"/>
        </w:trPr>
        <w:tc>
          <w:tcPr>
            <w:tcW w:w="21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BDA094" w14:textId="77777777" w:rsidR="00ED5FD4" w:rsidRPr="00D80C6C" w:rsidRDefault="00ED5FD4" w:rsidP="001B4FD0">
            <w:pPr>
              <w:rPr>
                <w:rFonts w:eastAsia="Arial" w:cs="Arial"/>
                <w:sz w:val="22"/>
                <w:szCs w:val="22"/>
              </w:rPr>
            </w:pPr>
            <w:r w:rsidRPr="5D6E3982">
              <w:rPr>
                <w:rFonts w:eastAsia="Arial" w:cs="Arial"/>
                <w:sz w:val="22"/>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0EC60837" w14:textId="58C27A93" w:rsidR="00ED5FD4" w:rsidRPr="00D80C6C" w:rsidRDefault="5C1FA76E" w:rsidP="001B4FD0">
            <w:pPr>
              <w:rPr>
                <w:rFonts w:eastAsia="Arial" w:cs="Arial"/>
                <w:sz w:val="22"/>
                <w:szCs w:val="22"/>
              </w:rPr>
            </w:pPr>
            <w:r w:rsidRPr="5D6E3982">
              <w:rPr>
                <w:rFonts w:eastAsia="Arial" w:cs="Arial"/>
                <w:sz w:val="22"/>
                <w:szCs w:val="22"/>
              </w:rPr>
              <w:t>20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35CD2B" w14:textId="77777777" w:rsidR="00ED5FD4" w:rsidRPr="00D80C6C" w:rsidRDefault="00ED5FD4" w:rsidP="001B4FD0">
            <w:pPr>
              <w:rPr>
                <w:rFonts w:eastAsia="Arial" w:cs="Arial"/>
                <w:sz w:val="22"/>
                <w:szCs w:val="22"/>
              </w:rPr>
            </w:pPr>
            <w:r w:rsidRPr="5D6E3982">
              <w:rPr>
                <w:rFonts w:eastAsia="Arial" w:cs="Arial"/>
                <w:sz w:val="22"/>
                <w:szCs w:val="22"/>
              </w:rPr>
              <w:t xml:space="preserve">Weighting revised since last </w:t>
            </w:r>
            <w:proofErr w:type="gramStart"/>
            <w:r w:rsidRPr="5D6E3982">
              <w:rPr>
                <w:rFonts w:eastAsia="Arial" w:cs="Arial"/>
                <w:sz w:val="22"/>
                <w:szCs w:val="22"/>
              </w:rPr>
              <w:t>AR?</w:t>
            </w:r>
            <w:proofErr w:type="gramEnd"/>
            <w:r w:rsidRPr="5D6E3982">
              <w:rPr>
                <w:rFonts w:eastAsia="Arial" w:cs="Arial"/>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510CC462" w14:textId="24B6473C" w:rsidR="00ED5FD4" w:rsidRPr="00D80C6C" w:rsidRDefault="72A63BB2" w:rsidP="001B4FD0">
            <w:pPr>
              <w:rPr>
                <w:rFonts w:eastAsia="Arial" w:cs="Arial"/>
                <w:sz w:val="22"/>
                <w:szCs w:val="22"/>
              </w:rPr>
            </w:pPr>
            <w:r w:rsidRPr="07AF1209">
              <w:rPr>
                <w:rFonts w:eastAsia="Arial" w:cs="Arial"/>
                <w:sz w:val="22"/>
                <w:szCs w:val="22"/>
              </w:rPr>
              <w:t>No</w:t>
            </w:r>
          </w:p>
        </w:tc>
      </w:tr>
      <w:tr w:rsidR="00ED5FD4" w:rsidRPr="00D80C6C" w14:paraId="13EB579E" w14:textId="77777777" w:rsidTr="009D6172">
        <w:trPr>
          <w:trHeight w:val="345"/>
        </w:trPr>
        <w:tc>
          <w:tcPr>
            <w:tcW w:w="21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A981A1" w14:textId="77777777" w:rsidR="00ED5FD4" w:rsidRPr="00D80C6C" w:rsidRDefault="00ED5FD4" w:rsidP="001B4FD0">
            <w:pPr>
              <w:rPr>
                <w:rFonts w:eastAsia="Arial" w:cs="Arial"/>
                <w:sz w:val="22"/>
                <w:szCs w:val="22"/>
              </w:rPr>
            </w:pPr>
            <w:r w:rsidRPr="5D6E3982">
              <w:rPr>
                <w:rFonts w:eastAsia="Arial" w:cs="Arial"/>
                <w:sz w:val="22"/>
                <w:szCs w:val="22"/>
              </w:rPr>
              <w:t>Risk rating</w:t>
            </w:r>
          </w:p>
        </w:tc>
        <w:tc>
          <w:tcPr>
            <w:tcW w:w="937" w:type="dxa"/>
            <w:tcBorders>
              <w:top w:val="single" w:sz="4" w:space="0" w:color="auto"/>
              <w:left w:val="single" w:sz="4" w:space="0" w:color="auto"/>
              <w:bottom w:val="single" w:sz="4" w:space="0" w:color="auto"/>
              <w:right w:val="single" w:sz="4" w:space="0" w:color="auto"/>
            </w:tcBorders>
          </w:tcPr>
          <w:p w14:paraId="56DEF1B3" w14:textId="73B56B1A" w:rsidR="00ED5FD4" w:rsidRPr="00D80C6C" w:rsidRDefault="027CA7A4" w:rsidP="001B4FD0">
            <w:pPr>
              <w:rPr>
                <w:rFonts w:eastAsia="Arial" w:cs="Arial"/>
                <w:sz w:val="22"/>
                <w:szCs w:val="22"/>
              </w:rPr>
            </w:pPr>
            <w:r w:rsidRPr="07AF1209">
              <w:rPr>
                <w:rFonts w:eastAsia="Arial" w:cs="Arial"/>
                <w:sz w:val="22"/>
                <w:szCs w:val="22"/>
              </w:rPr>
              <w:t>Moderate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EB55AA" w14:textId="77777777" w:rsidR="00ED5FD4" w:rsidRPr="00D80C6C" w:rsidRDefault="00ED5FD4" w:rsidP="001B4FD0">
            <w:pPr>
              <w:rPr>
                <w:rFonts w:eastAsia="Arial" w:cs="Arial"/>
                <w:sz w:val="22"/>
                <w:szCs w:val="22"/>
              </w:rPr>
            </w:pPr>
            <w:r w:rsidRPr="5D6E3982">
              <w:rPr>
                <w:rFonts w:eastAsia="Arial" w:cs="Arial"/>
                <w:sz w:val="22"/>
                <w:szCs w:val="22"/>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7C423B56" w14:textId="1B22381F" w:rsidR="00ED5FD4" w:rsidRPr="00D80C6C" w:rsidRDefault="37BB4EE3" w:rsidP="001B4FD0">
            <w:pPr>
              <w:rPr>
                <w:rFonts w:eastAsia="Arial" w:cs="Arial"/>
                <w:sz w:val="22"/>
                <w:szCs w:val="22"/>
              </w:rPr>
            </w:pPr>
            <w:r w:rsidRPr="07AF1209">
              <w:rPr>
                <w:rFonts w:eastAsia="Arial" w:cs="Arial"/>
                <w:sz w:val="22"/>
                <w:szCs w:val="22"/>
              </w:rPr>
              <w:t>No</w:t>
            </w:r>
          </w:p>
        </w:tc>
      </w:tr>
      <w:tr w:rsidR="00560D34" w:rsidRPr="00D80C6C" w14:paraId="1D9A13A7" w14:textId="77777777" w:rsidTr="009D6172">
        <w:trPr>
          <w:trHeight w:val="345"/>
        </w:trPr>
        <w:tc>
          <w:tcPr>
            <w:tcW w:w="2182" w:type="dxa"/>
            <w:gridSpan w:val="3"/>
            <w:tcBorders>
              <w:top w:val="single" w:sz="4" w:space="0" w:color="auto"/>
              <w:left w:val="nil"/>
              <w:bottom w:val="single" w:sz="4" w:space="0" w:color="auto"/>
              <w:right w:val="nil"/>
            </w:tcBorders>
            <w:shd w:val="clear" w:color="auto" w:fill="auto"/>
          </w:tcPr>
          <w:p w14:paraId="67AA33DD" w14:textId="77777777" w:rsidR="00560D34" w:rsidRPr="5D6E3982" w:rsidRDefault="00560D34" w:rsidP="001B4FD0">
            <w:pPr>
              <w:rPr>
                <w:rFonts w:eastAsia="Arial" w:cs="Arial"/>
                <w:sz w:val="22"/>
                <w:szCs w:val="22"/>
              </w:rPr>
            </w:pPr>
          </w:p>
        </w:tc>
        <w:tc>
          <w:tcPr>
            <w:tcW w:w="937" w:type="dxa"/>
            <w:tcBorders>
              <w:top w:val="single" w:sz="4" w:space="0" w:color="auto"/>
              <w:left w:val="nil"/>
              <w:bottom w:val="single" w:sz="4" w:space="0" w:color="auto"/>
              <w:right w:val="nil"/>
            </w:tcBorders>
            <w:shd w:val="clear" w:color="auto" w:fill="auto"/>
          </w:tcPr>
          <w:p w14:paraId="07949575" w14:textId="77777777" w:rsidR="00560D34" w:rsidRPr="00D80C6C" w:rsidRDefault="00560D34" w:rsidP="001B4FD0">
            <w:pPr>
              <w:rPr>
                <w:rFonts w:eastAsia="Arial" w:cs="Arial"/>
                <w:sz w:val="22"/>
                <w:szCs w:val="22"/>
              </w:rPr>
            </w:pPr>
          </w:p>
        </w:tc>
        <w:tc>
          <w:tcPr>
            <w:tcW w:w="2977" w:type="dxa"/>
            <w:gridSpan w:val="2"/>
            <w:tcBorders>
              <w:top w:val="single" w:sz="4" w:space="0" w:color="auto"/>
              <w:left w:val="nil"/>
              <w:bottom w:val="single" w:sz="4" w:space="0" w:color="auto"/>
              <w:right w:val="nil"/>
            </w:tcBorders>
            <w:shd w:val="clear" w:color="auto" w:fill="auto"/>
          </w:tcPr>
          <w:p w14:paraId="6A3659C1" w14:textId="77777777" w:rsidR="00560D34" w:rsidRPr="5D6E3982" w:rsidRDefault="00560D34" w:rsidP="001B4FD0">
            <w:pPr>
              <w:rPr>
                <w:rFonts w:eastAsia="Arial" w:cs="Arial"/>
                <w:sz w:val="22"/>
                <w:szCs w:val="22"/>
              </w:rPr>
            </w:pPr>
          </w:p>
        </w:tc>
        <w:tc>
          <w:tcPr>
            <w:tcW w:w="2976" w:type="dxa"/>
            <w:tcBorders>
              <w:top w:val="single" w:sz="4" w:space="0" w:color="auto"/>
              <w:left w:val="nil"/>
              <w:bottom w:val="single" w:sz="4" w:space="0" w:color="auto"/>
              <w:right w:val="nil"/>
            </w:tcBorders>
            <w:shd w:val="clear" w:color="auto" w:fill="auto"/>
          </w:tcPr>
          <w:p w14:paraId="421E406B" w14:textId="77777777" w:rsidR="00560D34" w:rsidRPr="00D80C6C" w:rsidRDefault="00560D34" w:rsidP="001B4FD0">
            <w:pPr>
              <w:rPr>
                <w:rFonts w:eastAsia="Arial" w:cs="Arial"/>
                <w:sz w:val="22"/>
                <w:szCs w:val="22"/>
              </w:rPr>
            </w:pPr>
          </w:p>
        </w:tc>
      </w:tr>
      <w:tr w:rsidR="00FE51E1" w:rsidRPr="00FE51E1" w14:paraId="14737366" w14:textId="77777777" w:rsidTr="009D6172">
        <w:trPr>
          <w:trHeight w:val="273"/>
        </w:trPr>
        <w:tc>
          <w:tcPr>
            <w:tcW w:w="212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2B7FEE" w14:textId="0148FADB" w:rsidR="00FE51E1" w:rsidRPr="00FE51E1" w:rsidRDefault="008A07BD" w:rsidP="00560D34">
            <w:pPr>
              <w:rPr>
                <w:rFonts w:eastAsia="Arial" w:cs="Arial"/>
                <w:b/>
                <w:sz w:val="22"/>
                <w:szCs w:val="22"/>
              </w:rPr>
            </w:pPr>
            <w:r>
              <w:rPr>
                <w:rFonts w:eastAsia="Arial" w:cs="Arial"/>
                <w:b/>
                <w:sz w:val="22"/>
                <w:szCs w:val="22"/>
              </w:rPr>
              <w:t xml:space="preserve"> </w:t>
            </w:r>
            <w:r w:rsidR="00FE51E1" w:rsidRPr="00FE51E1">
              <w:rPr>
                <w:rFonts w:eastAsia="Arial" w:cs="Arial"/>
                <w:b/>
                <w:sz w:val="22"/>
                <w:szCs w:val="22"/>
              </w:rPr>
              <w:t xml:space="preserve"> Indicator(s)</w:t>
            </w:r>
          </w:p>
        </w:tc>
        <w:tc>
          <w:tcPr>
            <w:tcW w:w="269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D7B502" w14:textId="77777777" w:rsidR="00FE51E1" w:rsidRPr="00FE51E1" w:rsidRDefault="00FE51E1" w:rsidP="00560D34">
            <w:pPr>
              <w:rPr>
                <w:rFonts w:eastAsia="Arial" w:cs="Arial"/>
                <w:b/>
                <w:sz w:val="22"/>
                <w:szCs w:val="22"/>
              </w:rPr>
            </w:pPr>
            <w:r w:rsidRPr="00FE51E1">
              <w:rPr>
                <w:rFonts w:eastAsia="Arial" w:cs="Arial"/>
                <w:b/>
                <w:sz w:val="22"/>
                <w:szCs w:val="22"/>
              </w:rPr>
              <w:t>Milestone(s) for this review</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480EFB" w14:textId="77777777" w:rsidR="00FE51E1" w:rsidRPr="00FE51E1" w:rsidRDefault="00FE51E1" w:rsidP="00560D34">
            <w:pPr>
              <w:rPr>
                <w:rFonts w:eastAsia="Arial" w:cs="Arial"/>
                <w:b/>
                <w:sz w:val="22"/>
                <w:szCs w:val="22"/>
              </w:rPr>
            </w:pPr>
            <w:r w:rsidRPr="00FE51E1">
              <w:rPr>
                <w:rFonts w:eastAsia="Arial" w:cs="Arial"/>
                <w:b/>
                <w:sz w:val="22"/>
                <w:szCs w:val="22"/>
              </w:rPr>
              <w:t xml:space="preserve">Progress </w:t>
            </w:r>
          </w:p>
        </w:tc>
      </w:tr>
      <w:tr w:rsidR="00FE51E1" w:rsidRPr="00FE51E1" w14:paraId="05D98920" w14:textId="77777777" w:rsidTr="009D6172">
        <w:trPr>
          <w:trHeight w:val="300"/>
        </w:trPr>
        <w:tc>
          <w:tcPr>
            <w:tcW w:w="2122" w:type="dxa"/>
            <w:gridSpan w:val="2"/>
            <w:tcBorders>
              <w:top w:val="single" w:sz="4" w:space="0" w:color="auto"/>
              <w:left w:val="single" w:sz="4" w:space="0" w:color="auto"/>
              <w:bottom w:val="single" w:sz="4" w:space="0" w:color="auto"/>
              <w:right w:val="single" w:sz="4" w:space="0" w:color="auto"/>
            </w:tcBorders>
          </w:tcPr>
          <w:p w14:paraId="2C1EDD15" w14:textId="77777777" w:rsidR="00FE51E1" w:rsidRPr="00FE51E1" w:rsidRDefault="00FE51E1" w:rsidP="00560D34">
            <w:pPr>
              <w:rPr>
                <w:rFonts w:eastAsia="Arial" w:cs="Arial"/>
                <w:sz w:val="22"/>
                <w:szCs w:val="22"/>
              </w:rPr>
            </w:pPr>
            <w:r w:rsidRPr="00FE51E1">
              <w:rPr>
                <w:rFonts w:eastAsia="Arial" w:cs="Arial"/>
                <w:sz w:val="22"/>
                <w:szCs w:val="22"/>
              </w:rPr>
              <w:t>3.1.a) Number of knowledge products published</w:t>
            </w:r>
          </w:p>
        </w:tc>
        <w:tc>
          <w:tcPr>
            <w:tcW w:w="2693" w:type="dxa"/>
            <w:gridSpan w:val="3"/>
            <w:tcBorders>
              <w:top w:val="single" w:sz="4" w:space="0" w:color="auto"/>
              <w:left w:val="single" w:sz="4" w:space="0" w:color="auto"/>
              <w:bottom w:val="single" w:sz="4" w:space="0" w:color="auto"/>
              <w:right w:val="single" w:sz="4" w:space="0" w:color="auto"/>
            </w:tcBorders>
          </w:tcPr>
          <w:p w14:paraId="37143DFB" w14:textId="77777777" w:rsidR="00FE51E1" w:rsidRPr="00FE51E1" w:rsidRDefault="00FE51E1" w:rsidP="00560D34">
            <w:pPr>
              <w:rPr>
                <w:rFonts w:eastAsia="Arial" w:cs="Arial"/>
                <w:sz w:val="22"/>
                <w:szCs w:val="22"/>
              </w:rPr>
            </w:pPr>
            <w:r w:rsidRPr="00FE51E1">
              <w:rPr>
                <w:rFonts w:eastAsia="Arial" w:cs="Arial"/>
                <w:sz w:val="22"/>
                <w:szCs w:val="22"/>
              </w:rPr>
              <w:t>15</w:t>
            </w:r>
          </w:p>
        </w:tc>
        <w:tc>
          <w:tcPr>
            <w:tcW w:w="4252" w:type="dxa"/>
            <w:gridSpan w:val="2"/>
            <w:tcBorders>
              <w:top w:val="single" w:sz="4" w:space="0" w:color="auto"/>
              <w:left w:val="single" w:sz="4" w:space="0" w:color="auto"/>
              <w:bottom w:val="single" w:sz="4" w:space="0" w:color="auto"/>
              <w:right w:val="single" w:sz="4" w:space="0" w:color="auto"/>
            </w:tcBorders>
          </w:tcPr>
          <w:p w14:paraId="1E9A8760" w14:textId="77777777" w:rsidR="00FE51E1" w:rsidRPr="00FE51E1" w:rsidRDefault="00FE51E1" w:rsidP="00560D34">
            <w:pPr>
              <w:contextualSpacing/>
              <w:rPr>
                <w:rFonts w:eastAsia="Arial" w:cs="Arial"/>
                <w:b/>
                <w:bCs/>
                <w:sz w:val="22"/>
                <w:szCs w:val="22"/>
                <w:u w:val="single"/>
              </w:rPr>
            </w:pPr>
            <w:r w:rsidRPr="00FE51E1">
              <w:rPr>
                <w:rFonts w:eastAsia="Arial" w:cs="Arial"/>
                <w:b/>
                <w:bCs/>
                <w:sz w:val="22"/>
                <w:szCs w:val="22"/>
                <w:u w:val="single"/>
              </w:rPr>
              <w:t>Progress moderately exceeded expectation (127%)</w:t>
            </w:r>
          </w:p>
          <w:p w14:paraId="29482267" w14:textId="77777777" w:rsidR="00FE51E1" w:rsidRPr="00FE51E1" w:rsidRDefault="00FE51E1" w:rsidP="00560D34">
            <w:pPr>
              <w:contextualSpacing/>
              <w:rPr>
                <w:rFonts w:eastAsia="Arial" w:cs="Arial"/>
                <w:sz w:val="22"/>
                <w:szCs w:val="22"/>
              </w:rPr>
            </w:pPr>
            <w:r w:rsidRPr="00FE51E1">
              <w:rPr>
                <w:rFonts w:eastAsia="Arial" w:cs="Arial"/>
                <w:sz w:val="22"/>
                <w:szCs w:val="22"/>
              </w:rPr>
              <w:t>2023: 19</w:t>
            </w:r>
          </w:p>
        </w:tc>
      </w:tr>
      <w:tr w:rsidR="00FE51E1" w:rsidRPr="00FE51E1" w14:paraId="0214312B" w14:textId="77777777" w:rsidTr="009D6172">
        <w:trPr>
          <w:trHeight w:val="300"/>
        </w:trPr>
        <w:tc>
          <w:tcPr>
            <w:tcW w:w="2122" w:type="dxa"/>
            <w:gridSpan w:val="2"/>
            <w:tcBorders>
              <w:top w:val="single" w:sz="4" w:space="0" w:color="auto"/>
              <w:left w:val="single" w:sz="4" w:space="0" w:color="auto"/>
              <w:bottom w:val="single" w:sz="4" w:space="0" w:color="auto"/>
              <w:right w:val="single" w:sz="4" w:space="0" w:color="auto"/>
            </w:tcBorders>
          </w:tcPr>
          <w:p w14:paraId="2C15F902" w14:textId="77777777" w:rsidR="00FE51E1" w:rsidRPr="00FE51E1" w:rsidRDefault="00FE51E1" w:rsidP="00560D34">
            <w:pPr>
              <w:rPr>
                <w:rFonts w:eastAsia="Arial" w:cs="Arial"/>
                <w:sz w:val="22"/>
                <w:szCs w:val="22"/>
              </w:rPr>
            </w:pPr>
            <w:r w:rsidRPr="00FE51E1">
              <w:rPr>
                <w:rFonts w:eastAsia="Arial" w:cs="Arial"/>
                <w:sz w:val="22"/>
                <w:szCs w:val="22"/>
              </w:rPr>
              <w:t>3.1.b) Number of knowledge-sharing activities conducted</w:t>
            </w:r>
          </w:p>
        </w:tc>
        <w:tc>
          <w:tcPr>
            <w:tcW w:w="2693" w:type="dxa"/>
            <w:gridSpan w:val="3"/>
            <w:tcBorders>
              <w:top w:val="single" w:sz="4" w:space="0" w:color="auto"/>
              <w:left w:val="single" w:sz="4" w:space="0" w:color="auto"/>
              <w:bottom w:val="single" w:sz="4" w:space="0" w:color="auto"/>
              <w:right w:val="single" w:sz="4" w:space="0" w:color="auto"/>
            </w:tcBorders>
          </w:tcPr>
          <w:p w14:paraId="61FE9532" w14:textId="77777777" w:rsidR="00FE51E1" w:rsidRPr="00FE51E1" w:rsidRDefault="00FE51E1" w:rsidP="00560D34">
            <w:pPr>
              <w:rPr>
                <w:rFonts w:eastAsia="Arial" w:cs="Arial"/>
                <w:sz w:val="22"/>
                <w:szCs w:val="22"/>
              </w:rPr>
            </w:pPr>
            <w:r w:rsidRPr="00FE51E1">
              <w:rPr>
                <w:rFonts w:eastAsia="Arial" w:cs="Arial"/>
                <w:sz w:val="22"/>
                <w:szCs w:val="22"/>
              </w:rPr>
              <w:t>15</w:t>
            </w:r>
          </w:p>
        </w:tc>
        <w:tc>
          <w:tcPr>
            <w:tcW w:w="4252" w:type="dxa"/>
            <w:gridSpan w:val="2"/>
            <w:tcBorders>
              <w:top w:val="single" w:sz="4" w:space="0" w:color="auto"/>
              <w:left w:val="single" w:sz="4" w:space="0" w:color="auto"/>
              <w:bottom w:val="single" w:sz="4" w:space="0" w:color="auto"/>
              <w:right w:val="single" w:sz="4" w:space="0" w:color="auto"/>
            </w:tcBorders>
          </w:tcPr>
          <w:p w14:paraId="7EAE8656" w14:textId="77777777" w:rsidR="00FE51E1" w:rsidRPr="00FE51E1" w:rsidRDefault="00FE51E1" w:rsidP="00560D34">
            <w:pPr>
              <w:contextualSpacing/>
              <w:rPr>
                <w:rFonts w:eastAsia="Arial" w:cs="Arial"/>
                <w:b/>
                <w:bCs/>
                <w:sz w:val="22"/>
                <w:szCs w:val="22"/>
                <w:u w:val="single"/>
              </w:rPr>
            </w:pPr>
            <w:r w:rsidRPr="00FE51E1">
              <w:rPr>
                <w:rFonts w:eastAsia="Arial" w:cs="Arial"/>
                <w:b/>
                <w:bCs/>
                <w:sz w:val="22"/>
                <w:szCs w:val="22"/>
                <w:u w:val="single"/>
              </w:rPr>
              <w:t>Progress met expectation (100%)</w:t>
            </w:r>
          </w:p>
          <w:p w14:paraId="08649605" w14:textId="77777777" w:rsidR="00FE51E1" w:rsidRPr="00FE51E1" w:rsidRDefault="00FE51E1" w:rsidP="00560D34">
            <w:pPr>
              <w:contextualSpacing/>
              <w:rPr>
                <w:rFonts w:eastAsia="Arial" w:cs="Arial"/>
                <w:sz w:val="22"/>
                <w:szCs w:val="22"/>
              </w:rPr>
            </w:pPr>
            <w:r w:rsidRPr="00FE51E1">
              <w:rPr>
                <w:rFonts w:eastAsia="Arial" w:cs="Arial"/>
                <w:sz w:val="22"/>
                <w:szCs w:val="22"/>
              </w:rPr>
              <w:t>2023: 15</w:t>
            </w:r>
          </w:p>
        </w:tc>
      </w:tr>
      <w:tr w:rsidR="00FE51E1" w:rsidRPr="00FE51E1" w14:paraId="5947A92F" w14:textId="77777777" w:rsidTr="009D6172">
        <w:trPr>
          <w:trHeight w:val="300"/>
        </w:trPr>
        <w:tc>
          <w:tcPr>
            <w:tcW w:w="2122" w:type="dxa"/>
            <w:gridSpan w:val="2"/>
            <w:tcBorders>
              <w:top w:val="single" w:sz="4" w:space="0" w:color="auto"/>
              <w:left w:val="single" w:sz="4" w:space="0" w:color="auto"/>
              <w:bottom w:val="single" w:sz="4" w:space="0" w:color="auto"/>
              <w:right w:val="single" w:sz="4" w:space="0" w:color="auto"/>
            </w:tcBorders>
          </w:tcPr>
          <w:p w14:paraId="310124B7" w14:textId="77777777" w:rsidR="00FE51E1" w:rsidRPr="00FE51E1" w:rsidRDefault="00FE51E1" w:rsidP="00560D34">
            <w:pPr>
              <w:rPr>
                <w:rFonts w:eastAsia="Arial" w:cs="Arial"/>
                <w:sz w:val="22"/>
                <w:szCs w:val="22"/>
              </w:rPr>
            </w:pPr>
            <w:r w:rsidRPr="00FE51E1">
              <w:rPr>
                <w:rFonts w:eastAsia="Arial" w:cs="Arial"/>
                <w:sz w:val="22"/>
                <w:szCs w:val="22"/>
              </w:rPr>
              <w:t>3.2.a) Number of engagements by communication channel</w:t>
            </w:r>
          </w:p>
        </w:tc>
        <w:tc>
          <w:tcPr>
            <w:tcW w:w="2693" w:type="dxa"/>
            <w:gridSpan w:val="3"/>
            <w:tcBorders>
              <w:top w:val="single" w:sz="4" w:space="0" w:color="auto"/>
              <w:left w:val="single" w:sz="4" w:space="0" w:color="auto"/>
              <w:bottom w:val="single" w:sz="4" w:space="0" w:color="auto"/>
              <w:right w:val="single" w:sz="4" w:space="0" w:color="auto"/>
            </w:tcBorders>
          </w:tcPr>
          <w:p w14:paraId="13EA3F33" w14:textId="77777777" w:rsidR="00FE51E1" w:rsidRPr="00FE51E1" w:rsidRDefault="00FE51E1" w:rsidP="00560D34">
            <w:pPr>
              <w:rPr>
                <w:rFonts w:eastAsia="Arial" w:cs="Arial"/>
                <w:sz w:val="22"/>
                <w:szCs w:val="22"/>
              </w:rPr>
            </w:pPr>
            <w:r w:rsidRPr="00FE51E1">
              <w:rPr>
                <w:rFonts w:eastAsia="Arial" w:cs="Arial"/>
                <w:sz w:val="22"/>
                <w:szCs w:val="22"/>
              </w:rPr>
              <w:t xml:space="preserve">Website: </w:t>
            </w:r>
          </w:p>
          <w:p w14:paraId="1C873C48" w14:textId="77777777" w:rsidR="00FE51E1" w:rsidRPr="00FE51E1" w:rsidRDefault="00FE51E1" w:rsidP="00560D34">
            <w:pPr>
              <w:rPr>
                <w:rFonts w:eastAsia="Arial" w:cs="Arial"/>
                <w:sz w:val="22"/>
                <w:szCs w:val="22"/>
              </w:rPr>
            </w:pPr>
            <w:r w:rsidRPr="00FE51E1">
              <w:rPr>
                <w:rFonts w:eastAsia="Arial" w:cs="Arial"/>
                <w:sz w:val="22"/>
                <w:szCs w:val="22"/>
              </w:rPr>
              <w:t xml:space="preserve">Total page views of “Knowledge and Learning Hub” subpage per year: 4,000 </w:t>
            </w:r>
          </w:p>
          <w:p w14:paraId="0B2044D7" w14:textId="77777777" w:rsidR="00FE51E1" w:rsidRPr="00FE51E1" w:rsidRDefault="00FE51E1" w:rsidP="00560D34">
            <w:pPr>
              <w:rPr>
                <w:rFonts w:eastAsia="Arial" w:cs="Arial"/>
                <w:sz w:val="22"/>
                <w:szCs w:val="22"/>
              </w:rPr>
            </w:pPr>
            <w:r w:rsidRPr="00FE51E1">
              <w:rPr>
                <w:rFonts w:eastAsia="Arial" w:cs="Arial"/>
                <w:sz w:val="22"/>
                <w:szCs w:val="22"/>
              </w:rPr>
              <w:t>Social media:</w:t>
            </w:r>
          </w:p>
          <w:p w14:paraId="6FFDA5CC" w14:textId="77777777" w:rsidR="00FE51E1" w:rsidRPr="00FE51E1" w:rsidRDefault="00FE51E1" w:rsidP="00560D34">
            <w:pPr>
              <w:rPr>
                <w:rFonts w:eastAsia="Arial" w:cs="Arial"/>
                <w:sz w:val="22"/>
                <w:szCs w:val="22"/>
              </w:rPr>
            </w:pPr>
            <w:r w:rsidRPr="00FE51E1">
              <w:rPr>
                <w:rFonts w:eastAsia="Arial" w:cs="Arial"/>
                <w:sz w:val="22"/>
                <w:szCs w:val="22"/>
              </w:rPr>
              <w:t>No. of followers increased in Twitter per year: 360</w:t>
            </w:r>
          </w:p>
          <w:p w14:paraId="70CE7E10" w14:textId="77777777" w:rsidR="00FE51E1" w:rsidRPr="00FE51E1" w:rsidRDefault="00FE51E1" w:rsidP="00560D34">
            <w:pPr>
              <w:rPr>
                <w:rFonts w:eastAsia="Arial" w:cs="Arial"/>
                <w:sz w:val="22"/>
                <w:szCs w:val="22"/>
              </w:rPr>
            </w:pPr>
            <w:r w:rsidRPr="00FE51E1">
              <w:rPr>
                <w:rFonts w:eastAsia="Arial" w:cs="Arial"/>
                <w:sz w:val="22"/>
                <w:szCs w:val="22"/>
              </w:rPr>
              <w:t>Average no. of impressions per month:  3,500</w:t>
            </w:r>
          </w:p>
          <w:p w14:paraId="3CC72EDD" w14:textId="77777777" w:rsidR="00FE51E1" w:rsidRPr="00FE51E1" w:rsidRDefault="00FE51E1" w:rsidP="00560D34">
            <w:pPr>
              <w:rPr>
                <w:rFonts w:eastAsia="Arial" w:cs="Arial"/>
                <w:sz w:val="22"/>
                <w:szCs w:val="22"/>
              </w:rPr>
            </w:pPr>
            <w:r w:rsidRPr="00FE51E1">
              <w:rPr>
                <w:rFonts w:eastAsia="Arial" w:cs="Arial"/>
                <w:sz w:val="22"/>
                <w:szCs w:val="22"/>
              </w:rPr>
              <w:t xml:space="preserve">Average no. of profile visits per month: 3,500 </w:t>
            </w:r>
          </w:p>
          <w:p w14:paraId="405DA249" w14:textId="77777777" w:rsidR="00FE51E1" w:rsidRPr="00FE51E1" w:rsidRDefault="00FE51E1" w:rsidP="00560D34">
            <w:pPr>
              <w:rPr>
                <w:rFonts w:eastAsia="Arial" w:cs="Arial"/>
                <w:sz w:val="22"/>
                <w:szCs w:val="22"/>
              </w:rPr>
            </w:pPr>
            <w:r w:rsidRPr="00FE51E1">
              <w:rPr>
                <w:rFonts w:eastAsia="Arial" w:cs="Arial"/>
                <w:sz w:val="22"/>
                <w:szCs w:val="22"/>
              </w:rPr>
              <w:t>Average no. of views per YouTube video uploaded: 100</w:t>
            </w:r>
          </w:p>
          <w:p w14:paraId="6327A7BA" w14:textId="77777777" w:rsidR="00FE51E1" w:rsidRPr="00FE51E1" w:rsidRDefault="00FE51E1" w:rsidP="00560D34">
            <w:pPr>
              <w:rPr>
                <w:rFonts w:eastAsia="Arial" w:cs="Arial"/>
                <w:sz w:val="22"/>
                <w:szCs w:val="22"/>
              </w:rPr>
            </w:pPr>
            <w:r w:rsidRPr="00FE51E1">
              <w:rPr>
                <w:rFonts w:eastAsia="Arial" w:cs="Arial"/>
                <w:sz w:val="22"/>
                <w:szCs w:val="22"/>
              </w:rPr>
              <w:t>Number of public relations/media engagements per year: 2</w:t>
            </w:r>
          </w:p>
        </w:tc>
        <w:tc>
          <w:tcPr>
            <w:tcW w:w="4252" w:type="dxa"/>
            <w:gridSpan w:val="2"/>
            <w:tcBorders>
              <w:top w:val="single" w:sz="4" w:space="0" w:color="auto"/>
              <w:left w:val="single" w:sz="4" w:space="0" w:color="auto"/>
              <w:bottom w:val="single" w:sz="4" w:space="0" w:color="auto"/>
              <w:right w:val="single" w:sz="4" w:space="0" w:color="auto"/>
            </w:tcBorders>
          </w:tcPr>
          <w:p w14:paraId="035A8947" w14:textId="77777777" w:rsidR="00FE51E1" w:rsidRPr="00FE51E1" w:rsidRDefault="00FE51E1" w:rsidP="00560D34">
            <w:pPr>
              <w:contextualSpacing/>
              <w:rPr>
                <w:rFonts w:eastAsia="Arial" w:cs="Arial"/>
                <w:b/>
                <w:bCs/>
                <w:sz w:val="22"/>
                <w:szCs w:val="22"/>
                <w:u w:val="single"/>
              </w:rPr>
            </w:pPr>
            <w:r w:rsidRPr="00FE51E1">
              <w:rPr>
                <w:rStyle w:val="normaltextrun"/>
                <w:rFonts w:eastAsia="Arial" w:cs="Arial"/>
                <w:b/>
                <w:bCs/>
                <w:sz w:val="22"/>
                <w:szCs w:val="22"/>
                <w:u w:val="single"/>
                <w:bdr w:val="none" w:sz="0" w:space="0" w:color="auto" w:frame="1"/>
              </w:rPr>
              <w:t>Progress moderately did not meet expectation (61%)</w:t>
            </w:r>
          </w:p>
          <w:p w14:paraId="43512230" w14:textId="77777777" w:rsidR="00FE51E1" w:rsidRPr="00FE51E1" w:rsidRDefault="00FE51E1" w:rsidP="00560D34">
            <w:pPr>
              <w:contextualSpacing/>
              <w:rPr>
                <w:rFonts w:eastAsia="Arial" w:cs="Arial"/>
                <w:sz w:val="22"/>
                <w:szCs w:val="22"/>
              </w:rPr>
            </w:pPr>
            <w:r w:rsidRPr="00FE51E1">
              <w:rPr>
                <w:rFonts w:eastAsia="Arial" w:cs="Arial"/>
                <w:sz w:val="22"/>
                <w:szCs w:val="22"/>
              </w:rPr>
              <w:t>Website: Total page views of “Knowledge and Learning Hub” subpage per year: 2,035 (51%)</w:t>
            </w:r>
          </w:p>
          <w:p w14:paraId="1A996A86" w14:textId="77777777" w:rsidR="00FE51E1" w:rsidRPr="00FE51E1" w:rsidRDefault="00FE51E1" w:rsidP="00560D34">
            <w:pPr>
              <w:contextualSpacing/>
              <w:rPr>
                <w:rFonts w:eastAsia="Arial" w:cs="Arial"/>
                <w:sz w:val="22"/>
                <w:szCs w:val="22"/>
              </w:rPr>
            </w:pPr>
            <w:r w:rsidRPr="00FE51E1">
              <w:rPr>
                <w:rFonts w:eastAsia="Arial" w:cs="Arial"/>
                <w:sz w:val="22"/>
                <w:szCs w:val="22"/>
              </w:rPr>
              <w:t>Social media:</w:t>
            </w:r>
          </w:p>
          <w:p w14:paraId="0A985D6A" w14:textId="77777777" w:rsidR="00FE51E1" w:rsidRPr="00FE51E1" w:rsidRDefault="00FE51E1" w:rsidP="00560D34">
            <w:pPr>
              <w:contextualSpacing/>
              <w:rPr>
                <w:rFonts w:eastAsia="Arial" w:cs="Arial"/>
                <w:sz w:val="22"/>
                <w:szCs w:val="22"/>
              </w:rPr>
            </w:pPr>
            <w:r w:rsidRPr="00FE51E1">
              <w:rPr>
                <w:rFonts w:eastAsia="Arial" w:cs="Arial"/>
                <w:sz w:val="22"/>
                <w:szCs w:val="22"/>
              </w:rPr>
              <w:t>No. of followers increased in Twitter per year: 103 (29%)</w:t>
            </w:r>
          </w:p>
          <w:p w14:paraId="124470F8" w14:textId="77777777" w:rsidR="00FE51E1" w:rsidRPr="00FE51E1" w:rsidRDefault="00FE51E1" w:rsidP="00560D34">
            <w:pPr>
              <w:contextualSpacing/>
              <w:rPr>
                <w:rFonts w:eastAsia="Arial" w:cs="Arial"/>
                <w:sz w:val="22"/>
                <w:szCs w:val="22"/>
              </w:rPr>
            </w:pPr>
            <w:r w:rsidRPr="00FE51E1">
              <w:rPr>
                <w:rFonts w:eastAsia="Arial" w:cs="Arial"/>
                <w:sz w:val="22"/>
                <w:szCs w:val="22"/>
              </w:rPr>
              <w:t>Average no. of impressions per month:  1,804 (52%)</w:t>
            </w:r>
          </w:p>
          <w:p w14:paraId="66AE9C2E" w14:textId="39A964FC" w:rsidR="00FE51E1" w:rsidRPr="00FE51E1" w:rsidRDefault="3A108E36" w:rsidP="00560D34">
            <w:pPr>
              <w:contextualSpacing/>
              <w:rPr>
                <w:rFonts w:eastAsia="Arial" w:cs="Arial"/>
                <w:sz w:val="22"/>
                <w:szCs w:val="22"/>
              </w:rPr>
            </w:pPr>
            <w:r w:rsidRPr="5964CDA8">
              <w:rPr>
                <w:rFonts w:eastAsia="Arial" w:cs="Arial"/>
                <w:sz w:val="22"/>
                <w:szCs w:val="22"/>
              </w:rPr>
              <w:t>Average no. of profile visits per month: 1,22</w:t>
            </w:r>
            <w:r w:rsidR="2079EEA8" w:rsidRPr="5964CDA8">
              <w:rPr>
                <w:rFonts w:eastAsia="Arial" w:cs="Arial"/>
                <w:sz w:val="22"/>
                <w:szCs w:val="22"/>
              </w:rPr>
              <w:t>0</w:t>
            </w:r>
            <w:r w:rsidRPr="5964CDA8">
              <w:rPr>
                <w:rFonts w:eastAsia="Arial" w:cs="Arial"/>
                <w:sz w:val="22"/>
                <w:szCs w:val="22"/>
              </w:rPr>
              <w:t xml:space="preserve"> (35%)</w:t>
            </w:r>
          </w:p>
          <w:p w14:paraId="53AA727E" w14:textId="77777777" w:rsidR="00FE51E1" w:rsidRPr="00FE51E1" w:rsidRDefault="00FE51E1" w:rsidP="00560D34">
            <w:pPr>
              <w:contextualSpacing/>
              <w:rPr>
                <w:rFonts w:eastAsia="Arial" w:cs="Arial"/>
                <w:sz w:val="22"/>
                <w:szCs w:val="22"/>
              </w:rPr>
            </w:pPr>
            <w:r w:rsidRPr="00FE51E1">
              <w:rPr>
                <w:rFonts w:eastAsia="Arial" w:cs="Arial"/>
                <w:sz w:val="22"/>
                <w:szCs w:val="22"/>
              </w:rPr>
              <w:t>Average no. of views per YouTube video uploaded: 122 (122%)</w:t>
            </w:r>
          </w:p>
          <w:p w14:paraId="4CF7272F" w14:textId="77777777" w:rsidR="00FE51E1" w:rsidRPr="00FE51E1" w:rsidRDefault="00FE51E1" w:rsidP="00560D34">
            <w:pPr>
              <w:contextualSpacing/>
              <w:rPr>
                <w:rFonts w:eastAsia="Arial" w:cs="Arial"/>
                <w:sz w:val="22"/>
                <w:szCs w:val="22"/>
              </w:rPr>
            </w:pPr>
            <w:r w:rsidRPr="00FE51E1">
              <w:rPr>
                <w:rFonts w:eastAsia="Arial" w:cs="Arial"/>
                <w:sz w:val="22"/>
                <w:szCs w:val="22"/>
              </w:rPr>
              <w:t>Number of public relations/media engagements per year: 3 (150%)</w:t>
            </w:r>
          </w:p>
        </w:tc>
      </w:tr>
      <w:tr w:rsidR="00FE51E1" w:rsidRPr="00FE51E1" w14:paraId="3BE32CF6" w14:textId="77777777" w:rsidTr="009D6172">
        <w:trPr>
          <w:trHeight w:val="2130"/>
        </w:trPr>
        <w:tc>
          <w:tcPr>
            <w:tcW w:w="2122" w:type="dxa"/>
            <w:gridSpan w:val="2"/>
            <w:tcBorders>
              <w:top w:val="single" w:sz="4" w:space="0" w:color="auto"/>
              <w:left w:val="single" w:sz="4" w:space="0" w:color="auto"/>
              <w:bottom w:val="single" w:sz="4" w:space="0" w:color="auto"/>
              <w:right w:val="single" w:sz="4" w:space="0" w:color="auto"/>
            </w:tcBorders>
          </w:tcPr>
          <w:p w14:paraId="678FADD8" w14:textId="77777777" w:rsidR="00FE51E1" w:rsidRPr="00FE51E1" w:rsidRDefault="00FE51E1" w:rsidP="00560D34">
            <w:pPr>
              <w:rPr>
                <w:rFonts w:eastAsia="Arial" w:cs="Arial"/>
                <w:sz w:val="22"/>
                <w:szCs w:val="22"/>
              </w:rPr>
            </w:pPr>
            <w:r w:rsidRPr="00FE51E1">
              <w:rPr>
                <w:rFonts w:eastAsia="Arial" w:cs="Arial"/>
                <w:sz w:val="22"/>
                <w:szCs w:val="22"/>
              </w:rPr>
              <w:t>3.2.b) Number of individuals attending a knowledge-sharing event</w:t>
            </w:r>
          </w:p>
        </w:tc>
        <w:tc>
          <w:tcPr>
            <w:tcW w:w="2693" w:type="dxa"/>
            <w:gridSpan w:val="3"/>
            <w:tcBorders>
              <w:top w:val="single" w:sz="4" w:space="0" w:color="auto"/>
              <w:left w:val="single" w:sz="4" w:space="0" w:color="auto"/>
              <w:bottom w:val="single" w:sz="4" w:space="0" w:color="auto"/>
              <w:right w:val="single" w:sz="4" w:space="0" w:color="auto"/>
            </w:tcBorders>
          </w:tcPr>
          <w:p w14:paraId="0E0D33EE" w14:textId="77777777" w:rsidR="00FE51E1" w:rsidRPr="00FE51E1" w:rsidRDefault="00FE51E1" w:rsidP="00560D34">
            <w:pPr>
              <w:rPr>
                <w:rFonts w:eastAsia="Arial" w:cs="Arial"/>
                <w:sz w:val="22"/>
                <w:szCs w:val="22"/>
              </w:rPr>
            </w:pPr>
            <w:r w:rsidRPr="00FE51E1">
              <w:rPr>
                <w:rFonts w:eastAsia="Arial" w:cs="Arial"/>
                <w:sz w:val="22"/>
                <w:szCs w:val="22"/>
              </w:rPr>
              <w:t xml:space="preserve">- 50 per webinar, </w:t>
            </w:r>
          </w:p>
          <w:p w14:paraId="2B8DD9A0" w14:textId="77777777" w:rsidR="00FE51E1" w:rsidRPr="00FE51E1" w:rsidRDefault="00FE51E1" w:rsidP="00560D34">
            <w:pPr>
              <w:rPr>
                <w:rFonts w:eastAsia="Arial" w:cs="Arial"/>
                <w:sz w:val="22"/>
                <w:szCs w:val="22"/>
              </w:rPr>
            </w:pPr>
            <w:r w:rsidRPr="00FE51E1">
              <w:rPr>
                <w:rFonts w:eastAsia="Arial" w:cs="Arial"/>
                <w:sz w:val="22"/>
                <w:szCs w:val="22"/>
              </w:rPr>
              <w:t>- 50 per side event,</w:t>
            </w:r>
          </w:p>
          <w:p w14:paraId="7BE29062" w14:textId="1531AE3D" w:rsidR="00FE51E1" w:rsidRPr="00FE51E1" w:rsidRDefault="3A108E36" w:rsidP="00560D34">
            <w:pPr>
              <w:rPr>
                <w:rFonts w:eastAsia="Arial" w:cs="Arial"/>
                <w:sz w:val="22"/>
                <w:szCs w:val="22"/>
              </w:rPr>
            </w:pPr>
            <w:r w:rsidRPr="5964CDA8">
              <w:rPr>
                <w:rFonts w:eastAsia="Arial" w:cs="Arial"/>
                <w:sz w:val="22"/>
                <w:szCs w:val="22"/>
              </w:rPr>
              <w:t xml:space="preserve">- 25 per virtual </w:t>
            </w:r>
            <w:r w:rsidR="5709C57C" w:rsidRPr="5964CDA8">
              <w:rPr>
                <w:rFonts w:eastAsia="Arial" w:cs="Arial"/>
                <w:sz w:val="22"/>
                <w:szCs w:val="22"/>
              </w:rPr>
              <w:t xml:space="preserve">project </w:t>
            </w:r>
            <w:r w:rsidRPr="5964CDA8">
              <w:rPr>
                <w:rFonts w:eastAsia="Arial" w:cs="Arial"/>
                <w:sz w:val="22"/>
                <w:szCs w:val="22"/>
              </w:rPr>
              <w:t>meeting</w:t>
            </w:r>
          </w:p>
          <w:p w14:paraId="3DCA07D2" w14:textId="7FB6A3BA" w:rsidR="00FE51E1" w:rsidRPr="00FE51E1" w:rsidRDefault="3A108E36" w:rsidP="00560D34">
            <w:pPr>
              <w:rPr>
                <w:rFonts w:eastAsia="Arial" w:cs="Arial"/>
                <w:sz w:val="22"/>
                <w:szCs w:val="22"/>
              </w:rPr>
            </w:pPr>
            <w:r w:rsidRPr="5964CDA8">
              <w:rPr>
                <w:rFonts w:eastAsia="Arial" w:cs="Arial"/>
                <w:sz w:val="22"/>
                <w:szCs w:val="22"/>
              </w:rPr>
              <w:t xml:space="preserve">- </w:t>
            </w:r>
            <w:r w:rsidR="5299ABB1" w:rsidRPr="5964CDA8">
              <w:rPr>
                <w:rFonts w:eastAsia="Arial" w:cs="Arial"/>
                <w:sz w:val="22"/>
                <w:szCs w:val="22"/>
              </w:rPr>
              <w:t>50</w:t>
            </w:r>
            <w:r w:rsidRPr="5964CDA8">
              <w:rPr>
                <w:rFonts w:eastAsia="Arial" w:cs="Arial"/>
                <w:sz w:val="22"/>
                <w:szCs w:val="22"/>
              </w:rPr>
              <w:t xml:space="preserve"> per </w:t>
            </w:r>
            <w:proofErr w:type="gramStart"/>
            <w:r w:rsidRPr="5964CDA8">
              <w:rPr>
                <w:rFonts w:eastAsia="Arial" w:cs="Arial"/>
                <w:sz w:val="22"/>
                <w:szCs w:val="22"/>
              </w:rPr>
              <w:t>other</w:t>
            </w:r>
            <w:proofErr w:type="gramEnd"/>
            <w:r w:rsidRPr="5964CDA8">
              <w:rPr>
                <w:rFonts w:eastAsia="Arial" w:cs="Arial"/>
                <w:sz w:val="22"/>
                <w:szCs w:val="22"/>
              </w:rPr>
              <w:t xml:space="preserve"> TSU-led event</w:t>
            </w:r>
          </w:p>
          <w:p w14:paraId="0A9AE5D3" w14:textId="77777777" w:rsidR="00FE51E1" w:rsidRPr="00FE51E1" w:rsidRDefault="00FE51E1" w:rsidP="00560D34">
            <w:pPr>
              <w:rPr>
                <w:rFonts w:eastAsia="Arial" w:cs="Arial"/>
                <w:sz w:val="22"/>
                <w:szCs w:val="22"/>
              </w:rPr>
            </w:pPr>
            <w:r w:rsidRPr="00FE51E1">
              <w:rPr>
                <w:rFonts w:eastAsia="Arial" w:cs="Arial"/>
                <w:sz w:val="22"/>
                <w:szCs w:val="22"/>
              </w:rPr>
              <w:t>- 5 per peer exchange</w:t>
            </w:r>
          </w:p>
          <w:p w14:paraId="736F7DA8" w14:textId="478F805B" w:rsidR="00FE51E1" w:rsidRPr="00FE51E1" w:rsidRDefault="3A108E36" w:rsidP="00560D34">
            <w:pPr>
              <w:rPr>
                <w:rFonts w:eastAsia="Arial" w:cs="Arial"/>
                <w:sz w:val="22"/>
                <w:szCs w:val="22"/>
              </w:rPr>
            </w:pPr>
            <w:r w:rsidRPr="5964CDA8">
              <w:rPr>
                <w:rFonts w:eastAsia="Arial" w:cs="Arial"/>
                <w:sz w:val="22"/>
                <w:szCs w:val="22"/>
              </w:rPr>
              <w:t xml:space="preserve">- 25 per </w:t>
            </w:r>
            <w:r w:rsidR="49F1FEC3" w:rsidRPr="5964CDA8">
              <w:rPr>
                <w:rFonts w:eastAsia="Arial" w:cs="Arial"/>
                <w:sz w:val="22"/>
                <w:szCs w:val="22"/>
              </w:rPr>
              <w:t>project</w:t>
            </w:r>
            <w:r w:rsidRPr="5964CDA8">
              <w:rPr>
                <w:rFonts w:eastAsia="Arial" w:cs="Arial"/>
                <w:sz w:val="22"/>
                <w:szCs w:val="22"/>
              </w:rPr>
              <w:t>-run event</w:t>
            </w:r>
          </w:p>
        </w:tc>
        <w:tc>
          <w:tcPr>
            <w:tcW w:w="4252" w:type="dxa"/>
            <w:gridSpan w:val="2"/>
            <w:tcBorders>
              <w:top w:val="single" w:sz="4" w:space="0" w:color="auto"/>
              <w:left w:val="single" w:sz="4" w:space="0" w:color="auto"/>
              <w:bottom w:val="single" w:sz="4" w:space="0" w:color="auto"/>
              <w:right w:val="single" w:sz="4" w:space="0" w:color="auto"/>
            </w:tcBorders>
          </w:tcPr>
          <w:p w14:paraId="1734841B" w14:textId="77777777" w:rsidR="00FE51E1" w:rsidRPr="00FE51E1" w:rsidRDefault="00FE51E1" w:rsidP="00560D34">
            <w:pPr>
              <w:contextualSpacing/>
              <w:rPr>
                <w:rFonts w:eastAsia="Arial" w:cs="Arial"/>
                <w:b/>
                <w:bCs/>
                <w:sz w:val="22"/>
                <w:szCs w:val="22"/>
                <w:u w:val="single"/>
              </w:rPr>
            </w:pPr>
            <w:r w:rsidRPr="00FE51E1">
              <w:rPr>
                <w:rFonts w:eastAsia="Arial" w:cs="Arial"/>
                <w:b/>
                <w:bCs/>
                <w:sz w:val="22"/>
                <w:szCs w:val="22"/>
                <w:u w:val="single"/>
              </w:rPr>
              <w:t>Progress substantially exceeded expectation (179%)</w:t>
            </w:r>
          </w:p>
          <w:p w14:paraId="54BCACD7" w14:textId="77777777" w:rsidR="00FE51E1" w:rsidRPr="00FE51E1" w:rsidRDefault="00FE51E1" w:rsidP="00560D34">
            <w:pPr>
              <w:contextualSpacing/>
              <w:rPr>
                <w:rFonts w:eastAsia="Arial" w:cs="Arial"/>
                <w:sz w:val="22"/>
                <w:szCs w:val="22"/>
              </w:rPr>
            </w:pPr>
            <w:r w:rsidRPr="00FE51E1">
              <w:rPr>
                <w:rFonts w:eastAsia="Arial" w:cs="Arial"/>
                <w:sz w:val="22"/>
                <w:szCs w:val="22"/>
              </w:rPr>
              <w:t xml:space="preserve">- 123 per webinar (246%) </w:t>
            </w:r>
          </w:p>
          <w:p w14:paraId="653F9450" w14:textId="77777777" w:rsidR="00FE51E1" w:rsidRPr="00FE51E1" w:rsidRDefault="00FE51E1" w:rsidP="00560D34">
            <w:pPr>
              <w:contextualSpacing/>
              <w:rPr>
                <w:rFonts w:eastAsia="Arial" w:cs="Arial"/>
                <w:sz w:val="22"/>
                <w:szCs w:val="22"/>
              </w:rPr>
            </w:pPr>
            <w:r w:rsidRPr="00FE51E1">
              <w:rPr>
                <w:rFonts w:eastAsia="Arial" w:cs="Arial"/>
                <w:sz w:val="22"/>
                <w:szCs w:val="22"/>
              </w:rPr>
              <w:t>- 54 per side event (108%)</w:t>
            </w:r>
          </w:p>
          <w:p w14:paraId="5329A398" w14:textId="10F3A99D" w:rsidR="00FE51E1" w:rsidRPr="00FE51E1" w:rsidRDefault="3A108E36" w:rsidP="00560D34">
            <w:pPr>
              <w:contextualSpacing/>
              <w:rPr>
                <w:rFonts w:eastAsia="Arial" w:cs="Arial"/>
                <w:sz w:val="22"/>
                <w:szCs w:val="22"/>
              </w:rPr>
            </w:pPr>
            <w:r w:rsidRPr="5964CDA8">
              <w:rPr>
                <w:rFonts w:eastAsia="Arial" w:cs="Arial"/>
                <w:sz w:val="22"/>
                <w:szCs w:val="22"/>
              </w:rPr>
              <w:t xml:space="preserve">- 31 per virtual </w:t>
            </w:r>
            <w:r w:rsidR="275A112E" w:rsidRPr="5964CDA8">
              <w:rPr>
                <w:rFonts w:eastAsia="Arial" w:cs="Arial"/>
                <w:sz w:val="22"/>
                <w:szCs w:val="22"/>
              </w:rPr>
              <w:t xml:space="preserve">project </w:t>
            </w:r>
            <w:r w:rsidRPr="5964CDA8">
              <w:rPr>
                <w:rFonts w:eastAsia="Arial" w:cs="Arial"/>
                <w:sz w:val="22"/>
                <w:szCs w:val="22"/>
              </w:rPr>
              <w:t>meeting (123%)</w:t>
            </w:r>
          </w:p>
          <w:p w14:paraId="7F75D296" w14:textId="77777777" w:rsidR="00FE51E1" w:rsidRPr="00FE51E1" w:rsidRDefault="00FE51E1" w:rsidP="00560D34">
            <w:pPr>
              <w:contextualSpacing/>
              <w:rPr>
                <w:rFonts w:eastAsia="Arial" w:cs="Arial"/>
                <w:sz w:val="22"/>
                <w:szCs w:val="22"/>
              </w:rPr>
            </w:pPr>
            <w:r w:rsidRPr="00FE51E1">
              <w:rPr>
                <w:rFonts w:eastAsia="Arial" w:cs="Arial"/>
                <w:sz w:val="22"/>
                <w:szCs w:val="22"/>
              </w:rPr>
              <w:t xml:space="preserve">- 121 per </w:t>
            </w:r>
            <w:proofErr w:type="gramStart"/>
            <w:r w:rsidRPr="00FE51E1">
              <w:rPr>
                <w:rFonts w:eastAsia="Arial" w:cs="Arial"/>
                <w:sz w:val="22"/>
                <w:szCs w:val="22"/>
              </w:rPr>
              <w:t>other</w:t>
            </w:r>
            <w:proofErr w:type="gramEnd"/>
            <w:r w:rsidRPr="00FE51E1">
              <w:rPr>
                <w:rFonts w:eastAsia="Arial" w:cs="Arial"/>
                <w:sz w:val="22"/>
                <w:szCs w:val="22"/>
              </w:rPr>
              <w:t xml:space="preserve"> TSU-led event (241%)</w:t>
            </w:r>
          </w:p>
          <w:p w14:paraId="661CB28F" w14:textId="77777777" w:rsidR="00FE51E1" w:rsidRPr="00FE51E1" w:rsidRDefault="00FE51E1" w:rsidP="00560D34">
            <w:pPr>
              <w:contextualSpacing/>
              <w:rPr>
                <w:rFonts w:eastAsia="Arial" w:cs="Arial"/>
                <w:sz w:val="22"/>
                <w:szCs w:val="22"/>
              </w:rPr>
            </w:pPr>
            <w:r w:rsidRPr="00FE51E1">
              <w:rPr>
                <w:rFonts w:eastAsia="Arial" w:cs="Arial"/>
                <w:sz w:val="22"/>
                <w:szCs w:val="22"/>
              </w:rPr>
              <w:t>- 7 per peer exchange (147%)</w:t>
            </w:r>
          </w:p>
          <w:p w14:paraId="75FB11B4" w14:textId="5EABB5D9" w:rsidR="00FE51E1" w:rsidRPr="00FE51E1" w:rsidRDefault="3A108E36" w:rsidP="00560D34">
            <w:pPr>
              <w:contextualSpacing/>
              <w:rPr>
                <w:rFonts w:eastAsia="Arial" w:cs="Arial"/>
                <w:sz w:val="22"/>
                <w:szCs w:val="22"/>
              </w:rPr>
            </w:pPr>
            <w:r w:rsidRPr="5964CDA8">
              <w:rPr>
                <w:rFonts w:eastAsia="Arial" w:cs="Arial"/>
                <w:sz w:val="22"/>
                <w:szCs w:val="22"/>
              </w:rPr>
              <w:t>- 5</w:t>
            </w:r>
            <w:r w:rsidR="2007BAC8" w:rsidRPr="5964CDA8">
              <w:rPr>
                <w:rFonts w:eastAsia="Arial" w:cs="Arial"/>
                <w:sz w:val="22"/>
                <w:szCs w:val="22"/>
              </w:rPr>
              <w:t>9</w:t>
            </w:r>
            <w:r w:rsidRPr="5964CDA8">
              <w:rPr>
                <w:rFonts w:eastAsia="Arial" w:cs="Arial"/>
                <w:sz w:val="22"/>
                <w:szCs w:val="22"/>
              </w:rPr>
              <w:t xml:space="preserve"> per project-run event (212%)</w:t>
            </w:r>
          </w:p>
        </w:tc>
      </w:tr>
      <w:tr w:rsidR="00FE51E1" w:rsidRPr="00FE51E1" w14:paraId="3FBED8FF" w14:textId="77777777" w:rsidTr="009D6172">
        <w:trPr>
          <w:trHeight w:val="300"/>
        </w:trPr>
        <w:tc>
          <w:tcPr>
            <w:tcW w:w="2122" w:type="dxa"/>
            <w:gridSpan w:val="2"/>
            <w:tcBorders>
              <w:top w:val="single" w:sz="4" w:space="0" w:color="auto"/>
              <w:left w:val="single" w:sz="4" w:space="0" w:color="auto"/>
              <w:bottom w:val="single" w:sz="4" w:space="0" w:color="auto"/>
              <w:right w:val="single" w:sz="4" w:space="0" w:color="auto"/>
            </w:tcBorders>
          </w:tcPr>
          <w:p w14:paraId="1540BBE7" w14:textId="77777777" w:rsidR="00FE51E1" w:rsidRPr="00FE51E1" w:rsidRDefault="00FE51E1" w:rsidP="00560D34">
            <w:pPr>
              <w:rPr>
                <w:rFonts w:eastAsia="Arial" w:cs="Arial"/>
                <w:sz w:val="22"/>
                <w:szCs w:val="22"/>
              </w:rPr>
            </w:pPr>
            <w:r w:rsidRPr="00FE51E1">
              <w:rPr>
                <w:rFonts w:eastAsia="Arial" w:cs="Arial"/>
                <w:sz w:val="22"/>
                <w:szCs w:val="22"/>
              </w:rPr>
              <w:t xml:space="preserve">3.3.a) Percentage of respondents considering knowledge products and </w:t>
            </w:r>
            <w:r w:rsidRPr="00FE51E1">
              <w:rPr>
                <w:rFonts w:eastAsia="Arial" w:cs="Arial"/>
                <w:sz w:val="22"/>
                <w:szCs w:val="22"/>
              </w:rPr>
              <w:lastRenderedPageBreak/>
              <w:t>sharing activities as valuable</w:t>
            </w:r>
          </w:p>
        </w:tc>
        <w:tc>
          <w:tcPr>
            <w:tcW w:w="2693" w:type="dxa"/>
            <w:gridSpan w:val="3"/>
            <w:tcBorders>
              <w:top w:val="single" w:sz="4" w:space="0" w:color="auto"/>
              <w:left w:val="single" w:sz="4" w:space="0" w:color="auto"/>
              <w:bottom w:val="single" w:sz="4" w:space="0" w:color="auto"/>
              <w:right w:val="single" w:sz="4" w:space="0" w:color="auto"/>
            </w:tcBorders>
          </w:tcPr>
          <w:p w14:paraId="6F753AEC" w14:textId="77777777" w:rsidR="00FE51E1" w:rsidRPr="00FE51E1" w:rsidRDefault="00FE51E1" w:rsidP="00560D34">
            <w:pPr>
              <w:rPr>
                <w:rFonts w:eastAsia="Arial" w:cs="Arial"/>
                <w:sz w:val="22"/>
                <w:szCs w:val="22"/>
              </w:rPr>
            </w:pPr>
            <w:r w:rsidRPr="00FE51E1">
              <w:rPr>
                <w:rFonts w:eastAsia="Arial" w:cs="Arial"/>
                <w:sz w:val="22"/>
                <w:szCs w:val="22"/>
              </w:rPr>
              <w:lastRenderedPageBreak/>
              <w:t>80%</w:t>
            </w:r>
          </w:p>
        </w:tc>
        <w:tc>
          <w:tcPr>
            <w:tcW w:w="4252" w:type="dxa"/>
            <w:gridSpan w:val="2"/>
            <w:tcBorders>
              <w:top w:val="single" w:sz="4" w:space="0" w:color="auto"/>
              <w:left w:val="single" w:sz="4" w:space="0" w:color="auto"/>
              <w:bottom w:val="single" w:sz="4" w:space="0" w:color="auto"/>
              <w:right w:val="single" w:sz="4" w:space="0" w:color="auto"/>
            </w:tcBorders>
          </w:tcPr>
          <w:p w14:paraId="7F625DCD" w14:textId="77777777" w:rsidR="00FE51E1" w:rsidRPr="00FE51E1" w:rsidRDefault="00FE51E1" w:rsidP="00560D34">
            <w:pPr>
              <w:contextualSpacing/>
              <w:rPr>
                <w:rFonts w:eastAsia="Arial" w:cs="Arial"/>
                <w:b/>
                <w:bCs/>
                <w:sz w:val="22"/>
                <w:szCs w:val="22"/>
                <w:u w:val="single"/>
              </w:rPr>
            </w:pPr>
            <w:r w:rsidRPr="00FE51E1">
              <w:rPr>
                <w:rFonts w:eastAsia="Arial" w:cs="Arial"/>
                <w:b/>
                <w:bCs/>
                <w:sz w:val="22"/>
                <w:szCs w:val="22"/>
                <w:u w:val="single"/>
              </w:rPr>
              <w:t>Progress met expectation (104%)</w:t>
            </w:r>
          </w:p>
          <w:p w14:paraId="7BB57B3A" w14:textId="77777777" w:rsidR="00FE51E1" w:rsidRPr="00FE51E1" w:rsidRDefault="00FE51E1" w:rsidP="00560D34">
            <w:pPr>
              <w:contextualSpacing/>
              <w:rPr>
                <w:rFonts w:eastAsia="Arial" w:cs="Arial"/>
                <w:sz w:val="22"/>
                <w:szCs w:val="22"/>
              </w:rPr>
            </w:pPr>
            <w:r w:rsidRPr="00FE51E1">
              <w:rPr>
                <w:rFonts w:eastAsia="Arial" w:cs="Arial"/>
                <w:sz w:val="22"/>
                <w:szCs w:val="22"/>
              </w:rPr>
              <w:t>2023: 83%</w:t>
            </w:r>
          </w:p>
        </w:tc>
      </w:tr>
      <w:tr w:rsidR="00FE51E1" w:rsidRPr="00FE51E1" w14:paraId="3FDA7378" w14:textId="77777777" w:rsidTr="009D6172">
        <w:trPr>
          <w:trHeight w:val="300"/>
        </w:trPr>
        <w:tc>
          <w:tcPr>
            <w:tcW w:w="2122" w:type="dxa"/>
            <w:gridSpan w:val="2"/>
            <w:tcBorders>
              <w:top w:val="single" w:sz="4" w:space="0" w:color="auto"/>
              <w:left w:val="single" w:sz="4" w:space="0" w:color="auto"/>
              <w:bottom w:val="single" w:sz="4" w:space="0" w:color="auto"/>
              <w:right w:val="single" w:sz="4" w:space="0" w:color="auto"/>
            </w:tcBorders>
          </w:tcPr>
          <w:p w14:paraId="0D82640F" w14:textId="77777777" w:rsidR="00FE51E1" w:rsidRPr="00FE51E1" w:rsidRDefault="00FE51E1" w:rsidP="00560D34">
            <w:pPr>
              <w:rPr>
                <w:rFonts w:eastAsia="Arial" w:cs="Arial"/>
                <w:sz w:val="22"/>
                <w:szCs w:val="22"/>
              </w:rPr>
            </w:pPr>
            <w:r w:rsidRPr="00FE51E1">
              <w:rPr>
                <w:rFonts w:eastAsia="Arial" w:cs="Arial"/>
                <w:sz w:val="22"/>
                <w:szCs w:val="22"/>
              </w:rPr>
              <w:t>3.3.b) Examples of use / added value of knowledge products and knowledge-sharing activities</w:t>
            </w:r>
          </w:p>
        </w:tc>
        <w:tc>
          <w:tcPr>
            <w:tcW w:w="2693" w:type="dxa"/>
            <w:gridSpan w:val="3"/>
            <w:tcBorders>
              <w:top w:val="single" w:sz="4" w:space="0" w:color="auto"/>
              <w:left w:val="single" w:sz="4" w:space="0" w:color="auto"/>
              <w:bottom w:val="single" w:sz="4" w:space="0" w:color="auto"/>
              <w:right w:val="single" w:sz="4" w:space="0" w:color="auto"/>
            </w:tcBorders>
          </w:tcPr>
          <w:p w14:paraId="5E454460" w14:textId="77777777" w:rsidR="00FE51E1" w:rsidRPr="00FE51E1" w:rsidRDefault="00FE51E1" w:rsidP="00560D34">
            <w:pPr>
              <w:rPr>
                <w:rFonts w:eastAsia="Arial" w:cs="Arial"/>
                <w:sz w:val="22"/>
                <w:szCs w:val="22"/>
              </w:rPr>
            </w:pPr>
            <w:r w:rsidRPr="00FE51E1">
              <w:rPr>
                <w:rFonts w:eastAsia="Arial" w:cs="Arial"/>
                <w:sz w:val="22"/>
                <w:szCs w:val="22"/>
              </w:rPr>
              <w:t>5</w:t>
            </w:r>
          </w:p>
        </w:tc>
        <w:tc>
          <w:tcPr>
            <w:tcW w:w="4252" w:type="dxa"/>
            <w:gridSpan w:val="2"/>
            <w:tcBorders>
              <w:top w:val="single" w:sz="4" w:space="0" w:color="auto"/>
              <w:left w:val="single" w:sz="4" w:space="0" w:color="auto"/>
              <w:bottom w:val="single" w:sz="4" w:space="0" w:color="auto"/>
              <w:right w:val="single" w:sz="4" w:space="0" w:color="auto"/>
            </w:tcBorders>
          </w:tcPr>
          <w:p w14:paraId="225D082B" w14:textId="77777777" w:rsidR="00FE51E1" w:rsidRPr="00FE51E1" w:rsidRDefault="00FE51E1" w:rsidP="00560D34">
            <w:pPr>
              <w:contextualSpacing/>
              <w:rPr>
                <w:rFonts w:eastAsia="Arial" w:cs="Arial"/>
                <w:b/>
                <w:sz w:val="22"/>
                <w:szCs w:val="22"/>
                <w:u w:val="single"/>
              </w:rPr>
            </w:pPr>
            <w:r w:rsidRPr="00FE51E1">
              <w:rPr>
                <w:rFonts w:eastAsia="Arial" w:cs="Arial"/>
                <w:b/>
                <w:sz w:val="22"/>
                <w:szCs w:val="22"/>
                <w:u w:val="single"/>
              </w:rPr>
              <w:t>Progress met expectation (100%)</w:t>
            </w:r>
          </w:p>
          <w:p w14:paraId="660F25AC" w14:textId="77777777" w:rsidR="00FE51E1" w:rsidRPr="00FE51E1" w:rsidRDefault="00FE51E1" w:rsidP="00560D34">
            <w:pPr>
              <w:contextualSpacing/>
              <w:rPr>
                <w:rFonts w:eastAsia="Arial" w:cs="Arial"/>
                <w:sz w:val="22"/>
                <w:szCs w:val="22"/>
              </w:rPr>
            </w:pPr>
            <w:r w:rsidRPr="00FE51E1">
              <w:rPr>
                <w:rFonts w:eastAsia="Arial" w:cs="Arial"/>
                <w:sz w:val="22"/>
                <w:szCs w:val="22"/>
              </w:rPr>
              <w:t>2023:5</w:t>
            </w:r>
          </w:p>
        </w:tc>
      </w:tr>
    </w:tbl>
    <w:p w14:paraId="468D082A" w14:textId="77777777" w:rsidR="00ED5FD4" w:rsidRPr="00D80C6C" w:rsidRDefault="00ED5FD4" w:rsidP="001B4FD0">
      <w:pPr>
        <w:rPr>
          <w:rFonts w:eastAsia="Arial" w:cs="Arial"/>
          <w:b/>
          <w:sz w:val="22"/>
          <w:szCs w:val="22"/>
        </w:rPr>
      </w:pPr>
    </w:p>
    <w:p w14:paraId="61D9FB0D" w14:textId="3BE89076" w:rsidR="006462E5" w:rsidRPr="00D32FFB" w:rsidRDefault="006462E5" w:rsidP="07AF1209">
      <w:pPr>
        <w:rPr>
          <w:rFonts w:eastAsia="Arial" w:cs="Arial"/>
          <w:b/>
          <w:i/>
          <w:sz w:val="22"/>
          <w:szCs w:val="22"/>
        </w:rPr>
      </w:pPr>
      <w:r w:rsidRPr="5D6E3982">
        <w:rPr>
          <w:rFonts w:eastAsia="Arial" w:cs="Arial"/>
          <w:b/>
          <w:i/>
          <w:sz w:val="28"/>
          <w:szCs w:val="28"/>
        </w:rPr>
        <w:t>Output summary and supporting narrative for the score</w:t>
      </w:r>
      <w:r w:rsidRPr="5D6E3982">
        <w:rPr>
          <w:rFonts w:eastAsia="Arial" w:cs="Arial"/>
          <w:b/>
          <w:i/>
          <w:sz w:val="22"/>
          <w:szCs w:val="22"/>
        </w:rPr>
        <w:t xml:space="preserve"> </w:t>
      </w:r>
    </w:p>
    <w:p w14:paraId="2D084967" w14:textId="321AEE9A" w:rsidR="006462E5" w:rsidRPr="00D32FFB" w:rsidRDefault="006462E5" w:rsidP="07AF1209">
      <w:pPr>
        <w:jc w:val="both"/>
        <w:rPr>
          <w:rFonts w:eastAsia="Arial" w:cs="Arial"/>
          <w:sz w:val="22"/>
          <w:szCs w:val="22"/>
        </w:rPr>
      </w:pPr>
    </w:p>
    <w:p w14:paraId="4E366DEC" w14:textId="632122B0" w:rsidR="00BF4D28" w:rsidRPr="00D32FFB" w:rsidRDefault="00D7084E" w:rsidP="07AF1209">
      <w:pPr>
        <w:pStyle w:val="ListParagraph"/>
        <w:numPr>
          <w:ilvl w:val="0"/>
          <w:numId w:val="6"/>
        </w:numPr>
        <w:jc w:val="both"/>
        <w:rPr>
          <w:rFonts w:eastAsia="Arial" w:cs="Arial"/>
          <w:sz w:val="22"/>
          <w:szCs w:val="22"/>
        </w:rPr>
      </w:pPr>
      <w:r w:rsidRPr="5D6E3982">
        <w:rPr>
          <w:rFonts w:eastAsia="Arial" w:cs="Arial"/>
          <w:sz w:val="22"/>
          <w:szCs w:val="22"/>
        </w:rPr>
        <w:t xml:space="preserve">Output 3 speaks to </w:t>
      </w:r>
      <w:r w:rsidR="00866E36" w:rsidRPr="5D6E3982">
        <w:rPr>
          <w:rFonts w:eastAsia="Arial" w:cs="Arial"/>
          <w:sz w:val="22"/>
          <w:szCs w:val="22"/>
        </w:rPr>
        <w:t xml:space="preserve">knowledge and learning generated </w:t>
      </w:r>
      <w:r w:rsidR="005D4291">
        <w:rPr>
          <w:rFonts w:eastAsia="Arial" w:cs="Arial"/>
          <w:sz w:val="22"/>
          <w:szCs w:val="22"/>
        </w:rPr>
        <w:t xml:space="preserve">and shared </w:t>
      </w:r>
      <w:r w:rsidR="00866E36" w:rsidRPr="5D6E3982">
        <w:rPr>
          <w:rFonts w:eastAsia="Arial" w:cs="Arial"/>
          <w:sz w:val="22"/>
          <w:szCs w:val="22"/>
        </w:rPr>
        <w:t>by the Facility.</w:t>
      </w:r>
    </w:p>
    <w:p w14:paraId="30EFC761" w14:textId="418A45AD" w:rsidR="00866E36" w:rsidRPr="00D32FFB" w:rsidRDefault="00866E36" w:rsidP="07AF1209">
      <w:pPr>
        <w:pStyle w:val="ListParagraph"/>
        <w:numPr>
          <w:ilvl w:val="0"/>
          <w:numId w:val="6"/>
        </w:numPr>
        <w:jc w:val="both"/>
        <w:rPr>
          <w:rFonts w:eastAsia="Arial" w:cs="Arial"/>
          <w:sz w:val="22"/>
          <w:szCs w:val="22"/>
        </w:rPr>
      </w:pPr>
      <w:r w:rsidRPr="7849A67F">
        <w:rPr>
          <w:rFonts w:eastAsia="Arial" w:cs="Arial"/>
          <w:sz w:val="22"/>
          <w:szCs w:val="22"/>
        </w:rPr>
        <w:t>Almost every indicator</w:t>
      </w:r>
      <w:r w:rsidR="00B74FE6" w:rsidRPr="7849A67F">
        <w:rPr>
          <w:rFonts w:eastAsia="Arial" w:cs="Arial"/>
          <w:sz w:val="22"/>
          <w:szCs w:val="22"/>
        </w:rPr>
        <w:t xml:space="preserve"> </w:t>
      </w:r>
      <w:r w:rsidR="001B7C41" w:rsidRPr="7849A67F">
        <w:rPr>
          <w:rFonts w:eastAsia="Arial" w:cs="Arial"/>
          <w:sz w:val="22"/>
          <w:szCs w:val="22"/>
        </w:rPr>
        <w:t>met or exceeded 2022 targets</w:t>
      </w:r>
      <w:r w:rsidR="005875A4" w:rsidRPr="7849A67F">
        <w:rPr>
          <w:rFonts w:eastAsia="Arial" w:cs="Arial"/>
          <w:sz w:val="22"/>
          <w:szCs w:val="22"/>
        </w:rPr>
        <w:t xml:space="preserve"> </w:t>
      </w:r>
      <w:proofErr w:type="gramStart"/>
      <w:r w:rsidR="00E75DFA" w:rsidRPr="7849A67F">
        <w:rPr>
          <w:rFonts w:eastAsia="Arial" w:cs="Arial"/>
          <w:sz w:val="22"/>
          <w:szCs w:val="22"/>
        </w:rPr>
        <w:t>with the exception of</w:t>
      </w:r>
      <w:proofErr w:type="gramEnd"/>
      <w:r w:rsidR="005875A4" w:rsidRPr="7849A67F">
        <w:rPr>
          <w:rFonts w:eastAsia="Arial" w:cs="Arial"/>
          <w:sz w:val="22"/>
          <w:szCs w:val="22"/>
        </w:rPr>
        <w:t xml:space="preserve"> 3.2.a.</w:t>
      </w:r>
    </w:p>
    <w:p w14:paraId="1F43383D" w14:textId="534EA8AB" w:rsidR="003160CB" w:rsidRPr="0070047F" w:rsidRDefault="00A3396F" w:rsidP="07AF1209">
      <w:pPr>
        <w:pStyle w:val="ListParagraph"/>
        <w:numPr>
          <w:ilvl w:val="0"/>
          <w:numId w:val="6"/>
        </w:numPr>
        <w:jc w:val="both"/>
        <w:rPr>
          <w:rFonts w:eastAsia="Arial" w:cs="Arial"/>
          <w:sz w:val="22"/>
          <w:szCs w:val="22"/>
        </w:rPr>
      </w:pPr>
      <w:r w:rsidRPr="7849A67F">
        <w:rPr>
          <w:rFonts w:eastAsia="Arial" w:cs="Arial"/>
          <w:sz w:val="22"/>
          <w:szCs w:val="22"/>
        </w:rPr>
        <w:t xml:space="preserve">The indicator </w:t>
      </w:r>
      <w:r w:rsidR="00AF5E5A" w:rsidRPr="7849A67F">
        <w:rPr>
          <w:rFonts w:eastAsia="Arial" w:cs="Arial"/>
          <w:sz w:val="22"/>
          <w:szCs w:val="22"/>
        </w:rPr>
        <w:t xml:space="preserve">3.2.a </w:t>
      </w:r>
      <w:r w:rsidRPr="7849A67F">
        <w:rPr>
          <w:rFonts w:eastAsia="Arial" w:cs="Arial"/>
          <w:sz w:val="22"/>
          <w:szCs w:val="22"/>
        </w:rPr>
        <w:t xml:space="preserve">was newly created in the 2022 </w:t>
      </w:r>
      <w:proofErr w:type="spellStart"/>
      <w:r w:rsidRPr="7849A67F">
        <w:rPr>
          <w:rFonts w:eastAsia="Arial" w:cs="Arial"/>
          <w:sz w:val="22"/>
          <w:szCs w:val="22"/>
        </w:rPr>
        <w:t>logframe</w:t>
      </w:r>
      <w:proofErr w:type="spellEnd"/>
      <w:r w:rsidRPr="7849A67F">
        <w:rPr>
          <w:rFonts w:eastAsia="Arial" w:cs="Arial"/>
          <w:sz w:val="22"/>
          <w:szCs w:val="22"/>
        </w:rPr>
        <w:t xml:space="preserve"> revision</w:t>
      </w:r>
      <w:r w:rsidR="75344CBB" w:rsidRPr="7849A67F">
        <w:rPr>
          <w:rFonts w:eastAsia="Arial" w:cs="Arial"/>
          <w:sz w:val="22"/>
          <w:szCs w:val="22"/>
        </w:rPr>
        <w:t xml:space="preserve"> so is in its second year of reporting</w:t>
      </w:r>
      <w:r w:rsidRPr="7849A67F">
        <w:rPr>
          <w:rFonts w:eastAsia="Arial" w:cs="Arial"/>
          <w:sz w:val="22"/>
          <w:szCs w:val="22"/>
        </w:rPr>
        <w:t xml:space="preserve">. </w:t>
      </w:r>
      <w:r w:rsidR="017C5206" w:rsidRPr="7849A67F">
        <w:rPr>
          <w:rFonts w:eastAsia="Arial" w:cs="Arial"/>
          <w:sz w:val="22"/>
          <w:szCs w:val="22"/>
        </w:rPr>
        <w:t xml:space="preserve">It should be monitored closely for necessary revisions. </w:t>
      </w:r>
      <w:r w:rsidR="2F90D004" w:rsidRPr="7849A67F">
        <w:rPr>
          <w:rFonts w:eastAsia="Arial" w:cs="Arial"/>
          <w:sz w:val="22"/>
          <w:szCs w:val="22"/>
        </w:rPr>
        <w:t>It should also be noted that no results were recorded from July – December 2023 which explains the lower score. This is due to changes made in the TSU’s comms team, now</w:t>
      </w:r>
      <w:r w:rsidR="3330BAF4" w:rsidRPr="7849A67F">
        <w:rPr>
          <w:rFonts w:eastAsia="Arial" w:cs="Arial"/>
          <w:sz w:val="22"/>
          <w:szCs w:val="22"/>
        </w:rPr>
        <w:t xml:space="preserve"> fully in place for 2024. There may also be some impact from the overall reduced use of Twitter since its rebranding as X, als</w:t>
      </w:r>
      <w:r w:rsidR="2DA71C0B" w:rsidRPr="7849A67F">
        <w:rPr>
          <w:rFonts w:eastAsia="Arial" w:cs="Arial"/>
          <w:sz w:val="22"/>
          <w:szCs w:val="22"/>
        </w:rPr>
        <w:t xml:space="preserve">o in 2023. </w:t>
      </w:r>
    </w:p>
    <w:p w14:paraId="4F210124" w14:textId="6BA82CAC" w:rsidR="003160CB" w:rsidRPr="0070047F" w:rsidRDefault="0051417B" w:rsidP="07AF1209">
      <w:pPr>
        <w:pStyle w:val="ListParagraph"/>
        <w:numPr>
          <w:ilvl w:val="0"/>
          <w:numId w:val="6"/>
        </w:numPr>
        <w:jc w:val="both"/>
        <w:rPr>
          <w:rFonts w:eastAsia="Arial" w:cs="Arial"/>
          <w:sz w:val="22"/>
          <w:szCs w:val="22"/>
        </w:rPr>
      </w:pPr>
      <w:r w:rsidRPr="7849A67F">
        <w:rPr>
          <w:rFonts w:eastAsia="Arial" w:cs="Arial"/>
          <w:sz w:val="22"/>
          <w:szCs w:val="22"/>
        </w:rPr>
        <w:t>3.2.b</w:t>
      </w:r>
      <w:r w:rsidR="00791353" w:rsidRPr="7849A67F">
        <w:rPr>
          <w:rFonts w:eastAsia="Arial" w:cs="Arial"/>
          <w:sz w:val="22"/>
          <w:szCs w:val="22"/>
        </w:rPr>
        <w:t xml:space="preserve">: </w:t>
      </w:r>
      <w:r w:rsidR="0F4A97F2" w:rsidRPr="7849A67F">
        <w:rPr>
          <w:rFonts w:eastAsia="Arial" w:cs="Arial"/>
          <w:sz w:val="22"/>
          <w:szCs w:val="22"/>
        </w:rPr>
        <w:t>S</w:t>
      </w:r>
      <w:r w:rsidR="787F2F14" w:rsidRPr="7849A67F">
        <w:rPr>
          <w:rFonts w:eastAsia="Arial" w:cs="Arial"/>
          <w:sz w:val="22"/>
          <w:szCs w:val="22"/>
        </w:rPr>
        <w:t>trong</w:t>
      </w:r>
      <w:r w:rsidR="1A0781A2" w:rsidRPr="7849A67F">
        <w:rPr>
          <w:rFonts w:eastAsia="Arial" w:cs="Arial"/>
          <w:sz w:val="22"/>
          <w:szCs w:val="22"/>
        </w:rPr>
        <w:t>, improved</w:t>
      </w:r>
      <w:r w:rsidR="787F2F14" w:rsidRPr="7849A67F">
        <w:rPr>
          <w:rFonts w:eastAsia="Arial" w:cs="Arial"/>
          <w:sz w:val="22"/>
          <w:szCs w:val="22"/>
        </w:rPr>
        <w:t xml:space="preserve"> results across the board </w:t>
      </w:r>
      <w:r w:rsidR="781DA0B8" w:rsidRPr="7849A67F">
        <w:rPr>
          <w:rFonts w:eastAsia="Arial" w:cs="Arial"/>
          <w:sz w:val="22"/>
          <w:szCs w:val="22"/>
        </w:rPr>
        <w:t xml:space="preserve">suggest the </w:t>
      </w:r>
      <w:r w:rsidR="603D04D3" w:rsidRPr="7849A67F">
        <w:rPr>
          <w:rFonts w:eastAsia="Arial" w:cs="Arial"/>
          <w:sz w:val="22"/>
          <w:szCs w:val="22"/>
        </w:rPr>
        <w:t>targets are</w:t>
      </w:r>
      <w:r w:rsidR="7480A183" w:rsidRPr="7849A67F">
        <w:rPr>
          <w:rFonts w:eastAsia="Arial" w:cs="Arial"/>
          <w:sz w:val="22"/>
          <w:szCs w:val="22"/>
        </w:rPr>
        <w:t xml:space="preserve"> </w:t>
      </w:r>
      <w:proofErr w:type="gramStart"/>
      <w:r w:rsidR="7480A183" w:rsidRPr="7849A67F">
        <w:rPr>
          <w:rFonts w:eastAsia="Arial" w:cs="Arial"/>
          <w:sz w:val="22"/>
          <w:szCs w:val="22"/>
        </w:rPr>
        <w:t>in a position</w:t>
      </w:r>
      <w:proofErr w:type="gramEnd"/>
      <w:r w:rsidR="7480A183" w:rsidRPr="7849A67F">
        <w:rPr>
          <w:rFonts w:eastAsia="Arial" w:cs="Arial"/>
          <w:sz w:val="22"/>
          <w:szCs w:val="22"/>
        </w:rPr>
        <w:t xml:space="preserve"> to be raised</w:t>
      </w:r>
      <w:r w:rsidR="428C7BCD" w:rsidRPr="7849A67F">
        <w:rPr>
          <w:rFonts w:eastAsia="Arial" w:cs="Arial"/>
          <w:sz w:val="22"/>
          <w:szCs w:val="22"/>
        </w:rPr>
        <w:t xml:space="preserve">, particularly the target for the attendance at webinars which notably overachieved in 2023. </w:t>
      </w:r>
    </w:p>
    <w:p w14:paraId="028F9F50" w14:textId="72BAD25A" w:rsidR="003160CB" w:rsidRPr="0070047F" w:rsidRDefault="5B0C703A" w:rsidP="07AF1209">
      <w:pPr>
        <w:pStyle w:val="ListParagraph"/>
        <w:numPr>
          <w:ilvl w:val="0"/>
          <w:numId w:val="6"/>
        </w:numPr>
        <w:jc w:val="both"/>
        <w:rPr>
          <w:rFonts w:eastAsia="Arial" w:cs="Arial"/>
          <w:sz w:val="22"/>
          <w:szCs w:val="22"/>
        </w:rPr>
      </w:pPr>
      <w:r w:rsidRPr="7849A67F">
        <w:rPr>
          <w:rFonts w:eastAsia="Arial" w:cs="Arial"/>
          <w:sz w:val="22"/>
          <w:szCs w:val="22"/>
        </w:rPr>
        <w:t>In relation to this set of output indicators, in 202</w:t>
      </w:r>
      <w:r w:rsidR="631DB659" w:rsidRPr="7849A67F">
        <w:rPr>
          <w:rFonts w:eastAsia="Arial" w:cs="Arial"/>
          <w:sz w:val="22"/>
          <w:szCs w:val="22"/>
        </w:rPr>
        <w:t>3</w:t>
      </w:r>
      <w:r w:rsidRPr="7849A67F">
        <w:rPr>
          <w:rFonts w:eastAsia="Arial" w:cs="Arial"/>
          <w:sz w:val="22"/>
          <w:szCs w:val="22"/>
        </w:rPr>
        <w:t xml:space="preserve">, MAF hosted </w:t>
      </w:r>
      <w:r w:rsidR="64255D55" w:rsidRPr="7849A67F">
        <w:rPr>
          <w:rFonts w:eastAsia="Arial" w:cs="Arial"/>
          <w:sz w:val="22"/>
          <w:szCs w:val="22"/>
        </w:rPr>
        <w:t>a 2</w:t>
      </w:r>
      <w:r w:rsidR="64255D55" w:rsidRPr="7849A67F">
        <w:rPr>
          <w:rFonts w:eastAsia="Arial" w:cs="Arial"/>
          <w:sz w:val="22"/>
          <w:szCs w:val="22"/>
          <w:vertAlign w:val="superscript"/>
        </w:rPr>
        <w:t>nd</w:t>
      </w:r>
      <w:r w:rsidR="64255D55" w:rsidRPr="7849A67F">
        <w:rPr>
          <w:rFonts w:eastAsia="Arial" w:cs="Arial"/>
          <w:sz w:val="22"/>
          <w:szCs w:val="22"/>
        </w:rPr>
        <w:t xml:space="preserve"> Evaluation and Learning event</w:t>
      </w:r>
      <w:r w:rsidR="6791F348" w:rsidRPr="7849A67F">
        <w:rPr>
          <w:rFonts w:eastAsia="Arial" w:cs="Arial"/>
          <w:sz w:val="22"/>
          <w:szCs w:val="22"/>
        </w:rPr>
        <w:t xml:space="preserve"> in February</w:t>
      </w:r>
      <w:r w:rsidR="64255D55" w:rsidRPr="7849A67F">
        <w:rPr>
          <w:rFonts w:eastAsia="Arial" w:cs="Arial"/>
          <w:sz w:val="22"/>
          <w:szCs w:val="22"/>
        </w:rPr>
        <w:t>, as well as a Call for Projects 2023 launch event at the NDC Conference in June</w:t>
      </w:r>
      <w:r w:rsidR="01124F8E" w:rsidRPr="7849A67F">
        <w:rPr>
          <w:rFonts w:eastAsia="Arial" w:cs="Arial"/>
          <w:sz w:val="22"/>
          <w:szCs w:val="22"/>
        </w:rPr>
        <w:t xml:space="preserve">, attracting 41 and 200 attendees respectively and raising the profile of the Facility. </w:t>
      </w:r>
    </w:p>
    <w:p w14:paraId="4D842706" w14:textId="7DAE9551" w:rsidR="006462E5" w:rsidRPr="00D32FFB" w:rsidRDefault="7E3607E2" w:rsidP="07AF1209">
      <w:pPr>
        <w:jc w:val="both"/>
        <w:rPr>
          <w:rFonts w:eastAsia="Arial" w:cs="Arial"/>
          <w:sz w:val="22"/>
          <w:szCs w:val="22"/>
        </w:rPr>
      </w:pPr>
      <w:r w:rsidRPr="5D6E3982">
        <w:rPr>
          <w:rFonts w:eastAsia="Arial" w:cs="Arial"/>
          <w:sz w:val="22"/>
          <w:szCs w:val="22"/>
        </w:rPr>
        <w:t>Recommendations</w:t>
      </w:r>
    </w:p>
    <w:p w14:paraId="2F2D0679" w14:textId="1A9DAF8E" w:rsidR="66FE01ED" w:rsidRPr="00D32FFB" w:rsidRDefault="6017A1F4" w:rsidP="07AF1209">
      <w:pPr>
        <w:pStyle w:val="ListParagraph"/>
        <w:numPr>
          <w:ilvl w:val="0"/>
          <w:numId w:val="17"/>
        </w:numPr>
        <w:jc w:val="both"/>
        <w:rPr>
          <w:rFonts w:eastAsia="Arial" w:cs="Arial"/>
          <w:sz w:val="22"/>
          <w:szCs w:val="22"/>
        </w:rPr>
      </w:pPr>
      <w:r w:rsidRPr="7849A67F">
        <w:rPr>
          <w:rFonts w:eastAsia="Arial" w:cs="Arial"/>
          <w:sz w:val="22"/>
          <w:szCs w:val="22"/>
        </w:rPr>
        <w:t>Increase the milestone targets for</w:t>
      </w:r>
      <w:r w:rsidR="33C03FED" w:rsidRPr="7849A67F">
        <w:rPr>
          <w:rFonts w:eastAsia="Arial" w:cs="Arial"/>
          <w:sz w:val="22"/>
          <w:szCs w:val="22"/>
        </w:rPr>
        <w:t xml:space="preserve"> output three collectively to reflect the growing number and maturity of projects as the Facility moves into 202</w:t>
      </w:r>
      <w:r w:rsidR="7ACC2F5B" w:rsidRPr="7849A67F">
        <w:rPr>
          <w:rFonts w:eastAsia="Arial" w:cs="Arial"/>
          <w:sz w:val="22"/>
          <w:szCs w:val="22"/>
        </w:rPr>
        <w:t>4</w:t>
      </w:r>
      <w:r w:rsidR="33C03FED" w:rsidRPr="7849A67F">
        <w:rPr>
          <w:rFonts w:eastAsia="Arial" w:cs="Arial"/>
          <w:sz w:val="22"/>
          <w:szCs w:val="22"/>
        </w:rPr>
        <w:t xml:space="preserve"> and beyond. Specifically,</w:t>
      </w:r>
      <w:r w:rsidRPr="7849A67F">
        <w:rPr>
          <w:rFonts w:eastAsia="Arial" w:cs="Arial"/>
          <w:sz w:val="22"/>
          <w:szCs w:val="22"/>
        </w:rPr>
        <w:t xml:space="preserve"> </w:t>
      </w:r>
      <w:r w:rsidR="55BB033E" w:rsidRPr="7849A67F">
        <w:rPr>
          <w:rFonts w:eastAsia="Arial" w:cs="Arial"/>
          <w:sz w:val="22"/>
          <w:szCs w:val="22"/>
        </w:rPr>
        <w:t xml:space="preserve">the ambition of </w:t>
      </w:r>
      <w:r w:rsidR="035384F7" w:rsidRPr="7849A67F">
        <w:rPr>
          <w:rFonts w:eastAsia="Arial" w:cs="Arial"/>
          <w:sz w:val="22"/>
          <w:szCs w:val="22"/>
        </w:rPr>
        <w:t xml:space="preserve">indicator </w:t>
      </w:r>
      <w:r w:rsidRPr="7849A67F">
        <w:rPr>
          <w:rFonts w:eastAsia="Arial" w:cs="Arial"/>
          <w:sz w:val="22"/>
          <w:szCs w:val="22"/>
        </w:rPr>
        <w:t>3.1</w:t>
      </w:r>
      <w:r w:rsidR="3200471C" w:rsidRPr="7849A67F">
        <w:rPr>
          <w:rFonts w:eastAsia="Arial" w:cs="Arial"/>
          <w:sz w:val="22"/>
          <w:szCs w:val="22"/>
        </w:rPr>
        <w:t>.a</w:t>
      </w:r>
      <w:r w:rsidRPr="7849A67F">
        <w:rPr>
          <w:rFonts w:eastAsia="Arial" w:cs="Arial"/>
          <w:sz w:val="22"/>
          <w:szCs w:val="22"/>
        </w:rPr>
        <w:t xml:space="preserve"> </w:t>
      </w:r>
      <w:r w:rsidR="391E6DD9" w:rsidRPr="7849A67F">
        <w:rPr>
          <w:rFonts w:eastAsia="Arial" w:cs="Arial"/>
          <w:sz w:val="22"/>
          <w:szCs w:val="22"/>
        </w:rPr>
        <w:t>c</w:t>
      </w:r>
      <w:r w:rsidR="0A13D7DA" w:rsidRPr="7849A67F">
        <w:rPr>
          <w:rFonts w:eastAsia="Arial" w:cs="Arial"/>
          <w:sz w:val="22"/>
          <w:szCs w:val="22"/>
        </w:rPr>
        <w:t>ould be</w:t>
      </w:r>
      <w:r w:rsidRPr="7849A67F">
        <w:rPr>
          <w:rFonts w:eastAsia="Arial" w:cs="Arial"/>
          <w:sz w:val="22"/>
          <w:szCs w:val="22"/>
        </w:rPr>
        <w:t xml:space="preserve"> raise</w:t>
      </w:r>
      <w:r w:rsidR="6442D2D8" w:rsidRPr="7849A67F">
        <w:rPr>
          <w:rFonts w:eastAsia="Arial" w:cs="Arial"/>
          <w:sz w:val="22"/>
          <w:szCs w:val="22"/>
        </w:rPr>
        <w:t xml:space="preserve">d </w:t>
      </w:r>
      <w:r w:rsidRPr="7849A67F">
        <w:rPr>
          <w:rFonts w:eastAsia="Arial" w:cs="Arial"/>
          <w:sz w:val="22"/>
          <w:szCs w:val="22"/>
        </w:rPr>
        <w:t>following overachievement in 202</w:t>
      </w:r>
      <w:r w:rsidR="29070AC5" w:rsidRPr="7849A67F">
        <w:rPr>
          <w:rFonts w:eastAsia="Arial" w:cs="Arial"/>
          <w:sz w:val="22"/>
          <w:szCs w:val="22"/>
        </w:rPr>
        <w:t>3</w:t>
      </w:r>
      <w:r w:rsidR="560F1722" w:rsidRPr="7849A67F">
        <w:rPr>
          <w:rFonts w:eastAsia="Arial" w:cs="Arial"/>
          <w:sz w:val="22"/>
          <w:szCs w:val="22"/>
        </w:rPr>
        <w:t xml:space="preserve"> and projects’ own knowledge products could be added to the target</w:t>
      </w:r>
      <w:r w:rsidR="7A08061A" w:rsidRPr="7849A67F">
        <w:rPr>
          <w:rFonts w:eastAsia="Arial" w:cs="Arial"/>
          <w:sz w:val="22"/>
          <w:szCs w:val="22"/>
        </w:rPr>
        <w:t>.</w:t>
      </w:r>
    </w:p>
    <w:p w14:paraId="2C6D87B7" w14:textId="77777777" w:rsidR="00255195" w:rsidRDefault="00255195">
      <w:pPr>
        <w:spacing w:after="160" w:line="259" w:lineRule="auto"/>
        <w:rPr>
          <w:rFonts w:eastAsia="Arial" w:cs="Arial"/>
          <w:b/>
          <w:i/>
          <w:kern w:val="28"/>
          <w:sz w:val="28"/>
          <w:szCs w:val="28"/>
        </w:rPr>
      </w:pPr>
      <w:r>
        <w:rPr>
          <w:rFonts w:eastAsia="Arial" w:cs="Arial"/>
        </w:rPr>
        <w:br w:type="page"/>
      </w:r>
    </w:p>
    <w:p w14:paraId="0C6B3E2F" w14:textId="770F9900" w:rsidR="006462E5" w:rsidRDefault="006462E5" w:rsidP="07AF1209">
      <w:pPr>
        <w:pStyle w:val="Heading2"/>
        <w:jc w:val="both"/>
        <w:rPr>
          <w:rFonts w:eastAsia="Arial" w:cs="Arial"/>
        </w:rPr>
      </w:pPr>
      <w:bookmarkStart w:id="27" w:name="_Toc172791903"/>
      <w:bookmarkStart w:id="28" w:name="_Toc547330873"/>
      <w:r w:rsidRPr="75FA93ED">
        <w:rPr>
          <w:rFonts w:eastAsia="Arial" w:cs="Arial"/>
        </w:rPr>
        <w:lastRenderedPageBreak/>
        <w:t xml:space="preserve">Output 4: </w:t>
      </w:r>
      <w:r w:rsidR="3B721A07" w:rsidRPr="75FA93ED">
        <w:rPr>
          <w:rFonts w:eastAsia="Arial" w:cs="Arial"/>
        </w:rPr>
        <w:t>National and local stakeholders have enhanced their capacities and policy environment to implement transformational mitigation action</w:t>
      </w:r>
      <w:bookmarkEnd w:id="27"/>
      <w:bookmarkEnd w:id="28"/>
      <w:r w:rsidR="3B721A07" w:rsidRPr="75FA93ED">
        <w:rPr>
          <w:rFonts w:eastAsia="Arial" w:cs="Arial"/>
        </w:rPr>
        <w:t xml:space="preserve">  </w:t>
      </w:r>
    </w:p>
    <w:p w14:paraId="093D5902" w14:textId="77777777" w:rsidR="006462E5" w:rsidRPr="00ED5FD4" w:rsidRDefault="006462E5" w:rsidP="001B4FD0">
      <w:pPr>
        <w:rPr>
          <w:rFonts w:eastAsia="Arial" w:cs="Arial"/>
        </w:rPr>
      </w:pPr>
    </w:p>
    <w:tbl>
      <w:tblPr>
        <w:tblStyle w:val="TableGrid"/>
        <w:tblW w:w="9072" w:type="dxa"/>
        <w:tblLook w:val="04A0" w:firstRow="1" w:lastRow="0" w:firstColumn="1" w:lastColumn="0" w:noHBand="0" w:noVBand="1"/>
      </w:tblPr>
      <w:tblGrid>
        <w:gridCol w:w="1548"/>
        <w:gridCol w:w="592"/>
        <w:gridCol w:w="1146"/>
        <w:gridCol w:w="2905"/>
        <w:gridCol w:w="2881"/>
      </w:tblGrid>
      <w:tr w:rsidR="006462E5" w:rsidRPr="00D80C6C" w14:paraId="028641B7" w14:textId="77777777" w:rsidTr="5964CDA8">
        <w:trPr>
          <w:trHeight w:val="489"/>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8C6397" w14:textId="77777777" w:rsidR="006462E5" w:rsidRPr="00D80C6C" w:rsidRDefault="006462E5" w:rsidP="001B4FD0">
            <w:pPr>
              <w:rPr>
                <w:rFonts w:eastAsia="Arial" w:cs="Arial"/>
                <w:b/>
                <w:sz w:val="22"/>
                <w:szCs w:val="22"/>
              </w:rPr>
            </w:pPr>
            <w:r w:rsidRPr="2129D453">
              <w:rPr>
                <w:rFonts w:eastAsia="Arial" w:cs="Arial"/>
                <w:b/>
                <w:sz w:val="22"/>
                <w:szCs w:val="22"/>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D564BB" w14:textId="01A0DE4A" w:rsidR="006462E5" w:rsidRPr="00ED5FD4" w:rsidRDefault="61E4589C" w:rsidP="001B4FD0">
            <w:pPr>
              <w:rPr>
                <w:rFonts w:eastAsia="Arial" w:cs="Arial"/>
                <w:sz w:val="22"/>
                <w:szCs w:val="22"/>
              </w:rPr>
            </w:pPr>
            <w:r w:rsidRPr="2129D453">
              <w:rPr>
                <w:rFonts w:eastAsia="Arial" w:cs="Arial"/>
                <w:sz w:val="22"/>
                <w:szCs w:val="22"/>
              </w:rPr>
              <w:t>National and local stakeholders have enhanced their capacities and policy environment to implement transformational mitigation action</w:t>
            </w:r>
          </w:p>
        </w:tc>
      </w:tr>
      <w:tr w:rsidR="006462E5" w:rsidRPr="00D80C6C" w14:paraId="10F0FB59" w14:textId="77777777" w:rsidTr="5964CDA8">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393AC8B" w14:textId="77777777" w:rsidR="006462E5" w:rsidRPr="00D80C6C" w:rsidRDefault="006462E5" w:rsidP="001B4FD0">
            <w:pPr>
              <w:rPr>
                <w:rFonts w:eastAsia="Arial" w:cs="Arial"/>
                <w:sz w:val="22"/>
                <w:szCs w:val="22"/>
              </w:rPr>
            </w:pPr>
            <w:r w:rsidRPr="2129D453">
              <w:rPr>
                <w:rFonts w:eastAsia="Arial" w:cs="Arial"/>
                <w:sz w:val="22"/>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034F5101" w14:textId="29BD45A3" w:rsidR="006462E5" w:rsidRPr="00D80C6C" w:rsidRDefault="006462E5" w:rsidP="001B4FD0">
            <w:pPr>
              <w:rPr>
                <w:rFonts w:eastAsia="Arial" w:cs="Arial"/>
                <w:sz w:val="22"/>
                <w:szCs w:val="22"/>
              </w:rPr>
            </w:pPr>
            <w:r w:rsidRPr="2129D453">
              <w:rPr>
                <w:rFonts w:eastAsia="Arial" w:cs="Arial"/>
                <w:sz w:val="22"/>
                <w:szCs w:val="22"/>
              </w:rPr>
              <w:t>4</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E34B30" w14:textId="77777777" w:rsidR="006462E5" w:rsidRPr="00D80C6C" w:rsidRDefault="006462E5" w:rsidP="001B4FD0">
            <w:pPr>
              <w:rPr>
                <w:rFonts w:eastAsia="Arial" w:cs="Arial"/>
                <w:sz w:val="22"/>
                <w:szCs w:val="22"/>
              </w:rPr>
            </w:pPr>
            <w:r w:rsidRPr="2129D453">
              <w:rPr>
                <w:rFonts w:eastAsia="Arial" w:cs="Arial"/>
                <w:sz w:val="22"/>
                <w:szCs w:val="22"/>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6EC83047" w14:textId="596ADDC5" w:rsidR="006462E5" w:rsidRPr="00D80C6C" w:rsidRDefault="1CC3D08A" w:rsidP="5964CDA8">
            <w:pPr>
              <w:rPr>
                <w:rFonts w:eastAsia="Arial" w:cs="Arial"/>
                <w:b/>
                <w:bCs/>
                <w:i/>
                <w:iCs/>
                <w:color w:val="FF0000"/>
                <w:sz w:val="22"/>
                <w:szCs w:val="22"/>
              </w:rPr>
            </w:pPr>
            <w:r w:rsidRPr="5964CDA8">
              <w:rPr>
                <w:rFonts w:eastAsia="Arial" w:cs="Arial"/>
                <w:b/>
                <w:bCs/>
                <w:i/>
                <w:iCs/>
                <w:sz w:val="22"/>
                <w:szCs w:val="22"/>
              </w:rPr>
              <w:t>A+</w:t>
            </w:r>
            <w:r w:rsidR="5287FB5C" w:rsidRPr="5964CDA8">
              <w:rPr>
                <w:rFonts w:eastAsia="Arial" w:cs="Arial"/>
                <w:b/>
                <w:bCs/>
                <w:i/>
                <w:iCs/>
                <w:sz w:val="22"/>
                <w:szCs w:val="22"/>
              </w:rPr>
              <w:t>+</w:t>
            </w:r>
          </w:p>
        </w:tc>
      </w:tr>
      <w:tr w:rsidR="006462E5" w:rsidRPr="00D80C6C" w14:paraId="6F626E98" w14:textId="77777777" w:rsidTr="5964CDA8">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E73A03" w14:textId="77777777" w:rsidR="006462E5" w:rsidRPr="00D80C6C" w:rsidRDefault="006462E5" w:rsidP="001B4FD0">
            <w:pPr>
              <w:rPr>
                <w:rFonts w:eastAsia="Arial" w:cs="Arial"/>
                <w:sz w:val="22"/>
                <w:szCs w:val="22"/>
              </w:rPr>
            </w:pPr>
            <w:r w:rsidRPr="2129D453">
              <w:rPr>
                <w:rFonts w:eastAsia="Arial" w:cs="Arial"/>
                <w:sz w:val="22"/>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4CA92CCD" w14:textId="39BC9A14" w:rsidR="006462E5" w:rsidRPr="00D80C6C" w:rsidRDefault="4EE6A97F" w:rsidP="001B4FD0">
            <w:pPr>
              <w:rPr>
                <w:rFonts w:eastAsia="Arial" w:cs="Arial"/>
                <w:sz w:val="22"/>
                <w:szCs w:val="22"/>
              </w:rPr>
            </w:pPr>
            <w:r w:rsidRPr="2129D453">
              <w:rPr>
                <w:rFonts w:eastAsia="Arial" w:cs="Arial"/>
                <w:sz w:val="22"/>
                <w:szCs w:val="22"/>
              </w:rPr>
              <w:t>15%</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2898A8" w14:textId="77777777" w:rsidR="006462E5" w:rsidRPr="00D80C6C" w:rsidRDefault="006462E5" w:rsidP="001B4FD0">
            <w:pPr>
              <w:rPr>
                <w:rFonts w:eastAsia="Arial" w:cs="Arial"/>
                <w:sz w:val="22"/>
                <w:szCs w:val="22"/>
              </w:rPr>
            </w:pPr>
            <w:r w:rsidRPr="2129D453">
              <w:rPr>
                <w:rFonts w:eastAsia="Arial" w:cs="Arial"/>
                <w:sz w:val="22"/>
                <w:szCs w:val="22"/>
              </w:rPr>
              <w:t xml:space="preserve">Weighting revised since last </w:t>
            </w:r>
            <w:proofErr w:type="gramStart"/>
            <w:r w:rsidRPr="2129D453">
              <w:rPr>
                <w:rFonts w:eastAsia="Arial" w:cs="Arial"/>
                <w:sz w:val="22"/>
                <w:szCs w:val="22"/>
              </w:rPr>
              <w:t>AR?</w:t>
            </w:r>
            <w:proofErr w:type="gramEnd"/>
            <w:r w:rsidRPr="2129D453">
              <w:rPr>
                <w:rFonts w:eastAsia="Arial" w:cs="Arial"/>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5D7512E3" w14:textId="427FB843" w:rsidR="006462E5" w:rsidRPr="00D80C6C" w:rsidRDefault="19755482" w:rsidP="001B4FD0">
            <w:pPr>
              <w:rPr>
                <w:rFonts w:eastAsia="Arial" w:cs="Arial"/>
                <w:sz w:val="22"/>
                <w:szCs w:val="22"/>
              </w:rPr>
            </w:pPr>
            <w:r w:rsidRPr="07AF1209">
              <w:rPr>
                <w:rFonts w:eastAsia="Arial" w:cs="Arial"/>
                <w:sz w:val="22"/>
                <w:szCs w:val="22"/>
              </w:rPr>
              <w:t>No</w:t>
            </w:r>
          </w:p>
        </w:tc>
      </w:tr>
      <w:tr w:rsidR="006462E5" w:rsidRPr="00D80C6C" w14:paraId="3B402181" w14:textId="77777777" w:rsidTr="5964CDA8">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39BF25" w14:textId="77777777" w:rsidR="006462E5" w:rsidRPr="00D80C6C" w:rsidRDefault="006462E5" w:rsidP="001B4FD0">
            <w:pPr>
              <w:rPr>
                <w:rFonts w:eastAsia="Arial" w:cs="Arial"/>
                <w:sz w:val="22"/>
                <w:szCs w:val="22"/>
              </w:rPr>
            </w:pPr>
            <w:r w:rsidRPr="2129D453">
              <w:rPr>
                <w:rFonts w:eastAsia="Arial" w:cs="Arial"/>
                <w:sz w:val="22"/>
                <w:szCs w:val="22"/>
              </w:rPr>
              <w:t>Risk rating</w:t>
            </w:r>
          </w:p>
        </w:tc>
        <w:tc>
          <w:tcPr>
            <w:tcW w:w="937" w:type="dxa"/>
            <w:tcBorders>
              <w:top w:val="single" w:sz="4" w:space="0" w:color="auto"/>
              <w:left w:val="single" w:sz="4" w:space="0" w:color="auto"/>
              <w:bottom w:val="single" w:sz="4" w:space="0" w:color="auto"/>
              <w:right w:val="single" w:sz="4" w:space="0" w:color="auto"/>
            </w:tcBorders>
          </w:tcPr>
          <w:p w14:paraId="7866C714" w14:textId="2D0CD4D1" w:rsidR="006462E5" w:rsidRPr="00D80C6C" w:rsidRDefault="6D0BC890" w:rsidP="001B4FD0">
            <w:pPr>
              <w:rPr>
                <w:rFonts w:eastAsia="Arial" w:cs="Arial"/>
                <w:sz w:val="22"/>
                <w:szCs w:val="22"/>
              </w:rPr>
            </w:pPr>
            <w:r w:rsidRPr="07AF1209">
              <w:rPr>
                <w:rFonts w:eastAsia="Arial" w:cs="Arial"/>
                <w:sz w:val="22"/>
                <w:szCs w:val="22"/>
              </w:rPr>
              <w:t>Moderate</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F045E6" w14:textId="77777777" w:rsidR="006462E5" w:rsidRPr="00D80C6C" w:rsidRDefault="006462E5" w:rsidP="001B4FD0">
            <w:pPr>
              <w:rPr>
                <w:rFonts w:eastAsia="Arial" w:cs="Arial"/>
                <w:sz w:val="22"/>
                <w:szCs w:val="22"/>
              </w:rPr>
            </w:pPr>
            <w:r w:rsidRPr="2129D453">
              <w:rPr>
                <w:rFonts w:eastAsia="Arial" w:cs="Arial"/>
                <w:sz w:val="22"/>
                <w:szCs w:val="22"/>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31B6574E" w14:textId="784994B7" w:rsidR="006462E5" w:rsidRPr="00D80C6C" w:rsidRDefault="05BA90D3" w:rsidP="001B4FD0">
            <w:pPr>
              <w:rPr>
                <w:rFonts w:eastAsia="Arial" w:cs="Arial"/>
                <w:sz w:val="22"/>
                <w:szCs w:val="22"/>
              </w:rPr>
            </w:pPr>
            <w:r w:rsidRPr="07AF1209">
              <w:rPr>
                <w:rFonts w:eastAsia="Arial" w:cs="Arial"/>
                <w:sz w:val="22"/>
                <w:szCs w:val="22"/>
              </w:rPr>
              <w:t>No</w:t>
            </w:r>
          </w:p>
        </w:tc>
      </w:tr>
    </w:tbl>
    <w:p w14:paraId="2652275C" w14:textId="77777777" w:rsidR="006462E5" w:rsidRPr="00D80C6C" w:rsidRDefault="006462E5" w:rsidP="001B4FD0">
      <w:pPr>
        <w:rPr>
          <w:rFonts w:eastAsia="Arial" w:cs="Arial"/>
          <w:b/>
          <w:sz w:val="22"/>
          <w:szCs w:val="22"/>
        </w:rPr>
      </w:pPr>
    </w:p>
    <w:tbl>
      <w:tblPr>
        <w:tblStyle w:val="TableGrid"/>
        <w:tblpPr w:leftFromText="180" w:rightFromText="180" w:vertAnchor="text" w:horzAnchor="page" w:tblpX="1462" w:tblpY="-10"/>
        <w:tblOverlap w:val="never"/>
        <w:tblW w:w="9067" w:type="dxa"/>
        <w:tblLook w:val="04A0" w:firstRow="1" w:lastRow="0" w:firstColumn="1" w:lastColumn="0" w:noHBand="0" w:noVBand="1"/>
      </w:tblPr>
      <w:tblGrid>
        <w:gridCol w:w="2689"/>
        <w:gridCol w:w="2126"/>
        <w:gridCol w:w="4252"/>
      </w:tblGrid>
      <w:tr w:rsidR="006462E5" w:rsidRPr="00D80C6C" w14:paraId="290E9D40" w14:textId="77777777" w:rsidTr="0A0530F7">
        <w:trPr>
          <w:trHeight w:val="273"/>
        </w:trPr>
        <w:tc>
          <w:tcPr>
            <w:tcW w:w="268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8BCB190" w14:textId="77777777" w:rsidR="006462E5" w:rsidRPr="00D80C6C" w:rsidRDefault="006462E5" w:rsidP="001B4FD0">
            <w:pPr>
              <w:rPr>
                <w:rFonts w:eastAsia="Arial" w:cs="Arial"/>
                <w:b/>
                <w:sz w:val="22"/>
                <w:szCs w:val="22"/>
              </w:rPr>
            </w:pPr>
            <w:r w:rsidRPr="2129D453">
              <w:rPr>
                <w:rFonts w:eastAsia="Arial" w:cs="Arial"/>
                <w:b/>
                <w:sz w:val="22"/>
                <w:szCs w:val="22"/>
              </w:rPr>
              <w:t>Indicator(s)</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9F4C38B" w14:textId="77777777" w:rsidR="006462E5" w:rsidRPr="00D80C6C" w:rsidRDefault="006462E5" w:rsidP="001B4FD0">
            <w:pPr>
              <w:rPr>
                <w:rFonts w:eastAsia="Arial" w:cs="Arial"/>
                <w:b/>
                <w:sz w:val="22"/>
                <w:szCs w:val="22"/>
              </w:rPr>
            </w:pPr>
            <w:r w:rsidRPr="2129D453">
              <w:rPr>
                <w:rFonts w:eastAsia="Arial" w:cs="Arial"/>
                <w:b/>
                <w:sz w:val="22"/>
                <w:szCs w:val="22"/>
              </w:rPr>
              <w:t>Milestone(s) for this review</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FE8A5A" w14:textId="77777777" w:rsidR="006462E5" w:rsidRPr="00D80C6C" w:rsidRDefault="006462E5" w:rsidP="001B4FD0">
            <w:pPr>
              <w:rPr>
                <w:rFonts w:eastAsia="Arial" w:cs="Arial"/>
                <w:b/>
                <w:sz w:val="22"/>
                <w:szCs w:val="22"/>
              </w:rPr>
            </w:pPr>
            <w:r w:rsidRPr="2129D453">
              <w:rPr>
                <w:rFonts w:eastAsia="Arial" w:cs="Arial"/>
                <w:b/>
                <w:sz w:val="22"/>
                <w:szCs w:val="22"/>
              </w:rPr>
              <w:t xml:space="preserve">Progress </w:t>
            </w:r>
          </w:p>
        </w:tc>
      </w:tr>
      <w:tr w:rsidR="006462E5" w:rsidRPr="00D80C6C" w14:paraId="586C60A1" w14:textId="77777777" w:rsidTr="0A0530F7">
        <w:trPr>
          <w:trHeight w:val="300"/>
        </w:trPr>
        <w:tc>
          <w:tcPr>
            <w:tcW w:w="2689" w:type="dxa"/>
            <w:tcBorders>
              <w:top w:val="single" w:sz="4" w:space="0" w:color="auto"/>
              <w:left w:val="single" w:sz="4" w:space="0" w:color="auto"/>
              <w:bottom w:val="single" w:sz="4" w:space="0" w:color="auto"/>
              <w:right w:val="single" w:sz="4" w:space="0" w:color="auto"/>
            </w:tcBorders>
          </w:tcPr>
          <w:p w14:paraId="30B37226" w14:textId="7B6E65ED" w:rsidR="006462E5" w:rsidRPr="00816CF9" w:rsidRDefault="0F46EB21" w:rsidP="001B4FD0">
            <w:pPr>
              <w:rPr>
                <w:rFonts w:eastAsia="Arial" w:cs="Arial"/>
                <w:sz w:val="22"/>
                <w:szCs w:val="22"/>
              </w:rPr>
            </w:pPr>
            <w:r w:rsidRPr="7849A67F">
              <w:rPr>
                <w:rFonts w:eastAsia="Arial" w:cs="Arial"/>
                <w:sz w:val="22"/>
                <w:szCs w:val="22"/>
              </w:rPr>
              <w:t xml:space="preserve">4.1 Number of policies, regulations, standards adopted or amended due to </w:t>
            </w:r>
            <w:r w:rsidR="68A66A93" w:rsidRPr="7849A67F">
              <w:rPr>
                <w:rFonts w:eastAsia="Arial" w:cs="Arial"/>
                <w:sz w:val="22"/>
                <w:szCs w:val="22"/>
              </w:rPr>
              <w:t xml:space="preserve">project </w:t>
            </w:r>
            <w:r w:rsidRPr="7849A67F">
              <w:rPr>
                <w:rFonts w:eastAsia="Arial" w:cs="Arial"/>
                <w:sz w:val="22"/>
                <w:szCs w:val="22"/>
              </w:rPr>
              <w:t>support that promote</w:t>
            </w:r>
            <w:r w:rsidR="149A4234" w:rsidRPr="7849A67F">
              <w:rPr>
                <w:rFonts w:eastAsia="Arial" w:cs="Arial"/>
                <w:sz w:val="22"/>
                <w:szCs w:val="22"/>
              </w:rPr>
              <w:t>s</w:t>
            </w:r>
            <w:r w:rsidRPr="7849A67F">
              <w:rPr>
                <w:rFonts w:eastAsia="Arial" w:cs="Arial"/>
                <w:sz w:val="22"/>
                <w:szCs w:val="22"/>
              </w:rPr>
              <w:t xml:space="preserve"> carbon-neutral development</w:t>
            </w:r>
          </w:p>
        </w:tc>
        <w:tc>
          <w:tcPr>
            <w:tcW w:w="2126" w:type="dxa"/>
            <w:tcBorders>
              <w:top w:val="single" w:sz="4" w:space="0" w:color="auto"/>
              <w:left w:val="single" w:sz="4" w:space="0" w:color="auto"/>
              <w:bottom w:val="single" w:sz="4" w:space="0" w:color="auto"/>
              <w:right w:val="single" w:sz="4" w:space="0" w:color="auto"/>
            </w:tcBorders>
          </w:tcPr>
          <w:p w14:paraId="6F2EE3BC" w14:textId="1582C46C" w:rsidR="006462E5" w:rsidRPr="00816CF9" w:rsidRDefault="74EF153F" w:rsidP="001B4FD0">
            <w:pPr>
              <w:rPr>
                <w:rFonts w:eastAsia="Arial" w:cs="Arial"/>
                <w:sz w:val="22"/>
                <w:szCs w:val="22"/>
              </w:rPr>
            </w:pPr>
            <w:r w:rsidRPr="7849A67F">
              <w:rPr>
                <w:rFonts w:eastAsia="Arial" w:cs="Arial"/>
                <w:sz w:val="22"/>
                <w:szCs w:val="22"/>
              </w:rPr>
              <w:t>22</w:t>
            </w:r>
          </w:p>
        </w:tc>
        <w:tc>
          <w:tcPr>
            <w:tcW w:w="4252" w:type="dxa"/>
            <w:tcBorders>
              <w:top w:val="single" w:sz="4" w:space="0" w:color="auto"/>
              <w:left w:val="single" w:sz="4" w:space="0" w:color="auto"/>
              <w:bottom w:val="single" w:sz="4" w:space="0" w:color="auto"/>
              <w:right w:val="single" w:sz="4" w:space="0" w:color="auto"/>
            </w:tcBorders>
          </w:tcPr>
          <w:p w14:paraId="2C772D7B" w14:textId="3DBAF75A" w:rsidR="006462E5" w:rsidRPr="00816CF9" w:rsidRDefault="40572E5E" w:rsidP="001B4FD0">
            <w:pPr>
              <w:contextualSpacing/>
              <w:rPr>
                <w:rFonts w:eastAsia="Arial" w:cs="Arial"/>
                <w:sz w:val="22"/>
                <w:szCs w:val="22"/>
              </w:rPr>
            </w:pPr>
            <w:r w:rsidRPr="7849A67F">
              <w:rPr>
                <w:rFonts w:eastAsia="Arial" w:cs="Arial"/>
                <w:b/>
                <w:bCs/>
                <w:sz w:val="22"/>
                <w:szCs w:val="22"/>
                <w:u w:val="single"/>
              </w:rPr>
              <w:t xml:space="preserve">Progress </w:t>
            </w:r>
            <w:r w:rsidR="21B6B3CD" w:rsidRPr="7849A67F">
              <w:rPr>
                <w:rFonts w:eastAsia="Arial" w:cs="Arial"/>
                <w:b/>
                <w:bCs/>
                <w:sz w:val="22"/>
                <w:szCs w:val="22"/>
                <w:u w:val="single"/>
              </w:rPr>
              <w:t>substantially exceeded</w:t>
            </w:r>
            <w:r w:rsidRPr="7849A67F">
              <w:rPr>
                <w:rFonts w:eastAsia="Arial" w:cs="Arial"/>
                <w:b/>
                <w:bCs/>
                <w:sz w:val="22"/>
                <w:szCs w:val="22"/>
                <w:u w:val="single"/>
              </w:rPr>
              <w:t xml:space="preserve"> expectation</w:t>
            </w:r>
            <w:r w:rsidRPr="7849A67F">
              <w:rPr>
                <w:rFonts w:eastAsia="Arial" w:cs="Arial"/>
                <w:sz w:val="22"/>
                <w:szCs w:val="22"/>
              </w:rPr>
              <w:t xml:space="preserve"> (</w:t>
            </w:r>
            <w:r w:rsidR="757539F0" w:rsidRPr="7849A67F">
              <w:rPr>
                <w:rFonts w:eastAsia="Arial" w:cs="Arial"/>
                <w:sz w:val="22"/>
                <w:szCs w:val="22"/>
              </w:rPr>
              <w:t>159</w:t>
            </w:r>
            <w:r w:rsidRPr="7849A67F">
              <w:rPr>
                <w:rFonts w:eastAsia="Arial" w:cs="Arial"/>
                <w:sz w:val="22"/>
                <w:szCs w:val="22"/>
              </w:rPr>
              <w:t xml:space="preserve">%)   </w:t>
            </w:r>
          </w:p>
          <w:p w14:paraId="74E38B85" w14:textId="3D52983C" w:rsidR="00DF4A46" w:rsidRPr="00816CF9" w:rsidRDefault="1BB35FED" w:rsidP="001B4FD0">
            <w:pPr>
              <w:contextualSpacing/>
              <w:rPr>
                <w:rFonts w:eastAsia="Arial" w:cs="Arial"/>
                <w:sz w:val="22"/>
                <w:szCs w:val="22"/>
              </w:rPr>
            </w:pPr>
            <w:r w:rsidRPr="0A0530F7">
              <w:rPr>
                <w:rFonts w:eastAsia="Arial" w:cs="Arial"/>
                <w:sz w:val="22"/>
                <w:szCs w:val="22"/>
              </w:rPr>
              <w:t>202</w:t>
            </w:r>
            <w:r w:rsidR="0ACB63B3" w:rsidRPr="0A0530F7">
              <w:rPr>
                <w:rFonts w:eastAsia="Arial" w:cs="Arial"/>
                <w:sz w:val="22"/>
                <w:szCs w:val="22"/>
              </w:rPr>
              <w:t>3</w:t>
            </w:r>
            <w:r w:rsidRPr="0A0530F7">
              <w:rPr>
                <w:rFonts w:eastAsia="Arial" w:cs="Arial"/>
                <w:sz w:val="22"/>
                <w:szCs w:val="22"/>
              </w:rPr>
              <w:t>:</w:t>
            </w:r>
            <w:r w:rsidR="46FC9783" w:rsidRPr="0A0530F7">
              <w:rPr>
                <w:rFonts w:eastAsia="Arial" w:cs="Arial"/>
                <w:sz w:val="22"/>
                <w:szCs w:val="22"/>
              </w:rPr>
              <w:t xml:space="preserve"> </w:t>
            </w:r>
            <w:r w:rsidR="2006C1C4" w:rsidRPr="0A0530F7">
              <w:rPr>
                <w:rFonts w:eastAsia="Arial" w:cs="Arial"/>
                <w:sz w:val="22"/>
                <w:szCs w:val="22"/>
              </w:rPr>
              <w:t>3</w:t>
            </w:r>
            <w:r w:rsidRPr="0A0530F7">
              <w:rPr>
                <w:rFonts w:eastAsia="Arial" w:cs="Arial"/>
                <w:sz w:val="22"/>
                <w:szCs w:val="22"/>
              </w:rPr>
              <w:t>5</w:t>
            </w:r>
          </w:p>
        </w:tc>
      </w:tr>
      <w:tr w:rsidR="006462E5" w:rsidRPr="00D80C6C" w14:paraId="6B45D803" w14:textId="77777777" w:rsidTr="0A0530F7">
        <w:trPr>
          <w:trHeight w:val="300"/>
        </w:trPr>
        <w:tc>
          <w:tcPr>
            <w:tcW w:w="2689" w:type="dxa"/>
            <w:tcBorders>
              <w:top w:val="single" w:sz="4" w:space="0" w:color="auto"/>
              <w:left w:val="single" w:sz="4" w:space="0" w:color="auto"/>
              <w:bottom w:val="single" w:sz="4" w:space="0" w:color="auto"/>
              <w:right w:val="single" w:sz="4" w:space="0" w:color="auto"/>
            </w:tcBorders>
          </w:tcPr>
          <w:p w14:paraId="50C3EF4E" w14:textId="1583852F" w:rsidR="006462E5" w:rsidRPr="00816CF9" w:rsidRDefault="67676E2E" w:rsidP="001B4FD0">
            <w:pPr>
              <w:rPr>
                <w:rFonts w:eastAsia="Arial" w:cs="Arial"/>
                <w:sz w:val="22"/>
                <w:szCs w:val="22"/>
              </w:rPr>
            </w:pPr>
            <w:r w:rsidRPr="2129D453">
              <w:rPr>
                <w:rFonts w:eastAsia="Arial" w:cs="Arial"/>
                <w:sz w:val="22"/>
                <w:szCs w:val="22"/>
              </w:rPr>
              <w:t>4.2. Number of national and sub-national institutions received technical assistance to implement transformational mitigation actions</w:t>
            </w:r>
          </w:p>
        </w:tc>
        <w:tc>
          <w:tcPr>
            <w:tcW w:w="2126" w:type="dxa"/>
            <w:tcBorders>
              <w:top w:val="single" w:sz="4" w:space="0" w:color="auto"/>
              <w:left w:val="single" w:sz="4" w:space="0" w:color="auto"/>
              <w:bottom w:val="single" w:sz="4" w:space="0" w:color="auto"/>
              <w:right w:val="single" w:sz="4" w:space="0" w:color="auto"/>
            </w:tcBorders>
          </w:tcPr>
          <w:p w14:paraId="07C075FB" w14:textId="314F098E" w:rsidR="006462E5" w:rsidRPr="00816CF9" w:rsidRDefault="768F6B38" w:rsidP="001B4FD0">
            <w:pPr>
              <w:rPr>
                <w:rFonts w:eastAsia="Arial" w:cs="Arial"/>
                <w:sz w:val="22"/>
                <w:szCs w:val="22"/>
              </w:rPr>
            </w:pPr>
            <w:r w:rsidRPr="7849A67F">
              <w:rPr>
                <w:rFonts w:eastAsia="Arial" w:cs="Arial"/>
                <w:sz w:val="22"/>
                <w:szCs w:val="22"/>
              </w:rPr>
              <w:t>1</w:t>
            </w:r>
            <w:r w:rsidR="41134561" w:rsidRPr="7849A67F">
              <w:rPr>
                <w:rFonts w:eastAsia="Arial" w:cs="Arial"/>
                <w:sz w:val="22"/>
                <w:szCs w:val="22"/>
              </w:rPr>
              <w:t>2</w:t>
            </w:r>
            <w:r w:rsidRPr="7849A67F">
              <w:rPr>
                <w:rFonts w:eastAsia="Arial" w:cs="Arial"/>
                <w:sz w:val="22"/>
                <w:szCs w:val="22"/>
              </w:rPr>
              <w:t>0</w:t>
            </w:r>
          </w:p>
        </w:tc>
        <w:tc>
          <w:tcPr>
            <w:tcW w:w="4252" w:type="dxa"/>
            <w:tcBorders>
              <w:top w:val="single" w:sz="4" w:space="0" w:color="auto"/>
              <w:left w:val="single" w:sz="4" w:space="0" w:color="auto"/>
              <w:bottom w:val="single" w:sz="4" w:space="0" w:color="auto"/>
              <w:right w:val="single" w:sz="4" w:space="0" w:color="auto"/>
            </w:tcBorders>
          </w:tcPr>
          <w:p w14:paraId="3495BE35" w14:textId="77505521" w:rsidR="006462E5" w:rsidRPr="00816CF9" w:rsidRDefault="16649AC8" w:rsidP="4A9EF9D3">
            <w:pPr>
              <w:contextualSpacing/>
              <w:rPr>
                <w:rFonts w:eastAsia="Arial" w:cs="Arial"/>
                <w:b/>
                <w:bCs/>
                <w:sz w:val="22"/>
                <w:szCs w:val="22"/>
                <w:u w:val="single"/>
              </w:rPr>
            </w:pPr>
            <w:r w:rsidRPr="7849A67F">
              <w:rPr>
                <w:rFonts w:eastAsia="Arial" w:cs="Arial"/>
                <w:b/>
                <w:bCs/>
                <w:sz w:val="22"/>
                <w:szCs w:val="22"/>
                <w:u w:val="single"/>
              </w:rPr>
              <w:t>Progress substantially exceeded expectation (</w:t>
            </w:r>
            <w:r w:rsidR="574BCA28" w:rsidRPr="7849A67F">
              <w:rPr>
                <w:rFonts w:eastAsia="Arial" w:cs="Arial"/>
                <w:b/>
                <w:bCs/>
                <w:sz w:val="22"/>
                <w:szCs w:val="22"/>
                <w:u w:val="single"/>
              </w:rPr>
              <w:t>333</w:t>
            </w:r>
            <w:r w:rsidRPr="7849A67F">
              <w:rPr>
                <w:rFonts w:eastAsia="Arial" w:cs="Arial"/>
                <w:b/>
                <w:bCs/>
                <w:sz w:val="22"/>
                <w:szCs w:val="22"/>
                <w:u w:val="single"/>
              </w:rPr>
              <w:t>%)</w:t>
            </w:r>
          </w:p>
          <w:p w14:paraId="7D7ACE36" w14:textId="19B2932E" w:rsidR="00EC4117" w:rsidRPr="00816CF9" w:rsidRDefault="2B912076" w:rsidP="001B4FD0">
            <w:pPr>
              <w:contextualSpacing/>
              <w:rPr>
                <w:rFonts w:eastAsia="Arial" w:cs="Arial"/>
                <w:sz w:val="22"/>
                <w:szCs w:val="22"/>
              </w:rPr>
            </w:pPr>
            <w:r w:rsidRPr="0A0530F7">
              <w:rPr>
                <w:rFonts w:eastAsia="Arial" w:cs="Arial"/>
                <w:sz w:val="22"/>
                <w:szCs w:val="22"/>
              </w:rPr>
              <w:t>202</w:t>
            </w:r>
            <w:r w:rsidR="7460CE8F" w:rsidRPr="0A0530F7">
              <w:rPr>
                <w:rFonts w:eastAsia="Arial" w:cs="Arial"/>
                <w:sz w:val="22"/>
                <w:szCs w:val="22"/>
              </w:rPr>
              <w:t>3</w:t>
            </w:r>
            <w:r w:rsidRPr="0A0530F7">
              <w:rPr>
                <w:rFonts w:eastAsia="Arial" w:cs="Arial"/>
                <w:sz w:val="22"/>
                <w:szCs w:val="22"/>
              </w:rPr>
              <w:t>:</w:t>
            </w:r>
            <w:r w:rsidR="44D93230" w:rsidRPr="0A0530F7">
              <w:rPr>
                <w:rFonts w:eastAsia="Arial" w:cs="Arial"/>
                <w:sz w:val="22"/>
                <w:szCs w:val="22"/>
              </w:rPr>
              <w:t xml:space="preserve"> </w:t>
            </w:r>
            <w:r w:rsidR="2DD7098C" w:rsidRPr="0A0530F7">
              <w:rPr>
                <w:rFonts w:eastAsia="Arial" w:cs="Arial"/>
                <w:sz w:val="22"/>
                <w:szCs w:val="22"/>
              </w:rPr>
              <w:t>400</w:t>
            </w:r>
          </w:p>
        </w:tc>
      </w:tr>
      <w:tr w:rsidR="4A9EF9D3" w14:paraId="46A1311C" w14:textId="77777777" w:rsidTr="0A0530F7">
        <w:trPr>
          <w:trHeight w:val="300"/>
        </w:trPr>
        <w:tc>
          <w:tcPr>
            <w:tcW w:w="2689" w:type="dxa"/>
            <w:tcBorders>
              <w:top w:val="single" w:sz="4" w:space="0" w:color="auto"/>
              <w:left w:val="single" w:sz="4" w:space="0" w:color="auto"/>
              <w:bottom w:val="single" w:sz="4" w:space="0" w:color="auto"/>
              <w:right w:val="single" w:sz="4" w:space="0" w:color="auto"/>
            </w:tcBorders>
          </w:tcPr>
          <w:p w14:paraId="2FE4CCAF" w14:textId="07F029C8" w:rsidR="37DC615A" w:rsidRDefault="6D931880" w:rsidP="4A9EF9D3">
            <w:pPr>
              <w:rPr>
                <w:rFonts w:eastAsia="Arial" w:cs="Arial"/>
                <w:sz w:val="22"/>
                <w:szCs w:val="22"/>
              </w:rPr>
            </w:pPr>
            <w:r w:rsidRPr="7849A67F">
              <w:rPr>
                <w:rFonts w:eastAsia="Arial" w:cs="Arial"/>
                <w:sz w:val="22"/>
                <w:szCs w:val="22"/>
              </w:rPr>
              <w:t>4.3 Percentage of projects achieving successful scaling activities</w:t>
            </w:r>
          </w:p>
        </w:tc>
        <w:tc>
          <w:tcPr>
            <w:tcW w:w="2126" w:type="dxa"/>
            <w:tcBorders>
              <w:top w:val="single" w:sz="4" w:space="0" w:color="auto"/>
              <w:left w:val="single" w:sz="4" w:space="0" w:color="auto"/>
              <w:bottom w:val="single" w:sz="4" w:space="0" w:color="auto"/>
              <w:right w:val="single" w:sz="4" w:space="0" w:color="auto"/>
            </w:tcBorders>
          </w:tcPr>
          <w:p w14:paraId="38D632CA" w14:textId="7545C32F" w:rsidR="01C90D4C" w:rsidRDefault="22921A99" w:rsidP="4A9EF9D3">
            <w:pPr>
              <w:rPr>
                <w:rFonts w:eastAsia="Arial" w:cs="Arial"/>
                <w:sz w:val="22"/>
                <w:szCs w:val="22"/>
              </w:rPr>
            </w:pPr>
            <w:r w:rsidRPr="7849A67F">
              <w:rPr>
                <w:rFonts w:eastAsia="Arial" w:cs="Arial"/>
                <w:sz w:val="22"/>
                <w:szCs w:val="22"/>
              </w:rPr>
              <w:t>n/a</w:t>
            </w:r>
          </w:p>
        </w:tc>
        <w:tc>
          <w:tcPr>
            <w:tcW w:w="4252" w:type="dxa"/>
            <w:tcBorders>
              <w:top w:val="single" w:sz="4" w:space="0" w:color="auto"/>
              <w:left w:val="single" w:sz="4" w:space="0" w:color="auto"/>
              <w:bottom w:val="single" w:sz="4" w:space="0" w:color="auto"/>
              <w:right w:val="single" w:sz="4" w:space="0" w:color="auto"/>
            </w:tcBorders>
          </w:tcPr>
          <w:p w14:paraId="5D6CD935" w14:textId="1CE7CB94" w:rsidR="37DC615A" w:rsidRDefault="6D931880" w:rsidP="4A9EF9D3">
            <w:pPr>
              <w:rPr>
                <w:rFonts w:eastAsia="Arial" w:cs="Arial"/>
                <w:sz w:val="22"/>
                <w:szCs w:val="22"/>
              </w:rPr>
            </w:pPr>
            <w:r w:rsidRPr="7849A67F">
              <w:rPr>
                <w:rFonts w:eastAsia="Arial" w:cs="Arial"/>
                <w:sz w:val="22"/>
                <w:szCs w:val="22"/>
              </w:rPr>
              <w:t xml:space="preserve">New indicator </w:t>
            </w:r>
            <w:r w:rsidR="61FA4194" w:rsidRPr="7849A67F">
              <w:rPr>
                <w:rFonts w:eastAsia="Arial" w:cs="Arial"/>
                <w:sz w:val="22"/>
                <w:szCs w:val="22"/>
              </w:rPr>
              <w:t>for 2023</w:t>
            </w:r>
            <w:r w:rsidR="6FF06E38" w:rsidRPr="7849A67F">
              <w:rPr>
                <w:rFonts w:eastAsia="Arial" w:cs="Arial"/>
                <w:sz w:val="22"/>
                <w:szCs w:val="22"/>
              </w:rPr>
              <w:t>. Projects are required to define the relevant scaling dimension as well as establish the respective targets, milestones.</w:t>
            </w:r>
          </w:p>
        </w:tc>
      </w:tr>
    </w:tbl>
    <w:p w14:paraId="5336E110" w14:textId="29E1C6CF" w:rsidR="2AC4FA93" w:rsidDel="00255195" w:rsidRDefault="2AC4FA93" w:rsidP="001B4FD0">
      <w:pPr>
        <w:rPr>
          <w:rFonts w:eastAsia="Arial" w:cs="Arial"/>
          <w:b/>
          <w:i/>
          <w:sz w:val="28"/>
          <w:szCs w:val="28"/>
        </w:rPr>
      </w:pPr>
    </w:p>
    <w:p w14:paraId="48FABA76" w14:textId="4FDD7F0F" w:rsidR="006462E5" w:rsidRPr="00D80C6C" w:rsidRDefault="006462E5" w:rsidP="07AF1209">
      <w:pPr>
        <w:rPr>
          <w:rFonts w:eastAsia="Arial" w:cs="Arial"/>
          <w:b/>
          <w:i/>
          <w:sz w:val="22"/>
          <w:szCs w:val="22"/>
        </w:rPr>
      </w:pPr>
      <w:r w:rsidRPr="2129D453">
        <w:rPr>
          <w:rFonts w:eastAsia="Arial" w:cs="Arial"/>
          <w:b/>
          <w:i/>
          <w:sz w:val="28"/>
          <w:szCs w:val="28"/>
        </w:rPr>
        <w:t>Output summary and supporting narrative for the score</w:t>
      </w:r>
      <w:r w:rsidRPr="2129D453">
        <w:rPr>
          <w:rFonts w:eastAsia="Arial" w:cs="Arial"/>
          <w:b/>
          <w:i/>
          <w:sz w:val="22"/>
          <w:szCs w:val="22"/>
        </w:rPr>
        <w:t xml:space="preserve"> </w:t>
      </w:r>
    </w:p>
    <w:p w14:paraId="701B8B5D" w14:textId="77777777" w:rsidR="00291706" w:rsidRPr="00D80C6C" w:rsidRDefault="00291706" w:rsidP="07AF1209">
      <w:pPr>
        <w:jc w:val="both"/>
        <w:rPr>
          <w:rFonts w:eastAsia="Arial" w:cs="Arial"/>
          <w:b/>
          <w:bCs/>
          <w:i/>
          <w:iCs/>
          <w:sz w:val="22"/>
          <w:szCs w:val="22"/>
        </w:rPr>
      </w:pPr>
    </w:p>
    <w:p w14:paraId="2C1230EB" w14:textId="546928E9" w:rsidR="007F0C10" w:rsidRPr="00816CF9" w:rsidRDefault="01A4E538" w:rsidP="07AF1209">
      <w:pPr>
        <w:pStyle w:val="ListParagraph"/>
        <w:numPr>
          <w:ilvl w:val="0"/>
          <w:numId w:val="6"/>
        </w:numPr>
        <w:jc w:val="both"/>
        <w:rPr>
          <w:rFonts w:eastAsia="Arial" w:cs="Arial"/>
          <w:sz w:val="22"/>
          <w:szCs w:val="22"/>
        </w:rPr>
      </w:pPr>
      <w:r w:rsidRPr="7849A67F">
        <w:rPr>
          <w:rFonts w:eastAsia="Arial" w:cs="Arial"/>
          <w:sz w:val="22"/>
          <w:szCs w:val="22"/>
        </w:rPr>
        <w:t xml:space="preserve">Output </w:t>
      </w:r>
      <w:r w:rsidR="170E5164" w:rsidRPr="7849A67F">
        <w:rPr>
          <w:rFonts w:eastAsia="Arial" w:cs="Arial"/>
          <w:sz w:val="22"/>
          <w:szCs w:val="22"/>
        </w:rPr>
        <w:t>four</w:t>
      </w:r>
      <w:r w:rsidRPr="7849A67F">
        <w:rPr>
          <w:rFonts w:eastAsia="Arial" w:cs="Arial"/>
          <w:sz w:val="22"/>
          <w:szCs w:val="22"/>
        </w:rPr>
        <w:t xml:space="preserve"> </w:t>
      </w:r>
      <w:r w:rsidR="44193BEE" w:rsidRPr="7849A67F">
        <w:rPr>
          <w:rFonts w:eastAsia="Arial" w:cs="Arial"/>
          <w:sz w:val="22"/>
          <w:szCs w:val="22"/>
        </w:rPr>
        <w:t xml:space="preserve">considers </w:t>
      </w:r>
      <w:r w:rsidR="31821C25" w:rsidRPr="7849A67F">
        <w:rPr>
          <w:rFonts w:eastAsia="Arial" w:cs="Arial"/>
          <w:sz w:val="22"/>
          <w:szCs w:val="22"/>
        </w:rPr>
        <w:t>the success of MAF’s technical assistance components.</w:t>
      </w:r>
    </w:p>
    <w:p w14:paraId="4A111378" w14:textId="7E35B89E" w:rsidR="00C528B8" w:rsidRPr="00816CF9" w:rsidRDefault="6951DB77" w:rsidP="07AF1209">
      <w:pPr>
        <w:pStyle w:val="ListParagraph"/>
        <w:numPr>
          <w:ilvl w:val="0"/>
          <w:numId w:val="6"/>
        </w:numPr>
        <w:jc w:val="both"/>
        <w:rPr>
          <w:rFonts w:eastAsia="Arial" w:cs="Arial"/>
          <w:sz w:val="22"/>
          <w:szCs w:val="22"/>
        </w:rPr>
      </w:pPr>
      <w:r w:rsidRPr="7849A67F">
        <w:rPr>
          <w:rFonts w:eastAsia="Arial" w:cs="Arial"/>
          <w:sz w:val="22"/>
          <w:szCs w:val="22"/>
        </w:rPr>
        <w:t xml:space="preserve">The methodology </w:t>
      </w:r>
      <w:r w:rsidR="5D09A6F5" w:rsidRPr="7849A67F">
        <w:rPr>
          <w:rFonts w:eastAsia="Arial" w:cs="Arial"/>
          <w:sz w:val="22"/>
          <w:szCs w:val="22"/>
        </w:rPr>
        <w:t xml:space="preserve">for 4.1 </w:t>
      </w:r>
      <w:r w:rsidR="08EFB2A8" w:rsidRPr="7849A67F">
        <w:rPr>
          <w:rFonts w:eastAsia="Arial" w:cs="Arial"/>
          <w:sz w:val="22"/>
          <w:szCs w:val="22"/>
        </w:rPr>
        <w:t>was</w:t>
      </w:r>
      <w:r w:rsidR="6FE944F6" w:rsidRPr="7849A67F">
        <w:rPr>
          <w:rFonts w:eastAsia="Arial" w:cs="Arial"/>
          <w:sz w:val="22"/>
          <w:szCs w:val="22"/>
        </w:rPr>
        <w:t xml:space="preserve"> adjusted in 2023 to become cumulative</w:t>
      </w:r>
      <w:r w:rsidR="4AA83F17" w:rsidRPr="07AF1209">
        <w:rPr>
          <w:rFonts w:eastAsia="Arial" w:cs="Arial"/>
          <w:sz w:val="22"/>
          <w:szCs w:val="22"/>
        </w:rPr>
        <w:t>.</w:t>
      </w:r>
      <w:r w:rsidRPr="7849A67F">
        <w:rPr>
          <w:rFonts w:eastAsia="Arial" w:cs="Arial"/>
          <w:sz w:val="22"/>
          <w:szCs w:val="22"/>
        </w:rPr>
        <w:t xml:space="preserve"> </w:t>
      </w:r>
    </w:p>
    <w:p w14:paraId="684500C1" w14:textId="7018458A" w:rsidR="006462E5" w:rsidRPr="00D80C6C" w:rsidRDefault="00CE3CA6" w:rsidP="07AF1209">
      <w:pPr>
        <w:pStyle w:val="ListParagraph"/>
        <w:numPr>
          <w:ilvl w:val="0"/>
          <w:numId w:val="6"/>
        </w:numPr>
        <w:jc w:val="both"/>
        <w:rPr>
          <w:rFonts w:eastAsia="Arial" w:cs="Arial"/>
          <w:sz w:val="22"/>
          <w:szCs w:val="22"/>
        </w:rPr>
      </w:pPr>
      <w:r w:rsidRPr="7849A67F">
        <w:rPr>
          <w:rFonts w:eastAsia="Arial" w:cs="Arial"/>
          <w:sz w:val="22"/>
          <w:szCs w:val="22"/>
        </w:rPr>
        <w:t>Achievements to note include South Africa Buildings where a new Energy Performance</w:t>
      </w:r>
      <w:r w:rsidR="2F62FCAB" w:rsidRPr="7849A67F">
        <w:rPr>
          <w:rFonts w:eastAsia="Arial" w:cs="Arial"/>
          <w:sz w:val="22"/>
          <w:szCs w:val="22"/>
        </w:rPr>
        <w:t xml:space="preserve"> Certificate has been adopted by </w:t>
      </w:r>
      <w:r w:rsidR="2C525C83" w:rsidRPr="7849A67F">
        <w:rPr>
          <w:rFonts w:eastAsia="Arial" w:cs="Arial"/>
          <w:sz w:val="22"/>
          <w:szCs w:val="22"/>
        </w:rPr>
        <w:t xml:space="preserve">the South African </w:t>
      </w:r>
      <w:r w:rsidR="2F62FCAB" w:rsidRPr="7849A67F">
        <w:rPr>
          <w:rFonts w:eastAsia="Arial" w:cs="Arial"/>
          <w:sz w:val="22"/>
          <w:szCs w:val="22"/>
        </w:rPr>
        <w:t>national government</w:t>
      </w:r>
      <w:r w:rsidR="7FF8052C" w:rsidRPr="7849A67F">
        <w:rPr>
          <w:rFonts w:eastAsia="Arial" w:cs="Arial"/>
          <w:sz w:val="22"/>
          <w:szCs w:val="22"/>
        </w:rPr>
        <w:t xml:space="preserve"> and</w:t>
      </w:r>
      <w:r w:rsidR="49367343" w:rsidRPr="7849A67F">
        <w:rPr>
          <w:rFonts w:eastAsia="Arial" w:cs="Arial"/>
          <w:sz w:val="22"/>
          <w:szCs w:val="22"/>
        </w:rPr>
        <w:t xml:space="preserve"> Thai Rice where </w:t>
      </w:r>
      <w:r w:rsidR="0C67BA11" w:rsidRPr="7849A67F">
        <w:rPr>
          <w:rFonts w:eastAsia="Arial" w:cs="Arial"/>
          <w:sz w:val="22"/>
          <w:szCs w:val="22"/>
        </w:rPr>
        <w:t xml:space="preserve">a national Climate Change Action Plan for the Agriculture Sector has also been newly adopted in </w:t>
      </w:r>
      <w:r w:rsidR="43B8F848" w:rsidRPr="7849A67F">
        <w:rPr>
          <w:rFonts w:eastAsia="Arial" w:cs="Arial"/>
          <w:sz w:val="22"/>
          <w:szCs w:val="22"/>
        </w:rPr>
        <w:t xml:space="preserve">Thailand in </w:t>
      </w:r>
      <w:r w:rsidR="0C67BA11" w:rsidRPr="7849A67F">
        <w:rPr>
          <w:rFonts w:eastAsia="Arial" w:cs="Arial"/>
          <w:sz w:val="22"/>
          <w:szCs w:val="22"/>
        </w:rPr>
        <w:t>2023 as a direct result of project technical assistance</w:t>
      </w:r>
      <w:r w:rsidR="75828535" w:rsidRPr="7849A67F">
        <w:rPr>
          <w:rFonts w:eastAsia="Arial" w:cs="Arial"/>
          <w:sz w:val="22"/>
          <w:szCs w:val="22"/>
        </w:rPr>
        <w:t>.</w:t>
      </w:r>
    </w:p>
    <w:p w14:paraId="4680821A" w14:textId="5F95D216" w:rsidR="006462E5" w:rsidRPr="00D80C6C" w:rsidRDefault="2BBFDC61" w:rsidP="07AF1209">
      <w:pPr>
        <w:pStyle w:val="ListParagraph"/>
        <w:numPr>
          <w:ilvl w:val="0"/>
          <w:numId w:val="6"/>
        </w:numPr>
        <w:jc w:val="both"/>
        <w:rPr>
          <w:rFonts w:eastAsia="Arial" w:cs="Arial"/>
          <w:sz w:val="22"/>
          <w:szCs w:val="22"/>
        </w:rPr>
      </w:pPr>
      <w:r w:rsidRPr="7849A67F">
        <w:rPr>
          <w:rFonts w:eastAsia="Arial" w:cs="Arial"/>
          <w:sz w:val="22"/>
          <w:szCs w:val="22"/>
        </w:rPr>
        <w:t xml:space="preserve">By the end of 2023, 62% of policies within range have been newly adopted whilst 38% have been amended, and these vary by national and subnational level in scope. </w:t>
      </w:r>
      <w:r w:rsidR="1564E1A8" w:rsidRPr="7849A67F">
        <w:rPr>
          <w:rFonts w:eastAsia="Arial" w:cs="Arial"/>
          <w:sz w:val="22"/>
          <w:szCs w:val="22"/>
        </w:rPr>
        <w:t>For example, o</w:t>
      </w:r>
      <w:r w:rsidRPr="7849A67F">
        <w:rPr>
          <w:rFonts w:eastAsia="Arial" w:cs="Arial"/>
          <w:sz w:val="22"/>
          <w:szCs w:val="22"/>
        </w:rPr>
        <w:t>f the 25 policies adopted by MAF partner countries in 2023</w:t>
      </w:r>
      <w:r w:rsidR="7E23F09D" w:rsidRPr="7849A67F">
        <w:rPr>
          <w:rFonts w:eastAsia="Arial" w:cs="Arial"/>
          <w:sz w:val="22"/>
          <w:szCs w:val="22"/>
        </w:rPr>
        <w:t>, 19 were implemented at a national level which demonstrates a gradually higher level of policy a</w:t>
      </w:r>
      <w:r w:rsidR="49935532" w:rsidRPr="7849A67F">
        <w:rPr>
          <w:rFonts w:eastAsia="Arial" w:cs="Arial"/>
          <w:sz w:val="22"/>
          <w:szCs w:val="22"/>
        </w:rPr>
        <w:t>doption across the portfolio.</w:t>
      </w:r>
    </w:p>
    <w:p w14:paraId="0ABE7767" w14:textId="4CE54716" w:rsidR="006462E5" w:rsidRPr="00D80C6C" w:rsidRDefault="49935532" w:rsidP="07AF1209">
      <w:pPr>
        <w:pStyle w:val="ListParagraph"/>
        <w:numPr>
          <w:ilvl w:val="0"/>
          <w:numId w:val="6"/>
        </w:numPr>
        <w:jc w:val="both"/>
        <w:rPr>
          <w:rFonts w:eastAsia="Arial" w:cs="Arial"/>
          <w:sz w:val="22"/>
          <w:szCs w:val="22"/>
        </w:rPr>
      </w:pPr>
      <w:r w:rsidRPr="7849A67F">
        <w:rPr>
          <w:rFonts w:eastAsia="Arial" w:cs="Arial"/>
          <w:sz w:val="22"/>
          <w:szCs w:val="22"/>
        </w:rPr>
        <w:t xml:space="preserve">4.2 considers </w:t>
      </w:r>
      <w:r w:rsidR="5385AA01" w:rsidRPr="7849A67F">
        <w:rPr>
          <w:rFonts w:eastAsia="Arial" w:cs="Arial"/>
          <w:sz w:val="22"/>
          <w:szCs w:val="22"/>
        </w:rPr>
        <w:t xml:space="preserve">the number national and subnational institutions that received technical assistance from MAF interventions. Notable achievements </w:t>
      </w:r>
      <w:r w:rsidR="2CE917E8" w:rsidRPr="7849A67F">
        <w:rPr>
          <w:rFonts w:eastAsia="Arial" w:cs="Arial"/>
          <w:sz w:val="22"/>
          <w:szCs w:val="22"/>
        </w:rPr>
        <w:t xml:space="preserve">further highlight the successes of the Thai Rice project where </w:t>
      </w:r>
      <w:r w:rsidR="5FCFAA36" w:rsidRPr="7849A67F">
        <w:rPr>
          <w:rFonts w:eastAsia="Arial" w:cs="Arial"/>
          <w:sz w:val="22"/>
          <w:szCs w:val="22"/>
        </w:rPr>
        <w:t xml:space="preserve">138 institutions at national level benefitted from technical assistance support. Transport and waste management projects, such as </w:t>
      </w:r>
      <w:r w:rsidR="64379A1A" w:rsidRPr="7849A67F">
        <w:rPr>
          <w:rFonts w:eastAsia="Arial" w:cs="Arial"/>
          <w:sz w:val="22"/>
          <w:szCs w:val="22"/>
        </w:rPr>
        <w:t>in Indonesia and India showed a greater tendency towards subnational impact where relevant policies are typically devolved or where specific cities or regions have been targeted.</w:t>
      </w:r>
      <w:r w:rsidR="3080A266" w:rsidRPr="7849A67F">
        <w:rPr>
          <w:rFonts w:eastAsia="Arial" w:cs="Arial"/>
          <w:sz w:val="22"/>
          <w:szCs w:val="22"/>
        </w:rPr>
        <w:t xml:space="preserve"> Some projects saw the number of national and subnational level </w:t>
      </w:r>
      <w:r w:rsidR="3080A266" w:rsidRPr="7849A67F">
        <w:rPr>
          <w:rFonts w:eastAsia="Arial" w:cs="Arial"/>
          <w:sz w:val="22"/>
          <w:szCs w:val="22"/>
        </w:rPr>
        <w:lastRenderedPageBreak/>
        <w:t xml:space="preserve">institutions </w:t>
      </w:r>
      <w:r w:rsidR="2A22DDAD" w:rsidRPr="7849A67F">
        <w:rPr>
          <w:rFonts w:eastAsia="Arial" w:cs="Arial"/>
          <w:sz w:val="22"/>
          <w:szCs w:val="22"/>
        </w:rPr>
        <w:t xml:space="preserve">similarly receiving technical assistance support such as Brazil Energy Efficiency where 20 national and 14 subnational institutions demonstrates the </w:t>
      </w:r>
      <w:r w:rsidR="077D93BA" w:rsidRPr="7849A67F">
        <w:rPr>
          <w:rFonts w:eastAsia="Arial" w:cs="Arial"/>
          <w:sz w:val="22"/>
          <w:szCs w:val="22"/>
        </w:rPr>
        <w:t xml:space="preserve">broader </w:t>
      </w:r>
      <w:r w:rsidR="2A22DDAD" w:rsidRPr="7849A67F">
        <w:rPr>
          <w:rFonts w:eastAsia="Arial" w:cs="Arial"/>
          <w:sz w:val="22"/>
          <w:szCs w:val="22"/>
        </w:rPr>
        <w:t xml:space="preserve">impact </w:t>
      </w:r>
      <w:r w:rsidR="6BB4B636" w:rsidRPr="7849A67F">
        <w:rPr>
          <w:rFonts w:eastAsia="Arial" w:cs="Arial"/>
          <w:sz w:val="22"/>
          <w:szCs w:val="22"/>
        </w:rPr>
        <w:t>of the project’s interventions.</w:t>
      </w:r>
      <w:r w:rsidR="35798F9F" w:rsidRPr="7849A67F">
        <w:rPr>
          <w:rFonts w:eastAsia="Arial" w:cs="Arial"/>
          <w:sz w:val="22"/>
          <w:szCs w:val="22"/>
        </w:rPr>
        <w:t xml:space="preserve"> </w:t>
      </w:r>
      <w:r w:rsidR="6AE07F8D" w:rsidRPr="7849A67F">
        <w:rPr>
          <w:rFonts w:eastAsia="Arial" w:cs="Arial"/>
          <w:sz w:val="22"/>
          <w:szCs w:val="22"/>
        </w:rPr>
        <w:t>It is worth noting that o</w:t>
      </w:r>
      <w:r w:rsidR="4843685B" w:rsidRPr="7849A67F">
        <w:rPr>
          <w:rFonts w:eastAsia="Arial" w:cs="Arial"/>
          <w:sz w:val="22"/>
          <w:szCs w:val="22"/>
        </w:rPr>
        <w:t xml:space="preserve">utput four methodologies were </w:t>
      </w:r>
      <w:r w:rsidR="391AE270" w:rsidRPr="7849A67F">
        <w:rPr>
          <w:rFonts w:eastAsia="Arial" w:cs="Arial"/>
          <w:sz w:val="22"/>
          <w:szCs w:val="22"/>
        </w:rPr>
        <w:t>aligned with the methodologies of the</w:t>
      </w:r>
      <w:r w:rsidR="66F7A381" w:rsidRPr="7849A67F">
        <w:rPr>
          <w:rFonts w:eastAsia="Arial" w:cs="Arial"/>
          <w:sz w:val="22"/>
          <w:szCs w:val="22"/>
        </w:rPr>
        <w:t xml:space="preserve"> newly created</w:t>
      </w:r>
      <w:r w:rsidR="391AE270" w:rsidRPr="7849A67F">
        <w:rPr>
          <w:rFonts w:eastAsia="Arial" w:cs="Arial"/>
          <w:sz w:val="22"/>
          <w:szCs w:val="22"/>
        </w:rPr>
        <w:t xml:space="preserve"> technical assistance KPIs</w:t>
      </w:r>
      <w:r w:rsidR="03321CA3" w:rsidRPr="7849A67F">
        <w:rPr>
          <w:rFonts w:eastAsia="Arial" w:cs="Arial"/>
          <w:sz w:val="22"/>
          <w:szCs w:val="22"/>
        </w:rPr>
        <w:t>, reported on for the first time in 2022</w:t>
      </w:r>
      <w:r w:rsidR="710B269A" w:rsidRPr="7849A67F">
        <w:rPr>
          <w:rFonts w:eastAsia="Arial" w:cs="Arial"/>
          <w:sz w:val="22"/>
          <w:szCs w:val="22"/>
        </w:rPr>
        <w:t xml:space="preserve"> so they should continue to be monitored</w:t>
      </w:r>
      <w:r w:rsidR="41C24B8E" w:rsidRPr="7849A67F">
        <w:rPr>
          <w:rFonts w:eastAsia="Arial" w:cs="Arial"/>
          <w:sz w:val="22"/>
          <w:szCs w:val="22"/>
        </w:rPr>
        <w:t>.</w:t>
      </w:r>
    </w:p>
    <w:p w14:paraId="59E46A09" w14:textId="77777777" w:rsidR="00255195" w:rsidRDefault="00255195">
      <w:pPr>
        <w:spacing w:after="160" w:line="259" w:lineRule="auto"/>
        <w:rPr>
          <w:rFonts w:eastAsia="Arial" w:cs="Arial"/>
          <w:b/>
          <w:i/>
          <w:kern w:val="28"/>
          <w:sz w:val="28"/>
          <w:szCs w:val="28"/>
        </w:rPr>
      </w:pPr>
      <w:r>
        <w:rPr>
          <w:rFonts w:eastAsia="Arial" w:cs="Arial"/>
        </w:rPr>
        <w:br w:type="page"/>
      </w:r>
    </w:p>
    <w:p w14:paraId="3B8CDA0F" w14:textId="767DF9C8" w:rsidR="006462E5" w:rsidRDefault="006462E5" w:rsidP="07AF1209">
      <w:pPr>
        <w:pStyle w:val="Heading2"/>
        <w:jc w:val="both"/>
        <w:rPr>
          <w:rFonts w:eastAsia="Arial" w:cs="Arial"/>
        </w:rPr>
      </w:pPr>
      <w:bookmarkStart w:id="29" w:name="_Toc172791904"/>
      <w:bookmarkStart w:id="30" w:name="_Toc462349900"/>
      <w:r w:rsidRPr="75FA93ED">
        <w:rPr>
          <w:rFonts w:eastAsia="Arial" w:cs="Arial"/>
        </w:rPr>
        <w:lastRenderedPageBreak/>
        <w:t xml:space="preserve">Output 5: </w:t>
      </w:r>
      <w:r w:rsidR="4D20772B" w:rsidRPr="75FA93ED">
        <w:rPr>
          <w:rFonts w:eastAsia="Arial" w:cs="Arial"/>
        </w:rPr>
        <w:t xml:space="preserve">Implemented </w:t>
      </w:r>
      <w:r w:rsidR="7C40C191" w:rsidRPr="75FA93ED">
        <w:rPr>
          <w:rFonts w:eastAsia="Arial" w:cs="Arial"/>
        </w:rPr>
        <w:t xml:space="preserve">projects </w:t>
      </w:r>
      <w:r w:rsidR="4D20772B" w:rsidRPr="75FA93ED">
        <w:rPr>
          <w:rFonts w:eastAsia="Arial" w:cs="Arial"/>
        </w:rPr>
        <w:t>produce sustainable and transformative co-benefits</w:t>
      </w:r>
      <w:bookmarkEnd w:id="29"/>
      <w:bookmarkEnd w:id="30"/>
      <w:r w:rsidR="4D20772B" w:rsidRPr="75FA93ED">
        <w:rPr>
          <w:rFonts w:eastAsia="Arial" w:cs="Arial"/>
        </w:rPr>
        <w:t xml:space="preserve">  </w:t>
      </w:r>
    </w:p>
    <w:p w14:paraId="25965555" w14:textId="77777777" w:rsidR="006462E5" w:rsidRPr="00ED5FD4" w:rsidRDefault="006462E5" w:rsidP="001B4FD0">
      <w:pPr>
        <w:rPr>
          <w:rFonts w:eastAsia="Arial" w:cs="Arial"/>
        </w:rPr>
      </w:pPr>
    </w:p>
    <w:tbl>
      <w:tblPr>
        <w:tblStyle w:val="TableGrid"/>
        <w:tblW w:w="9072" w:type="dxa"/>
        <w:tblLook w:val="04A0" w:firstRow="1" w:lastRow="0" w:firstColumn="1" w:lastColumn="0" w:noHBand="0" w:noVBand="1"/>
      </w:tblPr>
      <w:tblGrid>
        <w:gridCol w:w="1548"/>
        <w:gridCol w:w="592"/>
        <w:gridCol w:w="1146"/>
        <w:gridCol w:w="2905"/>
        <w:gridCol w:w="2881"/>
      </w:tblGrid>
      <w:tr w:rsidR="006462E5" w:rsidRPr="00D80C6C" w14:paraId="3CDE7F37" w14:textId="77777777" w:rsidTr="7849A67F">
        <w:trPr>
          <w:trHeight w:val="489"/>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354563A" w14:textId="77777777" w:rsidR="006462E5" w:rsidRPr="00D80C6C" w:rsidRDefault="006462E5" w:rsidP="001B4FD0">
            <w:pPr>
              <w:rPr>
                <w:rFonts w:eastAsia="Arial" w:cs="Arial"/>
                <w:b/>
                <w:sz w:val="22"/>
                <w:szCs w:val="22"/>
              </w:rPr>
            </w:pPr>
            <w:r w:rsidRPr="2129D453">
              <w:rPr>
                <w:rFonts w:eastAsia="Arial" w:cs="Arial"/>
                <w:b/>
                <w:sz w:val="22"/>
                <w:szCs w:val="22"/>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7CB954" w14:textId="3B96DA13" w:rsidR="006462E5" w:rsidRPr="00ED5FD4" w:rsidRDefault="29C194D4" w:rsidP="001B4FD0">
            <w:pPr>
              <w:rPr>
                <w:rFonts w:eastAsia="Arial" w:cs="Arial"/>
                <w:sz w:val="22"/>
                <w:szCs w:val="22"/>
              </w:rPr>
            </w:pPr>
            <w:r w:rsidRPr="7849A67F">
              <w:rPr>
                <w:rFonts w:eastAsia="Arial" w:cs="Arial"/>
                <w:sz w:val="22"/>
                <w:szCs w:val="22"/>
              </w:rPr>
              <w:t xml:space="preserve">Implemented </w:t>
            </w:r>
            <w:r w:rsidR="2C320466" w:rsidRPr="7849A67F">
              <w:rPr>
                <w:rFonts w:eastAsia="Arial" w:cs="Arial"/>
                <w:sz w:val="22"/>
                <w:szCs w:val="22"/>
              </w:rPr>
              <w:t xml:space="preserve">projects </w:t>
            </w:r>
            <w:r w:rsidRPr="7849A67F">
              <w:rPr>
                <w:rFonts w:eastAsia="Arial" w:cs="Arial"/>
                <w:sz w:val="22"/>
                <w:szCs w:val="22"/>
              </w:rPr>
              <w:t>produce sustainable and transformative co-benefits</w:t>
            </w:r>
          </w:p>
        </w:tc>
      </w:tr>
      <w:tr w:rsidR="006462E5" w:rsidRPr="00D80C6C" w14:paraId="4470D706" w14:textId="77777777" w:rsidTr="7849A67F">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EC3478F" w14:textId="77777777" w:rsidR="006462E5" w:rsidRPr="00D80C6C" w:rsidRDefault="006462E5" w:rsidP="001B4FD0">
            <w:pPr>
              <w:rPr>
                <w:rFonts w:eastAsia="Arial" w:cs="Arial"/>
                <w:sz w:val="22"/>
                <w:szCs w:val="22"/>
              </w:rPr>
            </w:pPr>
            <w:r w:rsidRPr="2129D453">
              <w:rPr>
                <w:rFonts w:eastAsia="Arial" w:cs="Arial"/>
                <w:sz w:val="22"/>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649D05F9" w14:textId="2B68E4D0" w:rsidR="006462E5" w:rsidRPr="00D80C6C" w:rsidRDefault="006462E5" w:rsidP="001B4FD0">
            <w:pPr>
              <w:rPr>
                <w:rFonts w:eastAsia="Arial" w:cs="Arial"/>
                <w:sz w:val="22"/>
                <w:szCs w:val="22"/>
              </w:rPr>
            </w:pPr>
            <w:r w:rsidRPr="2129D453">
              <w:rPr>
                <w:rFonts w:eastAsia="Arial" w:cs="Arial"/>
                <w:sz w:val="22"/>
                <w:szCs w:val="22"/>
              </w:rPr>
              <w:t>5</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6FB172B" w14:textId="77777777" w:rsidR="006462E5" w:rsidRPr="00D80C6C" w:rsidRDefault="006462E5" w:rsidP="001B4FD0">
            <w:pPr>
              <w:rPr>
                <w:rFonts w:eastAsia="Arial" w:cs="Arial"/>
                <w:sz w:val="22"/>
                <w:szCs w:val="22"/>
              </w:rPr>
            </w:pPr>
            <w:r w:rsidRPr="2129D453">
              <w:rPr>
                <w:rFonts w:eastAsia="Arial" w:cs="Arial"/>
                <w:sz w:val="22"/>
                <w:szCs w:val="22"/>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19B4B42D" w14:textId="247E3674" w:rsidR="006462E5" w:rsidRPr="00D80C6C" w:rsidRDefault="016B19FC" w:rsidP="7849A67F">
            <w:pPr>
              <w:rPr>
                <w:rFonts w:eastAsia="Arial" w:cs="Arial"/>
                <w:b/>
                <w:bCs/>
                <w:i/>
                <w:iCs/>
                <w:color w:val="FF0000"/>
                <w:sz w:val="22"/>
                <w:szCs w:val="22"/>
              </w:rPr>
            </w:pPr>
            <w:r w:rsidRPr="7849A67F">
              <w:rPr>
                <w:rFonts w:eastAsia="Arial" w:cs="Arial"/>
                <w:b/>
                <w:bCs/>
                <w:i/>
                <w:iCs/>
                <w:sz w:val="22"/>
                <w:szCs w:val="22"/>
              </w:rPr>
              <w:t>A+</w:t>
            </w:r>
            <w:r w:rsidR="2E0F764B" w:rsidRPr="7849A67F">
              <w:rPr>
                <w:rFonts w:eastAsia="Arial" w:cs="Arial"/>
                <w:b/>
                <w:bCs/>
                <w:i/>
                <w:iCs/>
                <w:sz w:val="22"/>
                <w:szCs w:val="22"/>
              </w:rPr>
              <w:t>+</w:t>
            </w:r>
          </w:p>
        </w:tc>
      </w:tr>
      <w:tr w:rsidR="006462E5" w:rsidRPr="00D80C6C" w14:paraId="05A70BDA" w14:textId="77777777" w:rsidTr="7849A67F">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7F5CF41" w14:textId="77777777" w:rsidR="006462E5" w:rsidRPr="00D80C6C" w:rsidRDefault="006462E5" w:rsidP="001B4FD0">
            <w:pPr>
              <w:rPr>
                <w:rFonts w:eastAsia="Arial" w:cs="Arial"/>
                <w:sz w:val="22"/>
                <w:szCs w:val="22"/>
              </w:rPr>
            </w:pPr>
            <w:r w:rsidRPr="737E9380">
              <w:rPr>
                <w:rFonts w:eastAsia="Arial" w:cs="Arial"/>
                <w:sz w:val="22"/>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6C1CD4CA" w14:textId="1CDC20AF" w:rsidR="006462E5" w:rsidRPr="00D80C6C" w:rsidRDefault="1DF0BB45" w:rsidP="001B4FD0">
            <w:pPr>
              <w:rPr>
                <w:rFonts w:eastAsia="Arial" w:cs="Arial"/>
                <w:sz w:val="22"/>
                <w:szCs w:val="22"/>
              </w:rPr>
            </w:pPr>
            <w:r w:rsidRPr="737E9380">
              <w:rPr>
                <w:rFonts w:eastAsia="Arial" w:cs="Arial"/>
                <w:sz w:val="22"/>
                <w:szCs w:val="22"/>
              </w:rPr>
              <w:t>15%</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91C43F8" w14:textId="77777777" w:rsidR="006462E5" w:rsidRPr="00D80C6C" w:rsidRDefault="006462E5" w:rsidP="001B4FD0">
            <w:pPr>
              <w:rPr>
                <w:rFonts w:eastAsia="Arial" w:cs="Arial"/>
                <w:sz w:val="22"/>
                <w:szCs w:val="22"/>
              </w:rPr>
            </w:pPr>
            <w:r w:rsidRPr="737E9380">
              <w:rPr>
                <w:rFonts w:eastAsia="Arial" w:cs="Arial"/>
                <w:sz w:val="22"/>
                <w:szCs w:val="22"/>
              </w:rPr>
              <w:t xml:space="preserve">Weighting revised since last </w:t>
            </w:r>
            <w:proofErr w:type="gramStart"/>
            <w:r w:rsidRPr="737E9380">
              <w:rPr>
                <w:rFonts w:eastAsia="Arial" w:cs="Arial"/>
                <w:sz w:val="22"/>
                <w:szCs w:val="22"/>
              </w:rPr>
              <w:t>AR?</w:t>
            </w:r>
            <w:proofErr w:type="gramEnd"/>
            <w:r w:rsidRPr="737E9380">
              <w:rPr>
                <w:rFonts w:eastAsia="Arial" w:cs="Arial"/>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3C683ADD" w14:textId="12C9142F" w:rsidR="006462E5" w:rsidRPr="00D80C6C" w:rsidRDefault="69F147C6" w:rsidP="001B4FD0">
            <w:pPr>
              <w:rPr>
                <w:rFonts w:eastAsia="Arial" w:cs="Arial"/>
                <w:sz w:val="22"/>
                <w:szCs w:val="22"/>
              </w:rPr>
            </w:pPr>
            <w:r w:rsidRPr="07AF1209">
              <w:rPr>
                <w:rFonts w:eastAsia="Arial" w:cs="Arial"/>
                <w:sz w:val="22"/>
                <w:szCs w:val="22"/>
              </w:rPr>
              <w:t>No</w:t>
            </w:r>
          </w:p>
        </w:tc>
      </w:tr>
      <w:tr w:rsidR="006462E5" w:rsidRPr="00D80C6C" w14:paraId="475FD77A" w14:textId="77777777" w:rsidTr="7849A67F">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7E5C52" w14:textId="77777777" w:rsidR="006462E5" w:rsidRPr="00D80C6C" w:rsidRDefault="006462E5" w:rsidP="001B4FD0">
            <w:pPr>
              <w:rPr>
                <w:rFonts w:eastAsia="Arial" w:cs="Arial"/>
                <w:sz w:val="22"/>
                <w:szCs w:val="22"/>
              </w:rPr>
            </w:pPr>
            <w:r w:rsidRPr="737E9380">
              <w:rPr>
                <w:rFonts w:eastAsia="Arial" w:cs="Arial"/>
                <w:sz w:val="22"/>
                <w:szCs w:val="22"/>
              </w:rPr>
              <w:t>Risk rating</w:t>
            </w:r>
          </w:p>
        </w:tc>
        <w:tc>
          <w:tcPr>
            <w:tcW w:w="937" w:type="dxa"/>
            <w:tcBorders>
              <w:top w:val="single" w:sz="4" w:space="0" w:color="auto"/>
              <w:left w:val="single" w:sz="4" w:space="0" w:color="auto"/>
              <w:bottom w:val="single" w:sz="4" w:space="0" w:color="auto"/>
              <w:right w:val="single" w:sz="4" w:space="0" w:color="auto"/>
            </w:tcBorders>
          </w:tcPr>
          <w:p w14:paraId="2EA8A37C" w14:textId="25CBB034" w:rsidR="006462E5" w:rsidRPr="00D80C6C" w:rsidRDefault="2FC768C0" w:rsidP="001B4FD0">
            <w:pPr>
              <w:rPr>
                <w:rFonts w:eastAsia="Arial" w:cs="Arial"/>
                <w:sz w:val="22"/>
                <w:szCs w:val="22"/>
              </w:rPr>
            </w:pPr>
            <w:r w:rsidRPr="07AF1209">
              <w:rPr>
                <w:rFonts w:eastAsia="Arial" w:cs="Arial"/>
                <w:sz w:val="22"/>
                <w:szCs w:val="22"/>
              </w:rPr>
              <w:t>Moderate</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94A2E4" w14:textId="77777777" w:rsidR="006462E5" w:rsidRPr="00D80C6C" w:rsidRDefault="006462E5" w:rsidP="001B4FD0">
            <w:pPr>
              <w:rPr>
                <w:rFonts w:eastAsia="Arial" w:cs="Arial"/>
                <w:sz w:val="22"/>
                <w:szCs w:val="22"/>
              </w:rPr>
            </w:pPr>
            <w:r w:rsidRPr="737E9380">
              <w:rPr>
                <w:rFonts w:eastAsia="Arial" w:cs="Arial"/>
                <w:sz w:val="22"/>
                <w:szCs w:val="22"/>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5F39CC4F" w14:textId="67CC85BA" w:rsidR="006462E5" w:rsidRPr="00D80C6C" w:rsidRDefault="22F53625" w:rsidP="001B4FD0">
            <w:pPr>
              <w:rPr>
                <w:rFonts w:eastAsia="Arial" w:cs="Arial"/>
                <w:sz w:val="22"/>
                <w:szCs w:val="22"/>
              </w:rPr>
            </w:pPr>
            <w:r w:rsidRPr="07AF1209">
              <w:rPr>
                <w:rFonts w:eastAsia="Arial" w:cs="Arial"/>
                <w:sz w:val="22"/>
                <w:szCs w:val="22"/>
              </w:rPr>
              <w:t>No</w:t>
            </w:r>
          </w:p>
        </w:tc>
      </w:tr>
    </w:tbl>
    <w:p w14:paraId="42DA48EC" w14:textId="77777777" w:rsidR="006462E5" w:rsidRPr="00D80C6C" w:rsidRDefault="006462E5" w:rsidP="001B4FD0">
      <w:pPr>
        <w:rPr>
          <w:rFonts w:eastAsia="Arial" w:cs="Arial"/>
          <w:b/>
          <w:sz w:val="22"/>
          <w:szCs w:val="22"/>
        </w:rPr>
      </w:pPr>
    </w:p>
    <w:tbl>
      <w:tblPr>
        <w:tblStyle w:val="TableGrid"/>
        <w:tblpPr w:leftFromText="180" w:rightFromText="180" w:vertAnchor="text" w:horzAnchor="page" w:tblpX="1462" w:tblpY="-10"/>
        <w:tblOverlap w:val="never"/>
        <w:tblW w:w="9067" w:type="dxa"/>
        <w:tblLook w:val="04A0" w:firstRow="1" w:lastRow="0" w:firstColumn="1" w:lastColumn="0" w:noHBand="0" w:noVBand="1"/>
      </w:tblPr>
      <w:tblGrid>
        <w:gridCol w:w="2655"/>
        <w:gridCol w:w="1876"/>
        <w:gridCol w:w="4536"/>
      </w:tblGrid>
      <w:tr w:rsidR="006462E5" w:rsidRPr="00D80C6C" w14:paraId="255FD11B" w14:textId="77777777" w:rsidTr="7849A67F">
        <w:trPr>
          <w:trHeight w:val="273"/>
        </w:trPr>
        <w:tc>
          <w:tcPr>
            <w:tcW w:w="265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B2C6B43" w14:textId="77777777" w:rsidR="006462E5" w:rsidRPr="00D80C6C" w:rsidRDefault="006462E5" w:rsidP="001B4FD0">
            <w:pPr>
              <w:rPr>
                <w:rFonts w:eastAsia="Arial" w:cs="Arial"/>
                <w:b/>
                <w:sz w:val="22"/>
                <w:szCs w:val="22"/>
              </w:rPr>
            </w:pPr>
            <w:r w:rsidRPr="737E9380">
              <w:rPr>
                <w:rFonts w:eastAsia="Arial" w:cs="Arial"/>
                <w:b/>
                <w:sz w:val="22"/>
                <w:szCs w:val="22"/>
              </w:rPr>
              <w:t>Indicator(s)</w:t>
            </w:r>
          </w:p>
        </w:tc>
        <w:tc>
          <w:tcPr>
            <w:tcW w:w="187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21BC7E7" w14:textId="77777777" w:rsidR="006462E5" w:rsidRPr="00D80C6C" w:rsidRDefault="006462E5" w:rsidP="001B4FD0">
            <w:pPr>
              <w:rPr>
                <w:rFonts w:eastAsia="Arial" w:cs="Arial"/>
                <w:b/>
                <w:sz w:val="22"/>
                <w:szCs w:val="22"/>
              </w:rPr>
            </w:pPr>
            <w:r w:rsidRPr="737E9380">
              <w:rPr>
                <w:rFonts w:eastAsia="Arial" w:cs="Arial"/>
                <w:b/>
                <w:sz w:val="22"/>
                <w:szCs w:val="22"/>
              </w:rPr>
              <w:t>Milestone(s) for this review</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ED0A53B" w14:textId="77777777" w:rsidR="006462E5" w:rsidRPr="00D80C6C" w:rsidRDefault="006462E5" w:rsidP="001B4FD0">
            <w:pPr>
              <w:rPr>
                <w:rFonts w:eastAsia="Arial" w:cs="Arial"/>
                <w:b/>
                <w:sz w:val="22"/>
                <w:szCs w:val="22"/>
              </w:rPr>
            </w:pPr>
            <w:r w:rsidRPr="737E9380">
              <w:rPr>
                <w:rFonts w:eastAsia="Arial" w:cs="Arial"/>
                <w:b/>
                <w:sz w:val="22"/>
                <w:szCs w:val="22"/>
              </w:rPr>
              <w:t xml:space="preserve">Progress </w:t>
            </w:r>
          </w:p>
        </w:tc>
      </w:tr>
      <w:tr w:rsidR="006462E5" w:rsidRPr="00D80C6C" w14:paraId="3FF03FFF" w14:textId="77777777" w:rsidTr="7849A67F">
        <w:trPr>
          <w:trHeight w:val="300"/>
        </w:trPr>
        <w:tc>
          <w:tcPr>
            <w:tcW w:w="2655" w:type="dxa"/>
            <w:tcBorders>
              <w:top w:val="single" w:sz="4" w:space="0" w:color="auto"/>
              <w:left w:val="single" w:sz="4" w:space="0" w:color="auto"/>
              <w:bottom w:val="single" w:sz="4" w:space="0" w:color="auto"/>
              <w:right w:val="single" w:sz="4" w:space="0" w:color="auto"/>
            </w:tcBorders>
          </w:tcPr>
          <w:p w14:paraId="67E5CF59" w14:textId="0ABF7673" w:rsidR="006462E5" w:rsidRPr="003B2898" w:rsidRDefault="048DD1DB" w:rsidP="001B4FD0">
            <w:pPr>
              <w:rPr>
                <w:rFonts w:eastAsia="Arial" w:cs="Arial"/>
                <w:sz w:val="22"/>
                <w:szCs w:val="22"/>
              </w:rPr>
            </w:pPr>
            <w:r w:rsidRPr="7849A67F">
              <w:rPr>
                <w:rFonts w:eastAsia="Arial" w:cs="Arial"/>
                <w:sz w:val="22"/>
                <w:szCs w:val="22"/>
              </w:rPr>
              <w:t xml:space="preserve">5.1. Number of co-benefits achieved through </w:t>
            </w:r>
            <w:r w:rsidR="513B02A0" w:rsidRPr="7849A67F">
              <w:rPr>
                <w:rFonts w:eastAsia="Arial" w:cs="Arial"/>
                <w:sz w:val="22"/>
                <w:szCs w:val="22"/>
              </w:rPr>
              <w:t xml:space="preserve">project </w:t>
            </w:r>
            <w:r w:rsidRPr="7849A67F">
              <w:rPr>
                <w:rFonts w:eastAsia="Arial" w:cs="Arial"/>
                <w:sz w:val="22"/>
                <w:szCs w:val="22"/>
              </w:rPr>
              <w:t>support</w:t>
            </w:r>
          </w:p>
        </w:tc>
        <w:tc>
          <w:tcPr>
            <w:tcW w:w="1876" w:type="dxa"/>
            <w:tcBorders>
              <w:top w:val="single" w:sz="4" w:space="0" w:color="auto"/>
              <w:left w:val="single" w:sz="4" w:space="0" w:color="auto"/>
              <w:bottom w:val="single" w:sz="4" w:space="0" w:color="auto"/>
              <w:right w:val="single" w:sz="4" w:space="0" w:color="auto"/>
            </w:tcBorders>
          </w:tcPr>
          <w:p w14:paraId="765081AA" w14:textId="5B060869" w:rsidR="006462E5" w:rsidRPr="003B2898" w:rsidRDefault="048DD1DB" w:rsidP="001B4FD0">
            <w:pPr>
              <w:rPr>
                <w:rFonts w:eastAsia="Arial" w:cs="Arial"/>
                <w:sz w:val="22"/>
                <w:szCs w:val="22"/>
              </w:rPr>
            </w:pPr>
            <w:r w:rsidRPr="7849A67F">
              <w:rPr>
                <w:rFonts w:eastAsia="Arial" w:cs="Arial"/>
                <w:sz w:val="22"/>
                <w:szCs w:val="22"/>
              </w:rPr>
              <w:t>6</w:t>
            </w:r>
            <w:r w:rsidR="48613CAE" w:rsidRPr="7849A67F">
              <w:rPr>
                <w:rFonts w:eastAsia="Arial" w:cs="Arial"/>
                <w:sz w:val="22"/>
                <w:szCs w:val="22"/>
              </w:rPr>
              <w:t>5</w:t>
            </w:r>
          </w:p>
        </w:tc>
        <w:tc>
          <w:tcPr>
            <w:tcW w:w="4536" w:type="dxa"/>
            <w:tcBorders>
              <w:top w:val="single" w:sz="4" w:space="0" w:color="auto"/>
              <w:left w:val="single" w:sz="4" w:space="0" w:color="auto"/>
              <w:bottom w:val="single" w:sz="4" w:space="0" w:color="auto"/>
              <w:right w:val="single" w:sz="4" w:space="0" w:color="auto"/>
            </w:tcBorders>
          </w:tcPr>
          <w:p w14:paraId="7A8CE550" w14:textId="6A0BCBEC" w:rsidR="006462E5" w:rsidRPr="003B2898" w:rsidRDefault="19F427CD" w:rsidP="001B4FD0">
            <w:pPr>
              <w:contextualSpacing/>
              <w:rPr>
                <w:rFonts w:eastAsia="Arial" w:cs="Arial"/>
                <w:sz w:val="22"/>
                <w:szCs w:val="22"/>
              </w:rPr>
            </w:pPr>
            <w:r w:rsidRPr="7849A67F">
              <w:rPr>
                <w:rFonts w:eastAsia="Arial" w:cs="Arial"/>
                <w:b/>
                <w:bCs/>
                <w:sz w:val="22"/>
                <w:szCs w:val="22"/>
                <w:u w:val="single"/>
              </w:rPr>
              <w:t xml:space="preserve">Progress </w:t>
            </w:r>
            <w:r w:rsidR="0DCB6A81" w:rsidRPr="7849A67F">
              <w:rPr>
                <w:rFonts w:eastAsia="Arial" w:cs="Arial"/>
                <w:b/>
                <w:bCs/>
                <w:sz w:val="22"/>
                <w:szCs w:val="22"/>
                <w:u w:val="single"/>
              </w:rPr>
              <w:t xml:space="preserve">substantially </w:t>
            </w:r>
            <w:r w:rsidRPr="7849A67F">
              <w:rPr>
                <w:rFonts w:eastAsia="Arial" w:cs="Arial"/>
                <w:b/>
                <w:bCs/>
                <w:sz w:val="22"/>
                <w:szCs w:val="22"/>
                <w:u w:val="single"/>
              </w:rPr>
              <w:t>exceeded expectation (1</w:t>
            </w:r>
            <w:r w:rsidR="7075C317" w:rsidRPr="7849A67F">
              <w:rPr>
                <w:rFonts w:eastAsia="Arial" w:cs="Arial"/>
                <w:b/>
                <w:bCs/>
                <w:sz w:val="22"/>
                <w:szCs w:val="22"/>
                <w:u w:val="single"/>
              </w:rPr>
              <w:t>52</w:t>
            </w:r>
            <w:r w:rsidRPr="7849A67F">
              <w:rPr>
                <w:rFonts w:eastAsia="Arial" w:cs="Arial"/>
                <w:b/>
                <w:bCs/>
                <w:sz w:val="22"/>
                <w:szCs w:val="22"/>
                <w:u w:val="single"/>
              </w:rPr>
              <w:t>%)</w:t>
            </w:r>
          </w:p>
          <w:p w14:paraId="431494BD" w14:textId="29A5CDF8" w:rsidR="00710795" w:rsidRPr="003B2898" w:rsidRDefault="19F427CD" w:rsidP="4A9EF9D3">
            <w:pPr>
              <w:contextualSpacing/>
              <w:rPr>
                <w:rFonts w:eastAsia="Arial" w:cs="Arial"/>
                <w:sz w:val="22"/>
                <w:szCs w:val="22"/>
              </w:rPr>
            </w:pPr>
            <w:r w:rsidRPr="7849A67F">
              <w:rPr>
                <w:rFonts w:eastAsia="Arial" w:cs="Arial"/>
                <w:sz w:val="22"/>
                <w:szCs w:val="22"/>
              </w:rPr>
              <w:t>202</w:t>
            </w:r>
            <w:r w:rsidR="1D5A1108" w:rsidRPr="7849A67F">
              <w:rPr>
                <w:rFonts w:eastAsia="Arial" w:cs="Arial"/>
                <w:sz w:val="22"/>
                <w:szCs w:val="22"/>
              </w:rPr>
              <w:t>3</w:t>
            </w:r>
            <w:r w:rsidRPr="7849A67F">
              <w:rPr>
                <w:rFonts w:eastAsia="Arial" w:cs="Arial"/>
                <w:sz w:val="22"/>
                <w:szCs w:val="22"/>
              </w:rPr>
              <w:t xml:space="preserve">: </w:t>
            </w:r>
            <w:r w:rsidR="21DDB321" w:rsidRPr="7849A67F">
              <w:rPr>
                <w:rFonts w:eastAsia="Arial" w:cs="Arial"/>
                <w:sz w:val="22"/>
                <w:szCs w:val="22"/>
              </w:rPr>
              <w:t>99</w:t>
            </w:r>
          </w:p>
          <w:p w14:paraId="098B4C06" w14:textId="713AEDE5" w:rsidR="00710795" w:rsidRPr="003B2898" w:rsidRDefault="2A1D47A5" w:rsidP="4A9EF9D3">
            <w:pPr>
              <w:contextualSpacing/>
              <w:rPr>
                <w:rFonts w:eastAsia="Arial" w:cs="Arial"/>
                <w:sz w:val="22"/>
                <w:szCs w:val="22"/>
              </w:rPr>
            </w:pPr>
            <w:r w:rsidRPr="7849A67F">
              <w:rPr>
                <w:rFonts w:eastAsia="Arial" w:cs="Arial"/>
                <w:sz w:val="22"/>
                <w:szCs w:val="22"/>
              </w:rPr>
              <w:t>This represents an increase on 2022 including a</w:t>
            </w:r>
            <w:r w:rsidR="08FCEBF0" w:rsidRPr="7849A67F">
              <w:rPr>
                <w:rFonts w:eastAsia="Arial" w:cs="Arial"/>
                <w:sz w:val="22"/>
                <w:szCs w:val="22"/>
              </w:rPr>
              <w:t>n increase in the target.</w:t>
            </w:r>
          </w:p>
        </w:tc>
      </w:tr>
      <w:tr w:rsidR="006462E5" w:rsidRPr="00D80C6C" w14:paraId="54BDADA5" w14:textId="77777777" w:rsidTr="7849A67F">
        <w:trPr>
          <w:trHeight w:val="300"/>
        </w:trPr>
        <w:tc>
          <w:tcPr>
            <w:tcW w:w="2655" w:type="dxa"/>
            <w:tcBorders>
              <w:top w:val="single" w:sz="4" w:space="0" w:color="auto"/>
              <w:left w:val="single" w:sz="4" w:space="0" w:color="auto"/>
              <w:bottom w:val="single" w:sz="4" w:space="0" w:color="auto"/>
              <w:right w:val="single" w:sz="4" w:space="0" w:color="auto"/>
            </w:tcBorders>
          </w:tcPr>
          <w:p w14:paraId="7ED3EDDA" w14:textId="50847F89" w:rsidR="006462E5" w:rsidRPr="00D80C6C" w:rsidRDefault="1249AFAB" w:rsidP="001B4FD0">
            <w:pPr>
              <w:rPr>
                <w:rFonts w:eastAsia="Arial" w:cs="Arial"/>
                <w:sz w:val="22"/>
                <w:szCs w:val="22"/>
              </w:rPr>
            </w:pPr>
            <w:r w:rsidRPr="7849A67F">
              <w:rPr>
                <w:rFonts w:eastAsia="Arial" w:cs="Arial"/>
                <w:sz w:val="22"/>
                <w:szCs w:val="22"/>
              </w:rPr>
              <w:t>5.2.a) Percentage of project’s achievement of the Mitigation Action Facility’s minimum requirements to plan and implement in a gender-responsive manner</w:t>
            </w:r>
          </w:p>
        </w:tc>
        <w:tc>
          <w:tcPr>
            <w:tcW w:w="1876" w:type="dxa"/>
            <w:tcBorders>
              <w:top w:val="single" w:sz="4" w:space="0" w:color="auto"/>
              <w:left w:val="single" w:sz="4" w:space="0" w:color="auto"/>
              <w:bottom w:val="single" w:sz="4" w:space="0" w:color="auto"/>
              <w:right w:val="single" w:sz="4" w:space="0" w:color="auto"/>
            </w:tcBorders>
          </w:tcPr>
          <w:p w14:paraId="2358CAB2" w14:textId="70A66F54" w:rsidR="006462E5" w:rsidRPr="00D80C6C" w:rsidRDefault="006462E5" w:rsidP="001B4FD0">
            <w:pPr>
              <w:rPr>
                <w:rFonts w:eastAsia="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064C3F1" w14:textId="558130C7" w:rsidR="006462E5" w:rsidRPr="00D80C6C" w:rsidRDefault="12A8E813" w:rsidP="001B4FD0">
            <w:pPr>
              <w:contextualSpacing/>
              <w:rPr>
                <w:rFonts w:eastAsia="Arial" w:cs="Arial"/>
                <w:sz w:val="22"/>
                <w:szCs w:val="22"/>
              </w:rPr>
            </w:pPr>
            <w:r w:rsidRPr="7849A67F">
              <w:rPr>
                <w:rFonts w:eastAsia="Arial" w:cs="Arial"/>
                <w:sz w:val="22"/>
                <w:szCs w:val="22"/>
              </w:rPr>
              <w:t>New indicator introduced in 2023</w:t>
            </w:r>
            <w:r w:rsidR="7BA04E8A" w:rsidRPr="7849A67F">
              <w:rPr>
                <w:rFonts w:eastAsia="Arial" w:cs="Arial"/>
                <w:sz w:val="22"/>
                <w:szCs w:val="22"/>
              </w:rPr>
              <w:t xml:space="preserve"> with the launch of the Facility’s Gender Action Plan.</w:t>
            </w:r>
          </w:p>
        </w:tc>
      </w:tr>
      <w:tr w:rsidR="4A9EF9D3" w14:paraId="301718C0" w14:textId="77777777" w:rsidTr="7849A67F">
        <w:trPr>
          <w:trHeight w:val="300"/>
        </w:trPr>
        <w:tc>
          <w:tcPr>
            <w:tcW w:w="2655" w:type="dxa"/>
            <w:tcBorders>
              <w:top w:val="single" w:sz="4" w:space="0" w:color="auto"/>
              <w:left w:val="single" w:sz="4" w:space="0" w:color="auto"/>
              <w:bottom w:val="single" w:sz="4" w:space="0" w:color="auto"/>
              <w:right w:val="single" w:sz="4" w:space="0" w:color="auto"/>
            </w:tcBorders>
          </w:tcPr>
          <w:p w14:paraId="524334B4" w14:textId="372DB767" w:rsidR="611B7FE4" w:rsidRDefault="1249AFAB" w:rsidP="4A9EF9D3">
            <w:pPr>
              <w:rPr>
                <w:rFonts w:eastAsia="Arial" w:cs="Arial"/>
                <w:sz w:val="22"/>
                <w:szCs w:val="22"/>
              </w:rPr>
            </w:pPr>
            <w:r w:rsidRPr="7849A67F">
              <w:rPr>
                <w:rFonts w:eastAsia="Arial" w:cs="Arial"/>
                <w:sz w:val="22"/>
                <w:szCs w:val="22"/>
              </w:rPr>
              <w:t>5.2.b) Percentage of project’s implementation of a gender-transformative pilot activity</w:t>
            </w:r>
          </w:p>
        </w:tc>
        <w:tc>
          <w:tcPr>
            <w:tcW w:w="1876" w:type="dxa"/>
            <w:tcBorders>
              <w:top w:val="single" w:sz="4" w:space="0" w:color="auto"/>
              <w:left w:val="single" w:sz="4" w:space="0" w:color="auto"/>
              <w:bottom w:val="single" w:sz="4" w:space="0" w:color="auto"/>
              <w:right w:val="single" w:sz="4" w:space="0" w:color="auto"/>
            </w:tcBorders>
          </w:tcPr>
          <w:p w14:paraId="0665D0FD" w14:textId="2095665E" w:rsidR="4A9EF9D3" w:rsidRDefault="4A9EF9D3" w:rsidP="4A9EF9D3">
            <w:pPr>
              <w:rPr>
                <w:rFonts w:eastAsia="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BA5D278" w14:textId="3065D19A" w:rsidR="1CBBB6C3" w:rsidRDefault="387BCAA9" w:rsidP="4A9EF9D3">
            <w:pPr>
              <w:contextualSpacing/>
              <w:rPr>
                <w:rFonts w:eastAsia="Arial" w:cs="Arial"/>
                <w:sz w:val="22"/>
                <w:szCs w:val="22"/>
              </w:rPr>
            </w:pPr>
            <w:r w:rsidRPr="7849A67F">
              <w:rPr>
                <w:rFonts w:eastAsia="Arial" w:cs="Arial"/>
                <w:sz w:val="22"/>
                <w:szCs w:val="22"/>
              </w:rPr>
              <w:t>New indicator introduced in 2023</w:t>
            </w:r>
            <w:r w:rsidR="481DCE21" w:rsidRPr="7849A67F">
              <w:rPr>
                <w:rFonts w:eastAsia="Arial" w:cs="Arial"/>
                <w:sz w:val="22"/>
                <w:szCs w:val="22"/>
              </w:rPr>
              <w:t xml:space="preserve"> with the launch of the Facility’s Gender Action Plan.</w:t>
            </w:r>
          </w:p>
          <w:p w14:paraId="1F48E138" w14:textId="7A54F98B" w:rsidR="4A9EF9D3" w:rsidRDefault="4A9EF9D3" w:rsidP="4A9EF9D3">
            <w:pPr>
              <w:rPr>
                <w:rFonts w:eastAsia="Arial" w:cs="Arial"/>
                <w:sz w:val="22"/>
                <w:szCs w:val="22"/>
              </w:rPr>
            </w:pPr>
          </w:p>
        </w:tc>
      </w:tr>
    </w:tbl>
    <w:p w14:paraId="3D829B85" w14:textId="0C4CEC61" w:rsidR="006462E5" w:rsidDel="00255195" w:rsidRDefault="006462E5" w:rsidP="07AF1209">
      <w:pPr>
        <w:jc w:val="both"/>
        <w:rPr>
          <w:rFonts w:eastAsia="Arial" w:cs="Arial"/>
          <w:b/>
          <w:i/>
          <w:sz w:val="28"/>
          <w:szCs w:val="28"/>
        </w:rPr>
      </w:pPr>
    </w:p>
    <w:p w14:paraId="586D8C39" w14:textId="6901CBC7" w:rsidR="006462E5" w:rsidRPr="00D80C6C" w:rsidDel="00CC195C" w:rsidRDefault="006462E5" w:rsidP="07AF1209">
      <w:pPr>
        <w:jc w:val="both"/>
        <w:rPr>
          <w:rFonts w:eastAsia="Arial" w:cs="Arial"/>
          <w:b/>
          <w:i/>
          <w:sz w:val="22"/>
          <w:szCs w:val="22"/>
        </w:rPr>
      </w:pPr>
      <w:r w:rsidRPr="737E9380">
        <w:rPr>
          <w:rFonts w:eastAsia="Arial" w:cs="Arial"/>
          <w:b/>
          <w:i/>
          <w:sz w:val="28"/>
          <w:szCs w:val="28"/>
        </w:rPr>
        <w:t>Output summary and supporting narrative for the score</w:t>
      </w:r>
      <w:r w:rsidRPr="737E9380">
        <w:rPr>
          <w:rFonts w:eastAsia="Arial" w:cs="Arial"/>
          <w:b/>
          <w:i/>
          <w:sz w:val="22"/>
          <w:szCs w:val="22"/>
        </w:rPr>
        <w:t xml:space="preserve"> </w:t>
      </w:r>
    </w:p>
    <w:p w14:paraId="7B73E80A" w14:textId="77777777" w:rsidR="006462E5" w:rsidRPr="00D80C6C" w:rsidRDefault="006462E5" w:rsidP="07AF1209">
      <w:pPr>
        <w:jc w:val="both"/>
        <w:rPr>
          <w:rFonts w:eastAsia="Arial" w:cs="Arial"/>
          <w:sz w:val="22"/>
          <w:szCs w:val="22"/>
        </w:rPr>
      </w:pPr>
    </w:p>
    <w:p w14:paraId="2899C30B" w14:textId="6A9A2E90" w:rsidR="006462E5" w:rsidRDefault="006759E8" w:rsidP="07AF1209">
      <w:pPr>
        <w:pStyle w:val="ListParagraph"/>
        <w:numPr>
          <w:ilvl w:val="0"/>
          <w:numId w:val="12"/>
        </w:numPr>
        <w:jc w:val="both"/>
        <w:rPr>
          <w:rFonts w:eastAsia="Arial" w:cs="Arial"/>
          <w:sz w:val="22"/>
          <w:szCs w:val="22"/>
        </w:rPr>
      </w:pPr>
      <w:r w:rsidRPr="737E9380">
        <w:rPr>
          <w:rFonts w:eastAsia="Arial" w:cs="Arial"/>
          <w:sz w:val="22"/>
          <w:szCs w:val="22"/>
        </w:rPr>
        <w:t>Output 5</w:t>
      </w:r>
      <w:r w:rsidR="0022025A" w:rsidRPr="737E9380">
        <w:rPr>
          <w:rFonts w:eastAsia="Arial" w:cs="Arial"/>
          <w:sz w:val="22"/>
          <w:szCs w:val="22"/>
        </w:rPr>
        <w:t xml:space="preserve"> </w:t>
      </w:r>
      <w:r w:rsidR="002C125A" w:rsidRPr="737E9380">
        <w:rPr>
          <w:rFonts w:eastAsia="Arial" w:cs="Arial"/>
          <w:sz w:val="22"/>
          <w:szCs w:val="22"/>
        </w:rPr>
        <w:t>measures co-benefits of Mitigation Action Facility project</w:t>
      </w:r>
      <w:r w:rsidR="00CF27C3" w:rsidRPr="737E9380">
        <w:rPr>
          <w:rFonts w:eastAsia="Arial" w:cs="Arial"/>
          <w:sz w:val="22"/>
          <w:szCs w:val="22"/>
        </w:rPr>
        <w:t>s.</w:t>
      </w:r>
      <w:r w:rsidR="00B46A21" w:rsidRPr="737E9380">
        <w:rPr>
          <w:rFonts w:eastAsia="Arial" w:cs="Arial"/>
          <w:sz w:val="22"/>
          <w:szCs w:val="22"/>
        </w:rPr>
        <w:t xml:space="preserve"> Co-benefits are multiple positive effects that extend beyond </w:t>
      </w:r>
      <w:r w:rsidR="00BA5151" w:rsidRPr="737E9380">
        <w:rPr>
          <w:rFonts w:eastAsia="Arial" w:cs="Arial"/>
          <w:sz w:val="22"/>
          <w:szCs w:val="22"/>
        </w:rPr>
        <w:t>the</w:t>
      </w:r>
      <w:r w:rsidR="00B46A21" w:rsidRPr="737E9380">
        <w:rPr>
          <w:rFonts w:eastAsia="Arial" w:cs="Arial"/>
          <w:sz w:val="22"/>
          <w:szCs w:val="22"/>
        </w:rPr>
        <w:t xml:space="preserve"> primary objective</w:t>
      </w:r>
      <w:r w:rsidR="00BA5151" w:rsidRPr="737E9380">
        <w:rPr>
          <w:rFonts w:eastAsia="Arial" w:cs="Arial"/>
          <w:sz w:val="22"/>
          <w:szCs w:val="22"/>
        </w:rPr>
        <w:t xml:space="preserve"> of a policy, action or </w:t>
      </w:r>
      <w:r w:rsidR="00256D83" w:rsidRPr="737E9380">
        <w:rPr>
          <w:rFonts w:eastAsia="Arial" w:cs="Arial"/>
          <w:sz w:val="22"/>
          <w:szCs w:val="22"/>
        </w:rPr>
        <w:t>measure</w:t>
      </w:r>
      <w:r w:rsidR="00AB7143" w:rsidRPr="737E9380">
        <w:rPr>
          <w:rFonts w:eastAsia="Arial" w:cs="Arial"/>
          <w:sz w:val="22"/>
          <w:szCs w:val="22"/>
        </w:rPr>
        <w:t xml:space="preserve"> (climate mitigation).</w:t>
      </w:r>
      <w:r w:rsidR="00256D83" w:rsidRPr="737E9380">
        <w:rPr>
          <w:rFonts w:eastAsia="Arial" w:cs="Arial"/>
          <w:sz w:val="22"/>
          <w:szCs w:val="22"/>
        </w:rPr>
        <w:t xml:space="preserve"> </w:t>
      </w:r>
    </w:p>
    <w:p w14:paraId="1B71B04B" w14:textId="5106E8F0" w:rsidR="00085CCB" w:rsidRPr="00747F69" w:rsidRDefault="00836CB9" w:rsidP="07AF1209">
      <w:pPr>
        <w:pStyle w:val="ListParagraph"/>
        <w:numPr>
          <w:ilvl w:val="0"/>
          <w:numId w:val="12"/>
        </w:numPr>
        <w:jc w:val="both"/>
        <w:rPr>
          <w:rFonts w:eastAsia="Arial" w:cs="Arial"/>
          <w:sz w:val="22"/>
          <w:szCs w:val="22"/>
        </w:rPr>
      </w:pPr>
      <w:r w:rsidRPr="6CC37B78">
        <w:rPr>
          <w:rFonts w:eastAsia="Arial" w:cs="Arial"/>
          <w:sz w:val="22"/>
          <w:szCs w:val="22"/>
        </w:rPr>
        <w:t>In 202</w:t>
      </w:r>
      <w:r w:rsidR="39D7013E" w:rsidRPr="6CC37B78">
        <w:rPr>
          <w:rFonts w:eastAsia="Arial" w:cs="Arial"/>
          <w:sz w:val="22"/>
          <w:szCs w:val="22"/>
        </w:rPr>
        <w:t>3</w:t>
      </w:r>
      <w:r w:rsidRPr="6CC37B78">
        <w:rPr>
          <w:rFonts w:eastAsia="Arial" w:cs="Arial"/>
          <w:sz w:val="22"/>
          <w:szCs w:val="22"/>
        </w:rPr>
        <w:t xml:space="preserve">, </w:t>
      </w:r>
      <w:r w:rsidR="00E83C85" w:rsidRPr="6CC37B78">
        <w:rPr>
          <w:rFonts w:eastAsia="Arial" w:cs="Arial"/>
          <w:sz w:val="22"/>
          <w:szCs w:val="22"/>
        </w:rPr>
        <w:t xml:space="preserve">the </w:t>
      </w:r>
      <w:r w:rsidR="43EC6090" w:rsidRPr="6CC37B78">
        <w:rPr>
          <w:rFonts w:eastAsia="Arial" w:cs="Arial"/>
          <w:sz w:val="22"/>
          <w:szCs w:val="22"/>
        </w:rPr>
        <w:t>99</w:t>
      </w:r>
      <w:r w:rsidR="00E83C85" w:rsidRPr="6CC37B78">
        <w:rPr>
          <w:rFonts w:eastAsia="Arial" w:cs="Arial"/>
          <w:sz w:val="22"/>
          <w:szCs w:val="22"/>
        </w:rPr>
        <w:t xml:space="preserve"> </w:t>
      </w:r>
      <w:r w:rsidRPr="6CC37B78">
        <w:rPr>
          <w:rFonts w:eastAsia="Arial" w:cs="Arial"/>
          <w:sz w:val="22"/>
          <w:szCs w:val="22"/>
        </w:rPr>
        <w:t>c</w:t>
      </w:r>
      <w:r w:rsidR="00CA53DE" w:rsidRPr="6CC37B78">
        <w:rPr>
          <w:rFonts w:eastAsia="Arial" w:cs="Arial"/>
          <w:sz w:val="22"/>
          <w:szCs w:val="22"/>
        </w:rPr>
        <w:t xml:space="preserve">o-benefits to the local contexts of </w:t>
      </w:r>
      <w:r w:rsidR="00F61A11" w:rsidRPr="6CC37B78">
        <w:rPr>
          <w:rFonts w:eastAsia="Arial" w:cs="Arial"/>
          <w:sz w:val="22"/>
          <w:szCs w:val="22"/>
        </w:rPr>
        <w:t>MAF projects</w:t>
      </w:r>
      <w:r w:rsidR="2B6614B8" w:rsidRPr="6CC37B78">
        <w:rPr>
          <w:rFonts w:eastAsia="Arial" w:cs="Arial"/>
          <w:sz w:val="22"/>
          <w:szCs w:val="22"/>
        </w:rPr>
        <w:t xml:space="preserve"> – </w:t>
      </w:r>
      <w:r w:rsidR="06D88DA1" w:rsidRPr="6CC37B78">
        <w:rPr>
          <w:rFonts w:eastAsia="Arial" w:cs="Arial"/>
          <w:sz w:val="22"/>
          <w:szCs w:val="22"/>
        </w:rPr>
        <w:t>exceeding</w:t>
      </w:r>
      <w:r w:rsidR="00F61A11" w:rsidRPr="6CC37B78">
        <w:rPr>
          <w:rFonts w:eastAsia="Arial" w:cs="Arial"/>
          <w:sz w:val="22"/>
          <w:szCs w:val="22"/>
        </w:rPr>
        <w:t xml:space="preserve"> </w:t>
      </w:r>
      <w:r w:rsidR="2B6614B8" w:rsidRPr="6CC37B78">
        <w:rPr>
          <w:rFonts w:eastAsia="Arial" w:cs="Arial"/>
          <w:sz w:val="22"/>
          <w:szCs w:val="22"/>
        </w:rPr>
        <w:t xml:space="preserve">the target of 65 – can </w:t>
      </w:r>
      <w:r w:rsidR="00F61A11" w:rsidRPr="6CC37B78">
        <w:rPr>
          <w:rFonts w:eastAsia="Arial" w:cs="Arial"/>
          <w:sz w:val="22"/>
          <w:szCs w:val="22"/>
        </w:rPr>
        <w:t>be disaggregated to:</w:t>
      </w:r>
      <w:r w:rsidRPr="6CC37B78">
        <w:rPr>
          <w:rFonts w:eastAsia="Arial" w:cs="Arial"/>
          <w:sz w:val="22"/>
          <w:szCs w:val="22"/>
        </w:rPr>
        <w:t xml:space="preserve"> 6 </w:t>
      </w:r>
      <w:r w:rsidR="009E689E" w:rsidRPr="6CC37B78">
        <w:rPr>
          <w:rFonts w:eastAsia="Arial" w:cs="Arial"/>
          <w:sz w:val="22"/>
          <w:szCs w:val="22"/>
        </w:rPr>
        <w:t xml:space="preserve">political, </w:t>
      </w:r>
      <w:r w:rsidR="389781E6" w:rsidRPr="6CC37B78">
        <w:rPr>
          <w:rFonts w:eastAsia="Arial" w:cs="Arial"/>
          <w:sz w:val="22"/>
          <w:szCs w:val="22"/>
        </w:rPr>
        <w:t>34</w:t>
      </w:r>
      <w:r w:rsidR="009E689E" w:rsidRPr="6CC37B78">
        <w:rPr>
          <w:rFonts w:eastAsia="Arial" w:cs="Arial"/>
          <w:sz w:val="22"/>
          <w:szCs w:val="22"/>
        </w:rPr>
        <w:t xml:space="preserve"> social, </w:t>
      </w:r>
      <w:r w:rsidR="6AAE04BA" w:rsidRPr="6CC37B78">
        <w:rPr>
          <w:rFonts w:eastAsia="Arial" w:cs="Arial"/>
          <w:sz w:val="22"/>
          <w:szCs w:val="22"/>
        </w:rPr>
        <w:t>27</w:t>
      </w:r>
      <w:r w:rsidR="009E689E" w:rsidRPr="6CC37B78">
        <w:rPr>
          <w:rFonts w:eastAsia="Arial" w:cs="Arial"/>
          <w:sz w:val="22"/>
          <w:szCs w:val="22"/>
        </w:rPr>
        <w:t xml:space="preserve"> environmental and </w:t>
      </w:r>
      <w:r w:rsidR="12799B72" w:rsidRPr="6CC37B78">
        <w:rPr>
          <w:rFonts w:eastAsia="Arial" w:cs="Arial"/>
          <w:sz w:val="22"/>
          <w:szCs w:val="22"/>
        </w:rPr>
        <w:t>32</w:t>
      </w:r>
      <w:r w:rsidR="009E689E" w:rsidRPr="6CC37B78">
        <w:rPr>
          <w:rFonts w:eastAsia="Arial" w:cs="Arial"/>
          <w:sz w:val="22"/>
          <w:szCs w:val="22"/>
        </w:rPr>
        <w:t xml:space="preserve"> economic</w:t>
      </w:r>
      <w:r w:rsidR="008A6743" w:rsidRPr="6CC37B78">
        <w:rPr>
          <w:rFonts w:eastAsia="Arial" w:cs="Arial"/>
          <w:sz w:val="22"/>
          <w:szCs w:val="22"/>
        </w:rPr>
        <w:t>.</w:t>
      </w:r>
      <w:r w:rsidR="0097205F" w:rsidRPr="6CC37B78">
        <w:rPr>
          <w:rFonts w:eastAsia="Arial" w:cs="Arial"/>
          <w:sz w:val="22"/>
          <w:szCs w:val="22"/>
        </w:rPr>
        <w:t xml:space="preserve"> </w:t>
      </w:r>
      <w:r w:rsidR="799B490F" w:rsidRPr="6CC37B78">
        <w:rPr>
          <w:rFonts w:eastAsia="Arial" w:cs="Arial"/>
          <w:sz w:val="22"/>
          <w:szCs w:val="22"/>
        </w:rPr>
        <w:t xml:space="preserve">Examples </w:t>
      </w:r>
      <w:r w:rsidR="167243B3" w:rsidRPr="6CC37B78">
        <w:rPr>
          <w:rFonts w:eastAsia="Arial" w:cs="Arial"/>
          <w:sz w:val="22"/>
          <w:szCs w:val="22"/>
        </w:rPr>
        <w:t xml:space="preserve">across categories </w:t>
      </w:r>
      <w:r w:rsidR="799B490F" w:rsidRPr="6CC37B78">
        <w:rPr>
          <w:rFonts w:eastAsia="Arial" w:cs="Arial"/>
          <w:sz w:val="22"/>
          <w:szCs w:val="22"/>
        </w:rPr>
        <w:t xml:space="preserve">include decreased outdoor air pollution, reduced costs, </w:t>
      </w:r>
      <w:r w:rsidR="5320F836" w:rsidRPr="6CC37B78">
        <w:rPr>
          <w:rFonts w:eastAsia="Arial" w:cs="Arial"/>
          <w:sz w:val="22"/>
          <w:szCs w:val="22"/>
        </w:rPr>
        <w:t xml:space="preserve">reduced electrical consumption, </w:t>
      </w:r>
      <w:r w:rsidR="799B490F" w:rsidRPr="6CC37B78">
        <w:rPr>
          <w:rFonts w:eastAsia="Arial" w:cs="Arial"/>
          <w:sz w:val="22"/>
          <w:szCs w:val="22"/>
        </w:rPr>
        <w:t>generating new j</w:t>
      </w:r>
      <w:r w:rsidR="75FBBDF5" w:rsidRPr="6CC37B78">
        <w:rPr>
          <w:rFonts w:eastAsia="Arial" w:cs="Arial"/>
          <w:sz w:val="22"/>
          <w:szCs w:val="22"/>
        </w:rPr>
        <w:t xml:space="preserve">obs, increased citizens’ belief in their current Government. </w:t>
      </w:r>
      <w:r w:rsidR="0097205F" w:rsidRPr="6CC37B78">
        <w:rPr>
          <w:rFonts w:eastAsia="Arial" w:cs="Arial"/>
          <w:sz w:val="22"/>
          <w:szCs w:val="22"/>
        </w:rPr>
        <w:t>All themes show an increase of co-benefits since 202</w:t>
      </w:r>
      <w:r w:rsidR="6082C56C" w:rsidRPr="6CC37B78">
        <w:rPr>
          <w:rFonts w:eastAsia="Arial" w:cs="Arial"/>
          <w:sz w:val="22"/>
          <w:szCs w:val="22"/>
        </w:rPr>
        <w:t>2</w:t>
      </w:r>
      <w:r w:rsidR="0097205F" w:rsidRPr="6CC37B78">
        <w:rPr>
          <w:rFonts w:eastAsia="Arial" w:cs="Arial"/>
          <w:sz w:val="22"/>
          <w:szCs w:val="22"/>
        </w:rPr>
        <w:t xml:space="preserve"> apart from </w:t>
      </w:r>
      <w:r w:rsidR="002580F4" w:rsidRPr="6CC37B78">
        <w:rPr>
          <w:rFonts w:eastAsia="Arial" w:cs="Arial"/>
          <w:sz w:val="22"/>
          <w:szCs w:val="22"/>
        </w:rPr>
        <w:t xml:space="preserve">political </w:t>
      </w:r>
      <w:r w:rsidR="00EE46B8" w:rsidRPr="6CC37B78">
        <w:rPr>
          <w:rFonts w:eastAsia="Arial" w:cs="Arial"/>
          <w:sz w:val="22"/>
          <w:szCs w:val="22"/>
        </w:rPr>
        <w:t>co-benefits</w:t>
      </w:r>
      <w:r w:rsidR="468ED08C" w:rsidRPr="6CC37B78">
        <w:rPr>
          <w:rFonts w:eastAsia="Arial" w:cs="Arial"/>
          <w:sz w:val="22"/>
          <w:szCs w:val="22"/>
        </w:rPr>
        <w:t xml:space="preserve"> which remained steady</w:t>
      </w:r>
      <w:r w:rsidR="00EE46B8" w:rsidRPr="6CC37B78">
        <w:rPr>
          <w:rFonts w:eastAsia="Arial" w:cs="Arial"/>
          <w:sz w:val="22"/>
          <w:szCs w:val="22"/>
        </w:rPr>
        <w:t xml:space="preserve">. </w:t>
      </w:r>
    </w:p>
    <w:p w14:paraId="2AD06BC5" w14:textId="1AB3E9B0" w:rsidR="779036B8" w:rsidRDefault="779036B8" w:rsidP="07AF1209">
      <w:pPr>
        <w:pStyle w:val="ListParagraph"/>
        <w:numPr>
          <w:ilvl w:val="0"/>
          <w:numId w:val="12"/>
        </w:numPr>
        <w:jc w:val="both"/>
        <w:rPr>
          <w:rFonts w:eastAsia="Arial" w:cs="Arial"/>
          <w:sz w:val="22"/>
          <w:szCs w:val="22"/>
        </w:rPr>
      </w:pPr>
      <w:r w:rsidRPr="775450D5">
        <w:rPr>
          <w:rFonts w:eastAsia="Arial" w:cs="Arial"/>
          <w:sz w:val="22"/>
          <w:szCs w:val="22"/>
        </w:rPr>
        <w:t xml:space="preserve">5.2 was introduced in </w:t>
      </w:r>
      <w:r w:rsidR="3ADAECC8" w:rsidRPr="775450D5">
        <w:rPr>
          <w:rFonts w:eastAsia="Arial" w:cs="Arial"/>
          <w:sz w:val="22"/>
          <w:szCs w:val="22"/>
        </w:rPr>
        <w:t xml:space="preserve">September </w:t>
      </w:r>
      <w:r w:rsidRPr="775450D5">
        <w:rPr>
          <w:rFonts w:eastAsia="Arial" w:cs="Arial"/>
          <w:sz w:val="22"/>
          <w:szCs w:val="22"/>
        </w:rPr>
        <w:t>2023 in accordance with the new Gender Equality and Social Inclusion (GESI) focus</w:t>
      </w:r>
      <w:r w:rsidR="5CE6703B" w:rsidRPr="775450D5">
        <w:rPr>
          <w:rFonts w:eastAsia="Arial" w:cs="Arial"/>
          <w:sz w:val="22"/>
          <w:szCs w:val="22"/>
        </w:rPr>
        <w:t xml:space="preserve"> of the Facility</w:t>
      </w:r>
      <w:r w:rsidR="18A7B8FB" w:rsidRPr="775450D5">
        <w:rPr>
          <w:rFonts w:eastAsia="Arial" w:cs="Arial"/>
          <w:sz w:val="22"/>
          <w:szCs w:val="22"/>
        </w:rPr>
        <w:t xml:space="preserve"> to shine light on gender-responsive project achievements across the Facility</w:t>
      </w:r>
      <w:r w:rsidR="2D348735" w:rsidRPr="775450D5">
        <w:rPr>
          <w:rFonts w:eastAsia="Arial" w:cs="Arial"/>
          <w:sz w:val="22"/>
          <w:szCs w:val="22"/>
        </w:rPr>
        <w:t xml:space="preserve">. It followed the launch of the Facility’s Gender Action Plan (GAP) in the summer of 2023 therefore the decision was taken with Board approval that </w:t>
      </w:r>
      <w:r w:rsidR="5CDFEEF1" w:rsidRPr="775450D5">
        <w:rPr>
          <w:rFonts w:eastAsia="Arial" w:cs="Arial"/>
          <w:sz w:val="22"/>
          <w:szCs w:val="22"/>
        </w:rPr>
        <w:t xml:space="preserve">reporting would commence in 2024. </w:t>
      </w:r>
    </w:p>
    <w:p w14:paraId="15B27BD8" w14:textId="1F5D2562" w:rsidR="79BC37BA" w:rsidRDefault="79BC37BA" w:rsidP="07AF1209">
      <w:pPr>
        <w:pStyle w:val="ListParagraph"/>
        <w:numPr>
          <w:ilvl w:val="0"/>
          <w:numId w:val="12"/>
        </w:numPr>
        <w:jc w:val="both"/>
        <w:rPr>
          <w:sz w:val="22"/>
          <w:szCs w:val="22"/>
        </w:rPr>
      </w:pPr>
      <w:r w:rsidRPr="7849A67F">
        <w:rPr>
          <w:sz w:val="22"/>
          <w:szCs w:val="22"/>
        </w:rPr>
        <w:t>Scoring</w:t>
      </w:r>
      <w:r w:rsidR="5CDFEEF1" w:rsidRPr="7849A67F">
        <w:rPr>
          <w:sz w:val="22"/>
          <w:szCs w:val="22"/>
        </w:rPr>
        <w:t xml:space="preserve"> </w:t>
      </w:r>
      <w:r w:rsidR="6AD6C0E7" w:rsidRPr="7849A67F">
        <w:rPr>
          <w:sz w:val="22"/>
          <w:szCs w:val="22"/>
        </w:rPr>
        <w:t>methodologies were shared with</w:t>
      </w:r>
      <w:r w:rsidR="5CDFEEF1" w:rsidRPr="7849A67F">
        <w:rPr>
          <w:sz w:val="22"/>
          <w:szCs w:val="22"/>
        </w:rPr>
        <w:t xml:space="preserve"> active projects and </w:t>
      </w:r>
      <w:r w:rsidR="061AB085" w:rsidRPr="7849A67F">
        <w:rPr>
          <w:sz w:val="22"/>
          <w:szCs w:val="22"/>
        </w:rPr>
        <w:t xml:space="preserve">rolled out </w:t>
      </w:r>
      <w:r w:rsidR="5CDFEEF1" w:rsidRPr="7849A67F">
        <w:rPr>
          <w:sz w:val="22"/>
          <w:szCs w:val="22"/>
        </w:rPr>
        <w:t xml:space="preserve">in 2023 </w:t>
      </w:r>
      <w:r w:rsidR="6B8D2E24" w:rsidRPr="7849A67F">
        <w:rPr>
          <w:sz w:val="22"/>
          <w:szCs w:val="22"/>
        </w:rPr>
        <w:t xml:space="preserve">in advance of </w:t>
      </w:r>
      <w:r w:rsidR="5CDFEEF1" w:rsidRPr="7849A67F">
        <w:rPr>
          <w:sz w:val="22"/>
          <w:szCs w:val="22"/>
        </w:rPr>
        <w:t xml:space="preserve">2024 reporting for both 5.2.a and 5.2.b. </w:t>
      </w:r>
      <w:r w:rsidR="12B90056" w:rsidRPr="7849A67F">
        <w:rPr>
          <w:sz w:val="22"/>
          <w:szCs w:val="22"/>
        </w:rPr>
        <w:t xml:space="preserve">The </w:t>
      </w:r>
      <w:r w:rsidR="661C2D02" w:rsidRPr="7849A67F">
        <w:rPr>
          <w:sz w:val="22"/>
          <w:szCs w:val="22"/>
        </w:rPr>
        <w:t>indicators</w:t>
      </w:r>
      <w:r w:rsidR="12B90056" w:rsidRPr="7849A67F">
        <w:rPr>
          <w:sz w:val="22"/>
          <w:szCs w:val="22"/>
        </w:rPr>
        <w:t xml:space="preserve"> will consider formal, operational and MEL requirements of the Facility </w:t>
      </w:r>
      <w:r w:rsidR="3A8494AF" w:rsidRPr="7849A67F">
        <w:rPr>
          <w:sz w:val="22"/>
          <w:szCs w:val="22"/>
        </w:rPr>
        <w:t xml:space="preserve">and projects’ compliance in meeting them in a gender-responsive manner. Some projects have already submitted </w:t>
      </w:r>
      <w:r w:rsidR="0585BAD7" w:rsidRPr="7849A67F">
        <w:rPr>
          <w:sz w:val="22"/>
          <w:szCs w:val="22"/>
        </w:rPr>
        <w:t>results under formal requirements such as Mongolia Building Retrofitting. Over half of active projects have already introduced a GESI-specific indicator i</w:t>
      </w:r>
      <w:r w:rsidR="06229755" w:rsidRPr="7849A67F">
        <w:rPr>
          <w:sz w:val="22"/>
          <w:szCs w:val="22"/>
        </w:rPr>
        <w:t xml:space="preserve">n their own reporting whilst </w:t>
      </w:r>
      <w:r w:rsidR="06229755" w:rsidRPr="7849A67F">
        <w:rPr>
          <w:sz w:val="22"/>
          <w:szCs w:val="22"/>
        </w:rPr>
        <w:lastRenderedPageBreak/>
        <w:t>going further to set up GESI action plans. It h</w:t>
      </w:r>
      <w:r w:rsidR="12492B7F" w:rsidRPr="7849A67F">
        <w:rPr>
          <w:sz w:val="22"/>
          <w:szCs w:val="22"/>
        </w:rPr>
        <w:t xml:space="preserve">as been agreed that those projects nearing completion are not required to retrofit GESI reporting as part of their projects. </w:t>
      </w:r>
    </w:p>
    <w:p w14:paraId="2224F693" w14:textId="353606FB" w:rsidR="00085CCB" w:rsidRPr="00085CCB" w:rsidRDefault="00085CCB" w:rsidP="07AF1209">
      <w:pPr>
        <w:ind w:left="360"/>
        <w:jc w:val="both"/>
        <w:rPr>
          <w:rFonts w:eastAsia="Arial" w:cs="Arial"/>
          <w:sz w:val="22"/>
          <w:szCs w:val="22"/>
        </w:rPr>
      </w:pPr>
      <w:r w:rsidRPr="75FA93ED">
        <w:rPr>
          <w:rFonts w:eastAsia="Arial" w:cs="Arial"/>
          <w:sz w:val="22"/>
          <w:szCs w:val="22"/>
        </w:rPr>
        <w:t>Recommendation</w:t>
      </w:r>
      <w:r w:rsidR="736868F0" w:rsidRPr="75FA93ED">
        <w:rPr>
          <w:rFonts w:eastAsia="Arial" w:cs="Arial"/>
          <w:sz w:val="22"/>
          <w:szCs w:val="22"/>
        </w:rPr>
        <w:t>s</w:t>
      </w:r>
    </w:p>
    <w:p w14:paraId="1B467884" w14:textId="3E02675A" w:rsidR="00B929AD" w:rsidRPr="005152BB" w:rsidRDefault="743730A2" w:rsidP="07AF1209">
      <w:pPr>
        <w:pStyle w:val="ListParagraph"/>
        <w:numPr>
          <w:ilvl w:val="0"/>
          <w:numId w:val="12"/>
        </w:numPr>
        <w:jc w:val="both"/>
        <w:rPr>
          <w:rFonts w:eastAsia="Arial" w:cs="Arial"/>
          <w:sz w:val="22"/>
          <w:szCs w:val="22"/>
        </w:rPr>
      </w:pPr>
      <w:r w:rsidRPr="7849A67F">
        <w:rPr>
          <w:rFonts w:eastAsia="Arial" w:cs="Arial"/>
          <w:sz w:val="22"/>
          <w:szCs w:val="22"/>
        </w:rPr>
        <w:t xml:space="preserve">Monitor 5.1 in line with the Facility’s co-benefits paper findings and consider </w:t>
      </w:r>
      <w:r w:rsidR="153AF104" w:rsidRPr="7849A67F">
        <w:rPr>
          <w:rFonts w:eastAsia="Arial" w:cs="Arial"/>
          <w:sz w:val="22"/>
          <w:szCs w:val="22"/>
        </w:rPr>
        <w:t>adjustments</w:t>
      </w:r>
      <w:r w:rsidRPr="7849A67F">
        <w:rPr>
          <w:rFonts w:eastAsia="Arial" w:cs="Arial"/>
          <w:sz w:val="22"/>
          <w:szCs w:val="22"/>
        </w:rPr>
        <w:t xml:space="preserve"> to the targets to increase the </w:t>
      </w:r>
      <w:r w:rsidR="2E88AA54" w:rsidRPr="7849A67F">
        <w:rPr>
          <w:rFonts w:eastAsia="Arial" w:cs="Arial"/>
          <w:sz w:val="22"/>
          <w:szCs w:val="22"/>
        </w:rPr>
        <w:t>ambition for 2024.</w:t>
      </w:r>
    </w:p>
    <w:p w14:paraId="1E60F12E" w14:textId="1D570346" w:rsidR="006462E5" w:rsidRDefault="006462E5" w:rsidP="001B4FD0">
      <w:pPr>
        <w:rPr>
          <w:rFonts w:eastAsia="Arial" w:cs="Arial"/>
          <w:sz w:val="22"/>
          <w:szCs w:val="22"/>
        </w:rPr>
      </w:pPr>
      <w:r w:rsidRPr="737E9380">
        <w:rPr>
          <w:rFonts w:eastAsia="Arial" w:cs="Arial"/>
          <w:sz w:val="22"/>
          <w:szCs w:val="22"/>
        </w:rPr>
        <w:t xml:space="preserve">  </w:t>
      </w:r>
    </w:p>
    <w:p w14:paraId="784CD860" w14:textId="3028D9D5" w:rsidR="00255195" w:rsidRDefault="00255195">
      <w:pPr>
        <w:spacing w:after="160" w:line="259" w:lineRule="auto"/>
        <w:rPr>
          <w:rFonts w:eastAsia="Arial" w:cs="Arial"/>
          <w:sz w:val="22"/>
          <w:szCs w:val="22"/>
        </w:rPr>
      </w:pPr>
      <w:r>
        <w:rPr>
          <w:rFonts w:eastAsia="Arial" w:cs="Arial"/>
          <w:sz w:val="22"/>
          <w:szCs w:val="22"/>
        </w:rPr>
        <w:br w:type="page"/>
      </w:r>
    </w:p>
    <w:p w14:paraId="2A3982D8" w14:textId="7603D52D" w:rsidR="006462E5" w:rsidDel="00255195" w:rsidRDefault="006462E5" w:rsidP="001B4FD0">
      <w:pPr>
        <w:rPr>
          <w:rFonts w:eastAsia="Arial" w:cs="Arial"/>
          <w:sz w:val="22"/>
          <w:szCs w:val="22"/>
        </w:rPr>
      </w:pPr>
    </w:p>
    <w:tbl>
      <w:tblPr>
        <w:tblStyle w:val="TableGrid"/>
        <w:tblW w:w="0" w:type="auto"/>
        <w:tblLook w:val="04A0" w:firstRow="1" w:lastRow="0" w:firstColumn="1" w:lastColumn="0" w:noHBand="0" w:noVBand="1"/>
      </w:tblPr>
      <w:tblGrid>
        <w:gridCol w:w="9016"/>
      </w:tblGrid>
      <w:tr w:rsidR="00CB2873" w14:paraId="625A7711" w14:textId="77777777" w:rsidTr="75FA93ED">
        <w:tc>
          <w:tcPr>
            <w:tcW w:w="9016" w:type="dxa"/>
            <w:shd w:val="clear" w:color="auto" w:fill="DEEAF6" w:themeFill="accent5" w:themeFillTint="33"/>
          </w:tcPr>
          <w:p w14:paraId="78474CCE" w14:textId="34CC3559" w:rsidR="00CB2873" w:rsidRDefault="0321EA98" w:rsidP="001B4FD0">
            <w:pPr>
              <w:rPr>
                <w:rFonts w:eastAsia="Arial" w:cs="Arial"/>
              </w:rPr>
            </w:pPr>
            <w:bookmarkStart w:id="31" w:name="_Toc172791905"/>
            <w:bookmarkStart w:id="32" w:name="_Toc79894352"/>
            <w:r w:rsidRPr="75FA93ED">
              <w:rPr>
                <w:rStyle w:val="Heading1Char"/>
                <w:rFonts w:ascii="Arial" w:eastAsia="Arial" w:hAnsi="Arial" w:cs="Arial"/>
                <w:b/>
                <w:bCs/>
                <w:color w:val="auto"/>
              </w:rPr>
              <w:t>Section D: Pro</w:t>
            </w:r>
            <w:r w:rsidR="4A0F661B" w:rsidRPr="75FA93ED">
              <w:rPr>
                <w:rStyle w:val="Heading1Char"/>
                <w:rFonts w:ascii="Arial" w:eastAsia="Arial" w:hAnsi="Arial" w:cs="Arial"/>
                <w:b/>
                <w:bCs/>
                <w:color w:val="auto"/>
              </w:rPr>
              <w:t xml:space="preserve">gramme </w:t>
            </w:r>
            <w:r w:rsidRPr="75FA93ED">
              <w:rPr>
                <w:rStyle w:val="Heading1Char"/>
                <w:rFonts w:ascii="Arial" w:eastAsia="Arial" w:hAnsi="Arial" w:cs="Arial"/>
                <w:b/>
                <w:bCs/>
                <w:color w:val="auto"/>
              </w:rPr>
              <w:t>performance not captured by outputs</w:t>
            </w:r>
            <w:bookmarkEnd w:id="31"/>
            <w:bookmarkEnd w:id="32"/>
            <w:r w:rsidRPr="75FA93ED">
              <w:rPr>
                <w:rFonts w:eastAsia="Arial" w:cs="Arial"/>
              </w:rPr>
              <w:t xml:space="preserve"> </w:t>
            </w:r>
          </w:p>
        </w:tc>
      </w:tr>
    </w:tbl>
    <w:p w14:paraId="358B70D4" w14:textId="77777777" w:rsidR="00CB2873" w:rsidRPr="00D80C6C" w:rsidRDefault="00CB2873" w:rsidP="001B4FD0">
      <w:pPr>
        <w:rPr>
          <w:rFonts w:eastAsia="Arial" w:cs="Arial"/>
          <w:sz w:val="22"/>
          <w:szCs w:val="22"/>
        </w:rPr>
      </w:pPr>
    </w:p>
    <w:p w14:paraId="1B63C618" w14:textId="16BD50CA" w:rsidR="003D222C" w:rsidRDefault="00AC72EA" w:rsidP="07AF1209">
      <w:pPr>
        <w:jc w:val="both"/>
        <w:rPr>
          <w:rFonts w:eastAsia="Arial" w:cs="Arial"/>
          <w:sz w:val="22"/>
          <w:szCs w:val="22"/>
        </w:rPr>
      </w:pPr>
      <w:r w:rsidRPr="7849A67F">
        <w:rPr>
          <w:rFonts w:eastAsia="Arial" w:cs="Arial"/>
          <w:sz w:val="22"/>
          <w:szCs w:val="22"/>
        </w:rPr>
        <w:t>In 202</w:t>
      </w:r>
      <w:r w:rsidR="1F9841C4" w:rsidRPr="7849A67F">
        <w:rPr>
          <w:rFonts w:eastAsia="Arial" w:cs="Arial"/>
          <w:sz w:val="22"/>
          <w:szCs w:val="22"/>
        </w:rPr>
        <w:t>3</w:t>
      </w:r>
      <w:r w:rsidRPr="7849A67F">
        <w:rPr>
          <w:rFonts w:eastAsia="Arial" w:cs="Arial"/>
          <w:sz w:val="22"/>
          <w:szCs w:val="22"/>
        </w:rPr>
        <w:t xml:space="preserve"> t</w:t>
      </w:r>
      <w:r w:rsidR="00D02820" w:rsidRPr="7849A67F">
        <w:rPr>
          <w:rFonts w:eastAsia="Arial" w:cs="Arial"/>
          <w:sz w:val="22"/>
          <w:szCs w:val="22"/>
        </w:rPr>
        <w:t xml:space="preserve">he MAF </w:t>
      </w:r>
      <w:r w:rsidR="5C0E0154" w:rsidRPr="7849A67F">
        <w:rPr>
          <w:rFonts w:eastAsia="Arial" w:cs="Arial"/>
          <w:sz w:val="22"/>
          <w:szCs w:val="22"/>
        </w:rPr>
        <w:t>finalised and published its Gender Action Plan (GAP)</w:t>
      </w:r>
      <w:r w:rsidR="00D02820" w:rsidRPr="7849A67F">
        <w:rPr>
          <w:rFonts w:eastAsia="Arial" w:cs="Arial"/>
          <w:sz w:val="22"/>
          <w:szCs w:val="22"/>
        </w:rPr>
        <w:t xml:space="preserve"> which aims to </w:t>
      </w:r>
      <w:r w:rsidR="2858817E" w:rsidRPr="7849A67F">
        <w:rPr>
          <w:rFonts w:eastAsia="Arial" w:cs="Arial"/>
          <w:sz w:val="22"/>
          <w:szCs w:val="22"/>
        </w:rPr>
        <w:t xml:space="preserve">ensure equal rights, opportunities, access and treatment of the needs and priorities of persons of all genders, and those facing social exclusion and discrimination, within all processes of the Facility. </w:t>
      </w:r>
      <w:r w:rsidR="2F2E15B7" w:rsidRPr="7849A67F">
        <w:rPr>
          <w:rFonts w:eastAsia="Arial" w:cs="Arial"/>
          <w:sz w:val="22"/>
          <w:szCs w:val="22"/>
        </w:rPr>
        <w:t>Going forward, the Plan will provide the necessary practical toolkit for mainstreaming GESI throughout the Faci</w:t>
      </w:r>
      <w:r w:rsidR="05985962" w:rsidRPr="7849A67F">
        <w:rPr>
          <w:rFonts w:eastAsia="Arial" w:cs="Arial"/>
          <w:sz w:val="22"/>
          <w:szCs w:val="22"/>
        </w:rPr>
        <w:t>lity at portfolio and project level. Kick off workshops of the GAP in September 2023 were successful in bringing together project leads a</w:t>
      </w:r>
      <w:r w:rsidR="42BBD382" w:rsidRPr="7849A67F">
        <w:rPr>
          <w:rFonts w:eastAsia="Arial" w:cs="Arial"/>
          <w:sz w:val="22"/>
          <w:szCs w:val="22"/>
        </w:rPr>
        <w:t xml:space="preserve">nd Facility staff and to understand new objectives, requirements and quality assurance mechanisms. </w:t>
      </w:r>
      <w:r w:rsidR="079B4EA4" w:rsidRPr="7849A67F">
        <w:rPr>
          <w:rFonts w:eastAsia="Arial" w:cs="Arial"/>
          <w:sz w:val="22"/>
          <w:szCs w:val="22"/>
        </w:rPr>
        <w:t xml:space="preserve">Vital work </w:t>
      </w:r>
      <w:r w:rsidR="1BE082B1" w:rsidRPr="7849A67F">
        <w:rPr>
          <w:rFonts w:eastAsia="Arial" w:cs="Arial"/>
          <w:sz w:val="22"/>
          <w:szCs w:val="22"/>
        </w:rPr>
        <w:t xml:space="preserve">under GESI </w:t>
      </w:r>
      <w:r w:rsidR="079B4EA4" w:rsidRPr="7849A67F">
        <w:rPr>
          <w:rFonts w:eastAsia="Arial" w:cs="Arial"/>
          <w:sz w:val="22"/>
          <w:szCs w:val="22"/>
        </w:rPr>
        <w:t>continues into 2024.</w:t>
      </w:r>
    </w:p>
    <w:p w14:paraId="1EA312C2" w14:textId="3A390EDA" w:rsidR="003559DC" w:rsidRDefault="003559DC" w:rsidP="07AF1209">
      <w:pPr>
        <w:jc w:val="both"/>
        <w:rPr>
          <w:rFonts w:eastAsia="Arial" w:cs="Arial"/>
          <w:sz w:val="22"/>
          <w:szCs w:val="22"/>
        </w:rPr>
      </w:pPr>
    </w:p>
    <w:p w14:paraId="5D6514BE" w14:textId="1F1614B8" w:rsidR="003559DC" w:rsidRDefault="3E428D22" w:rsidP="07AF1209">
      <w:pPr>
        <w:jc w:val="both"/>
        <w:rPr>
          <w:rFonts w:eastAsia="Arial" w:cs="Arial"/>
          <w:sz w:val="22"/>
          <w:szCs w:val="22"/>
        </w:rPr>
      </w:pPr>
      <w:r w:rsidRPr="5964CDA8">
        <w:rPr>
          <w:rFonts w:eastAsia="Arial" w:cs="Arial"/>
          <w:sz w:val="22"/>
          <w:szCs w:val="22"/>
        </w:rPr>
        <w:t xml:space="preserve">2023 also saw the </w:t>
      </w:r>
      <w:r w:rsidR="0B32F4D7" w:rsidRPr="5964CDA8">
        <w:rPr>
          <w:rFonts w:eastAsia="Arial" w:cs="Arial"/>
          <w:sz w:val="22"/>
          <w:szCs w:val="22"/>
        </w:rPr>
        <w:t>terms of reference set</w:t>
      </w:r>
      <w:r w:rsidRPr="5964CDA8">
        <w:rPr>
          <w:rFonts w:eastAsia="Arial" w:cs="Arial"/>
          <w:sz w:val="22"/>
          <w:szCs w:val="22"/>
        </w:rPr>
        <w:t xml:space="preserve"> and key actors identified for the </w:t>
      </w:r>
      <w:r w:rsidR="5C0BC6E2" w:rsidRPr="5964CDA8">
        <w:rPr>
          <w:rFonts w:eastAsia="Arial" w:cs="Arial"/>
          <w:sz w:val="22"/>
          <w:szCs w:val="22"/>
        </w:rPr>
        <w:t xml:space="preserve">formation of the </w:t>
      </w:r>
      <w:r w:rsidRPr="5964CDA8">
        <w:rPr>
          <w:rFonts w:eastAsia="Arial" w:cs="Arial"/>
          <w:sz w:val="22"/>
          <w:szCs w:val="22"/>
        </w:rPr>
        <w:t>Facility’s first Advisory Committee</w:t>
      </w:r>
      <w:r w:rsidR="52FEB805" w:rsidRPr="5964CDA8">
        <w:rPr>
          <w:rFonts w:eastAsia="Arial" w:cs="Arial"/>
          <w:sz w:val="22"/>
          <w:szCs w:val="22"/>
        </w:rPr>
        <w:t xml:space="preserve"> (AC)</w:t>
      </w:r>
      <w:r w:rsidRPr="5964CDA8">
        <w:rPr>
          <w:rFonts w:eastAsia="Arial" w:cs="Arial"/>
          <w:sz w:val="22"/>
          <w:szCs w:val="22"/>
        </w:rPr>
        <w:t xml:space="preserve">. </w:t>
      </w:r>
      <w:r w:rsidR="104E0F49" w:rsidRPr="5964CDA8">
        <w:rPr>
          <w:rFonts w:eastAsia="Arial" w:cs="Arial"/>
          <w:sz w:val="22"/>
          <w:szCs w:val="22"/>
        </w:rPr>
        <w:t xml:space="preserve">The AC aims to provide the Facility with important consultation and guidance at a strategic level to address the need for broader international engagement and </w:t>
      </w:r>
      <w:r w:rsidR="4E003B49" w:rsidRPr="5964CDA8">
        <w:rPr>
          <w:rFonts w:eastAsia="Arial" w:cs="Arial"/>
          <w:sz w:val="22"/>
          <w:szCs w:val="22"/>
        </w:rPr>
        <w:t xml:space="preserve">topical </w:t>
      </w:r>
      <w:r w:rsidR="104E0F49" w:rsidRPr="5964CDA8">
        <w:rPr>
          <w:rFonts w:eastAsia="Arial" w:cs="Arial"/>
          <w:sz w:val="22"/>
          <w:szCs w:val="22"/>
        </w:rPr>
        <w:t xml:space="preserve">alignment in the key sectors and geographies </w:t>
      </w:r>
      <w:r w:rsidR="7227FB55" w:rsidRPr="5964CDA8">
        <w:rPr>
          <w:rFonts w:eastAsia="Arial" w:cs="Arial"/>
          <w:sz w:val="22"/>
          <w:szCs w:val="22"/>
        </w:rPr>
        <w:t xml:space="preserve">in which it participates. </w:t>
      </w:r>
      <w:r w:rsidRPr="5964CDA8">
        <w:rPr>
          <w:rFonts w:eastAsia="Arial" w:cs="Arial"/>
          <w:sz w:val="22"/>
          <w:szCs w:val="22"/>
        </w:rPr>
        <w:t xml:space="preserve">By December 2023, </w:t>
      </w:r>
      <w:r w:rsidR="215B4B67" w:rsidRPr="5964CDA8">
        <w:rPr>
          <w:rFonts w:eastAsia="Arial" w:cs="Arial"/>
          <w:sz w:val="22"/>
          <w:szCs w:val="22"/>
        </w:rPr>
        <w:t>the committee had been established, comprised of experts from diverse national contexts and representing critical areas of the climate finance community</w:t>
      </w:r>
      <w:r w:rsidR="752A7E05" w:rsidRPr="5964CDA8">
        <w:rPr>
          <w:rFonts w:eastAsia="Arial" w:cs="Arial"/>
          <w:sz w:val="22"/>
          <w:szCs w:val="22"/>
        </w:rPr>
        <w:t xml:space="preserve">. </w:t>
      </w:r>
      <w:r w:rsidR="1D5CFFFF" w:rsidRPr="5964CDA8">
        <w:rPr>
          <w:rFonts w:eastAsia="Arial" w:cs="Arial"/>
          <w:sz w:val="22"/>
          <w:szCs w:val="22"/>
        </w:rPr>
        <w:t xml:space="preserve">DESNZ successfully approached E3G and CAN-UK for senior representation on the Committee. </w:t>
      </w:r>
      <w:r w:rsidR="752A7E05" w:rsidRPr="5964CDA8">
        <w:rPr>
          <w:rFonts w:eastAsia="Arial" w:cs="Arial"/>
          <w:sz w:val="22"/>
          <w:szCs w:val="22"/>
        </w:rPr>
        <w:t xml:space="preserve">The </w:t>
      </w:r>
      <w:r w:rsidR="066C0459" w:rsidRPr="5964CDA8">
        <w:rPr>
          <w:rFonts w:eastAsia="Arial" w:cs="Arial"/>
          <w:sz w:val="22"/>
          <w:szCs w:val="22"/>
        </w:rPr>
        <w:t xml:space="preserve">group of 8 experts </w:t>
      </w:r>
      <w:r w:rsidR="752A7E05" w:rsidRPr="5964CDA8">
        <w:rPr>
          <w:rFonts w:eastAsia="Arial" w:cs="Arial"/>
          <w:sz w:val="22"/>
          <w:szCs w:val="22"/>
        </w:rPr>
        <w:t xml:space="preserve">will formally </w:t>
      </w:r>
      <w:r w:rsidR="7DB518AD" w:rsidRPr="5964CDA8">
        <w:rPr>
          <w:rFonts w:eastAsia="Arial" w:cs="Arial"/>
          <w:sz w:val="22"/>
          <w:szCs w:val="22"/>
        </w:rPr>
        <w:t xml:space="preserve">meet and be </w:t>
      </w:r>
      <w:r w:rsidR="2BB173D8" w:rsidRPr="5964CDA8">
        <w:rPr>
          <w:rFonts w:eastAsia="Arial" w:cs="Arial"/>
          <w:sz w:val="22"/>
          <w:szCs w:val="22"/>
        </w:rPr>
        <w:t xml:space="preserve">collectively </w:t>
      </w:r>
      <w:r w:rsidR="7DB518AD" w:rsidRPr="5964CDA8">
        <w:rPr>
          <w:rFonts w:eastAsia="Arial" w:cs="Arial"/>
          <w:sz w:val="22"/>
          <w:szCs w:val="22"/>
        </w:rPr>
        <w:t>operational</w:t>
      </w:r>
      <w:r w:rsidR="563775E4" w:rsidRPr="5964CDA8">
        <w:rPr>
          <w:rFonts w:eastAsia="Arial" w:cs="Arial"/>
          <w:sz w:val="22"/>
          <w:szCs w:val="22"/>
        </w:rPr>
        <w:t xml:space="preserve"> as an advisory unit</w:t>
      </w:r>
      <w:r w:rsidR="7DB518AD" w:rsidRPr="5964CDA8">
        <w:rPr>
          <w:rFonts w:eastAsia="Arial" w:cs="Arial"/>
          <w:sz w:val="22"/>
          <w:szCs w:val="22"/>
        </w:rPr>
        <w:t xml:space="preserve"> from 2024</w:t>
      </w:r>
      <w:r w:rsidR="752A7E05" w:rsidRPr="5964CDA8">
        <w:rPr>
          <w:rFonts w:eastAsia="Arial" w:cs="Arial"/>
          <w:sz w:val="22"/>
          <w:szCs w:val="22"/>
        </w:rPr>
        <w:t xml:space="preserve">. </w:t>
      </w:r>
    </w:p>
    <w:p w14:paraId="4FE00A7F" w14:textId="5866945E" w:rsidR="003559DC" w:rsidRDefault="003559DC" w:rsidP="07AF1209">
      <w:pPr>
        <w:jc w:val="both"/>
        <w:rPr>
          <w:rFonts w:eastAsia="Arial" w:cs="Arial"/>
          <w:sz w:val="22"/>
          <w:szCs w:val="22"/>
        </w:rPr>
      </w:pPr>
    </w:p>
    <w:p w14:paraId="0C13B626" w14:textId="61922555" w:rsidR="003559DC" w:rsidRDefault="3EFD1254" w:rsidP="07AF1209">
      <w:pPr>
        <w:jc w:val="both"/>
        <w:rPr>
          <w:rFonts w:eastAsia="Arial" w:cs="Arial"/>
          <w:sz w:val="22"/>
          <w:szCs w:val="22"/>
        </w:rPr>
      </w:pPr>
      <w:r w:rsidRPr="7849A67F">
        <w:rPr>
          <w:rFonts w:eastAsia="Arial" w:cs="Arial"/>
          <w:sz w:val="22"/>
          <w:szCs w:val="22"/>
        </w:rPr>
        <w:t xml:space="preserve">The Call for Projects 2023 </w:t>
      </w:r>
      <w:r w:rsidR="50D78F9D" w:rsidRPr="7849A67F">
        <w:rPr>
          <w:rFonts w:eastAsia="Arial" w:cs="Arial"/>
          <w:sz w:val="22"/>
          <w:szCs w:val="22"/>
        </w:rPr>
        <w:t xml:space="preserve">(CfP23) </w:t>
      </w:r>
      <w:r w:rsidRPr="7849A67F">
        <w:rPr>
          <w:rFonts w:eastAsia="Arial" w:cs="Arial"/>
          <w:sz w:val="22"/>
          <w:szCs w:val="22"/>
        </w:rPr>
        <w:t xml:space="preserve">can be seen as a pivotal moment for the Mitigation Action Facility, marking the first launch of a </w:t>
      </w:r>
      <w:r w:rsidR="2039449F" w:rsidRPr="7849A67F">
        <w:rPr>
          <w:rFonts w:eastAsia="Arial" w:cs="Arial"/>
          <w:sz w:val="22"/>
          <w:szCs w:val="22"/>
        </w:rPr>
        <w:t>competitive</w:t>
      </w:r>
      <w:r w:rsidRPr="7849A67F">
        <w:rPr>
          <w:rFonts w:eastAsia="Arial" w:cs="Arial"/>
          <w:sz w:val="22"/>
          <w:szCs w:val="22"/>
        </w:rPr>
        <w:t xml:space="preserve"> funding round under the new branding, announced at COP26 in 2022</w:t>
      </w:r>
      <w:r w:rsidR="690B29EA" w:rsidRPr="7849A67F">
        <w:rPr>
          <w:rFonts w:eastAsia="Arial" w:cs="Arial"/>
          <w:sz w:val="22"/>
          <w:szCs w:val="22"/>
        </w:rPr>
        <w:t xml:space="preserve"> in a move away from ‘NAMA Facility’</w:t>
      </w:r>
      <w:r w:rsidRPr="7849A67F">
        <w:rPr>
          <w:rFonts w:eastAsia="Arial" w:cs="Arial"/>
          <w:sz w:val="22"/>
          <w:szCs w:val="22"/>
        </w:rPr>
        <w:t>. The Call saw a record number of applications</w:t>
      </w:r>
      <w:r w:rsidR="1D7B8B6E" w:rsidRPr="7849A67F">
        <w:rPr>
          <w:rFonts w:eastAsia="Arial" w:cs="Arial"/>
          <w:sz w:val="22"/>
          <w:szCs w:val="22"/>
        </w:rPr>
        <w:t xml:space="preserve"> (327)</w:t>
      </w:r>
      <w:r w:rsidR="4974C556" w:rsidRPr="7849A67F">
        <w:rPr>
          <w:rFonts w:eastAsia="Arial" w:cs="Arial"/>
          <w:sz w:val="22"/>
          <w:szCs w:val="22"/>
        </w:rPr>
        <w:t xml:space="preserve"> submitted</w:t>
      </w:r>
      <w:r w:rsidR="1D7B8B6E" w:rsidRPr="7849A67F">
        <w:rPr>
          <w:rFonts w:eastAsia="Arial" w:cs="Arial"/>
          <w:sz w:val="22"/>
          <w:szCs w:val="22"/>
        </w:rPr>
        <w:t xml:space="preserve">, in conjunction with the rollout of the new Concept Phase of applications, requiring a less-developed and less-detailed project proposal to allow greater diversification of applicants. </w:t>
      </w:r>
      <w:r w:rsidR="5199184B" w:rsidRPr="7849A67F">
        <w:rPr>
          <w:rFonts w:eastAsia="Arial" w:cs="Arial"/>
          <w:sz w:val="22"/>
          <w:szCs w:val="22"/>
        </w:rPr>
        <w:t xml:space="preserve">The concept phase welcomed a larger number of applications from within the industry sector </w:t>
      </w:r>
      <w:r w:rsidR="3154ACC8" w:rsidRPr="7849A67F">
        <w:rPr>
          <w:rFonts w:eastAsia="Arial" w:cs="Arial"/>
          <w:sz w:val="22"/>
          <w:szCs w:val="22"/>
        </w:rPr>
        <w:t xml:space="preserve">including more specific industry subsectors such as cement. </w:t>
      </w:r>
    </w:p>
    <w:p w14:paraId="5DF22B3C" w14:textId="06214A85" w:rsidR="003559DC" w:rsidRDefault="003559DC" w:rsidP="07AF1209">
      <w:pPr>
        <w:jc w:val="both"/>
        <w:rPr>
          <w:rFonts w:eastAsia="Arial" w:cs="Arial"/>
          <w:sz w:val="22"/>
          <w:szCs w:val="22"/>
        </w:rPr>
      </w:pPr>
    </w:p>
    <w:p w14:paraId="7E26FB80" w14:textId="6226EBD4" w:rsidR="003559DC" w:rsidRDefault="0D6F0D8A" w:rsidP="07AF1209">
      <w:pPr>
        <w:jc w:val="both"/>
        <w:rPr>
          <w:rFonts w:eastAsia="Arial" w:cs="Arial"/>
          <w:sz w:val="22"/>
          <w:szCs w:val="22"/>
        </w:rPr>
      </w:pPr>
      <w:r w:rsidRPr="7849A67F">
        <w:rPr>
          <w:rFonts w:eastAsia="Arial" w:cs="Arial"/>
          <w:sz w:val="22"/>
          <w:szCs w:val="22"/>
        </w:rPr>
        <w:t>Against this backdrop of evidenced demand for MAF funding from the summer,</w:t>
      </w:r>
      <w:r w:rsidR="1A5002C7" w:rsidRPr="7849A67F">
        <w:rPr>
          <w:rFonts w:eastAsia="Arial" w:cs="Arial"/>
          <w:sz w:val="22"/>
          <w:szCs w:val="22"/>
        </w:rPr>
        <w:t xml:space="preserve"> the Board took stock of the Facility’s progress, processes</w:t>
      </w:r>
      <w:r w:rsidR="42D62A66" w:rsidRPr="7849A67F">
        <w:rPr>
          <w:rFonts w:eastAsia="Arial" w:cs="Arial"/>
          <w:sz w:val="22"/>
          <w:szCs w:val="22"/>
        </w:rPr>
        <w:t xml:space="preserve"> and future ambitions during a facilitated workshop in Berlin in October 2023, marking a key moment in the development of the Facility. </w:t>
      </w:r>
      <w:r w:rsidR="5D5D187A" w:rsidRPr="7849A67F">
        <w:rPr>
          <w:rFonts w:eastAsia="Arial" w:cs="Arial"/>
          <w:sz w:val="22"/>
          <w:szCs w:val="22"/>
        </w:rPr>
        <w:t>The workshop built up</w:t>
      </w:r>
      <w:r w:rsidR="26820305" w:rsidRPr="7849A67F">
        <w:rPr>
          <w:rFonts w:eastAsia="Arial" w:cs="Arial"/>
          <w:sz w:val="22"/>
          <w:szCs w:val="22"/>
        </w:rPr>
        <w:t>on 2022</w:t>
      </w:r>
      <w:r w:rsidR="5DE715A8" w:rsidRPr="7849A67F">
        <w:rPr>
          <w:rFonts w:eastAsia="Arial" w:cs="Arial"/>
          <w:sz w:val="22"/>
          <w:szCs w:val="22"/>
        </w:rPr>
        <w:t>/early 2023</w:t>
      </w:r>
      <w:r w:rsidR="26820305" w:rsidRPr="7849A67F">
        <w:rPr>
          <w:rFonts w:eastAsia="Arial" w:cs="Arial"/>
          <w:sz w:val="22"/>
          <w:szCs w:val="22"/>
        </w:rPr>
        <w:t xml:space="preserve"> </w:t>
      </w:r>
      <w:r w:rsidR="550CBAB7" w:rsidRPr="7849A67F">
        <w:rPr>
          <w:rFonts w:eastAsia="Arial" w:cs="Arial"/>
          <w:sz w:val="22"/>
          <w:szCs w:val="22"/>
        </w:rPr>
        <w:t xml:space="preserve">discussions and </w:t>
      </w:r>
      <w:r w:rsidR="71C1F536" w:rsidRPr="7849A67F">
        <w:rPr>
          <w:rFonts w:eastAsia="Arial" w:cs="Arial"/>
          <w:sz w:val="22"/>
          <w:szCs w:val="22"/>
        </w:rPr>
        <w:t xml:space="preserve">agreements </w:t>
      </w:r>
      <w:r w:rsidR="26820305" w:rsidRPr="7849A67F">
        <w:rPr>
          <w:rFonts w:eastAsia="Arial" w:cs="Arial"/>
          <w:sz w:val="22"/>
          <w:szCs w:val="22"/>
        </w:rPr>
        <w:t>to enhance the mandate of the TSU</w:t>
      </w:r>
      <w:r w:rsidR="7C0EF82F" w:rsidRPr="7849A67F">
        <w:rPr>
          <w:rFonts w:eastAsia="Arial" w:cs="Arial"/>
          <w:sz w:val="22"/>
          <w:szCs w:val="22"/>
        </w:rPr>
        <w:t xml:space="preserve"> and the subsequent</w:t>
      </w:r>
      <w:r w:rsidR="26820305" w:rsidRPr="7849A67F">
        <w:rPr>
          <w:rFonts w:eastAsia="Arial" w:cs="Arial"/>
          <w:sz w:val="22"/>
          <w:szCs w:val="22"/>
        </w:rPr>
        <w:t xml:space="preserve"> bolstering the secretariat</w:t>
      </w:r>
      <w:r w:rsidR="066DB3FC" w:rsidRPr="7849A67F">
        <w:rPr>
          <w:rFonts w:eastAsia="Arial" w:cs="Arial"/>
          <w:sz w:val="22"/>
          <w:szCs w:val="22"/>
        </w:rPr>
        <w:t xml:space="preserve"> over the course of 2023</w:t>
      </w:r>
      <w:r w:rsidR="26820305" w:rsidRPr="7849A67F">
        <w:rPr>
          <w:rFonts w:eastAsia="Arial" w:cs="Arial"/>
          <w:sz w:val="22"/>
          <w:szCs w:val="22"/>
        </w:rPr>
        <w:t xml:space="preserve"> with </w:t>
      </w:r>
      <w:r w:rsidR="6AB05A09" w:rsidRPr="7849A67F">
        <w:rPr>
          <w:rFonts w:eastAsia="Arial" w:cs="Arial"/>
          <w:sz w:val="22"/>
          <w:szCs w:val="22"/>
        </w:rPr>
        <w:t xml:space="preserve">more </w:t>
      </w:r>
      <w:r w:rsidR="1807F9B5" w:rsidRPr="7849A67F">
        <w:rPr>
          <w:rFonts w:eastAsia="Arial" w:cs="Arial"/>
          <w:sz w:val="22"/>
          <w:szCs w:val="22"/>
        </w:rPr>
        <w:t xml:space="preserve">subject-specialist </w:t>
      </w:r>
      <w:r w:rsidR="75FD146F" w:rsidRPr="7849A67F">
        <w:rPr>
          <w:rFonts w:eastAsia="Arial" w:cs="Arial"/>
          <w:sz w:val="22"/>
          <w:szCs w:val="22"/>
        </w:rPr>
        <w:t>recruitment</w:t>
      </w:r>
      <w:r w:rsidR="0085A296" w:rsidRPr="7849A67F">
        <w:rPr>
          <w:rFonts w:eastAsia="Arial" w:cs="Arial"/>
          <w:sz w:val="22"/>
          <w:szCs w:val="22"/>
        </w:rPr>
        <w:t xml:space="preserve"> such as in monitoring and evaluation</w:t>
      </w:r>
      <w:r w:rsidR="75FD146F" w:rsidRPr="7849A67F">
        <w:rPr>
          <w:rFonts w:eastAsia="Arial" w:cs="Arial"/>
          <w:sz w:val="22"/>
          <w:szCs w:val="22"/>
        </w:rPr>
        <w:t xml:space="preserve">. </w:t>
      </w:r>
      <w:r w:rsidR="5F6DF706" w:rsidRPr="7849A67F">
        <w:rPr>
          <w:rFonts w:eastAsia="Arial" w:cs="Arial"/>
          <w:sz w:val="22"/>
          <w:szCs w:val="22"/>
        </w:rPr>
        <w:t>Using this momentum, t</w:t>
      </w:r>
      <w:r w:rsidR="75FD146F" w:rsidRPr="7849A67F">
        <w:rPr>
          <w:rFonts w:eastAsia="Arial" w:cs="Arial"/>
          <w:sz w:val="22"/>
          <w:szCs w:val="22"/>
        </w:rPr>
        <w:t xml:space="preserve">he </w:t>
      </w:r>
      <w:r w:rsidR="4FAA67B5" w:rsidRPr="7849A67F">
        <w:rPr>
          <w:rFonts w:eastAsia="Arial" w:cs="Arial"/>
          <w:sz w:val="22"/>
          <w:szCs w:val="22"/>
        </w:rPr>
        <w:t xml:space="preserve">combined effect of the </w:t>
      </w:r>
      <w:r w:rsidR="75FD146F" w:rsidRPr="7849A67F">
        <w:rPr>
          <w:rFonts w:eastAsia="Arial" w:cs="Arial"/>
          <w:sz w:val="22"/>
          <w:szCs w:val="22"/>
        </w:rPr>
        <w:t xml:space="preserve">workshop and </w:t>
      </w:r>
      <w:r w:rsidR="55BAE519" w:rsidRPr="7849A67F">
        <w:rPr>
          <w:rFonts w:eastAsia="Arial" w:cs="Arial"/>
          <w:sz w:val="22"/>
          <w:szCs w:val="22"/>
        </w:rPr>
        <w:t xml:space="preserve">follow-on </w:t>
      </w:r>
      <w:r w:rsidR="75FD146F" w:rsidRPr="7849A67F">
        <w:rPr>
          <w:rFonts w:eastAsia="Arial" w:cs="Arial"/>
          <w:sz w:val="22"/>
          <w:szCs w:val="22"/>
        </w:rPr>
        <w:t>efforts of board</w:t>
      </w:r>
      <w:r w:rsidR="45B9AB9D" w:rsidRPr="7849A67F">
        <w:rPr>
          <w:rFonts w:eastAsia="Arial" w:cs="Arial"/>
          <w:sz w:val="22"/>
          <w:szCs w:val="22"/>
        </w:rPr>
        <w:t xml:space="preserve"> </w:t>
      </w:r>
      <w:r w:rsidR="75FD146F" w:rsidRPr="7849A67F">
        <w:rPr>
          <w:rFonts w:eastAsia="Arial" w:cs="Arial"/>
          <w:sz w:val="22"/>
          <w:szCs w:val="22"/>
        </w:rPr>
        <w:t xml:space="preserve">members and </w:t>
      </w:r>
      <w:r w:rsidR="2A14D6ED" w:rsidRPr="7849A67F">
        <w:rPr>
          <w:rFonts w:eastAsia="Arial" w:cs="Arial"/>
          <w:sz w:val="22"/>
          <w:szCs w:val="22"/>
        </w:rPr>
        <w:t xml:space="preserve">the </w:t>
      </w:r>
      <w:r w:rsidR="75FD146F" w:rsidRPr="7849A67F">
        <w:rPr>
          <w:rFonts w:eastAsia="Arial" w:cs="Arial"/>
          <w:sz w:val="22"/>
          <w:szCs w:val="22"/>
        </w:rPr>
        <w:t xml:space="preserve">TSU </w:t>
      </w:r>
      <w:r w:rsidR="4F763EFA" w:rsidRPr="7849A67F">
        <w:rPr>
          <w:rFonts w:eastAsia="Arial" w:cs="Arial"/>
          <w:sz w:val="22"/>
          <w:szCs w:val="22"/>
        </w:rPr>
        <w:t xml:space="preserve">saw the production and finalisation of </w:t>
      </w:r>
      <w:r w:rsidR="75FD146F" w:rsidRPr="7849A67F">
        <w:rPr>
          <w:rFonts w:eastAsia="Arial" w:cs="Arial"/>
          <w:sz w:val="22"/>
          <w:szCs w:val="22"/>
        </w:rPr>
        <w:t>a key o</w:t>
      </w:r>
      <w:r w:rsidR="104FD34B" w:rsidRPr="7849A67F">
        <w:rPr>
          <w:rFonts w:eastAsia="Arial" w:cs="Arial"/>
          <w:sz w:val="22"/>
          <w:szCs w:val="22"/>
        </w:rPr>
        <w:t xml:space="preserve">utput, </w:t>
      </w:r>
      <w:r w:rsidR="2214D454" w:rsidRPr="7849A67F">
        <w:rPr>
          <w:rFonts w:eastAsia="Arial" w:cs="Arial"/>
          <w:sz w:val="22"/>
          <w:szCs w:val="22"/>
        </w:rPr>
        <w:t xml:space="preserve">summarising and detailing </w:t>
      </w:r>
      <w:r w:rsidR="104FD34B" w:rsidRPr="7849A67F">
        <w:rPr>
          <w:rFonts w:eastAsia="Arial" w:cs="Arial"/>
          <w:sz w:val="22"/>
          <w:szCs w:val="22"/>
        </w:rPr>
        <w:t>a series of</w:t>
      </w:r>
      <w:r w:rsidR="56F46AC1" w:rsidRPr="7849A67F">
        <w:rPr>
          <w:rFonts w:eastAsia="Arial" w:cs="Arial"/>
          <w:sz w:val="22"/>
          <w:szCs w:val="22"/>
        </w:rPr>
        <w:t xml:space="preserve"> clear</w:t>
      </w:r>
      <w:r w:rsidR="104FD34B" w:rsidRPr="7849A67F">
        <w:rPr>
          <w:rFonts w:eastAsia="Arial" w:cs="Arial"/>
          <w:sz w:val="22"/>
          <w:szCs w:val="22"/>
        </w:rPr>
        <w:t xml:space="preserve"> objectives </w:t>
      </w:r>
      <w:r w:rsidR="022152E1" w:rsidRPr="7849A67F">
        <w:rPr>
          <w:rFonts w:eastAsia="Arial" w:cs="Arial"/>
          <w:sz w:val="22"/>
          <w:szCs w:val="22"/>
        </w:rPr>
        <w:t xml:space="preserve">and specific actions </w:t>
      </w:r>
      <w:r w:rsidR="104FD34B" w:rsidRPr="7849A67F">
        <w:rPr>
          <w:rFonts w:eastAsia="Arial" w:cs="Arial"/>
          <w:sz w:val="22"/>
          <w:szCs w:val="22"/>
        </w:rPr>
        <w:t>for TSU planning in 2024 and beyond. Vitally, this has provided impetu</w:t>
      </w:r>
      <w:r w:rsidR="4821D3B2" w:rsidRPr="7849A67F">
        <w:rPr>
          <w:rFonts w:eastAsia="Arial" w:cs="Arial"/>
          <w:sz w:val="22"/>
          <w:szCs w:val="22"/>
        </w:rPr>
        <w:t xml:space="preserve">s for modular </w:t>
      </w:r>
      <w:r w:rsidR="7213AE32" w:rsidRPr="7849A67F">
        <w:rPr>
          <w:rFonts w:eastAsia="Arial" w:cs="Arial"/>
          <w:sz w:val="22"/>
          <w:szCs w:val="22"/>
        </w:rPr>
        <w:t xml:space="preserve">improvements across the areas of outreach and engagement, the funding journey, devolved </w:t>
      </w:r>
      <w:r w:rsidR="6E227598" w:rsidRPr="7849A67F">
        <w:rPr>
          <w:rFonts w:eastAsia="Arial" w:cs="Arial"/>
          <w:sz w:val="22"/>
          <w:szCs w:val="22"/>
        </w:rPr>
        <w:t>decision-making, risk monitoring and reporting to the board</w:t>
      </w:r>
      <w:r w:rsidR="5CE3412C" w:rsidRPr="7849A67F">
        <w:rPr>
          <w:rFonts w:eastAsia="Arial" w:cs="Arial"/>
          <w:sz w:val="22"/>
          <w:szCs w:val="22"/>
        </w:rPr>
        <w:t>, already being seen in 2024</w:t>
      </w:r>
      <w:r w:rsidR="6E227598" w:rsidRPr="7849A67F">
        <w:rPr>
          <w:rFonts w:eastAsia="Arial" w:cs="Arial"/>
          <w:sz w:val="22"/>
          <w:szCs w:val="22"/>
        </w:rPr>
        <w:t xml:space="preserve">. </w:t>
      </w:r>
    </w:p>
    <w:p w14:paraId="3B9E2408" w14:textId="70CCE843" w:rsidR="7849A67F" w:rsidRDefault="7849A67F" w:rsidP="7849A67F">
      <w:pPr>
        <w:rPr>
          <w:rFonts w:eastAsia="Arial" w:cs="Arial"/>
          <w:sz w:val="22"/>
          <w:szCs w:val="22"/>
        </w:rPr>
      </w:pPr>
    </w:p>
    <w:p w14:paraId="06CBD691" w14:textId="77777777" w:rsidR="00255195" w:rsidRDefault="00255195">
      <w:r>
        <w:br w:type="page"/>
      </w:r>
    </w:p>
    <w:tbl>
      <w:tblPr>
        <w:tblStyle w:val="TableGrid"/>
        <w:tblW w:w="0" w:type="auto"/>
        <w:tblLook w:val="04A0" w:firstRow="1" w:lastRow="0" w:firstColumn="1" w:lastColumn="0" w:noHBand="0" w:noVBand="1"/>
      </w:tblPr>
      <w:tblGrid>
        <w:gridCol w:w="9016"/>
      </w:tblGrid>
      <w:tr w:rsidR="00CB2873" w14:paraId="406A1DDB" w14:textId="77777777" w:rsidTr="75FA93ED">
        <w:tc>
          <w:tcPr>
            <w:tcW w:w="9016" w:type="dxa"/>
            <w:shd w:val="clear" w:color="auto" w:fill="DEEAF6" w:themeFill="accent5" w:themeFillTint="33"/>
          </w:tcPr>
          <w:p w14:paraId="5F18405D" w14:textId="1306CBF9" w:rsidR="00CB2873" w:rsidRDefault="1B659C02" w:rsidP="001B4FD0">
            <w:pPr>
              <w:rPr>
                <w:rFonts w:eastAsia="Arial" w:cs="Arial"/>
              </w:rPr>
            </w:pPr>
            <w:bookmarkStart w:id="33" w:name="_Toc172791906"/>
            <w:bookmarkStart w:id="34" w:name="_Toc679524957"/>
            <w:r w:rsidRPr="75FA93ED">
              <w:rPr>
                <w:rStyle w:val="Heading1Char"/>
                <w:rFonts w:ascii="Arial" w:eastAsia="Arial" w:hAnsi="Arial" w:cs="Arial"/>
                <w:b/>
                <w:bCs/>
                <w:color w:val="auto"/>
              </w:rPr>
              <w:lastRenderedPageBreak/>
              <w:t>Section E: Risk</w:t>
            </w:r>
            <w:bookmarkEnd w:id="33"/>
            <w:bookmarkEnd w:id="34"/>
            <w:r w:rsidRPr="75FA93ED">
              <w:rPr>
                <w:rFonts w:eastAsia="Arial" w:cs="Arial"/>
              </w:rPr>
              <w:t xml:space="preserve"> </w:t>
            </w:r>
          </w:p>
        </w:tc>
      </w:tr>
    </w:tbl>
    <w:p w14:paraId="7D07A5C2" w14:textId="77777777" w:rsidR="003D222C" w:rsidRPr="00D80C6C" w:rsidRDefault="003D222C" w:rsidP="001B4FD0">
      <w:pPr>
        <w:rPr>
          <w:rFonts w:eastAsia="Arial" w:cs="Arial"/>
          <w:b/>
          <w:sz w:val="22"/>
          <w:szCs w:val="22"/>
        </w:rPr>
      </w:pPr>
    </w:p>
    <w:p w14:paraId="7CBD3830" w14:textId="77777777" w:rsidR="00B74143" w:rsidRPr="00D80C6C" w:rsidRDefault="00B74143" w:rsidP="75FA93ED">
      <w:pPr>
        <w:contextualSpacing/>
        <w:jc w:val="both"/>
        <w:rPr>
          <w:rFonts w:eastAsia="Arial" w:cs="Arial"/>
          <w:b/>
          <w:bCs/>
          <w:sz w:val="22"/>
          <w:szCs w:val="22"/>
        </w:rPr>
      </w:pPr>
      <w:bookmarkStart w:id="35" w:name="_Toc172791907"/>
      <w:bookmarkStart w:id="36" w:name="_Toc485177179"/>
      <w:r w:rsidRPr="75FA93ED">
        <w:rPr>
          <w:rStyle w:val="Heading2Char"/>
          <w:rFonts w:eastAsia="Arial" w:cs="Arial"/>
        </w:rPr>
        <w:t>Overall risk rating</w:t>
      </w:r>
      <w:bookmarkEnd w:id="35"/>
      <w:bookmarkEnd w:id="36"/>
      <w:r w:rsidRPr="75FA93ED">
        <w:rPr>
          <w:rFonts w:eastAsia="Arial" w:cs="Arial"/>
          <w:b/>
          <w:bCs/>
          <w:sz w:val="22"/>
          <w:szCs w:val="22"/>
        </w:rPr>
        <w:t xml:space="preserve">:  </w:t>
      </w:r>
    </w:p>
    <w:p w14:paraId="18F605BA" w14:textId="05FCE270" w:rsidR="0627BBBA" w:rsidRDefault="0627BBBA" w:rsidP="07AF1209">
      <w:pPr>
        <w:contextualSpacing/>
        <w:jc w:val="both"/>
        <w:rPr>
          <w:rFonts w:eastAsia="Arial" w:cs="Arial"/>
          <w:color w:val="000000" w:themeColor="text1"/>
          <w:sz w:val="22"/>
          <w:szCs w:val="22"/>
        </w:rPr>
      </w:pPr>
    </w:p>
    <w:p w14:paraId="515D9623" w14:textId="74BCCB9B" w:rsidR="6B52D2D0" w:rsidRPr="005152BB" w:rsidRDefault="6B52D2D0" w:rsidP="07AF1209">
      <w:pPr>
        <w:contextualSpacing/>
        <w:jc w:val="both"/>
        <w:rPr>
          <w:rFonts w:eastAsia="Arial" w:cs="Arial"/>
          <w:sz w:val="22"/>
          <w:szCs w:val="22"/>
        </w:rPr>
      </w:pPr>
      <w:r w:rsidRPr="005152BB">
        <w:rPr>
          <w:rFonts w:eastAsia="Arial" w:cs="Arial"/>
          <w:sz w:val="22"/>
          <w:szCs w:val="22"/>
        </w:rPr>
        <w:t>Moderate</w:t>
      </w:r>
    </w:p>
    <w:p w14:paraId="5CD2E13E" w14:textId="02ACE21A" w:rsidR="0627BBBA" w:rsidRDefault="0627BBBA" w:rsidP="07AF1209">
      <w:pPr>
        <w:jc w:val="both"/>
        <w:rPr>
          <w:rFonts w:eastAsia="Arial" w:cs="Arial"/>
          <w:color w:val="000000" w:themeColor="text1"/>
          <w:sz w:val="22"/>
          <w:szCs w:val="22"/>
        </w:rPr>
      </w:pPr>
    </w:p>
    <w:p w14:paraId="6D701576" w14:textId="0265A41F" w:rsidR="00C46FCE" w:rsidRPr="00D80C6C" w:rsidRDefault="00C46FCE" w:rsidP="07AF1209">
      <w:pPr>
        <w:jc w:val="both"/>
        <w:rPr>
          <w:rFonts w:eastAsia="Arial" w:cs="Arial"/>
          <w:sz w:val="22"/>
          <w:szCs w:val="22"/>
        </w:rPr>
      </w:pPr>
      <w:bookmarkStart w:id="37" w:name="_Toc172791908"/>
      <w:bookmarkStart w:id="38" w:name="_Toc952436128"/>
      <w:r w:rsidRPr="75FA93ED">
        <w:rPr>
          <w:rStyle w:val="Heading2Char"/>
          <w:rFonts w:eastAsia="Arial" w:cs="Arial"/>
        </w:rPr>
        <w:t>Overview of risk management</w:t>
      </w:r>
      <w:bookmarkEnd w:id="37"/>
      <w:bookmarkEnd w:id="38"/>
      <w:r w:rsidRPr="75FA93ED">
        <w:rPr>
          <w:rFonts w:eastAsia="Arial" w:cs="Arial"/>
          <w:sz w:val="22"/>
          <w:szCs w:val="22"/>
        </w:rPr>
        <w:t xml:space="preserve"> </w:t>
      </w:r>
    </w:p>
    <w:p w14:paraId="1A2084F9" w14:textId="4565CF4B" w:rsidR="0627BBBA" w:rsidRDefault="0627BBBA" w:rsidP="07AF1209">
      <w:pPr>
        <w:spacing w:before="40" w:after="40"/>
        <w:jc w:val="both"/>
        <w:rPr>
          <w:rFonts w:eastAsia="Arial" w:cs="Arial"/>
          <w:color w:val="000000" w:themeColor="text1"/>
          <w:sz w:val="22"/>
          <w:szCs w:val="22"/>
        </w:rPr>
      </w:pPr>
    </w:p>
    <w:p w14:paraId="6C494ADC" w14:textId="63E11513" w:rsidR="0627BBBA" w:rsidRDefault="6B52D2D0" w:rsidP="07AF1209">
      <w:pPr>
        <w:jc w:val="both"/>
        <w:rPr>
          <w:rFonts w:eastAsia="Arial" w:cs="Arial"/>
        </w:rPr>
      </w:pPr>
      <w:r w:rsidRPr="7849A67F">
        <w:rPr>
          <w:rFonts w:eastAsia="Arial" w:cs="Arial"/>
          <w:sz w:val="22"/>
          <w:szCs w:val="22"/>
        </w:rPr>
        <w:t xml:space="preserve">The MAF risk framework includes a risk register, regular reporting on the status of the portfolio and an updated risk section in the annual review. These build on the risk management framework established over the past years, which includes a risk appetite statement, project cancellation policy, standardised monitoring tools and trigger points for donors to consider the performance and progress of </w:t>
      </w:r>
      <w:r w:rsidR="49F5CFC6" w:rsidRPr="7849A67F">
        <w:rPr>
          <w:rFonts w:eastAsia="Arial" w:cs="Arial"/>
          <w:sz w:val="22"/>
          <w:szCs w:val="22"/>
        </w:rPr>
        <w:t xml:space="preserve">projects </w:t>
      </w:r>
      <w:r w:rsidRPr="7849A67F">
        <w:rPr>
          <w:rFonts w:eastAsia="Arial" w:cs="Arial"/>
          <w:sz w:val="22"/>
          <w:szCs w:val="22"/>
        </w:rPr>
        <w:t xml:space="preserve">in its portfolio. </w:t>
      </w:r>
      <w:r w:rsidRPr="7849A67F">
        <w:rPr>
          <w:rFonts w:eastAsia="Arial" w:cs="Arial"/>
          <w:lang w:val="en-US"/>
        </w:rPr>
        <w:t xml:space="preserve"> </w:t>
      </w:r>
    </w:p>
    <w:p w14:paraId="6553C2DF" w14:textId="77777777" w:rsidR="00B74143" w:rsidRPr="00D80C6C" w:rsidRDefault="00B74143" w:rsidP="07AF1209">
      <w:pPr>
        <w:pStyle w:val="Heading2"/>
        <w:jc w:val="both"/>
        <w:rPr>
          <w:rFonts w:eastAsia="Arial" w:cs="Arial"/>
        </w:rPr>
      </w:pPr>
      <w:bookmarkStart w:id="39" w:name="_Toc172791909"/>
      <w:bookmarkStart w:id="40" w:name="_Toc1884100196"/>
      <w:r w:rsidRPr="5964CDA8">
        <w:rPr>
          <w:rFonts w:eastAsia="Arial" w:cs="Arial"/>
        </w:rPr>
        <w:t>Current risks</w:t>
      </w:r>
      <w:bookmarkEnd w:id="39"/>
      <w:bookmarkEnd w:id="40"/>
    </w:p>
    <w:p w14:paraId="7CD7D9F1" w14:textId="63913139" w:rsidR="00B74143" w:rsidRDefault="00B74143" w:rsidP="001B4FD0">
      <w:pPr>
        <w:contextualSpacing/>
        <w:rPr>
          <w:rFonts w:eastAsia="Arial" w:cs="Arial"/>
          <w:sz w:val="22"/>
          <w:szCs w:val="22"/>
        </w:rPr>
      </w:pPr>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63"/>
        <w:gridCol w:w="1163"/>
        <w:gridCol w:w="839"/>
        <w:gridCol w:w="4317"/>
        <w:gridCol w:w="928"/>
      </w:tblGrid>
      <w:tr w:rsidR="00953B25" w:rsidRPr="00233938" w14:paraId="2A897A47" w14:textId="77777777" w:rsidTr="5964CDA8">
        <w:trPr>
          <w:trHeight w:val="300"/>
        </w:trPr>
        <w:tc>
          <w:tcPr>
            <w:tcW w:w="1768"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1151B927" w14:textId="6CA9A961" w:rsidR="00233938" w:rsidRPr="00233938" w:rsidRDefault="530AD326" w:rsidP="001B4FD0">
            <w:pPr>
              <w:textAlignment w:val="baseline"/>
              <w:rPr>
                <w:rFonts w:eastAsia="Arial" w:cs="Arial"/>
                <w:sz w:val="18"/>
                <w:szCs w:val="18"/>
                <w:lang w:eastAsia="en-GB"/>
              </w:rPr>
            </w:pPr>
            <w:r w:rsidRPr="71F79463">
              <w:rPr>
                <w:rFonts w:eastAsia="Arial" w:cs="Arial"/>
                <w:b/>
                <w:color w:val="FFFFFF" w:themeColor="background1"/>
                <w:sz w:val="20"/>
                <w:szCs w:val="20"/>
                <w:lang w:eastAsia="en-GB"/>
              </w:rPr>
              <w:t>Risk</w:t>
            </w:r>
            <w:r w:rsidRPr="71F79463">
              <w:rPr>
                <w:rFonts w:eastAsia="Arial" w:cs="Arial"/>
                <w:color w:val="FFFFFF" w:themeColor="background1"/>
                <w:sz w:val="20"/>
                <w:szCs w:val="20"/>
                <w:lang w:eastAsia="en-GB"/>
              </w:rPr>
              <w:t> </w:t>
            </w:r>
            <w:r w:rsidR="00233938" w:rsidRPr="71F79463">
              <w:rPr>
                <w:rFonts w:eastAsia="Arial" w:cs="Arial"/>
                <w:color w:val="FFFFFF" w:themeColor="background1"/>
                <w:sz w:val="20"/>
                <w:szCs w:val="20"/>
                <w:lang w:eastAsia="en-GB"/>
              </w:rPr>
              <w:t> </w:t>
            </w:r>
          </w:p>
        </w:tc>
        <w:tc>
          <w:tcPr>
            <w:tcW w:w="1166"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0738BD93" w14:textId="77777777" w:rsidR="00233938" w:rsidRPr="00233938" w:rsidRDefault="00233938" w:rsidP="001B4FD0">
            <w:pPr>
              <w:textAlignment w:val="baseline"/>
              <w:rPr>
                <w:rFonts w:eastAsia="Arial" w:cs="Arial"/>
                <w:sz w:val="18"/>
                <w:szCs w:val="18"/>
                <w:lang w:eastAsia="en-GB"/>
              </w:rPr>
            </w:pPr>
            <w:r w:rsidRPr="71F79463">
              <w:rPr>
                <w:rFonts w:eastAsia="Arial" w:cs="Arial"/>
                <w:b/>
                <w:color w:val="FFFFFF" w:themeColor="background1"/>
                <w:sz w:val="20"/>
                <w:szCs w:val="20"/>
                <w:lang w:eastAsia="en-GB"/>
              </w:rPr>
              <w:t>Likelihood</w:t>
            </w:r>
            <w:r w:rsidRPr="71F79463">
              <w:rPr>
                <w:rFonts w:eastAsia="Arial" w:cs="Arial"/>
                <w:color w:val="FFFFFF" w:themeColor="background1"/>
                <w:sz w:val="20"/>
                <w:szCs w:val="20"/>
                <w:lang w:eastAsia="en-GB"/>
              </w:rPr>
              <w:t> </w:t>
            </w:r>
          </w:p>
        </w:tc>
        <w:tc>
          <w:tcPr>
            <w:tcW w:w="841"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26CD70EB" w14:textId="77777777" w:rsidR="00233938" w:rsidRPr="00233938" w:rsidRDefault="00233938" w:rsidP="001B4FD0">
            <w:pPr>
              <w:textAlignment w:val="baseline"/>
              <w:rPr>
                <w:rFonts w:eastAsia="Arial" w:cs="Arial"/>
                <w:sz w:val="18"/>
                <w:szCs w:val="18"/>
                <w:lang w:eastAsia="en-GB"/>
              </w:rPr>
            </w:pPr>
            <w:r w:rsidRPr="71F79463">
              <w:rPr>
                <w:rFonts w:eastAsia="Arial" w:cs="Arial"/>
                <w:b/>
                <w:color w:val="FFFFFF" w:themeColor="background1"/>
                <w:sz w:val="20"/>
                <w:szCs w:val="20"/>
                <w:lang w:eastAsia="en-GB"/>
              </w:rPr>
              <w:t>Impact</w:t>
            </w:r>
            <w:r w:rsidRPr="71F79463">
              <w:rPr>
                <w:rFonts w:eastAsia="Arial" w:cs="Arial"/>
                <w:color w:val="FFFFFF" w:themeColor="background1"/>
                <w:sz w:val="20"/>
                <w:szCs w:val="20"/>
                <w:lang w:eastAsia="en-GB"/>
              </w:rPr>
              <w:t> </w:t>
            </w:r>
          </w:p>
        </w:tc>
        <w:tc>
          <w:tcPr>
            <w:tcW w:w="4329"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3271A9E9" w14:textId="77777777" w:rsidR="00233938" w:rsidRPr="00233938" w:rsidRDefault="530AD326" w:rsidP="001B4FD0">
            <w:pPr>
              <w:textAlignment w:val="baseline"/>
              <w:rPr>
                <w:rFonts w:eastAsia="Arial" w:cs="Arial"/>
                <w:sz w:val="18"/>
                <w:szCs w:val="18"/>
                <w:lang w:eastAsia="en-GB"/>
              </w:rPr>
            </w:pPr>
            <w:r w:rsidRPr="71F79463">
              <w:rPr>
                <w:rFonts w:eastAsia="Arial" w:cs="Arial"/>
                <w:b/>
                <w:color w:val="FFFFFF" w:themeColor="background1"/>
                <w:sz w:val="20"/>
                <w:szCs w:val="20"/>
                <w:lang w:eastAsia="en-GB"/>
              </w:rPr>
              <w:t>Mitigation</w:t>
            </w:r>
            <w:r w:rsidRPr="71F79463">
              <w:rPr>
                <w:rFonts w:eastAsia="Arial" w:cs="Arial"/>
                <w:color w:val="FFFFFF" w:themeColor="background1"/>
                <w:sz w:val="20"/>
                <w:szCs w:val="20"/>
                <w:lang w:eastAsia="en-GB"/>
              </w:rPr>
              <w:t>  </w:t>
            </w:r>
          </w:p>
        </w:tc>
        <w:tc>
          <w:tcPr>
            <w:tcW w:w="799"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4D900E82" w14:textId="77777777" w:rsidR="00233938" w:rsidRPr="00233938" w:rsidRDefault="5D23D552" w:rsidP="001B4FD0">
            <w:pPr>
              <w:textAlignment w:val="baseline"/>
              <w:rPr>
                <w:rFonts w:eastAsia="Arial" w:cs="Arial"/>
                <w:sz w:val="18"/>
                <w:szCs w:val="18"/>
                <w:lang w:eastAsia="en-GB"/>
              </w:rPr>
            </w:pPr>
            <w:r w:rsidRPr="5964CDA8">
              <w:rPr>
                <w:rFonts w:eastAsia="Arial" w:cs="Arial"/>
                <w:b/>
                <w:bCs/>
                <w:color w:val="FFFFFF" w:themeColor="background1"/>
                <w:sz w:val="20"/>
                <w:szCs w:val="20"/>
                <w:lang w:eastAsia="en-GB"/>
              </w:rPr>
              <w:t xml:space="preserve">RAG </w:t>
            </w:r>
            <w:r w:rsidR="5025A749" w:rsidRPr="5964CDA8">
              <w:rPr>
                <w:rFonts w:eastAsia="Arial" w:cs="Arial"/>
                <w:b/>
                <w:bCs/>
                <w:color w:val="FFFFFF" w:themeColor="background1"/>
                <w:sz w:val="20"/>
                <w:szCs w:val="20"/>
                <w:lang w:eastAsia="en-GB"/>
              </w:rPr>
              <w:t>Rating</w:t>
            </w:r>
            <w:r w:rsidR="5025A749" w:rsidRPr="5964CDA8">
              <w:rPr>
                <w:rFonts w:eastAsia="Arial" w:cs="Arial"/>
                <w:color w:val="FFFFFF" w:themeColor="background1"/>
                <w:sz w:val="20"/>
                <w:szCs w:val="20"/>
                <w:lang w:eastAsia="en-GB"/>
              </w:rPr>
              <w:t> </w:t>
            </w:r>
            <w:r w:rsidRPr="5964CDA8">
              <w:rPr>
                <w:rFonts w:eastAsia="Arial" w:cs="Arial"/>
                <w:color w:val="FFFFFF" w:themeColor="background1"/>
                <w:sz w:val="20"/>
                <w:szCs w:val="20"/>
                <w:lang w:eastAsia="en-GB"/>
              </w:rPr>
              <w:t> </w:t>
            </w:r>
          </w:p>
        </w:tc>
      </w:tr>
      <w:tr w:rsidR="00C56186" w:rsidRPr="00233938" w14:paraId="3F85AC43" w14:textId="77777777" w:rsidTr="5964CDA8">
        <w:trPr>
          <w:trHeight w:val="300"/>
        </w:trPr>
        <w:tc>
          <w:tcPr>
            <w:tcW w:w="1768" w:type="dxa"/>
            <w:tcBorders>
              <w:top w:val="single" w:sz="6" w:space="0" w:color="auto"/>
              <w:left w:val="single" w:sz="6" w:space="0" w:color="auto"/>
              <w:bottom w:val="single" w:sz="6" w:space="0" w:color="auto"/>
              <w:right w:val="single" w:sz="6" w:space="0" w:color="auto"/>
            </w:tcBorders>
            <w:shd w:val="clear" w:color="auto" w:fill="auto"/>
            <w:hideMark/>
          </w:tcPr>
          <w:p w14:paraId="7724C297" w14:textId="701FDF19" w:rsidR="00233938" w:rsidRPr="005152BB" w:rsidRDefault="00233938" w:rsidP="001B4FD0">
            <w:pPr>
              <w:textAlignment w:val="baseline"/>
              <w:rPr>
                <w:rFonts w:eastAsia="Arial" w:cs="Arial"/>
                <w:sz w:val="20"/>
                <w:szCs w:val="20"/>
                <w:lang w:eastAsia="en-GB"/>
              </w:rPr>
            </w:pPr>
            <w:r w:rsidRPr="71F79463">
              <w:rPr>
                <w:rFonts w:eastAsia="Arial" w:cs="Arial"/>
                <w:b/>
                <w:sz w:val="20"/>
                <w:szCs w:val="20"/>
                <w:lang w:eastAsia="en-GB"/>
              </w:rPr>
              <w:t>External Risk:</w:t>
            </w:r>
            <w:r w:rsidRPr="71F79463">
              <w:rPr>
                <w:rFonts w:eastAsia="Arial" w:cs="Arial"/>
                <w:sz w:val="20"/>
                <w:szCs w:val="20"/>
                <w:lang w:eastAsia="en-GB"/>
              </w:rPr>
              <w:t xml:space="preserve"> Deteriorating country </w:t>
            </w:r>
            <w:r w:rsidR="530AD326" w:rsidRPr="71F79463">
              <w:rPr>
                <w:rFonts w:eastAsia="Arial" w:cs="Arial"/>
                <w:sz w:val="20"/>
                <w:szCs w:val="20"/>
                <w:lang w:eastAsia="en-GB"/>
              </w:rPr>
              <w:t>context</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584A2206"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Possible </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2F083418"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Major </w:t>
            </w:r>
          </w:p>
        </w:tc>
        <w:tc>
          <w:tcPr>
            <w:tcW w:w="4329" w:type="dxa"/>
            <w:tcBorders>
              <w:top w:val="single" w:sz="6" w:space="0" w:color="auto"/>
              <w:left w:val="single" w:sz="6" w:space="0" w:color="auto"/>
              <w:bottom w:val="single" w:sz="6" w:space="0" w:color="auto"/>
              <w:right w:val="single" w:sz="6" w:space="0" w:color="auto"/>
            </w:tcBorders>
            <w:shd w:val="clear" w:color="auto" w:fill="auto"/>
            <w:hideMark/>
          </w:tcPr>
          <w:p w14:paraId="68C3567B"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The country risk (political, security, economic) is beyond the scope of influence by the programme intervention. Risk mitigation includes a close monitoring via the donor’s embassies/ delegations and the GIZ country offices and could potentially also include the early discontinuation of projects.</w:t>
            </w:r>
            <w:r w:rsidR="530AD326" w:rsidRPr="71F79463">
              <w:rPr>
                <w:rFonts w:eastAsia="Arial" w:cs="Arial"/>
                <w:sz w:val="20"/>
                <w:szCs w:val="20"/>
                <w:lang w:eastAsia="en-GB"/>
              </w:rPr>
              <w:t>  </w:t>
            </w:r>
            <w:r w:rsidRPr="71F79463">
              <w:rPr>
                <w:rFonts w:eastAsia="Arial" w:cs="Arial"/>
                <w:sz w:val="20"/>
                <w:szCs w:val="20"/>
                <w:lang w:eastAsia="en-GB"/>
              </w:rPr>
              <w:t> </w:t>
            </w:r>
          </w:p>
        </w:tc>
        <w:tc>
          <w:tcPr>
            <w:tcW w:w="799" w:type="dxa"/>
            <w:tcBorders>
              <w:top w:val="single" w:sz="6" w:space="0" w:color="auto"/>
              <w:left w:val="single" w:sz="6" w:space="0" w:color="auto"/>
              <w:bottom w:val="single" w:sz="6" w:space="0" w:color="auto"/>
              <w:right w:val="single" w:sz="6" w:space="0" w:color="auto"/>
            </w:tcBorders>
            <w:shd w:val="clear" w:color="auto" w:fill="FF0000"/>
            <w:hideMark/>
          </w:tcPr>
          <w:p w14:paraId="28D99DC1"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High </w:t>
            </w:r>
          </w:p>
        </w:tc>
      </w:tr>
      <w:tr w:rsidR="00C56186" w:rsidRPr="00233938" w14:paraId="7246F68F" w14:textId="77777777" w:rsidTr="5964CDA8">
        <w:trPr>
          <w:trHeight w:val="300"/>
        </w:trPr>
        <w:tc>
          <w:tcPr>
            <w:tcW w:w="1768" w:type="dxa"/>
            <w:tcBorders>
              <w:top w:val="single" w:sz="6" w:space="0" w:color="auto"/>
              <w:left w:val="single" w:sz="6" w:space="0" w:color="auto"/>
              <w:bottom w:val="single" w:sz="6" w:space="0" w:color="auto"/>
              <w:right w:val="single" w:sz="6" w:space="0" w:color="auto"/>
            </w:tcBorders>
            <w:shd w:val="clear" w:color="auto" w:fill="auto"/>
            <w:hideMark/>
          </w:tcPr>
          <w:p w14:paraId="062E5432" w14:textId="77777777" w:rsidR="00233938" w:rsidRPr="005152BB" w:rsidRDefault="00233938" w:rsidP="001B4FD0">
            <w:pPr>
              <w:textAlignment w:val="baseline"/>
              <w:rPr>
                <w:rFonts w:eastAsia="Arial" w:cs="Arial"/>
                <w:sz w:val="18"/>
                <w:szCs w:val="18"/>
                <w:lang w:eastAsia="en-GB"/>
              </w:rPr>
            </w:pPr>
            <w:r w:rsidRPr="71F79463">
              <w:rPr>
                <w:rFonts w:eastAsia="Arial" w:cs="Arial"/>
                <w:b/>
                <w:sz w:val="20"/>
                <w:szCs w:val="20"/>
                <w:lang w:eastAsia="en-GB"/>
              </w:rPr>
              <w:t xml:space="preserve">External Risk: </w:t>
            </w:r>
            <w:r w:rsidRPr="71F79463">
              <w:rPr>
                <w:rFonts w:eastAsia="Arial" w:cs="Arial"/>
                <w:sz w:val="20"/>
                <w:szCs w:val="20"/>
                <w:lang w:eastAsia="en-GB"/>
              </w:rPr>
              <w:t>External events (e.g. natural disasters, disease, and war)</w:t>
            </w:r>
            <w:r w:rsidR="530AD326" w:rsidRPr="71F79463">
              <w:rPr>
                <w:rFonts w:eastAsia="Arial" w:cs="Arial"/>
                <w:sz w:val="20"/>
                <w:szCs w:val="20"/>
                <w:lang w:eastAsia="en-GB"/>
              </w:rPr>
              <w:t> </w:t>
            </w:r>
            <w:r w:rsidRPr="71F79463">
              <w:rPr>
                <w:rFonts w:eastAsia="Arial" w:cs="Arial"/>
                <w:sz w:val="20"/>
                <w:szCs w:val="20"/>
                <w:lang w:eastAsia="en-GB"/>
              </w:rPr>
              <w:t>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3A60AB13"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Possible </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298FD87D"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Major </w:t>
            </w:r>
          </w:p>
        </w:tc>
        <w:tc>
          <w:tcPr>
            <w:tcW w:w="4329" w:type="dxa"/>
            <w:tcBorders>
              <w:top w:val="single" w:sz="6" w:space="0" w:color="auto"/>
              <w:left w:val="single" w:sz="6" w:space="0" w:color="auto"/>
              <w:bottom w:val="single" w:sz="6" w:space="0" w:color="auto"/>
              <w:right w:val="single" w:sz="6" w:space="0" w:color="auto"/>
            </w:tcBorders>
            <w:shd w:val="clear" w:color="auto" w:fill="auto"/>
            <w:hideMark/>
          </w:tcPr>
          <w:p w14:paraId="0E70EC0F"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External events can adversely affect the implementation and/or success of a project. The Facility targets beneficiaries in developing countries, some of which are in unstable regions or regions highly susceptible to the impacts of external events. This risk is beyond the Facility’s scope of influence. Risk mitigation includes monitoring via the project risk monitoring.</w:t>
            </w:r>
            <w:r w:rsidR="530AD326" w:rsidRPr="71F79463">
              <w:rPr>
                <w:rFonts w:eastAsia="Arial" w:cs="Arial"/>
                <w:sz w:val="20"/>
                <w:szCs w:val="20"/>
                <w:lang w:eastAsia="en-GB"/>
              </w:rPr>
              <w:t> </w:t>
            </w:r>
            <w:r w:rsidRPr="71F79463">
              <w:rPr>
                <w:rFonts w:eastAsia="Arial" w:cs="Arial"/>
                <w:sz w:val="20"/>
                <w:szCs w:val="20"/>
                <w:lang w:eastAsia="en-GB"/>
              </w:rPr>
              <w:t> </w:t>
            </w:r>
          </w:p>
        </w:tc>
        <w:tc>
          <w:tcPr>
            <w:tcW w:w="799" w:type="dxa"/>
            <w:tcBorders>
              <w:top w:val="single" w:sz="6" w:space="0" w:color="auto"/>
              <w:left w:val="single" w:sz="6" w:space="0" w:color="auto"/>
              <w:bottom w:val="single" w:sz="6" w:space="0" w:color="auto"/>
              <w:right w:val="single" w:sz="6" w:space="0" w:color="auto"/>
            </w:tcBorders>
            <w:shd w:val="clear" w:color="auto" w:fill="FF0000"/>
            <w:hideMark/>
          </w:tcPr>
          <w:p w14:paraId="1D1CBB37" w14:textId="77777777" w:rsidR="00233938" w:rsidRPr="005152BB" w:rsidRDefault="530AD326" w:rsidP="001B4FD0">
            <w:pPr>
              <w:textAlignment w:val="baseline"/>
              <w:rPr>
                <w:rFonts w:eastAsia="Arial" w:cs="Arial"/>
                <w:sz w:val="18"/>
                <w:szCs w:val="18"/>
                <w:lang w:eastAsia="en-GB"/>
              </w:rPr>
            </w:pPr>
            <w:r w:rsidRPr="71F79463">
              <w:rPr>
                <w:rFonts w:eastAsia="Arial" w:cs="Arial"/>
                <w:sz w:val="20"/>
                <w:szCs w:val="20"/>
                <w:lang w:eastAsia="en-GB"/>
              </w:rPr>
              <w:t>High  </w:t>
            </w:r>
          </w:p>
        </w:tc>
      </w:tr>
      <w:tr w:rsidR="07AF1209" w14:paraId="11A55245" w14:textId="77777777" w:rsidTr="5964CDA8">
        <w:trPr>
          <w:trHeight w:val="300"/>
        </w:trPr>
        <w:tc>
          <w:tcPr>
            <w:tcW w:w="1764" w:type="dxa"/>
            <w:tcBorders>
              <w:top w:val="single" w:sz="6" w:space="0" w:color="auto"/>
              <w:left w:val="single" w:sz="6" w:space="0" w:color="auto"/>
              <w:bottom w:val="single" w:sz="6" w:space="0" w:color="auto"/>
              <w:right w:val="single" w:sz="6" w:space="0" w:color="auto"/>
            </w:tcBorders>
            <w:shd w:val="clear" w:color="auto" w:fill="auto"/>
            <w:hideMark/>
          </w:tcPr>
          <w:p w14:paraId="60F30B2D" w14:textId="6C5981B3" w:rsidR="65B85886" w:rsidRDefault="65B85886" w:rsidP="07AF1209">
            <w:pPr>
              <w:rPr>
                <w:rFonts w:eastAsia="Arial" w:cs="Arial"/>
                <w:sz w:val="20"/>
                <w:szCs w:val="20"/>
              </w:rPr>
            </w:pPr>
            <w:r w:rsidRPr="07AF1209">
              <w:rPr>
                <w:rFonts w:eastAsia="Arial" w:cs="Arial"/>
                <w:b/>
                <w:bCs/>
                <w:sz w:val="20"/>
                <w:szCs w:val="20"/>
                <w:lang w:eastAsia="en-GB"/>
              </w:rPr>
              <w:t xml:space="preserve">Operational/delivery risk: </w:t>
            </w:r>
            <w:r w:rsidRPr="07AF1209">
              <w:rPr>
                <w:rFonts w:eastAsia="Arial" w:cs="Arial"/>
                <w:sz w:val="20"/>
                <w:szCs w:val="20"/>
              </w:rPr>
              <w:t>Slow implementation of projects and disbursement</w:t>
            </w:r>
          </w:p>
          <w:p w14:paraId="6D773250" w14:textId="7A0C5776" w:rsidR="07AF1209" w:rsidRDefault="07AF1209" w:rsidP="07AF1209">
            <w:pPr>
              <w:rPr>
                <w:rFonts w:eastAsia="Arial" w:cs="Arial"/>
                <w:b/>
                <w:bCs/>
                <w:sz w:val="20"/>
                <w:szCs w:val="20"/>
                <w:lang w:eastAsia="en-GB"/>
              </w:rPr>
            </w:pP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71714CDC" w14:textId="4A25C64E" w:rsidR="65B85886" w:rsidRDefault="65B85886" w:rsidP="07AF1209">
            <w:pPr>
              <w:rPr>
                <w:rFonts w:eastAsia="Arial" w:cs="Arial"/>
                <w:sz w:val="20"/>
                <w:szCs w:val="20"/>
                <w:lang w:eastAsia="en-GB"/>
              </w:rPr>
            </w:pPr>
            <w:r w:rsidRPr="07AF1209">
              <w:rPr>
                <w:rFonts w:eastAsia="Arial" w:cs="Arial"/>
                <w:sz w:val="20"/>
                <w:szCs w:val="20"/>
                <w:lang w:eastAsia="en-GB"/>
              </w:rPr>
              <w:t>Possible</w:t>
            </w:r>
          </w:p>
          <w:p w14:paraId="17F991D9" w14:textId="19DD800A" w:rsidR="07AF1209" w:rsidRDefault="07AF1209" w:rsidP="07AF1209">
            <w:pPr>
              <w:rPr>
                <w:rFonts w:eastAsia="Arial" w:cs="Arial"/>
                <w:sz w:val="20"/>
                <w:szCs w:val="20"/>
                <w:lang w:eastAsia="en-GB"/>
              </w:rPr>
            </w:pP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53C295DF" w14:textId="4D03F957" w:rsidR="65B85886" w:rsidRDefault="65B85886" w:rsidP="07AF1209">
            <w:pPr>
              <w:rPr>
                <w:rFonts w:eastAsia="Arial" w:cs="Arial"/>
                <w:sz w:val="20"/>
                <w:szCs w:val="20"/>
                <w:lang w:eastAsia="en-GB"/>
              </w:rPr>
            </w:pPr>
            <w:r w:rsidRPr="07AF1209">
              <w:rPr>
                <w:rFonts w:eastAsia="Arial" w:cs="Arial"/>
                <w:sz w:val="20"/>
                <w:szCs w:val="20"/>
                <w:lang w:eastAsia="en-GB"/>
              </w:rPr>
              <w:t>Major</w:t>
            </w:r>
          </w:p>
          <w:p w14:paraId="79B32E13" w14:textId="6882BC19" w:rsidR="07AF1209" w:rsidRDefault="07AF1209" w:rsidP="07AF1209">
            <w:pPr>
              <w:rPr>
                <w:rFonts w:eastAsia="Arial" w:cs="Arial"/>
                <w:sz w:val="20"/>
                <w:szCs w:val="20"/>
                <w:lang w:eastAsia="en-GB"/>
              </w:rPr>
            </w:pPr>
          </w:p>
        </w:tc>
        <w:tc>
          <w:tcPr>
            <w:tcW w:w="4315" w:type="dxa"/>
            <w:tcBorders>
              <w:top w:val="single" w:sz="6" w:space="0" w:color="auto"/>
              <w:left w:val="single" w:sz="6" w:space="0" w:color="auto"/>
              <w:bottom w:val="single" w:sz="6" w:space="0" w:color="auto"/>
              <w:right w:val="single" w:sz="6" w:space="0" w:color="auto"/>
            </w:tcBorders>
            <w:shd w:val="clear" w:color="auto" w:fill="auto"/>
            <w:hideMark/>
          </w:tcPr>
          <w:p w14:paraId="3F8EB7E9" w14:textId="18225FFA" w:rsidR="65B85886" w:rsidRDefault="65B85886" w:rsidP="07AF1209">
            <w:pPr>
              <w:rPr>
                <w:rFonts w:eastAsia="Arial" w:cs="Arial"/>
                <w:sz w:val="20"/>
                <w:szCs w:val="20"/>
                <w:lang w:eastAsia="en-GB"/>
              </w:rPr>
            </w:pPr>
            <w:r w:rsidRPr="07AF1209">
              <w:rPr>
                <w:rFonts w:eastAsia="Arial" w:cs="Arial"/>
                <w:sz w:val="20"/>
                <w:szCs w:val="20"/>
                <w:lang w:eastAsia="en-GB"/>
              </w:rPr>
              <w:t>Ensure delivery timelines included as a key TSU KPI for future funding rounds.  Ensure there is a streamlined MAF Board approval procedure for new projects in place.</w:t>
            </w:r>
          </w:p>
          <w:p w14:paraId="75904A5D" w14:textId="1245220D" w:rsidR="65B85886" w:rsidRDefault="65B85886" w:rsidP="07AF1209">
            <w:pPr>
              <w:rPr>
                <w:rFonts w:eastAsia="Arial" w:cs="Arial"/>
                <w:sz w:val="20"/>
                <w:szCs w:val="20"/>
                <w:lang w:eastAsia="en-GB"/>
              </w:rPr>
            </w:pPr>
            <w:r w:rsidRPr="07AF1209">
              <w:rPr>
                <w:rFonts w:eastAsia="Arial" w:cs="Arial"/>
                <w:sz w:val="20"/>
                <w:szCs w:val="20"/>
                <w:lang w:eastAsia="en-GB"/>
              </w:rPr>
              <w:t>Ensure capacities within the German government dedicated to IPAs and keeping IPAs a priority in the TSU.</w:t>
            </w:r>
          </w:p>
          <w:p w14:paraId="6AE559E2" w14:textId="166B6602" w:rsidR="5FEF8477" w:rsidRDefault="5FEF8477" w:rsidP="07AF1209">
            <w:pPr>
              <w:rPr>
                <w:rFonts w:eastAsia="Arial" w:cs="Arial"/>
                <w:sz w:val="20"/>
                <w:szCs w:val="20"/>
                <w:lang w:eastAsia="en-GB"/>
              </w:rPr>
            </w:pPr>
            <w:r w:rsidRPr="07AF1209">
              <w:rPr>
                <w:rFonts w:eastAsia="Arial" w:cs="Arial"/>
                <w:sz w:val="20"/>
                <w:szCs w:val="20"/>
                <w:lang w:eastAsia="en-GB"/>
              </w:rPr>
              <w:t>Ensure project is closely monitored by TSU desk officers and any delays or heightened risk of impact reduction is escalated to the board.</w:t>
            </w:r>
            <w:r w:rsidR="7CCB47D1" w:rsidRPr="07AF1209">
              <w:rPr>
                <w:rFonts w:eastAsia="Arial" w:cs="Arial"/>
                <w:sz w:val="20"/>
                <w:szCs w:val="20"/>
                <w:lang w:eastAsia="en-GB"/>
              </w:rPr>
              <w:t xml:space="preserve"> Partner government endorsement is managed closely.</w:t>
            </w:r>
          </w:p>
        </w:tc>
        <w:tc>
          <w:tcPr>
            <w:tcW w:w="931" w:type="dxa"/>
            <w:tcBorders>
              <w:top w:val="single" w:sz="6" w:space="0" w:color="auto"/>
              <w:left w:val="single" w:sz="6" w:space="0" w:color="auto"/>
              <w:bottom w:val="single" w:sz="6" w:space="0" w:color="auto"/>
              <w:right w:val="single" w:sz="6" w:space="0" w:color="auto"/>
            </w:tcBorders>
            <w:shd w:val="clear" w:color="auto" w:fill="FF0000"/>
            <w:hideMark/>
          </w:tcPr>
          <w:p w14:paraId="346C3E5B" w14:textId="6C097079" w:rsidR="65B85886" w:rsidRDefault="65B85886" w:rsidP="07AF1209">
            <w:pPr>
              <w:rPr>
                <w:rFonts w:eastAsia="Arial" w:cs="Arial"/>
                <w:sz w:val="20"/>
                <w:szCs w:val="20"/>
                <w:lang w:eastAsia="en-GB"/>
              </w:rPr>
            </w:pPr>
            <w:r w:rsidRPr="07AF1209">
              <w:rPr>
                <w:rFonts w:eastAsia="Arial" w:cs="Arial"/>
                <w:sz w:val="20"/>
                <w:szCs w:val="20"/>
                <w:lang w:eastAsia="en-GB"/>
              </w:rPr>
              <w:t>High</w:t>
            </w:r>
          </w:p>
          <w:p w14:paraId="6E40539C" w14:textId="12B8F938" w:rsidR="07AF1209" w:rsidRDefault="07AF1209" w:rsidP="07AF1209">
            <w:pPr>
              <w:rPr>
                <w:rFonts w:eastAsia="Arial" w:cs="Arial"/>
                <w:sz w:val="20"/>
                <w:szCs w:val="20"/>
                <w:lang w:eastAsia="en-GB"/>
              </w:rPr>
            </w:pPr>
          </w:p>
        </w:tc>
      </w:tr>
      <w:tr w:rsidR="00C56186" w:rsidRPr="00233938" w14:paraId="1F71489C" w14:textId="77777777" w:rsidTr="5964CDA8">
        <w:trPr>
          <w:trHeight w:val="300"/>
        </w:trPr>
        <w:tc>
          <w:tcPr>
            <w:tcW w:w="1768" w:type="dxa"/>
            <w:tcBorders>
              <w:top w:val="single" w:sz="6" w:space="0" w:color="auto"/>
              <w:left w:val="single" w:sz="6" w:space="0" w:color="auto"/>
              <w:bottom w:val="single" w:sz="6" w:space="0" w:color="auto"/>
              <w:right w:val="single" w:sz="6" w:space="0" w:color="auto"/>
            </w:tcBorders>
            <w:shd w:val="clear" w:color="auto" w:fill="auto"/>
            <w:hideMark/>
          </w:tcPr>
          <w:p w14:paraId="276DB407" w14:textId="77777777" w:rsidR="00233938" w:rsidRPr="005152BB" w:rsidRDefault="00233938" w:rsidP="001B4FD0">
            <w:pPr>
              <w:textAlignment w:val="baseline"/>
              <w:rPr>
                <w:rFonts w:eastAsia="Arial" w:cs="Arial"/>
                <w:sz w:val="18"/>
                <w:szCs w:val="18"/>
                <w:lang w:eastAsia="en-GB"/>
              </w:rPr>
            </w:pPr>
            <w:r w:rsidRPr="71F79463">
              <w:rPr>
                <w:rFonts w:eastAsia="Arial" w:cs="Arial"/>
                <w:b/>
                <w:sz w:val="20"/>
                <w:szCs w:val="20"/>
                <w:lang w:eastAsia="en-GB"/>
              </w:rPr>
              <w:t>Operational/delivery risk:</w:t>
            </w:r>
            <w:r w:rsidRPr="71F79463">
              <w:rPr>
                <w:rFonts w:eastAsia="Arial" w:cs="Arial"/>
                <w:sz w:val="20"/>
                <w:szCs w:val="20"/>
                <w:lang w:eastAsia="en-GB"/>
              </w:rPr>
              <w:t xml:space="preserve"> Government endorsement of projects reduced or withdrawn leading to delays or cancellations of project </w:t>
            </w:r>
            <w:r w:rsidR="530AD326" w:rsidRPr="71F79463">
              <w:rPr>
                <w:rFonts w:eastAsia="Arial" w:cs="Arial"/>
                <w:sz w:val="20"/>
                <w:szCs w:val="20"/>
                <w:lang w:eastAsia="en-GB"/>
              </w:rPr>
              <w:t>implementation </w:t>
            </w:r>
            <w:r w:rsidRPr="71F79463">
              <w:rPr>
                <w:rFonts w:eastAsia="Arial" w:cs="Arial"/>
                <w:sz w:val="20"/>
                <w:szCs w:val="20"/>
                <w:lang w:eastAsia="en-GB"/>
              </w:rPr>
              <w:t>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36A02F8F" w14:textId="61875E7C" w:rsidR="00233938" w:rsidRPr="005152BB" w:rsidRDefault="00C56186" w:rsidP="001B4FD0">
            <w:pPr>
              <w:textAlignment w:val="baseline"/>
              <w:rPr>
                <w:rFonts w:eastAsia="Arial" w:cs="Arial"/>
                <w:sz w:val="18"/>
                <w:szCs w:val="18"/>
                <w:lang w:eastAsia="en-GB"/>
              </w:rPr>
            </w:pPr>
            <w:r w:rsidRPr="71F79463">
              <w:rPr>
                <w:rFonts w:eastAsia="Arial" w:cs="Arial"/>
                <w:sz w:val="20"/>
                <w:szCs w:val="20"/>
                <w:lang w:eastAsia="en-GB"/>
              </w:rPr>
              <w:t>Possible </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3A4D5193"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Major </w:t>
            </w:r>
          </w:p>
        </w:tc>
        <w:tc>
          <w:tcPr>
            <w:tcW w:w="4329" w:type="dxa"/>
            <w:tcBorders>
              <w:top w:val="single" w:sz="6" w:space="0" w:color="auto"/>
              <w:left w:val="single" w:sz="6" w:space="0" w:color="auto"/>
              <w:bottom w:val="single" w:sz="6" w:space="0" w:color="auto"/>
              <w:right w:val="single" w:sz="6" w:space="0" w:color="auto"/>
            </w:tcBorders>
            <w:shd w:val="clear" w:color="auto" w:fill="auto"/>
            <w:hideMark/>
          </w:tcPr>
          <w:p w14:paraId="433F38F6" w14:textId="1E3F2A1F" w:rsidR="00233938" w:rsidRPr="005152BB" w:rsidRDefault="45F14203" w:rsidP="001B4FD0">
            <w:pPr>
              <w:textAlignment w:val="baseline"/>
              <w:rPr>
                <w:rFonts w:eastAsia="Arial" w:cs="Arial"/>
                <w:sz w:val="18"/>
                <w:szCs w:val="18"/>
                <w:lang w:eastAsia="en-GB"/>
              </w:rPr>
            </w:pPr>
            <w:r w:rsidRPr="0A0530F7">
              <w:rPr>
                <w:rFonts w:eastAsia="Arial" w:cs="Arial"/>
                <w:sz w:val="20"/>
                <w:szCs w:val="20"/>
                <w:lang w:eastAsia="en-GB"/>
              </w:rPr>
              <w:t xml:space="preserve">The risk of recipient countries changing priorities is beyond the Facility’s scope of influence. However, this </w:t>
            </w:r>
            <w:r w:rsidR="04E414F9" w:rsidRPr="0A0530F7">
              <w:rPr>
                <w:rFonts w:eastAsia="Arial" w:cs="Arial"/>
                <w:sz w:val="20"/>
                <w:szCs w:val="20"/>
                <w:lang w:eastAsia="en-GB"/>
              </w:rPr>
              <w:t>i</w:t>
            </w:r>
            <w:r w:rsidRPr="0A0530F7">
              <w:rPr>
                <w:rFonts w:eastAsia="Arial" w:cs="Arial"/>
                <w:sz w:val="20"/>
                <w:szCs w:val="20"/>
                <w:lang w:eastAsia="en-GB"/>
              </w:rPr>
              <w:t xml:space="preserve">s mitigated by ensuring government partners are key members of project team; by the TSU ensuring projects keep on track; and by donors working with respective embassy teams to use their relationships with governments to help maintain </w:t>
            </w:r>
            <w:r w:rsidR="6A2E485C" w:rsidRPr="0A0530F7">
              <w:rPr>
                <w:rFonts w:eastAsia="Arial" w:cs="Arial"/>
                <w:sz w:val="20"/>
                <w:szCs w:val="20"/>
                <w:lang w:eastAsia="en-GB"/>
              </w:rPr>
              <w:t>support </w:t>
            </w:r>
            <w:r w:rsidRPr="0A0530F7">
              <w:rPr>
                <w:rFonts w:eastAsia="Arial" w:cs="Arial"/>
                <w:sz w:val="20"/>
                <w:szCs w:val="20"/>
                <w:lang w:eastAsia="en-GB"/>
              </w:rPr>
              <w:t> </w:t>
            </w:r>
          </w:p>
        </w:tc>
        <w:tc>
          <w:tcPr>
            <w:tcW w:w="799"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B7916EC" w14:textId="77777777" w:rsidR="00233938" w:rsidRPr="005152BB" w:rsidRDefault="530AD326" w:rsidP="001B4FD0">
            <w:pPr>
              <w:textAlignment w:val="baseline"/>
              <w:rPr>
                <w:rFonts w:eastAsia="Arial" w:cs="Arial"/>
                <w:sz w:val="18"/>
                <w:szCs w:val="18"/>
                <w:lang w:eastAsia="en-GB"/>
              </w:rPr>
            </w:pPr>
            <w:r w:rsidRPr="71F79463">
              <w:rPr>
                <w:rFonts w:eastAsia="Arial" w:cs="Arial"/>
                <w:sz w:val="20"/>
                <w:szCs w:val="20"/>
                <w:lang w:eastAsia="en-GB"/>
              </w:rPr>
              <w:t>Medium  </w:t>
            </w:r>
          </w:p>
        </w:tc>
      </w:tr>
      <w:tr w:rsidR="00C56186" w:rsidRPr="00233938" w14:paraId="19C49DBE" w14:textId="77777777" w:rsidTr="5964CDA8">
        <w:trPr>
          <w:trHeight w:val="300"/>
        </w:trPr>
        <w:tc>
          <w:tcPr>
            <w:tcW w:w="1768" w:type="dxa"/>
            <w:tcBorders>
              <w:top w:val="single" w:sz="6" w:space="0" w:color="auto"/>
              <w:left w:val="single" w:sz="6" w:space="0" w:color="auto"/>
              <w:bottom w:val="single" w:sz="6" w:space="0" w:color="auto"/>
              <w:right w:val="single" w:sz="6" w:space="0" w:color="auto"/>
            </w:tcBorders>
            <w:shd w:val="clear" w:color="auto" w:fill="auto"/>
            <w:hideMark/>
          </w:tcPr>
          <w:p w14:paraId="57FB394D" w14:textId="77777777" w:rsidR="00233938" w:rsidRPr="005152BB" w:rsidRDefault="00233938" w:rsidP="001B4FD0">
            <w:pPr>
              <w:textAlignment w:val="baseline"/>
              <w:rPr>
                <w:rFonts w:eastAsia="Arial" w:cs="Arial"/>
                <w:sz w:val="18"/>
                <w:szCs w:val="18"/>
                <w:lang w:eastAsia="en-GB"/>
              </w:rPr>
            </w:pPr>
            <w:r w:rsidRPr="71F79463">
              <w:rPr>
                <w:rFonts w:eastAsia="Arial" w:cs="Arial"/>
                <w:b/>
                <w:sz w:val="20"/>
                <w:szCs w:val="20"/>
                <w:lang w:eastAsia="en-GB"/>
              </w:rPr>
              <w:t>Operational risk:</w:t>
            </w:r>
            <w:r w:rsidRPr="71F79463">
              <w:rPr>
                <w:rFonts w:eastAsia="Arial" w:cs="Arial"/>
                <w:sz w:val="20"/>
                <w:szCs w:val="20"/>
                <w:lang w:eastAsia="en-GB"/>
              </w:rPr>
              <w:t xml:space="preserve"> over reliance on a small pool of </w:t>
            </w:r>
            <w:r w:rsidRPr="71F79463">
              <w:rPr>
                <w:rFonts w:eastAsia="Arial" w:cs="Arial"/>
                <w:sz w:val="20"/>
                <w:szCs w:val="20"/>
                <w:lang w:eastAsia="en-GB"/>
              </w:rPr>
              <w:lastRenderedPageBreak/>
              <w:t xml:space="preserve">implementing </w:t>
            </w:r>
            <w:r w:rsidR="530AD326" w:rsidRPr="71F79463">
              <w:rPr>
                <w:rFonts w:eastAsia="Arial" w:cs="Arial"/>
                <w:sz w:val="20"/>
                <w:szCs w:val="20"/>
                <w:lang w:eastAsia="en-GB"/>
              </w:rPr>
              <w:t>partners </w:t>
            </w:r>
            <w:r w:rsidRPr="71F79463">
              <w:rPr>
                <w:rFonts w:eastAsia="Arial" w:cs="Arial"/>
                <w:sz w:val="20"/>
                <w:szCs w:val="20"/>
                <w:lang w:eastAsia="en-GB"/>
              </w:rPr>
              <w:t>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5BD21464"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lastRenderedPageBreak/>
              <w:t>Possible </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25651CDE"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Moderate </w:t>
            </w:r>
          </w:p>
        </w:tc>
        <w:tc>
          <w:tcPr>
            <w:tcW w:w="4329" w:type="dxa"/>
            <w:tcBorders>
              <w:top w:val="single" w:sz="6" w:space="0" w:color="auto"/>
              <w:left w:val="single" w:sz="6" w:space="0" w:color="auto"/>
              <w:bottom w:val="single" w:sz="6" w:space="0" w:color="auto"/>
              <w:right w:val="single" w:sz="6" w:space="0" w:color="auto"/>
            </w:tcBorders>
            <w:shd w:val="clear" w:color="auto" w:fill="auto"/>
            <w:hideMark/>
          </w:tcPr>
          <w:p w14:paraId="331130A3"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 xml:space="preserve">Lack of diversity amongst Implementing Partners increases delivery risk at the portfolio level. This is mitigated by improving </w:t>
            </w:r>
            <w:r w:rsidRPr="71F79463">
              <w:rPr>
                <w:rFonts w:eastAsia="Arial" w:cs="Arial"/>
                <w:sz w:val="20"/>
                <w:szCs w:val="20"/>
                <w:lang w:eastAsia="en-GB"/>
              </w:rPr>
              <w:lastRenderedPageBreak/>
              <w:t>communications and outreach to attract a wider range of implementers; adding a cap to the number of projects that can be delivered by one organisation; and simplifying the application process to encourage new partners to apply.</w:t>
            </w:r>
            <w:r w:rsidR="530AD326" w:rsidRPr="71F79463">
              <w:rPr>
                <w:rFonts w:eastAsia="Arial" w:cs="Arial"/>
                <w:sz w:val="20"/>
                <w:szCs w:val="20"/>
                <w:lang w:eastAsia="en-GB"/>
              </w:rPr>
              <w:t> </w:t>
            </w:r>
            <w:r w:rsidRPr="71F79463">
              <w:rPr>
                <w:rFonts w:eastAsia="Arial" w:cs="Arial"/>
                <w:sz w:val="20"/>
                <w:szCs w:val="20"/>
                <w:lang w:eastAsia="en-GB"/>
              </w:rPr>
              <w:t> </w:t>
            </w:r>
          </w:p>
        </w:tc>
        <w:tc>
          <w:tcPr>
            <w:tcW w:w="799"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583BBB3" w14:textId="77777777" w:rsidR="00233938" w:rsidRPr="005152BB" w:rsidRDefault="530AD326" w:rsidP="001B4FD0">
            <w:pPr>
              <w:textAlignment w:val="baseline"/>
              <w:rPr>
                <w:rFonts w:eastAsia="Arial" w:cs="Arial"/>
                <w:sz w:val="18"/>
                <w:szCs w:val="18"/>
                <w:lang w:eastAsia="en-GB"/>
              </w:rPr>
            </w:pPr>
            <w:r w:rsidRPr="71F79463">
              <w:rPr>
                <w:rFonts w:eastAsia="Arial" w:cs="Arial"/>
                <w:sz w:val="20"/>
                <w:szCs w:val="20"/>
                <w:lang w:eastAsia="en-GB"/>
              </w:rPr>
              <w:lastRenderedPageBreak/>
              <w:t>Medium  </w:t>
            </w:r>
          </w:p>
        </w:tc>
      </w:tr>
      <w:tr w:rsidR="00C56186" w:rsidRPr="00233938" w14:paraId="560764C9" w14:textId="77777777" w:rsidTr="5964CDA8">
        <w:trPr>
          <w:trHeight w:val="300"/>
        </w:trPr>
        <w:tc>
          <w:tcPr>
            <w:tcW w:w="1768" w:type="dxa"/>
            <w:tcBorders>
              <w:top w:val="single" w:sz="6" w:space="0" w:color="auto"/>
              <w:left w:val="single" w:sz="6" w:space="0" w:color="auto"/>
              <w:bottom w:val="single" w:sz="6" w:space="0" w:color="auto"/>
              <w:right w:val="single" w:sz="6" w:space="0" w:color="auto"/>
            </w:tcBorders>
            <w:shd w:val="clear" w:color="auto" w:fill="auto"/>
            <w:hideMark/>
          </w:tcPr>
          <w:p w14:paraId="26E44217" w14:textId="77777777" w:rsidR="00233938" w:rsidRPr="005152BB" w:rsidRDefault="00233938" w:rsidP="001B4FD0">
            <w:pPr>
              <w:textAlignment w:val="baseline"/>
              <w:rPr>
                <w:rFonts w:eastAsia="Arial" w:cs="Arial"/>
                <w:sz w:val="18"/>
                <w:szCs w:val="18"/>
                <w:lang w:eastAsia="en-GB"/>
              </w:rPr>
            </w:pPr>
            <w:r w:rsidRPr="71F79463">
              <w:rPr>
                <w:rFonts w:eastAsia="Arial" w:cs="Arial"/>
                <w:b/>
                <w:sz w:val="20"/>
                <w:szCs w:val="20"/>
                <w:lang w:eastAsia="en-GB"/>
              </w:rPr>
              <w:t>Delivery risk</w:t>
            </w:r>
            <w:r w:rsidRPr="71F79463">
              <w:rPr>
                <w:rFonts w:eastAsia="Arial" w:cs="Arial"/>
                <w:sz w:val="20"/>
                <w:szCs w:val="20"/>
                <w:lang w:eastAsia="en-GB"/>
              </w:rPr>
              <w:t xml:space="preserve">: Foreign exchange </w:t>
            </w:r>
            <w:r w:rsidR="530AD326" w:rsidRPr="71F79463">
              <w:rPr>
                <w:rFonts w:eastAsia="Arial" w:cs="Arial"/>
                <w:sz w:val="20"/>
                <w:szCs w:val="20"/>
                <w:lang w:eastAsia="en-GB"/>
              </w:rPr>
              <w:t>risk </w:t>
            </w:r>
            <w:r w:rsidRPr="71F79463">
              <w:rPr>
                <w:rFonts w:eastAsia="Arial" w:cs="Arial"/>
                <w:sz w:val="20"/>
                <w:szCs w:val="20"/>
                <w:lang w:eastAsia="en-GB"/>
              </w:rPr>
              <w:t>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1DC82B73"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Possible </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23378C02"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Moderate </w:t>
            </w:r>
          </w:p>
        </w:tc>
        <w:tc>
          <w:tcPr>
            <w:tcW w:w="4329" w:type="dxa"/>
            <w:tcBorders>
              <w:top w:val="single" w:sz="6" w:space="0" w:color="auto"/>
              <w:left w:val="single" w:sz="6" w:space="0" w:color="auto"/>
              <w:bottom w:val="single" w:sz="6" w:space="0" w:color="auto"/>
              <w:right w:val="single" w:sz="6" w:space="0" w:color="auto"/>
            </w:tcBorders>
            <w:shd w:val="clear" w:color="auto" w:fill="auto"/>
            <w:hideMark/>
          </w:tcPr>
          <w:p w14:paraId="2502E92B" w14:textId="571C51C2" w:rsidR="00233938" w:rsidRPr="005152BB" w:rsidRDefault="4FA15D52" w:rsidP="001B4FD0">
            <w:pPr>
              <w:textAlignment w:val="baseline"/>
              <w:rPr>
                <w:rFonts w:eastAsia="Arial" w:cs="Arial"/>
                <w:sz w:val="18"/>
                <w:szCs w:val="18"/>
                <w:lang w:eastAsia="en-GB"/>
              </w:rPr>
            </w:pPr>
            <w:r w:rsidRPr="7849A67F">
              <w:rPr>
                <w:rFonts w:eastAsia="Arial" w:cs="Arial"/>
                <w:sz w:val="20"/>
                <w:szCs w:val="20"/>
                <w:lang w:eastAsia="en-GB"/>
              </w:rPr>
              <w:t>Grant Funding is agreed in Euros, but expenditure is likely to take place in local currencies. The currency risk is to be managed by the implementing partners. There is also a risk as UK funding to the MAF is in GBP which is managed by not committing 100% of funds before they are drawn down.</w:t>
            </w:r>
            <w:r w:rsidR="6C417634" w:rsidRPr="7849A67F">
              <w:rPr>
                <w:rFonts w:eastAsia="Arial" w:cs="Arial"/>
                <w:sz w:val="20"/>
                <w:szCs w:val="20"/>
                <w:lang w:eastAsia="en-GB"/>
              </w:rPr>
              <w:t>   </w:t>
            </w:r>
            <w:r w:rsidRPr="7849A67F">
              <w:rPr>
                <w:rFonts w:eastAsia="Arial" w:cs="Arial"/>
                <w:sz w:val="20"/>
                <w:szCs w:val="20"/>
                <w:lang w:eastAsia="en-GB"/>
              </w:rPr>
              <w:t> </w:t>
            </w:r>
          </w:p>
        </w:tc>
        <w:tc>
          <w:tcPr>
            <w:tcW w:w="799"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7BB7D230" w14:textId="77777777" w:rsidR="00233938" w:rsidRPr="005152BB" w:rsidRDefault="530AD326" w:rsidP="001B4FD0">
            <w:pPr>
              <w:textAlignment w:val="baseline"/>
              <w:rPr>
                <w:rFonts w:eastAsia="Arial" w:cs="Arial"/>
                <w:sz w:val="18"/>
                <w:szCs w:val="18"/>
                <w:lang w:eastAsia="en-GB"/>
              </w:rPr>
            </w:pPr>
            <w:r w:rsidRPr="71F79463">
              <w:rPr>
                <w:rFonts w:eastAsia="Arial" w:cs="Arial"/>
                <w:sz w:val="20"/>
                <w:szCs w:val="20"/>
                <w:lang w:eastAsia="en-GB"/>
              </w:rPr>
              <w:t>Medium  </w:t>
            </w:r>
          </w:p>
        </w:tc>
      </w:tr>
      <w:tr w:rsidR="00C56186" w:rsidRPr="00233938" w14:paraId="7529FC42" w14:textId="77777777" w:rsidTr="5964CDA8">
        <w:trPr>
          <w:trHeight w:val="300"/>
        </w:trPr>
        <w:tc>
          <w:tcPr>
            <w:tcW w:w="1768" w:type="dxa"/>
            <w:tcBorders>
              <w:top w:val="single" w:sz="6" w:space="0" w:color="auto"/>
              <w:left w:val="single" w:sz="6" w:space="0" w:color="auto"/>
              <w:bottom w:val="single" w:sz="6" w:space="0" w:color="auto"/>
              <w:right w:val="single" w:sz="6" w:space="0" w:color="auto"/>
            </w:tcBorders>
            <w:shd w:val="clear" w:color="auto" w:fill="auto"/>
            <w:hideMark/>
          </w:tcPr>
          <w:p w14:paraId="74B25BD7" w14:textId="2DFEE406" w:rsidR="00233938" w:rsidRPr="005152BB" w:rsidRDefault="00233938" w:rsidP="001B4FD0">
            <w:pPr>
              <w:textAlignment w:val="baseline"/>
              <w:rPr>
                <w:rFonts w:eastAsia="Arial" w:cs="Arial"/>
                <w:sz w:val="18"/>
                <w:szCs w:val="18"/>
                <w:lang w:eastAsia="en-GB"/>
              </w:rPr>
            </w:pPr>
            <w:r w:rsidRPr="71F79463">
              <w:rPr>
                <w:rFonts w:eastAsia="Arial" w:cs="Arial"/>
                <w:b/>
                <w:sz w:val="20"/>
                <w:szCs w:val="20"/>
                <w:lang w:eastAsia="en-GB"/>
              </w:rPr>
              <w:t xml:space="preserve">Delivery risk: </w:t>
            </w:r>
            <w:r w:rsidRPr="71F79463">
              <w:rPr>
                <w:rFonts w:eastAsia="Arial" w:cs="Arial"/>
                <w:sz w:val="20"/>
                <w:szCs w:val="20"/>
                <w:lang w:eastAsia="en-GB"/>
              </w:rPr>
              <w:t>Projects have reduced impact due to inflationary pressures </w:t>
            </w:r>
            <w:r w:rsidR="00256298" w:rsidRPr="71F79463">
              <w:rPr>
                <w:rFonts w:eastAsia="Arial" w:cs="Arial"/>
                <w:sz w:val="20"/>
                <w:szCs w:val="20"/>
                <w:lang w:eastAsia="en-GB"/>
              </w:rPr>
              <w:t>and global interest rate rises</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797A4BBA"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Possible </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63B80BE4"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Minor </w:t>
            </w:r>
          </w:p>
        </w:tc>
        <w:tc>
          <w:tcPr>
            <w:tcW w:w="4329" w:type="dxa"/>
            <w:tcBorders>
              <w:top w:val="single" w:sz="6" w:space="0" w:color="auto"/>
              <w:left w:val="single" w:sz="6" w:space="0" w:color="auto"/>
              <w:bottom w:val="single" w:sz="6" w:space="0" w:color="auto"/>
              <w:right w:val="single" w:sz="6" w:space="0" w:color="auto"/>
            </w:tcBorders>
            <w:shd w:val="clear" w:color="auto" w:fill="auto"/>
            <w:hideMark/>
          </w:tcPr>
          <w:p w14:paraId="26AD0445" w14:textId="62019E57" w:rsidR="00233938" w:rsidRPr="005152BB" w:rsidRDefault="5D23D552" w:rsidP="001B4FD0">
            <w:pPr>
              <w:textAlignment w:val="baseline"/>
              <w:rPr>
                <w:rFonts w:eastAsia="Arial" w:cs="Arial"/>
                <w:sz w:val="18"/>
                <w:szCs w:val="18"/>
                <w:lang w:eastAsia="en-GB"/>
              </w:rPr>
            </w:pPr>
            <w:r w:rsidRPr="5964CDA8">
              <w:rPr>
                <w:rFonts w:eastAsia="Arial" w:cs="Arial"/>
                <w:sz w:val="20"/>
                <w:szCs w:val="20"/>
                <w:lang w:eastAsia="en-GB"/>
              </w:rPr>
              <w:t xml:space="preserve">Inflation will not have an impact on the cost of the programme to the UK as the programme is awarding grant </w:t>
            </w:r>
            <w:proofErr w:type="gramStart"/>
            <w:r w:rsidRPr="5964CDA8">
              <w:rPr>
                <w:rFonts w:eastAsia="Arial" w:cs="Arial"/>
                <w:sz w:val="20"/>
                <w:szCs w:val="20"/>
                <w:lang w:eastAsia="en-GB"/>
              </w:rPr>
              <w:t>funding, but</w:t>
            </w:r>
            <w:proofErr w:type="gramEnd"/>
            <w:r w:rsidRPr="5964CDA8">
              <w:rPr>
                <w:rFonts w:eastAsia="Arial" w:cs="Arial"/>
                <w:sz w:val="20"/>
                <w:szCs w:val="20"/>
                <w:lang w:eastAsia="en-GB"/>
              </w:rPr>
              <w:t xml:space="preserve"> could impact specific projects due to increasing costs of delivery which then result in less than expected impact as less of the project can be funded. </w:t>
            </w:r>
            <w:r w:rsidR="3AFB93C6" w:rsidRPr="5964CDA8">
              <w:rPr>
                <w:rFonts w:eastAsia="Arial" w:cs="Arial"/>
                <w:sz w:val="20"/>
                <w:szCs w:val="20"/>
                <w:lang w:eastAsia="en-GB"/>
              </w:rPr>
              <w:t xml:space="preserve">Private finance </w:t>
            </w:r>
            <w:r w:rsidR="62F9E4B8" w:rsidRPr="5964CDA8">
              <w:rPr>
                <w:rFonts w:eastAsia="Arial" w:cs="Arial"/>
                <w:sz w:val="20"/>
                <w:szCs w:val="20"/>
                <w:lang w:eastAsia="en-GB"/>
              </w:rPr>
              <w:t>investment</w:t>
            </w:r>
            <w:r w:rsidR="59D1C1D5" w:rsidRPr="5964CDA8">
              <w:rPr>
                <w:rFonts w:eastAsia="Arial" w:cs="Arial"/>
                <w:sz w:val="20"/>
                <w:szCs w:val="20"/>
                <w:lang w:eastAsia="en-GB"/>
              </w:rPr>
              <w:t xml:space="preserve"> appetites</w:t>
            </w:r>
            <w:r w:rsidR="3AFB93C6" w:rsidRPr="5964CDA8">
              <w:rPr>
                <w:rFonts w:eastAsia="Arial" w:cs="Arial"/>
                <w:sz w:val="20"/>
                <w:szCs w:val="20"/>
                <w:lang w:eastAsia="en-GB"/>
              </w:rPr>
              <w:t xml:space="preserve"> may also </w:t>
            </w:r>
            <w:r w:rsidR="1C86B5C6" w:rsidRPr="5964CDA8">
              <w:rPr>
                <w:rFonts w:eastAsia="Arial" w:cs="Arial"/>
                <w:sz w:val="20"/>
                <w:szCs w:val="20"/>
                <w:lang w:eastAsia="en-GB"/>
              </w:rPr>
              <w:t xml:space="preserve">be </w:t>
            </w:r>
            <w:r w:rsidR="00DB418D" w:rsidRPr="5964CDA8">
              <w:rPr>
                <w:rFonts w:eastAsia="Arial" w:cs="Arial"/>
                <w:sz w:val="20"/>
                <w:szCs w:val="20"/>
                <w:lang w:eastAsia="en-GB"/>
              </w:rPr>
              <w:t>affected</w:t>
            </w:r>
            <w:r w:rsidR="0304EEF4" w:rsidRPr="5964CDA8">
              <w:rPr>
                <w:rFonts w:eastAsia="Arial" w:cs="Arial"/>
                <w:sz w:val="20"/>
                <w:szCs w:val="20"/>
                <w:lang w:eastAsia="en-GB"/>
              </w:rPr>
              <w:t xml:space="preserve"> by interest rate </w:t>
            </w:r>
            <w:r w:rsidR="5924A887" w:rsidRPr="5964CDA8">
              <w:rPr>
                <w:rFonts w:eastAsia="Arial" w:cs="Arial"/>
                <w:sz w:val="20"/>
                <w:szCs w:val="20"/>
                <w:lang w:eastAsia="en-GB"/>
              </w:rPr>
              <w:t>increases.</w:t>
            </w:r>
          </w:p>
        </w:tc>
        <w:tc>
          <w:tcPr>
            <w:tcW w:w="799"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568987C2"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Medium </w:t>
            </w:r>
          </w:p>
        </w:tc>
      </w:tr>
      <w:tr w:rsidR="00C56186" w:rsidRPr="00233938" w14:paraId="7A4C8959" w14:textId="77777777" w:rsidTr="5964CDA8">
        <w:trPr>
          <w:trHeight w:val="300"/>
        </w:trPr>
        <w:tc>
          <w:tcPr>
            <w:tcW w:w="1768" w:type="dxa"/>
            <w:tcBorders>
              <w:top w:val="single" w:sz="6" w:space="0" w:color="auto"/>
              <w:left w:val="single" w:sz="6" w:space="0" w:color="auto"/>
              <w:bottom w:val="single" w:sz="6" w:space="0" w:color="auto"/>
              <w:right w:val="single" w:sz="6" w:space="0" w:color="auto"/>
            </w:tcBorders>
            <w:shd w:val="clear" w:color="auto" w:fill="auto"/>
            <w:hideMark/>
          </w:tcPr>
          <w:p w14:paraId="66BF678F" w14:textId="77777777" w:rsidR="00233938" w:rsidRPr="005152BB" w:rsidRDefault="00233938" w:rsidP="001B4FD0">
            <w:pPr>
              <w:textAlignment w:val="baseline"/>
              <w:rPr>
                <w:rFonts w:eastAsia="Arial" w:cs="Arial"/>
                <w:sz w:val="18"/>
                <w:szCs w:val="18"/>
                <w:lang w:eastAsia="en-GB"/>
              </w:rPr>
            </w:pPr>
            <w:r w:rsidRPr="71F79463">
              <w:rPr>
                <w:rFonts w:eastAsia="Arial" w:cs="Arial"/>
                <w:b/>
                <w:sz w:val="20"/>
                <w:szCs w:val="20"/>
                <w:lang w:eastAsia="en-GB"/>
              </w:rPr>
              <w:t xml:space="preserve">Delivery risk: </w:t>
            </w:r>
            <w:r w:rsidRPr="71F79463">
              <w:rPr>
                <w:rFonts w:eastAsia="Arial" w:cs="Arial"/>
                <w:sz w:val="20"/>
                <w:szCs w:val="20"/>
                <w:lang w:eastAsia="en-GB"/>
              </w:rPr>
              <w:t xml:space="preserve">projects have a lower mitigation impact and lower transformational potential than initially </w:t>
            </w:r>
            <w:r w:rsidR="530AD326" w:rsidRPr="71F79463">
              <w:rPr>
                <w:rFonts w:eastAsia="Arial" w:cs="Arial"/>
                <w:sz w:val="20"/>
                <w:szCs w:val="20"/>
                <w:lang w:eastAsia="en-GB"/>
              </w:rPr>
              <w:t>expected </w:t>
            </w:r>
            <w:r w:rsidRPr="71F79463">
              <w:rPr>
                <w:rFonts w:eastAsia="Arial" w:cs="Arial"/>
                <w:sz w:val="20"/>
                <w:szCs w:val="20"/>
                <w:lang w:eastAsia="en-GB"/>
              </w:rPr>
              <w:t>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57F4D541"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Possible </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66A60590" w14:textId="77777777" w:rsidR="00233938" w:rsidRPr="005152BB" w:rsidRDefault="00233938" w:rsidP="001B4FD0">
            <w:pPr>
              <w:textAlignment w:val="baseline"/>
              <w:rPr>
                <w:rFonts w:eastAsia="Arial" w:cs="Arial"/>
                <w:sz w:val="18"/>
                <w:szCs w:val="18"/>
                <w:lang w:eastAsia="en-GB"/>
              </w:rPr>
            </w:pPr>
            <w:r w:rsidRPr="71F79463">
              <w:rPr>
                <w:rFonts w:eastAsia="Arial" w:cs="Arial"/>
                <w:sz w:val="20"/>
                <w:szCs w:val="20"/>
                <w:lang w:eastAsia="en-GB"/>
              </w:rPr>
              <w:t>Moderate </w:t>
            </w:r>
          </w:p>
        </w:tc>
        <w:tc>
          <w:tcPr>
            <w:tcW w:w="4329" w:type="dxa"/>
            <w:tcBorders>
              <w:top w:val="single" w:sz="6" w:space="0" w:color="auto"/>
              <w:left w:val="single" w:sz="6" w:space="0" w:color="auto"/>
              <w:bottom w:val="single" w:sz="6" w:space="0" w:color="auto"/>
              <w:right w:val="single" w:sz="6" w:space="0" w:color="auto"/>
            </w:tcBorders>
            <w:shd w:val="clear" w:color="auto" w:fill="auto"/>
            <w:hideMark/>
          </w:tcPr>
          <w:p w14:paraId="0A30552F" w14:textId="5AB79580" w:rsidR="00233938" w:rsidRPr="005152BB" w:rsidRDefault="4FA15D52" w:rsidP="001B4FD0">
            <w:pPr>
              <w:textAlignment w:val="baseline"/>
              <w:rPr>
                <w:rFonts w:eastAsia="Arial" w:cs="Arial"/>
                <w:sz w:val="18"/>
                <w:szCs w:val="18"/>
                <w:lang w:eastAsia="en-GB"/>
              </w:rPr>
            </w:pPr>
            <w:r w:rsidRPr="7849A67F">
              <w:rPr>
                <w:rFonts w:eastAsia="Arial" w:cs="Arial"/>
                <w:sz w:val="20"/>
                <w:szCs w:val="20"/>
                <w:lang w:eastAsia="en-GB"/>
              </w:rPr>
              <w:t>MAF can mitigate this risk by providing enhanced intelligence during the project selection process (e.g. through in-depth assessments), by explicitly communicating expectations prior to a Call and at the beginning of the DPP, and through close monitoring. The TSU continues to provide external support on mitigation calculations to projects in DPP and in the Implementation Phase.</w:t>
            </w:r>
            <w:r w:rsidR="6C417634" w:rsidRPr="7849A67F">
              <w:rPr>
                <w:rFonts w:eastAsia="Arial" w:cs="Arial"/>
                <w:sz w:val="20"/>
                <w:szCs w:val="20"/>
                <w:lang w:eastAsia="en-GB"/>
              </w:rPr>
              <w:t>  </w:t>
            </w:r>
            <w:r w:rsidRPr="7849A67F">
              <w:rPr>
                <w:rFonts w:eastAsia="Arial" w:cs="Arial"/>
                <w:sz w:val="20"/>
                <w:szCs w:val="20"/>
                <w:lang w:eastAsia="en-GB"/>
              </w:rPr>
              <w:t> </w:t>
            </w:r>
          </w:p>
        </w:tc>
        <w:tc>
          <w:tcPr>
            <w:tcW w:w="799"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7B40A6D1" w14:textId="77777777" w:rsidR="00233938" w:rsidRPr="005152BB" w:rsidRDefault="530AD326" w:rsidP="001B4FD0">
            <w:pPr>
              <w:textAlignment w:val="baseline"/>
              <w:rPr>
                <w:rFonts w:eastAsia="Arial" w:cs="Arial"/>
                <w:sz w:val="18"/>
                <w:szCs w:val="18"/>
                <w:lang w:eastAsia="en-GB"/>
              </w:rPr>
            </w:pPr>
            <w:r w:rsidRPr="71F79463">
              <w:rPr>
                <w:rFonts w:eastAsia="Arial" w:cs="Arial"/>
                <w:sz w:val="20"/>
                <w:szCs w:val="20"/>
                <w:lang w:eastAsia="en-GB"/>
              </w:rPr>
              <w:t>Medium  </w:t>
            </w:r>
          </w:p>
        </w:tc>
      </w:tr>
    </w:tbl>
    <w:p w14:paraId="64E44873" w14:textId="77777777" w:rsidR="00233938" w:rsidRDefault="00233938" w:rsidP="001B4FD0">
      <w:pPr>
        <w:contextualSpacing/>
        <w:rPr>
          <w:rFonts w:eastAsia="Arial" w:cs="Arial"/>
          <w:i/>
          <w:sz w:val="22"/>
          <w:szCs w:val="22"/>
        </w:rPr>
      </w:pPr>
    </w:p>
    <w:p w14:paraId="050A193C" w14:textId="77777777" w:rsidR="00255195" w:rsidRDefault="00255195">
      <w:r>
        <w:br w:type="page"/>
      </w:r>
    </w:p>
    <w:tbl>
      <w:tblPr>
        <w:tblStyle w:val="TableGrid"/>
        <w:tblW w:w="0" w:type="auto"/>
        <w:tblLook w:val="04A0" w:firstRow="1" w:lastRow="0" w:firstColumn="1" w:lastColumn="0" w:noHBand="0" w:noVBand="1"/>
      </w:tblPr>
      <w:tblGrid>
        <w:gridCol w:w="9016"/>
      </w:tblGrid>
      <w:tr w:rsidR="00CB2873" w14:paraId="3775346F" w14:textId="77777777" w:rsidTr="75FA93ED">
        <w:tc>
          <w:tcPr>
            <w:tcW w:w="9016" w:type="dxa"/>
            <w:shd w:val="clear" w:color="auto" w:fill="DEEAF6" w:themeFill="accent5" w:themeFillTint="33"/>
          </w:tcPr>
          <w:p w14:paraId="64B9656F" w14:textId="4CBCE0D5" w:rsidR="00CB2873" w:rsidRDefault="0321EA98" w:rsidP="001B4FD0">
            <w:pPr>
              <w:rPr>
                <w:rFonts w:eastAsia="Arial" w:cs="Arial"/>
              </w:rPr>
            </w:pPr>
            <w:bookmarkStart w:id="41" w:name="_Toc172791910"/>
            <w:bookmarkStart w:id="42" w:name="_Toc497664201"/>
            <w:r w:rsidRPr="75FA93ED">
              <w:rPr>
                <w:rStyle w:val="Heading1Char"/>
                <w:rFonts w:ascii="Arial" w:eastAsia="Arial" w:hAnsi="Arial" w:cs="Arial"/>
                <w:b/>
                <w:bCs/>
                <w:color w:val="auto"/>
              </w:rPr>
              <w:lastRenderedPageBreak/>
              <w:t xml:space="preserve">Section F: Programme management: delivery, </w:t>
            </w:r>
            <w:proofErr w:type="spellStart"/>
            <w:r w:rsidRPr="75FA93ED">
              <w:rPr>
                <w:rStyle w:val="Heading1Char"/>
                <w:rFonts w:ascii="Arial" w:eastAsia="Arial" w:hAnsi="Arial" w:cs="Arial"/>
                <w:b/>
                <w:bCs/>
                <w:color w:val="auto"/>
              </w:rPr>
              <w:t>VfM</w:t>
            </w:r>
            <w:proofErr w:type="spellEnd"/>
            <w:r w:rsidRPr="75FA93ED">
              <w:rPr>
                <w:rStyle w:val="Heading1Char"/>
                <w:rFonts w:ascii="Arial" w:eastAsia="Arial" w:hAnsi="Arial" w:cs="Arial"/>
                <w:b/>
                <w:bCs/>
                <w:color w:val="auto"/>
              </w:rPr>
              <w:t>, commercial and financial performance</w:t>
            </w:r>
            <w:bookmarkEnd w:id="41"/>
            <w:bookmarkEnd w:id="42"/>
            <w:r w:rsidRPr="75FA93ED">
              <w:rPr>
                <w:rFonts w:eastAsia="Arial" w:cs="Arial"/>
              </w:rPr>
              <w:t xml:space="preserve"> </w:t>
            </w:r>
          </w:p>
        </w:tc>
      </w:tr>
    </w:tbl>
    <w:p w14:paraId="6268AFF3" w14:textId="7623B8C4" w:rsidR="00CB2873" w:rsidRDefault="00CB2873" w:rsidP="001B4FD0">
      <w:pPr>
        <w:rPr>
          <w:rFonts w:eastAsia="Arial" w:cs="Arial"/>
          <w:sz w:val="22"/>
          <w:szCs w:val="22"/>
        </w:rPr>
      </w:pPr>
    </w:p>
    <w:p w14:paraId="3B873EA5" w14:textId="747BD262" w:rsidR="003D222C" w:rsidRDefault="003D222C" w:rsidP="75FA93ED">
      <w:pPr>
        <w:jc w:val="both"/>
        <w:rPr>
          <w:rFonts w:eastAsia="Arial" w:cs="Arial"/>
          <w:b/>
          <w:bCs/>
          <w:sz w:val="22"/>
          <w:szCs w:val="22"/>
        </w:rPr>
      </w:pPr>
      <w:bookmarkStart w:id="43" w:name="_Toc172791911"/>
      <w:bookmarkStart w:id="44" w:name="_Toc1688605954"/>
      <w:r w:rsidRPr="75FA93ED">
        <w:rPr>
          <w:rStyle w:val="Heading2Char"/>
          <w:rFonts w:eastAsia="Arial" w:cs="Arial"/>
        </w:rPr>
        <w:t>Summa</w:t>
      </w:r>
      <w:r w:rsidR="00272DF1" w:rsidRPr="75FA93ED">
        <w:rPr>
          <w:rStyle w:val="Heading2Char"/>
          <w:rFonts w:eastAsia="Arial" w:cs="Arial"/>
        </w:rPr>
        <w:t>ry of</w:t>
      </w:r>
      <w:r w:rsidRPr="75FA93ED">
        <w:rPr>
          <w:rStyle w:val="Heading2Char"/>
          <w:rFonts w:eastAsia="Arial" w:cs="Arial"/>
        </w:rPr>
        <w:t xml:space="preserve"> the performance of partners and </w:t>
      </w:r>
      <w:r w:rsidR="500401F8" w:rsidRPr="75FA93ED">
        <w:rPr>
          <w:rStyle w:val="Heading2Char"/>
          <w:rFonts w:eastAsia="Arial" w:cs="Arial"/>
        </w:rPr>
        <w:t>DESNZ</w:t>
      </w:r>
      <w:r w:rsidRPr="75FA93ED">
        <w:rPr>
          <w:rStyle w:val="Heading2Char"/>
          <w:rFonts w:eastAsia="Arial" w:cs="Arial"/>
        </w:rPr>
        <w:t xml:space="preserve">, notably on commercial and financial issues, and including consideration of </w:t>
      </w:r>
      <w:proofErr w:type="spellStart"/>
      <w:r w:rsidRPr="75FA93ED">
        <w:rPr>
          <w:rStyle w:val="Heading2Char"/>
          <w:rFonts w:eastAsia="Arial" w:cs="Arial"/>
        </w:rPr>
        <w:t>VfM</w:t>
      </w:r>
      <w:proofErr w:type="spellEnd"/>
      <w:r w:rsidRPr="75FA93ED">
        <w:rPr>
          <w:rStyle w:val="Heading2Char"/>
          <w:rFonts w:eastAsia="Arial" w:cs="Arial"/>
        </w:rPr>
        <w:t>.</w:t>
      </w:r>
      <w:bookmarkEnd w:id="43"/>
      <w:bookmarkEnd w:id="44"/>
      <w:r w:rsidRPr="75FA93ED">
        <w:rPr>
          <w:rFonts w:eastAsia="Arial" w:cs="Arial"/>
          <w:b/>
          <w:bCs/>
          <w:sz w:val="22"/>
          <w:szCs w:val="22"/>
        </w:rPr>
        <w:t xml:space="preserve"> </w:t>
      </w:r>
    </w:p>
    <w:p w14:paraId="0374E8D7" w14:textId="77777777" w:rsidR="009B790D" w:rsidRDefault="009B790D" w:rsidP="07AF1209">
      <w:pPr>
        <w:jc w:val="both"/>
        <w:rPr>
          <w:rFonts w:eastAsia="Arial" w:cs="Arial"/>
          <w:sz w:val="22"/>
          <w:szCs w:val="22"/>
        </w:rPr>
      </w:pPr>
    </w:p>
    <w:p w14:paraId="2CF3AE88" w14:textId="6B67EBAA" w:rsidR="003A6052" w:rsidRPr="004E542C" w:rsidRDefault="0C099DC7" w:rsidP="15535A25">
      <w:pPr>
        <w:pStyle w:val="paragraph"/>
        <w:spacing w:before="0" w:beforeAutospacing="0" w:after="0" w:afterAutospacing="0"/>
        <w:jc w:val="both"/>
        <w:textAlignment w:val="baseline"/>
        <w:rPr>
          <w:rFonts w:ascii="Arial" w:eastAsia="Arial" w:hAnsi="Arial" w:cs="Arial"/>
          <w:sz w:val="18"/>
          <w:szCs w:val="18"/>
        </w:rPr>
      </w:pPr>
      <w:r w:rsidRPr="15535A25">
        <w:rPr>
          <w:rStyle w:val="normaltextrun"/>
          <w:rFonts w:ascii="Arial" w:eastAsia="Arial" w:hAnsi="Arial" w:cs="Arial"/>
          <w:sz w:val="22"/>
          <w:szCs w:val="22"/>
        </w:rPr>
        <w:t xml:space="preserve">The UK maintains a strong and active working relationship with the other donors (Germany, Denmark, </w:t>
      </w:r>
      <w:r w:rsidR="45105551" w:rsidRPr="15535A25">
        <w:rPr>
          <w:rStyle w:val="normaltextrun"/>
          <w:rFonts w:ascii="Arial" w:eastAsia="Arial" w:hAnsi="Arial" w:cs="Arial"/>
          <w:sz w:val="22"/>
          <w:szCs w:val="22"/>
        </w:rPr>
        <w:t xml:space="preserve">CIFF </w:t>
      </w:r>
      <w:r w:rsidRPr="15535A25">
        <w:rPr>
          <w:rStyle w:val="normaltextrun"/>
          <w:rFonts w:ascii="Arial" w:eastAsia="Arial" w:hAnsi="Arial" w:cs="Arial"/>
          <w:sz w:val="22"/>
          <w:szCs w:val="22"/>
        </w:rPr>
        <w:t xml:space="preserve">and the European Commission) and the TSU of the </w:t>
      </w:r>
      <w:r w:rsidR="45105551" w:rsidRPr="15535A25">
        <w:rPr>
          <w:rStyle w:val="normaltextrun"/>
          <w:rFonts w:ascii="Arial" w:eastAsia="Arial" w:hAnsi="Arial" w:cs="Arial"/>
          <w:sz w:val="22"/>
          <w:szCs w:val="22"/>
        </w:rPr>
        <w:t>MAF</w:t>
      </w:r>
      <w:r w:rsidRPr="15535A25">
        <w:rPr>
          <w:rStyle w:val="normaltextrun"/>
          <w:rFonts w:ascii="Arial" w:eastAsia="Arial" w:hAnsi="Arial" w:cs="Arial"/>
          <w:sz w:val="22"/>
          <w:szCs w:val="22"/>
        </w:rPr>
        <w:t xml:space="preserve">. </w:t>
      </w:r>
      <w:r w:rsidR="620EE5C1" w:rsidRPr="15535A25">
        <w:rPr>
          <w:rStyle w:val="normaltextrun"/>
          <w:rFonts w:ascii="Arial" w:eastAsia="Arial" w:hAnsi="Arial" w:cs="Arial"/>
          <w:sz w:val="22"/>
          <w:szCs w:val="22"/>
        </w:rPr>
        <w:t xml:space="preserve">Board meetings continue to be twice-yearly with donor calls interspersed </w:t>
      </w:r>
      <w:proofErr w:type="gramStart"/>
      <w:r w:rsidR="620EE5C1" w:rsidRPr="15535A25">
        <w:rPr>
          <w:rStyle w:val="normaltextrun"/>
          <w:rFonts w:ascii="Arial" w:eastAsia="Arial" w:hAnsi="Arial" w:cs="Arial"/>
          <w:sz w:val="22"/>
          <w:szCs w:val="22"/>
        </w:rPr>
        <w:t>on a monthly basis</w:t>
      </w:r>
      <w:proofErr w:type="gramEnd"/>
      <w:r w:rsidRPr="15535A25">
        <w:rPr>
          <w:rStyle w:val="normaltextrun"/>
          <w:rFonts w:ascii="Arial" w:eastAsia="Arial" w:hAnsi="Arial" w:cs="Arial"/>
          <w:sz w:val="22"/>
          <w:szCs w:val="22"/>
        </w:rPr>
        <w:t>. </w:t>
      </w:r>
      <w:r w:rsidRPr="15535A25">
        <w:rPr>
          <w:rStyle w:val="eop"/>
          <w:rFonts w:ascii="Arial" w:eastAsia="Arial" w:hAnsi="Arial" w:cs="Arial"/>
          <w:sz w:val="22"/>
          <w:szCs w:val="22"/>
        </w:rPr>
        <w:t> </w:t>
      </w:r>
    </w:p>
    <w:p w14:paraId="1B7B6F73" w14:textId="77777777" w:rsidR="003A6052" w:rsidRPr="004E542C" w:rsidRDefault="0C099DC7" w:rsidP="15535A25">
      <w:pPr>
        <w:pStyle w:val="paragraph"/>
        <w:spacing w:before="0" w:beforeAutospacing="0" w:after="0" w:afterAutospacing="0"/>
        <w:jc w:val="both"/>
        <w:textAlignment w:val="baseline"/>
        <w:rPr>
          <w:rFonts w:ascii="Arial" w:eastAsia="Arial" w:hAnsi="Arial" w:cs="Arial"/>
          <w:sz w:val="18"/>
          <w:szCs w:val="18"/>
        </w:rPr>
      </w:pPr>
      <w:r w:rsidRPr="15535A25">
        <w:rPr>
          <w:rStyle w:val="eop"/>
          <w:rFonts w:ascii="Arial" w:eastAsia="Arial" w:hAnsi="Arial" w:cs="Arial"/>
        </w:rPr>
        <w:t> </w:t>
      </w:r>
    </w:p>
    <w:p w14:paraId="696F52A9" w14:textId="0F99D2E1" w:rsidR="003A6052" w:rsidRPr="004E542C" w:rsidRDefault="0C099DC7" w:rsidP="15535A25">
      <w:pPr>
        <w:pStyle w:val="paragraph"/>
        <w:spacing w:before="0" w:beforeAutospacing="0" w:after="0" w:afterAutospacing="0"/>
        <w:jc w:val="both"/>
        <w:textAlignment w:val="baseline"/>
        <w:rPr>
          <w:rFonts w:ascii="Arial" w:eastAsia="Arial" w:hAnsi="Arial" w:cs="Arial"/>
          <w:sz w:val="22"/>
          <w:szCs w:val="22"/>
        </w:rPr>
      </w:pPr>
      <w:r w:rsidRPr="15535A25">
        <w:rPr>
          <w:rStyle w:val="normaltextrun"/>
          <w:rFonts w:ascii="Arial" w:eastAsia="Arial" w:hAnsi="Arial" w:cs="Arial"/>
          <w:sz w:val="22"/>
          <w:szCs w:val="22"/>
        </w:rPr>
        <w:t xml:space="preserve">The </w:t>
      </w:r>
      <w:r w:rsidR="620EE5C1" w:rsidRPr="15535A25">
        <w:rPr>
          <w:rStyle w:val="normaltextrun"/>
          <w:rFonts w:ascii="Arial" w:eastAsia="Arial" w:hAnsi="Arial" w:cs="Arial"/>
          <w:sz w:val="22"/>
          <w:szCs w:val="22"/>
        </w:rPr>
        <w:t>MAF’s</w:t>
      </w:r>
      <w:r w:rsidRPr="15535A25">
        <w:rPr>
          <w:rStyle w:val="normaltextrun"/>
          <w:rFonts w:ascii="Arial" w:eastAsia="Arial" w:hAnsi="Arial" w:cs="Arial"/>
          <w:sz w:val="22"/>
          <w:szCs w:val="22"/>
        </w:rPr>
        <w:t xml:space="preserve"> open competition only supports highly ambitious </w:t>
      </w:r>
      <w:r w:rsidR="214DE710" w:rsidRPr="15535A25">
        <w:rPr>
          <w:rStyle w:val="normaltextrun"/>
          <w:rFonts w:ascii="Arial" w:eastAsia="Arial" w:hAnsi="Arial" w:cs="Arial"/>
          <w:sz w:val="22"/>
          <w:szCs w:val="22"/>
        </w:rPr>
        <w:t xml:space="preserve">and feasible </w:t>
      </w:r>
      <w:r w:rsidRPr="15535A25">
        <w:rPr>
          <w:rStyle w:val="normaltextrun"/>
          <w:rFonts w:ascii="Arial" w:eastAsia="Arial" w:hAnsi="Arial" w:cs="Arial"/>
          <w:sz w:val="22"/>
          <w:szCs w:val="22"/>
        </w:rPr>
        <w:t xml:space="preserve">projects that have the greatest potential for transformation within their countries and sectors. Following the closing of the </w:t>
      </w:r>
      <w:r w:rsidR="664A485C" w:rsidRPr="15535A25">
        <w:rPr>
          <w:rStyle w:val="normaltextrun"/>
          <w:rFonts w:ascii="Arial" w:eastAsia="Arial" w:hAnsi="Arial" w:cs="Arial"/>
          <w:sz w:val="22"/>
          <w:szCs w:val="22"/>
        </w:rPr>
        <w:t>Call for Projects 2023</w:t>
      </w:r>
      <w:r w:rsidR="68465584" w:rsidRPr="15535A25">
        <w:rPr>
          <w:rStyle w:val="normaltextrun"/>
          <w:rFonts w:ascii="Arial" w:eastAsia="Arial" w:hAnsi="Arial" w:cs="Arial"/>
          <w:sz w:val="22"/>
          <w:szCs w:val="22"/>
        </w:rPr>
        <w:t xml:space="preserve">, </w:t>
      </w:r>
      <w:r w:rsidR="2E8125BC" w:rsidRPr="15535A25">
        <w:rPr>
          <w:rStyle w:val="normaltextrun"/>
          <w:rFonts w:ascii="Arial" w:eastAsia="Arial" w:hAnsi="Arial" w:cs="Arial"/>
          <w:sz w:val="22"/>
          <w:szCs w:val="22"/>
        </w:rPr>
        <w:t>327</w:t>
      </w:r>
      <w:r w:rsidRPr="15535A25">
        <w:rPr>
          <w:rStyle w:val="normaltextrun"/>
          <w:rFonts w:ascii="Arial" w:eastAsia="Arial" w:hAnsi="Arial" w:cs="Arial"/>
          <w:sz w:val="22"/>
          <w:szCs w:val="22"/>
        </w:rPr>
        <w:t xml:space="preserve"> proposals were received, of which </w:t>
      </w:r>
      <w:r w:rsidR="05BEBFAE" w:rsidRPr="15535A25">
        <w:rPr>
          <w:rStyle w:val="normaltextrun"/>
          <w:rFonts w:ascii="Arial" w:eastAsia="Arial" w:hAnsi="Arial" w:cs="Arial"/>
          <w:sz w:val="22"/>
          <w:szCs w:val="22"/>
        </w:rPr>
        <w:t>6</w:t>
      </w:r>
      <w:r w:rsidRPr="15535A25">
        <w:rPr>
          <w:rStyle w:val="normaltextrun"/>
          <w:rFonts w:ascii="Arial" w:eastAsia="Arial" w:hAnsi="Arial" w:cs="Arial"/>
          <w:sz w:val="22"/>
          <w:szCs w:val="22"/>
        </w:rPr>
        <w:t xml:space="preserve"> </w:t>
      </w:r>
      <w:r w:rsidR="6F20E215" w:rsidRPr="15535A25">
        <w:rPr>
          <w:rStyle w:val="normaltextrun"/>
          <w:rFonts w:ascii="Arial" w:eastAsia="Arial" w:hAnsi="Arial" w:cs="Arial"/>
          <w:sz w:val="22"/>
          <w:szCs w:val="22"/>
        </w:rPr>
        <w:t xml:space="preserve">have been </w:t>
      </w:r>
      <w:r w:rsidRPr="15535A25">
        <w:rPr>
          <w:rStyle w:val="normaltextrun"/>
          <w:rFonts w:ascii="Arial" w:eastAsia="Arial" w:hAnsi="Arial" w:cs="Arial"/>
          <w:sz w:val="22"/>
          <w:szCs w:val="22"/>
        </w:rPr>
        <w:t>selected for the DPP</w:t>
      </w:r>
      <w:r w:rsidR="13A8E817" w:rsidRPr="15535A25">
        <w:rPr>
          <w:rStyle w:val="normaltextrun"/>
          <w:rFonts w:ascii="Arial" w:eastAsia="Arial" w:hAnsi="Arial" w:cs="Arial"/>
          <w:sz w:val="22"/>
          <w:szCs w:val="22"/>
        </w:rPr>
        <w:t xml:space="preserve"> in 2024 at the time of writing</w:t>
      </w:r>
      <w:r w:rsidRPr="15535A25">
        <w:rPr>
          <w:rStyle w:val="normaltextrun"/>
          <w:rFonts w:ascii="Arial" w:eastAsia="Arial" w:hAnsi="Arial" w:cs="Arial"/>
          <w:sz w:val="22"/>
          <w:szCs w:val="22"/>
        </w:rPr>
        <w:t xml:space="preserve">. The board continually monitors the project call process and other operational processes with the view to improve the effectiveness of the </w:t>
      </w:r>
      <w:r w:rsidR="68465584" w:rsidRPr="15535A25">
        <w:rPr>
          <w:rStyle w:val="normaltextrun"/>
          <w:rFonts w:ascii="Arial" w:eastAsia="Arial" w:hAnsi="Arial" w:cs="Arial"/>
          <w:sz w:val="22"/>
          <w:szCs w:val="22"/>
        </w:rPr>
        <w:t>MAF</w:t>
      </w:r>
      <w:r w:rsidRPr="15535A25">
        <w:rPr>
          <w:rStyle w:val="normaltextrun"/>
          <w:rFonts w:ascii="Arial" w:eastAsia="Arial" w:hAnsi="Arial" w:cs="Arial"/>
          <w:sz w:val="22"/>
          <w:szCs w:val="22"/>
        </w:rPr>
        <w:t>. </w:t>
      </w:r>
      <w:r w:rsidRPr="15535A25">
        <w:rPr>
          <w:rStyle w:val="eop"/>
          <w:rFonts w:ascii="Arial" w:eastAsia="Arial" w:hAnsi="Arial" w:cs="Arial"/>
          <w:sz w:val="22"/>
          <w:szCs w:val="22"/>
        </w:rPr>
        <w:t> </w:t>
      </w:r>
    </w:p>
    <w:p w14:paraId="6EC30CF6" w14:textId="77777777" w:rsidR="003A6052" w:rsidRPr="004E542C" w:rsidRDefault="0C099DC7" w:rsidP="15535A25">
      <w:pPr>
        <w:pStyle w:val="paragraph"/>
        <w:spacing w:before="0" w:beforeAutospacing="0" w:after="0" w:afterAutospacing="0"/>
        <w:jc w:val="both"/>
        <w:textAlignment w:val="baseline"/>
        <w:rPr>
          <w:rFonts w:ascii="Arial" w:eastAsia="Arial" w:hAnsi="Arial" w:cs="Arial"/>
          <w:sz w:val="18"/>
          <w:szCs w:val="18"/>
        </w:rPr>
      </w:pPr>
      <w:r w:rsidRPr="15535A25">
        <w:rPr>
          <w:rStyle w:val="eop"/>
          <w:rFonts w:ascii="Arial" w:eastAsia="Arial" w:hAnsi="Arial" w:cs="Arial"/>
          <w:sz w:val="22"/>
          <w:szCs w:val="22"/>
        </w:rPr>
        <w:t> </w:t>
      </w:r>
    </w:p>
    <w:p w14:paraId="4BD524F7" w14:textId="3558FEE3" w:rsidR="003A6052" w:rsidRPr="004E542C" w:rsidRDefault="0C099DC7" w:rsidP="15535A25">
      <w:pPr>
        <w:pStyle w:val="paragraph"/>
        <w:spacing w:before="0" w:beforeAutospacing="0" w:after="0" w:afterAutospacing="0"/>
        <w:jc w:val="both"/>
        <w:textAlignment w:val="baseline"/>
        <w:rPr>
          <w:rFonts w:ascii="Arial" w:eastAsia="Arial" w:hAnsi="Arial" w:cs="Arial"/>
          <w:sz w:val="18"/>
          <w:szCs w:val="18"/>
        </w:rPr>
      </w:pPr>
      <w:r w:rsidRPr="15535A25">
        <w:rPr>
          <w:rStyle w:val="normaltextrun"/>
          <w:rFonts w:ascii="Arial" w:eastAsia="Arial" w:hAnsi="Arial" w:cs="Arial"/>
          <w:sz w:val="22"/>
          <w:szCs w:val="22"/>
        </w:rPr>
        <w:t>Regular improvements have been introduced to the project call process, to reduce the time taken to reach implementation and speed up disbursements. The Board continues to monitor these delays and taking appropriate action to improve the overall process which include</w:t>
      </w:r>
      <w:r w:rsidR="49E446AA" w:rsidRPr="15535A25">
        <w:rPr>
          <w:rStyle w:val="normaltextrun"/>
          <w:rFonts w:ascii="Arial" w:eastAsia="Arial" w:hAnsi="Arial" w:cs="Arial"/>
          <w:sz w:val="22"/>
          <w:szCs w:val="22"/>
        </w:rPr>
        <w:t>d</w:t>
      </w:r>
      <w:r w:rsidR="1D2EEB93" w:rsidRPr="15535A25">
        <w:rPr>
          <w:rStyle w:val="normaltextrun"/>
          <w:rFonts w:ascii="Arial" w:eastAsia="Arial" w:hAnsi="Arial" w:cs="Arial"/>
          <w:sz w:val="22"/>
          <w:szCs w:val="22"/>
        </w:rPr>
        <w:t xml:space="preserve"> in 2023</w:t>
      </w:r>
      <w:r w:rsidRPr="15535A25">
        <w:rPr>
          <w:rStyle w:val="normaltextrun"/>
          <w:rFonts w:ascii="Arial" w:eastAsia="Arial" w:hAnsi="Arial" w:cs="Arial"/>
          <w:sz w:val="22"/>
          <w:szCs w:val="22"/>
        </w:rPr>
        <w:t>: </w:t>
      </w:r>
      <w:r w:rsidRPr="15535A25">
        <w:rPr>
          <w:rStyle w:val="eop"/>
          <w:rFonts w:ascii="Arial" w:eastAsia="Arial" w:hAnsi="Arial" w:cs="Arial"/>
          <w:sz w:val="22"/>
          <w:szCs w:val="22"/>
        </w:rPr>
        <w:t> </w:t>
      </w:r>
    </w:p>
    <w:p w14:paraId="4AF7EB46" w14:textId="77777777" w:rsidR="003A6052" w:rsidRPr="004E542C" w:rsidRDefault="0C099DC7" w:rsidP="15535A25">
      <w:pPr>
        <w:pStyle w:val="paragraph"/>
        <w:spacing w:before="0" w:beforeAutospacing="0" w:after="0" w:afterAutospacing="0"/>
        <w:jc w:val="both"/>
        <w:textAlignment w:val="baseline"/>
        <w:rPr>
          <w:rFonts w:ascii="Arial" w:eastAsia="Arial" w:hAnsi="Arial" w:cs="Arial"/>
          <w:sz w:val="18"/>
          <w:szCs w:val="18"/>
        </w:rPr>
      </w:pPr>
      <w:r w:rsidRPr="15535A25">
        <w:rPr>
          <w:rStyle w:val="eop"/>
          <w:rFonts w:ascii="Arial" w:eastAsia="Arial" w:hAnsi="Arial" w:cs="Arial"/>
          <w:sz w:val="22"/>
          <w:szCs w:val="22"/>
        </w:rPr>
        <w:t> </w:t>
      </w:r>
    </w:p>
    <w:p w14:paraId="42B97963" w14:textId="241D902C" w:rsidR="00FE22B8" w:rsidRDefault="0BCD5346" w:rsidP="15535A25">
      <w:pPr>
        <w:pStyle w:val="paragraph"/>
        <w:numPr>
          <w:ilvl w:val="0"/>
          <w:numId w:val="16"/>
        </w:numPr>
        <w:spacing w:before="0" w:beforeAutospacing="0" w:after="0" w:afterAutospacing="0"/>
        <w:ind w:left="709" w:hanging="349"/>
        <w:jc w:val="both"/>
        <w:textAlignment w:val="baseline"/>
        <w:rPr>
          <w:rFonts w:ascii="Arial" w:eastAsia="Arial" w:hAnsi="Arial" w:cs="Arial"/>
          <w:sz w:val="22"/>
          <w:szCs w:val="22"/>
        </w:rPr>
      </w:pPr>
      <w:r w:rsidRPr="15535A25">
        <w:rPr>
          <w:rFonts w:ascii="Arial" w:eastAsia="Arial" w:hAnsi="Arial" w:cs="Arial"/>
          <w:sz w:val="22"/>
          <w:szCs w:val="22"/>
        </w:rPr>
        <w:t>The introduction of</w:t>
      </w:r>
      <w:r w:rsidR="768EA0E3" w:rsidRPr="15535A25">
        <w:rPr>
          <w:rFonts w:ascii="Arial" w:eastAsia="Arial" w:hAnsi="Arial" w:cs="Arial"/>
          <w:sz w:val="22"/>
          <w:szCs w:val="22"/>
        </w:rPr>
        <w:t xml:space="preserve"> a new </w:t>
      </w:r>
      <w:r w:rsidR="62A8C27B" w:rsidRPr="15535A25">
        <w:rPr>
          <w:rFonts w:ascii="Arial" w:eastAsia="Arial" w:hAnsi="Arial" w:cs="Arial"/>
          <w:sz w:val="22"/>
          <w:szCs w:val="22"/>
        </w:rPr>
        <w:t>first stage of the application process</w:t>
      </w:r>
      <w:r w:rsidR="4D312EE2" w:rsidRPr="15535A25">
        <w:rPr>
          <w:rFonts w:ascii="Arial" w:eastAsia="Arial" w:hAnsi="Arial" w:cs="Arial"/>
          <w:sz w:val="22"/>
          <w:szCs w:val="22"/>
        </w:rPr>
        <w:t xml:space="preserve"> – a concept phase – in which </w:t>
      </w:r>
      <w:r w:rsidR="0A621E5A" w:rsidRPr="15535A25">
        <w:rPr>
          <w:rFonts w:ascii="Arial" w:eastAsia="Arial" w:hAnsi="Arial" w:cs="Arial"/>
          <w:sz w:val="22"/>
          <w:szCs w:val="22"/>
        </w:rPr>
        <w:t>a shorter</w:t>
      </w:r>
      <w:r w:rsidR="1EB400AF" w:rsidRPr="15535A25">
        <w:rPr>
          <w:rFonts w:ascii="Arial" w:eastAsia="Arial" w:hAnsi="Arial" w:cs="Arial"/>
          <w:sz w:val="22"/>
          <w:szCs w:val="22"/>
        </w:rPr>
        <w:t xml:space="preserve">, </w:t>
      </w:r>
      <w:r w:rsidR="0D5CD124" w:rsidRPr="15535A25">
        <w:rPr>
          <w:rFonts w:ascii="Arial" w:eastAsia="Arial" w:hAnsi="Arial" w:cs="Arial"/>
          <w:sz w:val="22"/>
          <w:szCs w:val="22"/>
        </w:rPr>
        <w:t>simpler</w:t>
      </w:r>
      <w:r w:rsidR="1EB400AF" w:rsidRPr="15535A25">
        <w:rPr>
          <w:rFonts w:ascii="Arial" w:eastAsia="Arial" w:hAnsi="Arial" w:cs="Arial"/>
          <w:sz w:val="22"/>
          <w:szCs w:val="22"/>
        </w:rPr>
        <w:t xml:space="preserve"> application is invited</w:t>
      </w:r>
      <w:r w:rsidR="0BE33F00" w:rsidRPr="15535A25">
        <w:rPr>
          <w:rFonts w:ascii="Arial" w:eastAsia="Arial" w:hAnsi="Arial" w:cs="Arial"/>
          <w:sz w:val="22"/>
          <w:szCs w:val="22"/>
        </w:rPr>
        <w:t xml:space="preserve"> to attract </w:t>
      </w:r>
      <w:r w:rsidR="09665086" w:rsidRPr="15535A25">
        <w:rPr>
          <w:rFonts w:ascii="Arial" w:eastAsia="Arial" w:hAnsi="Arial" w:cs="Arial"/>
          <w:sz w:val="22"/>
          <w:szCs w:val="22"/>
        </w:rPr>
        <w:t xml:space="preserve">a wider </w:t>
      </w:r>
      <w:r w:rsidR="73F29A7A" w:rsidRPr="15535A25">
        <w:rPr>
          <w:rFonts w:ascii="Arial" w:eastAsia="Arial" w:hAnsi="Arial" w:cs="Arial"/>
          <w:sz w:val="22"/>
          <w:szCs w:val="22"/>
        </w:rPr>
        <w:t>diversity</w:t>
      </w:r>
      <w:r w:rsidR="09665086" w:rsidRPr="15535A25">
        <w:rPr>
          <w:rFonts w:ascii="Arial" w:eastAsia="Arial" w:hAnsi="Arial" w:cs="Arial"/>
          <w:sz w:val="22"/>
          <w:szCs w:val="22"/>
        </w:rPr>
        <w:t xml:space="preserve"> of </w:t>
      </w:r>
      <w:r w:rsidR="756E5B17" w:rsidRPr="15535A25">
        <w:rPr>
          <w:rFonts w:ascii="Arial" w:eastAsia="Arial" w:hAnsi="Arial" w:cs="Arial"/>
          <w:sz w:val="22"/>
          <w:szCs w:val="22"/>
        </w:rPr>
        <w:t xml:space="preserve">potential </w:t>
      </w:r>
      <w:r w:rsidR="09665086" w:rsidRPr="15535A25">
        <w:rPr>
          <w:rFonts w:ascii="Arial" w:eastAsia="Arial" w:hAnsi="Arial" w:cs="Arial"/>
          <w:sz w:val="22"/>
          <w:szCs w:val="22"/>
        </w:rPr>
        <w:t>implementing</w:t>
      </w:r>
      <w:r w:rsidR="53D9827D" w:rsidRPr="15535A25">
        <w:rPr>
          <w:rFonts w:ascii="Arial" w:eastAsia="Arial" w:hAnsi="Arial" w:cs="Arial"/>
          <w:sz w:val="22"/>
          <w:szCs w:val="22"/>
        </w:rPr>
        <w:t xml:space="preserve"> organisations</w:t>
      </w:r>
      <w:r w:rsidR="2C910924" w:rsidRPr="15535A25">
        <w:rPr>
          <w:rFonts w:ascii="Arial" w:eastAsia="Arial" w:hAnsi="Arial" w:cs="Arial"/>
          <w:sz w:val="22"/>
          <w:szCs w:val="22"/>
        </w:rPr>
        <w:t xml:space="preserve">. This in turn </w:t>
      </w:r>
      <w:r w:rsidR="1A8C6B75" w:rsidRPr="15535A25">
        <w:rPr>
          <w:rFonts w:ascii="Arial" w:eastAsia="Arial" w:hAnsi="Arial" w:cs="Arial"/>
          <w:sz w:val="22"/>
          <w:szCs w:val="22"/>
        </w:rPr>
        <w:t xml:space="preserve">aims to reduce the delivery risk as </w:t>
      </w:r>
      <w:r w:rsidR="1883DAE8" w:rsidRPr="15535A25">
        <w:rPr>
          <w:rFonts w:ascii="Arial" w:eastAsia="Arial" w:hAnsi="Arial" w:cs="Arial"/>
          <w:sz w:val="22"/>
          <w:szCs w:val="22"/>
        </w:rPr>
        <w:t xml:space="preserve">the failure of one organisation would have limited impact </w:t>
      </w:r>
      <w:r w:rsidR="0B5F7F66" w:rsidRPr="15535A25">
        <w:rPr>
          <w:rFonts w:ascii="Arial" w:eastAsia="Arial" w:hAnsi="Arial" w:cs="Arial"/>
          <w:sz w:val="22"/>
          <w:szCs w:val="22"/>
        </w:rPr>
        <w:t>on a more diverse portfolio of projects.</w:t>
      </w:r>
    </w:p>
    <w:p w14:paraId="06CE0D01" w14:textId="2E68A6EB" w:rsidR="00C032CC" w:rsidRDefault="0140E730" w:rsidP="15535A25">
      <w:pPr>
        <w:pStyle w:val="paragraph"/>
        <w:numPr>
          <w:ilvl w:val="0"/>
          <w:numId w:val="16"/>
        </w:numPr>
        <w:spacing w:before="0" w:beforeAutospacing="0" w:after="0" w:afterAutospacing="0"/>
        <w:ind w:left="709" w:hanging="349"/>
        <w:jc w:val="both"/>
        <w:textAlignment w:val="baseline"/>
        <w:rPr>
          <w:rFonts w:ascii="Arial" w:eastAsia="Arial" w:hAnsi="Arial" w:cs="Arial"/>
          <w:sz w:val="22"/>
          <w:szCs w:val="22"/>
        </w:rPr>
      </w:pPr>
      <w:r w:rsidRPr="15535A25">
        <w:rPr>
          <w:rFonts w:ascii="Arial" w:eastAsia="Arial" w:hAnsi="Arial" w:cs="Arial"/>
          <w:sz w:val="22"/>
          <w:szCs w:val="22"/>
        </w:rPr>
        <w:t xml:space="preserve">The decision to </w:t>
      </w:r>
      <w:r w:rsidR="07848EF3" w:rsidRPr="15535A25">
        <w:rPr>
          <w:rFonts w:ascii="Arial" w:eastAsia="Arial" w:hAnsi="Arial" w:cs="Arial"/>
          <w:sz w:val="22"/>
          <w:szCs w:val="22"/>
        </w:rPr>
        <w:t xml:space="preserve">further </w:t>
      </w:r>
      <w:r w:rsidR="2E2AB0DA" w:rsidRPr="15535A25">
        <w:rPr>
          <w:rFonts w:ascii="Arial" w:eastAsia="Arial" w:hAnsi="Arial" w:cs="Arial"/>
          <w:sz w:val="22"/>
          <w:szCs w:val="22"/>
        </w:rPr>
        <w:t xml:space="preserve">develop </w:t>
      </w:r>
      <w:r w:rsidR="67C65A69" w:rsidRPr="15535A25">
        <w:rPr>
          <w:rFonts w:ascii="Arial" w:eastAsia="Arial" w:hAnsi="Arial" w:cs="Arial"/>
          <w:sz w:val="22"/>
          <w:szCs w:val="22"/>
        </w:rPr>
        <w:t xml:space="preserve">the TSU’s </w:t>
      </w:r>
      <w:r w:rsidR="2E5E37FA" w:rsidRPr="15535A25">
        <w:rPr>
          <w:rFonts w:ascii="Arial" w:eastAsia="Arial" w:hAnsi="Arial" w:cs="Arial"/>
          <w:sz w:val="22"/>
          <w:szCs w:val="22"/>
        </w:rPr>
        <w:t xml:space="preserve">enhanced </w:t>
      </w:r>
      <w:r w:rsidR="67C65A69" w:rsidRPr="15535A25">
        <w:rPr>
          <w:rFonts w:ascii="Arial" w:eastAsia="Arial" w:hAnsi="Arial" w:cs="Arial"/>
          <w:sz w:val="22"/>
          <w:szCs w:val="22"/>
        </w:rPr>
        <w:t>mandate</w:t>
      </w:r>
      <w:r w:rsidR="616AC03F" w:rsidRPr="15535A25">
        <w:rPr>
          <w:rFonts w:ascii="Arial" w:eastAsia="Arial" w:hAnsi="Arial" w:cs="Arial"/>
          <w:sz w:val="22"/>
          <w:szCs w:val="22"/>
        </w:rPr>
        <w:t xml:space="preserve"> in 2023</w:t>
      </w:r>
      <w:r w:rsidR="1825F2EE" w:rsidRPr="15535A25">
        <w:rPr>
          <w:rFonts w:ascii="Arial" w:eastAsia="Arial" w:hAnsi="Arial" w:cs="Arial"/>
          <w:sz w:val="22"/>
          <w:szCs w:val="22"/>
        </w:rPr>
        <w:t xml:space="preserve"> to </w:t>
      </w:r>
      <w:r w:rsidR="3BF8AC80" w:rsidRPr="15535A25">
        <w:rPr>
          <w:rFonts w:ascii="Arial" w:eastAsia="Arial" w:hAnsi="Arial" w:cs="Arial"/>
          <w:sz w:val="22"/>
          <w:szCs w:val="22"/>
        </w:rPr>
        <w:t xml:space="preserve">further strengthen </w:t>
      </w:r>
      <w:r w:rsidR="1825F2EE" w:rsidRPr="15535A25">
        <w:rPr>
          <w:rFonts w:ascii="Arial" w:eastAsia="Arial" w:hAnsi="Arial" w:cs="Arial"/>
          <w:sz w:val="22"/>
          <w:szCs w:val="22"/>
        </w:rPr>
        <w:t xml:space="preserve">the quality of </w:t>
      </w:r>
      <w:r w:rsidR="4ECA0DE7" w:rsidRPr="15535A25">
        <w:rPr>
          <w:rFonts w:ascii="Arial" w:eastAsia="Arial" w:hAnsi="Arial" w:cs="Arial"/>
          <w:sz w:val="22"/>
          <w:szCs w:val="22"/>
        </w:rPr>
        <w:t xml:space="preserve">support provided to </w:t>
      </w:r>
      <w:r w:rsidR="1825F2EE" w:rsidRPr="15535A25">
        <w:rPr>
          <w:rFonts w:ascii="Arial" w:eastAsia="Arial" w:hAnsi="Arial" w:cs="Arial"/>
          <w:sz w:val="22"/>
          <w:szCs w:val="22"/>
        </w:rPr>
        <w:t xml:space="preserve">the proposals </w:t>
      </w:r>
      <w:r w:rsidR="20E74086" w:rsidRPr="15535A25">
        <w:rPr>
          <w:rFonts w:ascii="Arial" w:eastAsia="Arial" w:hAnsi="Arial" w:cs="Arial"/>
          <w:sz w:val="22"/>
          <w:szCs w:val="22"/>
        </w:rPr>
        <w:t xml:space="preserve">during the </w:t>
      </w:r>
      <w:r w:rsidR="616AC03F" w:rsidRPr="15535A25">
        <w:rPr>
          <w:rFonts w:ascii="Arial" w:eastAsia="Arial" w:hAnsi="Arial" w:cs="Arial"/>
          <w:sz w:val="22"/>
          <w:szCs w:val="22"/>
        </w:rPr>
        <w:t>Detailed Preparation Phase</w:t>
      </w:r>
      <w:r w:rsidR="2D5C635C" w:rsidRPr="15535A25">
        <w:rPr>
          <w:rFonts w:ascii="Arial" w:eastAsia="Arial" w:hAnsi="Arial" w:cs="Arial"/>
          <w:sz w:val="22"/>
          <w:szCs w:val="22"/>
        </w:rPr>
        <w:t xml:space="preserve"> and Implementation Phases.</w:t>
      </w:r>
      <w:r w:rsidR="61E93229" w:rsidRPr="15535A25">
        <w:rPr>
          <w:rFonts w:ascii="Arial" w:eastAsia="Arial" w:hAnsi="Arial" w:cs="Arial"/>
          <w:sz w:val="22"/>
          <w:szCs w:val="22"/>
        </w:rPr>
        <w:t xml:space="preserve"> For example, by making the twin roles of the TSU </w:t>
      </w:r>
      <w:r w:rsidR="47ED14AD" w:rsidRPr="15535A25">
        <w:rPr>
          <w:rFonts w:ascii="Arial" w:eastAsia="Arial" w:hAnsi="Arial" w:cs="Arial"/>
          <w:sz w:val="22"/>
          <w:szCs w:val="22"/>
        </w:rPr>
        <w:t xml:space="preserve">during </w:t>
      </w:r>
      <w:r w:rsidR="61E93229" w:rsidRPr="15535A25">
        <w:rPr>
          <w:rFonts w:ascii="Arial" w:eastAsia="Arial" w:hAnsi="Arial" w:cs="Arial"/>
          <w:sz w:val="22"/>
          <w:szCs w:val="22"/>
        </w:rPr>
        <w:t>DPP – of support to projects</w:t>
      </w:r>
      <w:r w:rsidR="7CDC1379" w:rsidRPr="15535A25">
        <w:rPr>
          <w:rFonts w:ascii="Arial" w:eastAsia="Arial" w:hAnsi="Arial" w:cs="Arial"/>
          <w:sz w:val="22"/>
          <w:szCs w:val="22"/>
        </w:rPr>
        <w:t xml:space="preserve"> during the phase</w:t>
      </w:r>
      <w:r w:rsidR="61E93229" w:rsidRPr="15535A25">
        <w:rPr>
          <w:rFonts w:ascii="Arial" w:eastAsia="Arial" w:hAnsi="Arial" w:cs="Arial"/>
          <w:sz w:val="22"/>
          <w:szCs w:val="22"/>
        </w:rPr>
        <w:t xml:space="preserve"> and as an assessor of projects</w:t>
      </w:r>
      <w:r w:rsidR="3F546B26" w:rsidRPr="15535A25">
        <w:rPr>
          <w:rFonts w:ascii="Arial" w:eastAsia="Arial" w:hAnsi="Arial" w:cs="Arial"/>
          <w:sz w:val="22"/>
          <w:szCs w:val="22"/>
        </w:rPr>
        <w:t xml:space="preserve"> at the end of the phase</w:t>
      </w:r>
      <w:r w:rsidR="61E93229" w:rsidRPr="15535A25">
        <w:rPr>
          <w:rFonts w:ascii="Arial" w:eastAsia="Arial" w:hAnsi="Arial" w:cs="Arial"/>
          <w:sz w:val="22"/>
          <w:szCs w:val="22"/>
        </w:rPr>
        <w:t xml:space="preserve"> – more distinct and better communicated</w:t>
      </w:r>
      <w:r w:rsidR="60F69275" w:rsidRPr="15535A25">
        <w:rPr>
          <w:rFonts w:ascii="Arial" w:eastAsia="Arial" w:hAnsi="Arial" w:cs="Arial"/>
          <w:sz w:val="22"/>
          <w:szCs w:val="22"/>
        </w:rPr>
        <w:t xml:space="preserve"> to allow increased trust</w:t>
      </w:r>
      <w:r w:rsidR="22AE8D90" w:rsidRPr="15535A25">
        <w:rPr>
          <w:rFonts w:ascii="Arial" w:eastAsia="Arial" w:hAnsi="Arial" w:cs="Arial"/>
          <w:sz w:val="22"/>
          <w:szCs w:val="22"/>
        </w:rPr>
        <w:t xml:space="preserve"> and improved reception of advice, </w:t>
      </w:r>
      <w:proofErr w:type="gramStart"/>
      <w:r w:rsidR="22AE8D90" w:rsidRPr="15535A25">
        <w:rPr>
          <w:rFonts w:ascii="Arial" w:eastAsia="Arial" w:hAnsi="Arial" w:cs="Arial"/>
          <w:sz w:val="22"/>
          <w:szCs w:val="22"/>
        </w:rPr>
        <w:t>in order to</w:t>
      </w:r>
      <w:proofErr w:type="gramEnd"/>
      <w:r w:rsidR="22AE8D90" w:rsidRPr="15535A25">
        <w:rPr>
          <w:rFonts w:ascii="Arial" w:eastAsia="Arial" w:hAnsi="Arial" w:cs="Arial"/>
          <w:sz w:val="22"/>
          <w:szCs w:val="22"/>
        </w:rPr>
        <w:t xml:space="preserve"> minimise the chances of project delay or failure to pass DPP assessment.</w:t>
      </w:r>
    </w:p>
    <w:p w14:paraId="7BCB6E1D" w14:textId="46953963" w:rsidR="007B7F9D" w:rsidRPr="009567C6" w:rsidRDefault="048DA0DA" w:rsidP="15535A25">
      <w:pPr>
        <w:pStyle w:val="paragraph"/>
        <w:numPr>
          <w:ilvl w:val="0"/>
          <w:numId w:val="16"/>
        </w:numPr>
        <w:spacing w:before="0" w:beforeAutospacing="0" w:after="0" w:afterAutospacing="0"/>
        <w:ind w:left="709" w:hanging="349"/>
        <w:jc w:val="both"/>
        <w:textAlignment w:val="baseline"/>
        <w:rPr>
          <w:rFonts w:ascii="Arial" w:eastAsia="Arial" w:hAnsi="Arial" w:cs="Arial"/>
          <w:sz w:val="22"/>
          <w:szCs w:val="22"/>
        </w:rPr>
      </w:pPr>
      <w:r w:rsidRPr="15535A25">
        <w:rPr>
          <w:rFonts w:ascii="Arial" w:eastAsia="Arial" w:hAnsi="Arial" w:cs="Arial"/>
          <w:sz w:val="22"/>
          <w:szCs w:val="22"/>
        </w:rPr>
        <w:t>The recruit</w:t>
      </w:r>
      <w:r w:rsidR="3ED8EB00" w:rsidRPr="15535A25">
        <w:rPr>
          <w:rFonts w:ascii="Arial" w:eastAsia="Arial" w:hAnsi="Arial" w:cs="Arial"/>
          <w:sz w:val="22"/>
          <w:szCs w:val="22"/>
        </w:rPr>
        <w:t>ment of</w:t>
      </w:r>
      <w:r w:rsidRPr="15535A25">
        <w:rPr>
          <w:rFonts w:ascii="Arial" w:eastAsia="Arial" w:hAnsi="Arial" w:cs="Arial"/>
          <w:sz w:val="22"/>
          <w:szCs w:val="22"/>
        </w:rPr>
        <w:t xml:space="preserve"> gender</w:t>
      </w:r>
      <w:r w:rsidR="064C49DC" w:rsidRPr="15535A25">
        <w:rPr>
          <w:rFonts w:ascii="Arial" w:eastAsia="Arial" w:hAnsi="Arial" w:cs="Arial"/>
          <w:sz w:val="22"/>
          <w:szCs w:val="22"/>
        </w:rPr>
        <w:t>, finance and MEL</w:t>
      </w:r>
      <w:r w:rsidRPr="15535A25">
        <w:rPr>
          <w:rFonts w:ascii="Arial" w:eastAsia="Arial" w:hAnsi="Arial" w:cs="Arial"/>
          <w:sz w:val="22"/>
          <w:szCs w:val="22"/>
        </w:rPr>
        <w:t xml:space="preserve"> expert</w:t>
      </w:r>
      <w:r w:rsidR="5E5DAE6A" w:rsidRPr="15535A25">
        <w:rPr>
          <w:rFonts w:ascii="Arial" w:eastAsia="Arial" w:hAnsi="Arial" w:cs="Arial"/>
          <w:sz w:val="22"/>
          <w:szCs w:val="22"/>
        </w:rPr>
        <w:t>s</w:t>
      </w:r>
      <w:r w:rsidR="39978244" w:rsidRPr="15535A25">
        <w:rPr>
          <w:rFonts w:ascii="Arial" w:eastAsia="Arial" w:hAnsi="Arial" w:cs="Arial"/>
          <w:sz w:val="22"/>
          <w:szCs w:val="22"/>
        </w:rPr>
        <w:t xml:space="preserve"> into the MAF secretariat</w:t>
      </w:r>
      <w:r w:rsidR="6A204122" w:rsidRPr="15535A25">
        <w:rPr>
          <w:rFonts w:ascii="Arial" w:eastAsia="Arial" w:hAnsi="Arial" w:cs="Arial"/>
          <w:sz w:val="22"/>
          <w:szCs w:val="22"/>
        </w:rPr>
        <w:t xml:space="preserve"> </w:t>
      </w:r>
      <w:r w:rsidR="7AE963C9" w:rsidRPr="15535A25">
        <w:rPr>
          <w:rFonts w:ascii="Arial" w:eastAsia="Arial" w:hAnsi="Arial" w:cs="Arial"/>
          <w:sz w:val="22"/>
          <w:szCs w:val="22"/>
        </w:rPr>
        <w:t xml:space="preserve">to specifically </w:t>
      </w:r>
      <w:r w:rsidR="2765D5F8" w:rsidRPr="15535A25">
        <w:rPr>
          <w:rFonts w:ascii="Arial" w:eastAsia="Arial" w:hAnsi="Arial" w:cs="Arial"/>
          <w:sz w:val="22"/>
          <w:szCs w:val="22"/>
        </w:rPr>
        <w:t xml:space="preserve">strengthen the facility’s offer </w:t>
      </w:r>
      <w:r w:rsidR="39047D9E" w:rsidRPr="15535A25">
        <w:rPr>
          <w:rFonts w:ascii="Arial" w:eastAsia="Arial" w:hAnsi="Arial" w:cs="Arial"/>
          <w:sz w:val="22"/>
          <w:szCs w:val="22"/>
        </w:rPr>
        <w:t xml:space="preserve">to projects and the overall programme </w:t>
      </w:r>
      <w:r w:rsidR="2765D5F8" w:rsidRPr="15535A25">
        <w:rPr>
          <w:rFonts w:ascii="Arial" w:eastAsia="Arial" w:hAnsi="Arial" w:cs="Arial"/>
          <w:sz w:val="22"/>
          <w:szCs w:val="22"/>
        </w:rPr>
        <w:t>in th</w:t>
      </w:r>
      <w:r w:rsidR="35F65820" w:rsidRPr="15535A25">
        <w:rPr>
          <w:rFonts w:ascii="Arial" w:eastAsia="Arial" w:hAnsi="Arial" w:cs="Arial"/>
          <w:sz w:val="22"/>
          <w:szCs w:val="22"/>
        </w:rPr>
        <w:t>ese</w:t>
      </w:r>
      <w:r w:rsidR="2765D5F8" w:rsidRPr="15535A25">
        <w:rPr>
          <w:rFonts w:ascii="Arial" w:eastAsia="Arial" w:hAnsi="Arial" w:cs="Arial"/>
          <w:sz w:val="22"/>
          <w:szCs w:val="22"/>
        </w:rPr>
        <w:t xml:space="preserve"> strategic areas.</w:t>
      </w:r>
    </w:p>
    <w:p w14:paraId="156B99E7" w14:textId="77777777" w:rsidR="003A6052" w:rsidRPr="009567C6" w:rsidRDefault="0C099DC7" w:rsidP="15535A25">
      <w:pPr>
        <w:pStyle w:val="paragraph"/>
        <w:spacing w:before="0" w:beforeAutospacing="0" w:after="0" w:afterAutospacing="0"/>
        <w:ind w:left="720"/>
        <w:jc w:val="both"/>
        <w:textAlignment w:val="baseline"/>
        <w:rPr>
          <w:rFonts w:ascii="Arial" w:eastAsia="Arial" w:hAnsi="Arial" w:cs="Arial"/>
          <w:sz w:val="18"/>
          <w:szCs w:val="18"/>
        </w:rPr>
      </w:pPr>
      <w:r w:rsidRPr="15535A25">
        <w:rPr>
          <w:rStyle w:val="eop"/>
          <w:rFonts w:ascii="Arial" w:eastAsia="Arial" w:hAnsi="Arial" w:cs="Arial"/>
          <w:sz w:val="22"/>
          <w:szCs w:val="22"/>
        </w:rPr>
        <w:t> </w:t>
      </w:r>
    </w:p>
    <w:p w14:paraId="5BFBDD07" w14:textId="5E1B62E4" w:rsidR="003A6052" w:rsidRPr="00CD70B8" w:rsidRDefault="016E9945" w:rsidP="15535A25">
      <w:pPr>
        <w:pStyle w:val="paragraph"/>
        <w:spacing w:before="0" w:beforeAutospacing="0" w:after="0" w:afterAutospacing="0"/>
        <w:jc w:val="both"/>
        <w:textAlignment w:val="baseline"/>
        <w:rPr>
          <w:rStyle w:val="eop"/>
          <w:rFonts w:ascii="Arial" w:eastAsia="Arial" w:hAnsi="Arial" w:cs="Arial"/>
          <w:color w:val="5B9BD5" w:themeColor="accent5"/>
          <w:sz w:val="22"/>
          <w:szCs w:val="22"/>
        </w:rPr>
      </w:pPr>
      <w:r w:rsidRPr="07AF1209">
        <w:rPr>
          <w:rStyle w:val="normaltextrun"/>
          <w:rFonts w:ascii="Arial" w:eastAsia="Arial" w:hAnsi="Arial" w:cs="Arial"/>
          <w:sz w:val="22"/>
          <w:szCs w:val="22"/>
        </w:rPr>
        <w:t>Based on analysis in 2023,</w:t>
      </w:r>
      <w:r w:rsidR="0C099DC7" w:rsidRPr="07AF1209">
        <w:rPr>
          <w:rStyle w:val="normaltextrun"/>
          <w:rFonts w:ascii="Arial" w:eastAsia="Arial" w:hAnsi="Arial" w:cs="Arial"/>
          <w:sz w:val="22"/>
          <w:szCs w:val="22"/>
        </w:rPr>
        <w:t xml:space="preserve"> the operational cost of the TSU was expected to be </w:t>
      </w:r>
      <w:r w:rsidR="385069AF" w:rsidRPr="07AF1209">
        <w:rPr>
          <w:rStyle w:val="normaltextrun"/>
          <w:rFonts w:ascii="Arial" w:eastAsia="Arial" w:hAnsi="Arial" w:cs="Arial"/>
          <w:sz w:val="22"/>
          <w:szCs w:val="22"/>
        </w:rPr>
        <w:t>0.6</w:t>
      </w:r>
      <w:r w:rsidR="0C099DC7" w:rsidRPr="07AF1209">
        <w:rPr>
          <w:rStyle w:val="normaltextrun"/>
          <w:rFonts w:ascii="Arial" w:eastAsia="Arial" w:hAnsi="Arial" w:cs="Arial"/>
          <w:sz w:val="22"/>
          <w:szCs w:val="22"/>
        </w:rPr>
        <w:t xml:space="preserve">% of the approved funding, allowing the majority of </w:t>
      </w:r>
      <w:r w:rsidR="27DE1A42" w:rsidRPr="07AF1209">
        <w:rPr>
          <w:rStyle w:val="normaltextrun"/>
          <w:rFonts w:ascii="Arial" w:eastAsia="Arial" w:hAnsi="Arial" w:cs="Arial"/>
          <w:sz w:val="22"/>
          <w:szCs w:val="22"/>
        </w:rPr>
        <w:t xml:space="preserve">UK </w:t>
      </w:r>
      <w:r w:rsidR="0C099DC7" w:rsidRPr="07AF1209">
        <w:rPr>
          <w:rStyle w:val="normaltextrun"/>
          <w:rFonts w:ascii="Arial" w:eastAsia="Arial" w:hAnsi="Arial" w:cs="Arial"/>
          <w:sz w:val="22"/>
          <w:szCs w:val="22"/>
        </w:rPr>
        <w:t>funding to be directly invested in the technical assistance and mitigation activities. These management costs are comparabl</w:t>
      </w:r>
      <w:r w:rsidR="2AEABC6C" w:rsidRPr="07AF1209">
        <w:rPr>
          <w:rStyle w:val="normaltextrun"/>
          <w:rFonts w:ascii="Arial" w:eastAsia="Arial" w:hAnsi="Arial" w:cs="Arial"/>
          <w:sz w:val="22"/>
          <w:szCs w:val="22"/>
        </w:rPr>
        <w:t xml:space="preserve">y </w:t>
      </w:r>
      <w:r w:rsidR="2C3512D2" w:rsidRPr="07AF1209">
        <w:rPr>
          <w:rStyle w:val="normaltextrun"/>
          <w:rFonts w:ascii="Arial" w:eastAsia="Arial" w:hAnsi="Arial" w:cs="Arial"/>
          <w:sz w:val="22"/>
          <w:szCs w:val="22"/>
        </w:rPr>
        <w:t>significantly lower than</w:t>
      </w:r>
      <w:r w:rsidR="0C099DC7" w:rsidRPr="07AF1209">
        <w:rPr>
          <w:rStyle w:val="normaltextrun"/>
          <w:rFonts w:ascii="Arial" w:eastAsia="Arial" w:hAnsi="Arial" w:cs="Arial"/>
          <w:sz w:val="22"/>
          <w:szCs w:val="22"/>
        </w:rPr>
        <w:t xml:space="preserve"> other multilateral climate funds</w:t>
      </w:r>
      <w:r w:rsidR="6F5EA0B8" w:rsidRPr="07AF1209">
        <w:rPr>
          <w:rStyle w:val="normaltextrun"/>
          <w:rFonts w:ascii="Arial" w:eastAsia="Arial" w:hAnsi="Arial" w:cs="Arial"/>
          <w:sz w:val="22"/>
          <w:szCs w:val="22"/>
        </w:rPr>
        <w:t xml:space="preserve"> when assessed during the DESNZ extension business case process in 2023.</w:t>
      </w:r>
    </w:p>
    <w:p w14:paraId="147458AF" w14:textId="77777777" w:rsidR="00942919" w:rsidRPr="00CD70B8" w:rsidRDefault="00942919" w:rsidP="15535A25">
      <w:pPr>
        <w:pStyle w:val="paragraph"/>
        <w:spacing w:before="0" w:beforeAutospacing="0" w:after="0" w:afterAutospacing="0"/>
        <w:jc w:val="both"/>
        <w:textAlignment w:val="baseline"/>
        <w:rPr>
          <w:rFonts w:ascii="Arial" w:eastAsia="Arial" w:hAnsi="Arial" w:cs="Arial"/>
          <w:sz w:val="18"/>
          <w:szCs w:val="18"/>
        </w:rPr>
      </w:pPr>
    </w:p>
    <w:p w14:paraId="685B3287" w14:textId="610ABCD5" w:rsidR="003A6052" w:rsidRPr="00CD70B8" w:rsidRDefault="0C099DC7" w:rsidP="15535A25">
      <w:pPr>
        <w:pStyle w:val="paragraph"/>
        <w:spacing w:before="0" w:beforeAutospacing="0" w:after="0" w:afterAutospacing="0"/>
        <w:jc w:val="both"/>
        <w:textAlignment w:val="baseline"/>
        <w:rPr>
          <w:rFonts w:ascii="Arial" w:eastAsia="Arial" w:hAnsi="Arial" w:cs="Arial"/>
          <w:sz w:val="18"/>
          <w:szCs w:val="18"/>
        </w:rPr>
      </w:pPr>
      <w:r w:rsidRPr="15535A25">
        <w:rPr>
          <w:rStyle w:val="normaltextrun"/>
          <w:rFonts w:ascii="Arial" w:eastAsia="Arial" w:hAnsi="Arial" w:cs="Arial"/>
          <w:sz w:val="22"/>
          <w:szCs w:val="22"/>
        </w:rPr>
        <w:t xml:space="preserve">UK payments into </w:t>
      </w:r>
      <w:r w:rsidR="5FA0D24D" w:rsidRPr="15535A25">
        <w:rPr>
          <w:rStyle w:val="normaltextrun"/>
          <w:rFonts w:ascii="Arial" w:eastAsia="Arial" w:hAnsi="Arial" w:cs="Arial"/>
          <w:sz w:val="22"/>
          <w:szCs w:val="22"/>
        </w:rPr>
        <w:t>MAF</w:t>
      </w:r>
      <w:r w:rsidRPr="15535A25">
        <w:rPr>
          <w:rStyle w:val="normaltextrun"/>
          <w:rFonts w:ascii="Arial" w:eastAsia="Arial" w:hAnsi="Arial" w:cs="Arial"/>
          <w:sz w:val="22"/>
          <w:szCs w:val="22"/>
        </w:rPr>
        <w:t xml:space="preserve"> </w:t>
      </w:r>
      <w:r w:rsidR="1EB6CE83" w:rsidRPr="15535A25">
        <w:rPr>
          <w:rStyle w:val="normaltextrun"/>
          <w:rFonts w:ascii="Arial" w:eastAsia="Arial" w:hAnsi="Arial" w:cs="Arial"/>
          <w:sz w:val="22"/>
          <w:szCs w:val="22"/>
        </w:rPr>
        <w:t xml:space="preserve">will </w:t>
      </w:r>
      <w:r w:rsidRPr="15535A25">
        <w:rPr>
          <w:rStyle w:val="normaltextrun"/>
          <w:rFonts w:ascii="Arial" w:eastAsia="Arial" w:hAnsi="Arial" w:cs="Arial"/>
          <w:sz w:val="22"/>
          <w:szCs w:val="22"/>
        </w:rPr>
        <w:t xml:space="preserve">continue to be made by Promissory Note ahead of each annual Call. Financial management of the </w:t>
      </w:r>
      <w:r w:rsidR="27CCC231" w:rsidRPr="15535A25">
        <w:rPr>
          <w:rStyle w:val="normaltextrun"/>
          <w:rFonts w:ascii="Arial" w:eastAsia="Arial" w:hAnsi="Arial" w:cs="Arial"/>
          <w:sz w:val="22"/>
          <w:szCs w:val="22"/>
        </w:rPr>
        <w:t>MAF</w:t>
      </w:r>
      <w:r w:rsidRPr="15535A25">
        <w:rPr>
          <w:rStyle w:val="normaltextrun"/>
          <w:rFonts w:ascii="Arial" w:eastAsia="Arial" w:hAnsi="Arial" w:cs="Arial"/>
          <w:sz w:val="22"/>
          <w:szCs w:val="22"/>
        </w:rPr>
        <w:t xml:space="preserve"> is </w:t>
      </w:r>
      <w:r w:rsidR="44D54D66" w:rsidRPr="15535A25">
        <w:rPr>
          <w:rStyle w:val="normaltextrun"/>
          <w:rFonts w:ascii="Arial" w:eastAsia="Arial" w:hAnsi="Arial" w:cs="Arial"/>
          <w:sz w:val="22"/>
          <w:szCs w:val="22"/>
        </w:rPr>
        <w:t>provided by</w:t>
      </w:r>
      <w:r w:rsidRPr="15535A25">
        <w:rPr>
          <w:rStyle w:val="normaltextrun"/>
          <w:rFonts w:ascii="Arial" w:eastAsia="Arial" w:hAnsi="Arial" w:cs="Arial"/>
          <w:sz w:val="22"/>
          <w:szCs w:val="22"/>
        </w:rPr>
        <w:t xml:space="preserve"> the TSU, who provide details of budgets, requested payments, and disbursement schedules to the donors. The quality of this financial management has been good – TSU regularly provide a detailed breakdown of portfolio disbursements and costs; their due diligence process requires each project to submit payment schedules, financial forecast, and financial statements. These are reviewed by both by GIZ (as the </w:t>
      </w:r>
      <w:r w:rsidR="1552076F" w:rsidRPr="15535A25">
        <w:rPr>
          <w:rStyle w:val="normaltextrun"/>
          <w:rFonts w:ascii="Arial" w:eastAsia="Arial" w:hAnsi="Arial" w:cs="Arial"/>
          <w:sz w:val="22"/>
          <w:szCs w:val="22"/>
        </w:rPr>
        <w:t>MAF's</w:t>
      </w:r>
      <w:r w:rsidRPr="15535A25">
        <w:rPr>
          <w:rStyle w:val="normaltextrun"/>
          <w:rFonts w:ascii="Arial" w:eastAsia="Arial" w:hAnsi="Arial" w:cs="Arial"/>
          <w:sz w:val="22"/>
          <w:szCs w:val="22"/>
        </w:rPr>
        <w:t xml:space="preserve"> trustee) and TSU and an external auditor before funds are approved. Updates of the financial management of </w:t>
      </w:r>
      <w:r w:rsidR="636BFC29" w:rsidRPr="15535A25">
        <w:rPr>
          <w:rStyle w:val="normaltextrun"/>
          <w:rFonts w:ascii="Arial" w:eastAsia="Arial" w:hAnsi="Arial" w:cs="Arial"/>
          <w:sz w:val="22"/>
          <w:szCs w:val="22"/>
        </w:rPr>
        <w:t>MAF</w:t>
      </w:r>
      <w:r w:rsidRPr="15535A25">
        <w:rPr>
          <w:rStyle w:val="normaltextrun"/>
          <w:rFonts w:ascii="Arial" w:eastAsia="Arial" w:hAnsi="Arial" w:cs="Arial"/>
          <w:sz w:val="22"/>
          <w:szCs w:val="22"/>
        </w:rPr>
        <w:t xml:space="preserve"> continue to be provided in Board meetings and donor calls.</w:t>
      </w:r>
      <w:r w:rsidR="44D54D66" w:rsidRPr="15535A25">
        <w:rPr>
          <w:rStyle w:val="normaltextrun"/>
          <w:rFonts w:ascii="Arial" w:eastAsia="Arial" w:hAnsi="Arial" w:cs="Arial"/>
          <w:sz w:val="22"/>
          <w:szCs w:val="22"/>
        </w:rPr>
        <w:t> </w:t>
      </w:r>
      <w:r w:rsidRPr="15535A25">
        <w:rPr>
          <w:rStyle w:val="normaltextrun"/>
          <w:rFonts w:ascii="Arial" w:eastAsia="Arial" w:hAnsi="Arial" w:cs="Arial"/>
          <w:sz w:val="22"/>
          <w:szCs w:val="22"/>
        </w:rPr>
        <w:t> </w:t>
      </w:r>
      <w:r w:rsidRPr="15535A25">
        <w:rPr>
          <w:rStyle w:val="eop"/>
          <w:rFonts w:ascii="Arial" w:eastAsia="Arial" w:hAnsi="Arial" w:cs="Arial"/>
          <w:sz w:val="22"/>
          <w:szCs w:val="22"/>
        </w:rPr>
        <w:t> </w:t>
      </w:r>
    </w:p>
    <w:p w14:paraId="1296CA6C" w14:textId="77777777" w:rsidR="003A6052" w:rsidRPr="006F3589" w:rsidRDefault="003A6052" w:rsidP="07AF1209">
      <w:pPr>
        <w:jc w:val="both"/>
        <w:rPr>
          <w:rFonts w:eastAsia="Arial" w:cs="Arial"/>
          <w:b/>
          <w:sz w:val="22"/>
          <w:szCs w:val="22"/>
        </w:rPr>
      </w:pPr>
    </w:p>
    <w:p w14:paraId="55A1BBCC" w14:textId="1CF4518D" w:rsidR="00D0302B" w:rsidRDefault="0D68162A" w:rsidP="07AF1209">
      <w:pPr>
        <w:jc w:val="both"/>
        <w:rPr>
          <w:rFonts w:eastAsia="Arial" w:cs="Arial"/>
          <w:color w:val="5B9BD5" w:themeColor="accent5"/>
          <w:sz w:val="22"/>
          <w:szCs w:val="22"/>
        </w:rPr>
      </w:pPr>
      <w:r w:rsidRPr="0A0530F7">
        <w:rPr>
          <w:rFonts w:eastAsia="Arial" w:cs="Arial"/>
          <w:sz w:val="22"/>
          <w:szCs w:val="22"/>
          <w:u w:val="single"/>
        </w:rPr>
        <w:lastRenderedPageBreak/>
        <w:t>Economy:</w:t>
      </w:r>
      <w:r w:rsidRPr="0A0530F7">
        <w:rPr>
          <w:rFonts w:eastAsia="Arial" w:cs="Arial"/>
          <w:sz w:val="22"/>
          <w:szCs w:val="22"/>
        </w:rPr>
        <w:t xml:space="preserve"> The </w:t>
      </w:r>
      <w:r w:rsidR="16A5132E" w:rsidRPr="0A0530F7">
        <w:rPr>
          <w:rFonts w:eastAsia="Arial" w:cs="Arial"/>
          <w:sz w:val="22"/>
          <w:szCs w:val="22"/>
        </w:rPr>
        <w:t>MAF</w:t>
      </w:r>
      <w:r w:rsidRPr="0A0530F7">
        <w:rPr>
          <w:rFonts w:eastAsia="Arial" w:cs="Arial"/>
          <w:sz w:val="22"/>
          <w:szCs w:val="22"/>
        </w:rPr>
        <w:t xml:space="preserve"> performs well on economy: in the </w:t>
      </w:r>
      <w:r w:rsidR="4D4D72BF" w:rsidRPr="0A0530F7">
        <w:rPr>
          <w:rFonts w:eastAsia="Arial" w:cs="Arial"/>
          <w:sz w:val="22"/>
          <w:szCs w:val="22"/>
        </w:rPr>
        <w:t>2022/23 extension</w:t>
      </w:r>
      <w:r w:rsidRPr="0A0530F7">
        <w:rPr>
          <w:rFonts w:eastAsia="Arial" w:cs="Arial"/>
          <w:sz w:val="22"/>
          <w:szCs w:val="22"/>
        </w:rPr>
        <w:t xml:space="preserve"> Business Case, the operational cost of the TSU was expected to be </w:t>
      </w:r>
      <w:r w:rsidR="1E9736C9" w:rsidRPr="0A0530F7">
        <w:rPr>
          <w:rFonts w:eastAsia="Arial" w:cs="Arial"/>
          <w:sz w:val="22"/>
          <w:szCs w:val="22"/>
        </w:rPr>
        <w:t>0.6</w:t>
      </w:r>
      <w:r w:rsidRPr="0A0530F7">
        <w:rPr>
          <w:rFonts w:eastAsia="Arial" w:cs="Arial"/>
          <w:sz w:val="22"/>
          <w:szCs w:val="22"/>
        </w:rPr>
        <w:t>% of the approved funding</w:t>
      </w:r>
      <w:r w:rsidR="008C677E" w:rsidRPr="0A0530F7">
        <w:rPr>
          <w:rFonts w:eastAsia="Arial" w:cs="Arial"/>
          <w:sz w:val="22"/>
          <w:szCs w:val="22"/>
        </w:rPr>
        <w:t xml:space="preserve"> (€1.8m committed </w:t>
      </w:r>
      <w:r w:rsidR="00BE4CA3" w:rsidRPr="0A0530F7">
        <w:rPr>
          <w:rFonts w:eastAsia="Arial" w:cs="Arial"/>
          <w:sz w:val="22"/>
          <w:szCs w:val="22"/>
        </w:rPr>
        <w:t xml:space="preserve">for the TSU </w:t>
      </w:r>
      <w:r w:rsidR="008C677E" w:rsidRPr="0A0530F7">
        <w:rPr>
          <w:rFonts w:eastAsia="Arial" w:cs="Arial"/>
          <w:sz w:val="22"/>
          <w:szCs w:val="22"/>
        </w:rPr>
        <w:t xml:space="preserve">against </w:t>
      </w:r>
      <w:r w:rsidR="0041100F" w:rsidRPr="0A0530F7">
        <w:rPr>
          <w:rFonts w:eastAsia="Arial" w:cs="Arial"/>
          <w:sz w:val="22"/>
          <w:szCs w:val="22"/>
        </w:rPr>
        <w:t>€311m</w:t>
      </w:r>
      <w:r w:rsidR="004D36B8" w:rsidRPr="0A0530F7">
        <w:rPr>
          <w:rFonts w:eastAsia="Arial" w:cs="Arial"/>
          <w:sz w:val="22"/>
          <w:szCs w:val="22"/>
        </w:rPr>
        <w:t xml:space="preserve"> currently</w:t>
      </w:r>
      <w:r w:rsidR="001564EF" w:rsidRPr="0A0530F7">
        <w:rPr>
          <w:rFonts w:eastAsia="Arial" w:cs="Arial"/>
          <w:sz w:val="22"/>
          <w:szCs w:val="22"/>
        </w:rPr>
        <w:t xml:space="preserve"> committed</w:t>
      </w:r>
      <w:r w:rsidR="0041100F" w:rsidRPr="0A0530F7">
        <w:rPr>
          <w:rFonts w:eastAsia="Arial" w:cs="Arial"/>
          <w:sz w:val="22"/>
          <w:szCs w:val="22"/>
        </w:rPr>
        <w:t>)</w:t>
      </w:r>
      <w:r w:rsidRPr="0A0530F7">
        <w:rPr>
          <w:rFonts w:eastAsia="Arial" w:cs="Arial"/>
          <w:sz w:val="22"/>
          <w:szCs w:val="22"/>
        </w:rPr>
        <w:t xml:space="preserve">, allowing most </w:t>
      </w:r>
      <w:r w:rsidR="00051301" w:rsidRPr="0A0530F7">
        <w:rPr>
          <w:rFonts w:eastAsia="Arial" w:cs="Arial"/>
          <w:sz w:val="22"/>
          <w:szCs w:val="22"/>
        </w:rPr>
        <w:t xml:space="preserve">UK committed </w:t>
      </w:r>
      <w:r w:rsidRPr="0A0530F7">
        <w:rPr>
          <w:rFonts w:eastAsia="Arial" w:cs="Arial"/>
          <w:sz w:val="22"/>
          <w:szCs w:val="22"/>
        </w:rPr>
        <w:t>funds to be directly invested in the mitigation activities</w:t>
      </w:r>
      <w:r w:rsidR="00051301" w:rsidRPr="0A0530F7">
        <w:rPr>
          <w:rFonts w:eastAsia="Arial" w:cs="Arial"/>
          <w:sz w:val="22"/>
          <w:szCs w:val="22"/>
        </w:rPr>
        <w:t xml:space="preserve"> as BMWK fund </w:t>
      </w:r>
      <w:proofErr w:type="gramStart"/>
      <w:r w:rsidR="00051301" w:rsidRPr="0A0530F7">
        <w:rPr>
          <w:rFonts w:eastAsia="Arial" w:cs="Arial"/>
          <w:sz w:val="22"/>
          <w:szCs w:val="22"/>
        </w:rPr>
        <w:t>the majority of</w:t>
      </w:r>
      <w:proofErr w:type="gramEnd"/>
      <w:r w:rsidR="00051301" w:rsidRPr="0A0530F7">
        <w:rPr>
          <w:rFonts w:eastAsia="Arial" w:cs="Arial"/>
          <w:sz w:val="22"/>
          <w:szCs w:val="22"/>
        </w:rPr>
        <w:t xml:space="preserve"> the TSU budget</w:t>
      </w:r>
      <w:r w:rsidRPr="0A0530F7">
        <w:rPr>
          <w:rFonts w:eastAsia="Arial" w:cs="Arial"/>
          <w:sz w:val="22"/>
          <w:szCs w:val="22"/>
        </w:rPr>
        <w:t>.</w:t>
      </w:r>
      <w:r w:rsidR="00C02FCA" w:rsidRPr="0A0530F7">
        <w:rPr>
          <w:rFonts w:eastAsia="Arial" w:cs="Arial"/>
          <w:sz w:val="22"/>
          <w:szCs w:val="22"/>
        </w:rPr>
        <w:t xml:space="preserve"> </w:t>
      </w:r>
      <w:r w:rsidR="002A3379" w:rsidRPr="0A0530F7">
        <w:rPr>
          <w:rFonts w:eastAsia="Arial" w:cs="Arial"/>
          <w:sz w:val="22"/>
          <w:szCs w:val="22"/>
        </w:rPr>
        <w:t xml:space="preserve">This </w:t>
      </w:r>
      <w:r w:rsidR="00C02FCA" w:rsidRPr="0A0530F7">
        <w:rPr>
          <w:rFonts w:eastAsia="Arial" w:cs="Arial"/>
          <w:sz w:val="22"/>
          <w:szCs w:val="22"/>
        </w:rPr>
        <w:t xml:space="preserve">represents good value for </w:t>
      </w:r>
      <w:r w:rsidR="002A3379" w:rsidRPr="0A0530F7">
        <w:rPr>
          <w:rFonts w:eastAsia="Arial" w:cs="Arial"/>
          <w:sz w:val="22"/>
          <w:szCs w:val="22"/>
        </w:rPr>
        <w:t xml:space="preserve">money </w:t>
      </w:r>
      <w:r w:rsidR="00AD6268" w:rsidRPr="0A0530F7">
        <w:rPr>
          <w:rFonts w:eastAsia="Arial" w:cs="Arial"/>
          <w:sz w:val="22"/>
          <w:szCs w:val="22"/>
        </w:rPr>
        <w:t xml:space="preserve">and is a </w:t>
      </w:r>
      <w:r w:rsidR="001F2EB2" w:rsidRPr="0A0530F7">
        <w:rPr>
          <w:rFonts w:eastAsia="Arial" w:cs="Arial"/>
          <w:sz w:val="22"/>
          <w:szCs w:val="22"/>
        </w:rPr>
        <w:t>unique arrangement for a</w:t>
      </w:r>
      <w:r w:rsidR="0057198F" w:rsidRPr="0A0530F7">
        <w:rPr>
          <w:rFonts w:eastAsia="Arial" w:cs="Arial"/>
          <w:sz w:val="22"/>
          <w:szCs w:val="22"/>
        </w:rPr>
        <w:t xml:space="preserve"> </w:t>
      </w:r>
      <w:r w:rsidR="1E7464BF" w:rsidRPr="0A0530F7">
        <w:rPr>
          <w:rFonts w:eastAsia="Arial" w:cs="Arial"/>
          <w:sz w:val="22"/>
          <w:szCs w:val="22"/>
        </w:rPr>
        <w:t>multilateral</w:t>
      </w:r>
      <w:r w:rsidR="001F2EB2" w:rsidRPr="0A0530F7">
        <w:rPr>
          <w:rFonts w:eastAsia="Arial" w:cs="Arial"/>
          <w:sz w:val="22"/>
          <w:szCs w:val="22"/>
        </w:rPr>
        <w:t xml:space="preserve"> ICF programme, where the UK would be expected to jointly fund the administration of the programme as a joint lead donor.</w:t>
      </w:r>
      <w:r w:rsidRPr="0A0530F7">
        <w:rPr>
          <w:rFonts w:eastAsia="Arial" w:cs="Arial"/>
          <w:sz w:val="22"/>
          <w:szCs w:val="22"/>
        </w:rPr>
        <w:t> </w:t>
      </w:r>
      <w:r w:rsidR="0057198F" w:rsidRPr="0A0530F7">
        <w:rPr>
          <w:rFonts w:eastAsia="Arial" w:cs="Arial"/>
          <w:sz w:val="22"/>
          <w:szCs w:val="22"/>
        </w:rPr>
        <w:t xml:space="preserve">The UK maintains a strong relationship with the TSU and other donors. </w:t>
      </w:r>
      <w:r w:rsidRPr="0A0530F7">
        <w:rPr>
          <w:rFonts w:eastAsia="Arial" w:cs="Arial"/>
          <w:sz w:val="22"/>
          <w:szCs w:val="22"/>
        </w:rPr>
        <w:t xml:space="preserve"> At the portfolio level, the open competition structure and diligent review processes of the </w:t>
      </w:r>
      <w:r w:rsidR="00BA3CAE" w:rsidRPr="0A0530F7">
        <w:rPr>
          <w:rFonts w:eastAsia="Arial" w:cs="Arial"/>
          <w:sz w:val="22"/>
          <w:szCs w:val="22"/>
        </w:rPr>
        <w:t xml:space="preserve">MAF </w:t>
      </w:r>
      <w:r w:rsidRPr="0A0530F7">
        <w:rPr>
          <w:rFonts w:eastAsia="Arial" w:cs="Arial"/>
          <w:sz w:val="22"/>
          <w:szCs w:val="22"/>
        </w:rPr>
        <w:t>allows for the board to set high standards to ensure that only the most ambitious proposals get selected, where projects are being scored against set criteria for ambition and feasibility.</w:t>
      </w:r>
      <w:r w:rsidR="002F3A37" w:rsidRPr="0A0530F7">
        <w:rPr>
          <w:rFonts w:eastAsia="Arial" w:cs="Arial"/>
          <w:sz w:val="22"/>
          <w:szCs w:val="22"/>
        </w:rPr>
        <w:t xml:space="preserve"> </w:t>
      </w:r>
      <w:r w:rsidR="006F3842" w:rsidRPr="0A0530F7">
        <w:rPr>
          <w:rFonts w:eastAsia="Arial" w:cs="Arial"/>
          <w:sz w:val="22"/>
          <w:szCs w:val="22"/>
        </w:rPr>
        <w:t xml:space="preserve">This has meant the funds provided to projects have been able to have </w:t>
      </w:r>
      <w:r w:rsidR="00E72412" w:rsidRPr="0A0530F7">
        <w:rPr>
          <w:rFonts w:eastAsia="Arial" w:cs="Arial"/>
          <w:sz w:val="22"/>
          <w:szCs w:val="22"/>
        </w:rPr>
        <w:t xml:space="preserve">higher outputs due to the </w:t>
      </w:r>
      <w:r w:rsidR="00956FBD" w:rsidRPr="0A0530F7">
        <w:rPr>
          <w:rFonts w:eastAsia="Arial" w:cs="Arial"/>
          <w:sz w:val="22"/>
          <w:szCs w:val="22"/>
        </w:rPr>
        <w:t xml:space="preserve">strong competition </w:t>
      </w:r>
      <w:r w:rsidR="00B4467B" w:rsidRPr="0A0530F7">
        <w:rPr>
          <w:rFonts w:eastAsia="Arial" w:cs="Arial"/>
          <w:sz w:val="22"/>
          <w:szCs w:val="22"/>
        </w:rPr>
        <w:t>between projects</w:t>
      </w:r>
      <w:r w:rsidR="0075272A" w:rsidRPr="0A0530F7">
        <w:rPr>
          <w:rFonts w:eastAsia="Arial" w:cs="Arial"/>
          <w:sz w:val="22"/>
          <w:szCs w:val="22"/>
        </w:rPr>
        <w:t xml:space="preserve">, </w:t>
      </w:r>
      <w:r w:rsidR="529BC9E6" w:rsidRPr="0A0530F7">
        <w:rPr>
          <w:rFonts w:eastAsia="Arial" w:cs="Arial"/>
          <w:sz w:val="22"/>
          <w:szCs w:val="22"/>
        </w:rPr>
        <w:t>i</w:t>
      </w:r>
      <w:r w:rsidR="0075272A" w:rsidRPr="0A0530F7">
        <w:rPr>
          <w:rFonts w:eastAsia="Arial" w:cs="Arial"/>
          <w:sz w:val="22"/>
          <w:szCs w:val="22"/>
        </w:rPr>
        <w:t>ndicating strong value for money</w:t>
      </w:r>
      <w:r w:rsidR="00B4467B" w:rsidRPr="0A0530F7">
        <w:rPr>
          <w:rFonts w:eastAsia="Arial" w:cs="Arial"/>
          <w:sz w:val="22"/>
          <w:szCs w:val="22"/>
        </w:rPr>
        <w:t>.</w:t>
      </w:r>
      <w:r w:rsidRPr="0A0530F7">
        <w:rPr>
          <w:rFonts w:eastAsia="Arial" w:cs="Arial"/>
          <w:sz w:val="22"/>
          <w:szCs w:val="22"/>
        </w:rPr>
        <w:t xml:space="preserve"> On average, </w:t>
      </w:r>
      <w:r w:rsidR="674BE2C7" w:rsidRPr="0A0530F7">
        <w:rPr>
          <w:rFonts w:eastAsia="Arial" w:cs="Arial"/>
          <w:sz w:val="22"/>
          <w:szCs w:val="22"/>
        </w:rPr>
        <w:t>MAF</w:t>
      </w:r>
      <w:r w:rsidRPr="0A0530F7">
        <w:rPr>
          <w:rFonts w:eastAsia="Arial" w:cs="Arial"/>
          <w:sz w:val="22"/>
          <w:szCs w:val="22"/>
        </w:rPr>
        <w:t xml:space="preserve"> </w:t>
      </w:r>
      <w:r w:rsidR="000251FA" w:rsidRPr="0A0530F7">
        <w:rPr>
          <w:rFonts w:eastAsia="Arial" w:cs="Arial"/>
          <w:sz w:val="22"/>
          <w:szCs w:val="22"/>
        </w:rPr>
        <w:t xml:space="preserve">has </w:t>
      </w:r>
      <w:r w:rsidRPr="0A0530F7">
        <w:rPr>
          <w:rFonts w:eastAsia="Arial" w:cs="Arial"/>
          <w:sz w:val="22"/>
          <w:szCs w:val="22"/>
        </w:rPr>
        <w:t>receive</w:t>
      </w:r>
      <w:r w:rsidR="000251FA" w:rsidRPr="0A0530F7">
        <w:rPr>
          <w:rFonts w:eastAsia="Arial" w:cs="Arial"/>
          <w:sz w:val="22"/>
          <w:szCs w:val="22"/>
        </w:rPr>
        <w:t>d</w:t>
      </w:r>
      <w:r w:rsidRPr="0A0530F7">
        <w:rPr>
          <w:rFonts w:eastAsia="Arial" w:cs="Arial"/>
          <w:sz w:val="22"/>
          <w:szCs w:val="22"/>
        </w:rPr>
        <w:t xml:space="preserve"> </w:t>
      </w:r>
      <w:r w:rsidR="3285CD66" w:rsidRPr="0A0530F7">
        <w:rPr>
          <w:rFonts w:eastAsia="Arial" w:cs="Arial"/>
          <w:sz w:val="22"/>
          <w:szCs w:val="22"/>
        </w:rPr>
        <w:t>80</w:t>
      </w:r>
      <w:r w:rsidRPr="0A0530F7">
        <w:rPr>
          <w:rFonts w:eastAsia="Arial" w:cs="Arial"/>
          <w:sz w:val="22"/>
          <w:szCs w:val="22"/>
        </w:rPr>
        <w:t xml:space="preserve"> proposals per call, of which approximately 4 make it to implementation phase. Since the introduction of the </w:t>
      </w:r>
      <w:r w:rsidR="7CED3C2F" w:rsidRPr="0A0530F7">
        <w:rPr>
          <w:rFonts w:eastAsia="Arial" w:cs="Arial"/>
          <w:sz w:val="22"/>
          <w:szCs w:val="22"/>
        </w:rPr>
        <w:t>Concept</w:t>
      </w:r>
      <w:r w:rsidR="2BFEDE47" w:rsidRPr="0A0530F7">
        <w:rPr>
          <w:rFonts w:eastAsia="Arial" w:cs="Arial"/>
          <w:sz w:val="22"/>
          <w:szCs w:val="22"/>
        </w:rPr>
        <w:t xml:space="preserve"> Phase in 2023</w:t>
      </w:r>
      <w:r w:rsidRPr="0A0530F7">
        <w:rPr>
          <w:rFonts w:eastAsia="Arial" w:cs="Arial"/>
          <w:sz w:val="22"/>
          <w:szCs w:val="22"/>
        </w:rPr>
        <w:t xml:space="preserve">, the </w:t>
      </w:r>
      <w:r w:rsidR="5957674E" w:rsidRPr="0A0530F7">
        <w:rPr>
          <w:rFonts w:eastAsia="Arial" w:cs="Arial"/>
          <w:sz w:val="22"/>
          <w:szCs w:val="22"/>
        </w:rPr>
        <w:t>programme</w:t>
      </w:r>
      <w:r w:rsidRPr="0A0530F7">
        <w:rPr>
          <w:rFonts w:eastAsia="Arial" w:cs="Arial"/>
          <w:sz w:val="22"/>
          <w:szCs w:val="22"/>
        </w:rPr>
        <w:t xml:space="preserve"> has also continued to diversify its portfolio of delivery partners (</w:t>
      </w:r>
      <w:r w:rsidR="6855EE49" w:rsidRPr="0A0530F7">
        <w:rPr>
          <w:rFonts w:eastAsia="Arial" w:cs="Arial"/>
          <w:sz w:val="22"/>
          <w:szCs w:val="22"/>
        </w:rPr>
        <w:t>22</w:t>
      </w:r>
      <w:r w:rsidRPr="0A0530F7">
        <w:rPr>
          <w:rFonts w:eastAsia="Arial" w:cs="Arial"/>
          <w:sz w:val="22"/>
          <w:szCs w:val="22"/>
        </w:rPr>
        <w:t xml:space="preserve"> </w:t>
      </w:r>
      <w:r w:rsidR="404CF7B0" w:rsidRPr="0A0530F7">
        <w:rPr>
          <w:rFonts w:eastAsia="Arial" w:cs="Arial"/>
          <w:sz w:val="22"/>
          <w:szCs w:val="22"/>
        </w:rPr>
        <w:t xml:space="preserve">of the 28 </w:t>
      </w:r>
      <w:r w:rsidRPr="0A0530F7">
        <w:rPr>
          <w:rFonts w:eastAsia="Arial" w:cs="Arial"/>
          <w:sz w:val="22"/>
          <w:szCs w:val="22"/>
        </w:rPr>
        <w:t xml:space="preserve">projects selected for </w:t>
      </w:r>
      <w:r w:rsidR="6EC80B2C" w:rsidRPr="0A0530F7">
        <w:rPr>
          <w:rFonts w:eastAsia="Arial" w:cs="Arial"/>
          <w:sz w:val="22"/>
          <w:szCs w:val="22"/>
        </w:rPr>
        <w:t>Project</w:t>
      </w:r>
      <w:r w:rsidR="5901508D" w:rsidRPr="0A0530F7">
        <w:rPr>
          <w:rFonts w:eastAsia="Arial" w:cs="Arial"/>
          <w:sz w:val="22"/>
          <w:szCs w:val="22"/>
        </w:rPr>
        <w:t xml:space="preserve"> Concept phase</w:t>
      </w:r>
      <w:r w:rsidRPr="0A0530F7">
        <w:rPr>
          <w:rFonts w:eastAsia="Arial" w:cs="Arial"/>
          <w:sz w:val="22"/>
          <w:szCs w:val="22"/>
        </w:rPr>
        <w:t xml:space="preserve"> under the Call </w:t>
      </w:r>
      <w:r w:rsidR="3B0B9642" w:rsidRPr="0A0530F7">
        <w:rPr>
          <w:rFonts w:eastAsia="Arial" w:cs="Arial"/>
          <w:sz w:val="22"/>
          <w:szCs w:val="22"/>
        </w:rPr>
        <w:t xml:space="preserve">in </w:t>
      </w:r>
      <w:r w:rsidR="47DE85A4" w:rsidRPr="0A0530F7">
        <w:rPr>
          <w:rFonts w:eastAsia="Arial" w:cs="Arial"/>
          <w:sz w:val="22"/>
          <w:szCs w:val="22"/>
        </w:rPr>
        <w:t>202</w:t>
      </w:r>
      <w:r w:rsidR="2C849CAB" w:rsidRPr="0A0530F7">
        <w:rPr>
          <w:rFonts w:eastAsia="Arial" w:cs="Arial"/>
          <w:sz w:val="22"/>
          <w:szCs w:val="22"/>
        </w:rPr>
        <w:t>3</w:t>
      </w:r>
      <w:r w:rsidRPr="0A0530F7">
        <w:rPr>
          <w:rFonts w:eastAsia="Arial" w:cs="Arial"/>
          <w:sz w:val="22"/>
          <w:szCs w:val="22"/>
        </w:rPr>
        <w:t xml:space="preserve"> are from different organisations), this progress helping to mitigate the risk of over reliance on one delivery organisation. </w:t>
      </w:r>
    </w:p>
    <w:p w14:paraId="15643538" w14:textId="1C96A561" w:rsidR="00D0302B" w:rsidRDefault="0D68162A" w:rsidP="07AF1209">
      <w:pPr>
        <w:jc w:val="both"/>
        <w:rPr>
          <w:rFonts w:eastAsia="Arial" w:cs="Arial"/>
          <w:color w:val="5B9BD5" w:themeColor="accent5"/>
          <w:sz w:val="22"/>
          <w:szCs w:val="22"/>
        </w:rPr>
      </w:pPr>
      <w:r w:rsidRPr="07AF1209">
        <w:rPr>
          <w:rFonts w:eastAsia="Arial" w:cs="Arial"/>
          <w:sz w:val="22"/>
          <w:szCs w:val="22"/>
        </w:rPr>
        <w:t> </w:t>
      </w:r>
    </w:p>
    <w:p w14:paraId="1FDCE9D6" w14:textId="2F5E55EA" w:rsidR="00D0302B" w:rsidRDefault="0D68162A" w:rsidP="07AF1209">
      <w:pPr>
        <w:jc w:val="both"/>
        <w:rPr>
          <w:rFonts w:eastAsia="Arial" w:cs="Arial"/>
          <w:color w:val="5B9BD5" w:themeColor="accent5"/>
          <w:sz w:val="22"/>
          <w:szCs w:val="22"/>
        </w:rPr>
      </w:pPr>
      <w:r w:rsidRPr="5964CDA8">
        <w:rPr>
          <w:rFonts w:eastAsia="Arial" w:cs="Arial"/>
          <w:sz w:val="22"/>
          <w:szCs w:val="22"/>
          <w:u w:val="single"/>
        </w:rPr>
        <w:t>Efficiency:</w:t>
      </w:r>
      <w:r w:rsidRPr="5964CDA8">
        <w:rPr>
          <w:rFonts w:eastAsia="Arial" w:cs="Arial"/>
          <w:sz w:val="22"/>
          <w:szCs w:val="22"/>
        </w:rPr>
        <w:t xml:space="preserve"> </w:t>
      </w:r>
      <w:r w:rsidR="25F0C7F9" w:rsidRPr="5964CDA8">
        <w:rPr>
          <w:rFonts w:eastAsia="Arial" w:cs="Arial"/>
          <w:sz w:val="22"/>
          <w:szCs w:val="22"/>
        </w:rPr>
        <w:t>MAF</w:t>
      </w:r>
      <w:r w:rsidRPr="5964CDA8">
        <w:rPr>
          <w:rFonts w:eastAsia="Arial" w:cs="Arial"/>
          <w:sz w:val="22"/>
          <w:szCs w:val="22"/>
        </w:rPr>
        <w:t xml:space="preserve"> made good progress towards its </w:t>
      </w:r>
      <w:proofErr w:type="spellStart"/>
      <w:r w:rsidRPr="5964CDA8">
        <w:rPr>
          <w:rFonts w:eastAsia="Arial" w:cs="Arial"/>
          <w:sz w:val="22"/>
          <w:szCs w:val="22"/>
        </w:rPr>
        <w:t>logframe</w:t>
      </w:r>
      <w:proofErr w:type="spellEnd"/>
      <w:r w:rsidRPr="5964CDA8">
        <w:rPr>
          <w:rFonts w:eastAsia="Arial" w:cs="Arial"/>
          <w:sz w:val="22"/>
          <w:szCs w:val="22"/>
        </w:rPr>
        <w:t xml:space="preserve"> milestones over this review period and has </w:t>
      </w:r>
      <w:r w:rsidR="5F9FDD5E" w:rsidRPr="5964CDA8">
        <w:rPr>
          <w:rFonts w:eastAsia="Arial" w:cs="Arial"/>
          <w:sz w:val="22"/>
          <w:szCs w:val="22"/>
        </w:rPr>
        <w:t xml:space="preserve">met or </w:t>
      </w:r>
      <w:r w:rsidRPr="5964CDA8">
        <w:rPr>
          <w:rFonts w:eastAsia="Arial" w:cs="Arial"/>
          <w:sz w:val="22"/>
          <w:szCs w:val="22"/>
        </w:rPr>
        <w:t xml:space="preserve">exceeded targets in </w:t>
      </w:r>
      <w:r w:rsidR="7A1EDA53" w:rsidRPr="5964CDA8">
        <w:rPr>
          <w:rFonts w:eastAsia="Arial" w:cs="Arial"/>
          <w:sz w:val="22"/>
          <w:szCs w:val="22"/>
        </w:rPr>
        <w:t>1</w:t>
      </w:r>
      <w:r w:rsidR="2735252B" w:rsidRPr="5964CDA8">
        <w:rPr>
          <w:rFonts w:eastAsia="Arial" w:cs="Arial"/>
          <w:sz w:val="22"/>
          <w:szCs w:val="22"/>
        </w:rPr>
        <w:t>5</w:t>
      </w:r>
      <w:r w:rsidRPr="5964CDA8">
        <w:rPr>
          <w:rFonts w:eastAsia="Arial" w:cs="Arial"/>
          <w:sz w:val="22"/>
          <w:szCs w:val="22"/>
        </w:rPr>
        <w:t xml:space="preserve"> of its </w:t>
      </w:r>
      <w:r w:rsidR="7A1EDA53" w:rsidRPr="5964CDA8">
        <w:rPr>
          <w:rFonts w:eastAsia="Arial" w:cs="Arial"/>
          <w:sz w:val="22"/>
          <w:szCs w:val="22"/>
        </w:rPr>
        <w:t>2</w:t>
      </w:r>
      <w:r w:rsidR="048F97F6" w:rsidRPr="5964CDA8">
        <w:rPr>
          <w:rFonts w:eastAsia="Arial" w:cs="Arial"/>
          <w:sz w:val="22"/>
          <w:szCs w:val="22"/>
        </w:rPr>
        <w:t>6</w:t>
      </w:r>
      <w:r w:rsidRPr="5964CDA8">
        <w:rPr>
          <w:rFonts w:eastAsia="Arial" w:cs="Arial"/>
          <w:sz w:val="22"/>
          <w:szCs w:val="22"/>
        </w:rPr>
        <w:t xml:space="preserve"> output </w:t>
      </w:r>
      <w:r w:rsidR="00111D75" w:rsidRPr="5964CDA8">
        <w:rPr>
          <w:rFonts w:eastAsia="Arial" w:cs="Arial"/>
          <w:sz w:val="22"/>
          <w:szCs w:val="22"/>
        </w:rPr>
        <w:t>sub-</w:t>
      </w:r>
      <w:r w:rsidRPr="5964CDA8">
        <w:rPr>
          <w:rFonts w:eastAsia="Arial" w:cs="Arial"/>
          <w:sz w:val="22"/>
          <w:szCs w:val="22"/>
        </w:rPr>
        <w:t xml:space="preserve">indicators, which shows that the programme is succeeding from an efficiency perspective. </w:t>
      </w:r>
      <w:r w:rsidR="5D93191D" w:rsidRPr="5964CDA8">
        <w:rPr>
          <w:rFonts w:eastAsia="Arial" w:cs="Arial"/>
          <w:sz w:val="22"/>
          <w:szCs w:val="22"/>
        </w:rPr>
        <w:t>MAF remained above its set targets for output indicators 2.1 and 2.2, despite a slowdown in the percentage increase for indicator 2.2 following the completion of two larger projects</w:t>
      </w:r>
      <w:r w:rsidR="167EA9EF" w:rsidRPr="5964CDA8">
        <w:rPr>
          <w:rFonts w:eastAsia="Arial" w:cs="Arial"/>
          <w:sz w:val="22"/>
          <w:szCs w:val="22"/>
        </w:rPr>
        <w:t>.</w:t>
      </w:r>
      <w:r w:rsidR="5D93191D" w:rsidRPr="5964CDA8">
        <w:rPr>
          <w:rFonts w:eastAsia="Arial" w:cs="Arial"/>
          <w:sz w:val="22"/>
          <w:szCs w:val="22"/>
        </w:rPr>
        <w:t xml:space="preserve"> </w:t>
      </w:r>
      <w:r w:rsidR="00F22A2E" w:rsidRPr="5964CDA8">
        <w:rPr>
          <w:rFonts w:eastAsia="Arial" w:cs="Arial"/>
          <w:sz w:val="22"/>
          <w:szCs w:val="22"/>
        </w:rPr>
        <w:t>There ha</w:t>
      </w:r>
      <w:r w:rsidR="002578B8" w:rsidRPr="5964CDA8">
        <w:rPr>
          <w:rFonts w:eastAsia="Arial" w:cs="Arial"/>
          <w:sz w:val="22"/>
          <w:szCs w:val="22"/>
        </w:rPr>
        <w:t>ve</w:t>
      </w:r>
      <w:r w:rsidR="00F22A2E" w:rsidRPr="5964CDA8">
        <w:rPr>
          <w:rFonts w:eastAsia="Arial" w:cs="Arial"/>
          <w:sz w:val="22"/>
          <w:szCs w:val="22"/>
        </w:rPr>
        <w:t xml:space="preserve"> been signs of lessons being learned from previous </w:t>
      </w:r>
      <w:r w:rsidR="007C11BD" w:rsidRPr="5964CDA8">
        <w:rPr>
          <w:rFonts w:eastAsia="Arial" w:cs="Arial"/>
          <w:sz w:val="22"/>
          <w:szCs w:val="22"/>
        </w:rPr>
        <w:t xml:space="preserve">underspend, where projects </w:t>
      </w:r>
      <w:r w:rsidR="0055004D" w:rsidRPr="5964CDA8">
        <w:rPr>
          <w:rFonts w:eastAsia="Arial" w:cs="Arial"/>
          <w:sz w:val="22"/>
          <w:szCs w:val="22"/>
        </w:rPr>
        <w:t>have been awarded funding but did not make it to implementa</w:t>
      </w:r>
      <w:r w:rsidR="002F0C19" w:rsidRPr="5964CDA8">
        <w:rPr>
          <w:rFonts w:eastAsia="Arial" w:cs="Arial"/>
          <w:sz w:val="22"/>
          <w:szCs w:val="22"/>
        </w:rPr>
        <w:t>tion</w:t>
      </w:r>
      <w:r w:rsidR="00795DD8" w:rsidRPr="5964CDA8">
        <w:rPr>
          <w:rFonts w:eastAsia="Arial" w:cs="Arial"/>
          <w:sz w:val="22"/>
          <w:szCs w:val="22"/>
        </w:rPr>
        <w:t xml:space="preserve">. MAF </w:t>
      </w:r>
      <w:r w:rsidR="0025021F" w:rsidRPr="5964CDA8">
        <w:rPr>
          <w:rFonts w:eastAsia="Arial" w:cs="Arial"/>
          <w:sz w:val="22"/>
          <w:szCs w:val="22"/>
        </w:rPr>
        <w:t xml:space="preserve">selected more projects for DPP and Implementation than the available budget </w:t>
      </w:r>
      <w:r w:rsidR="00725F98" w:rsidRPr="5964CDA8">
        <w:rPr>
          <w:rFonts w:eastAsia="Arial" w:cs="Arial"/>
          <w:sz w:val="22"/>
          <w:szCs w:val="22"/>
        </w:rPr>
        <w:t>a</w:t>
      </w:r>
      <w:r w:rsidR="002525CF" w:rsidRPr="5964CDA8">
        <w:rPr>
          <w:rFonts w:eastAsia="Arial" w:cs="Arial"/>
          <w:sz w:val="22"/>
          <w:szCs w:val="22"/>
        </w:rPr>
        <w:t xml:space="preserve">nd continuously monitored this ‘over-programming’ </w:t>
      </w:r>
      <w:r w:rsidR="00831C84" w:rsidRPr="5964CDA8">
        <w:rPr>
          <w:rFonts w:eastAsia="Arial" w:cs="Arial"/>
          <w:sz w:val="22"/>
          <w:szCs w:val="22"/>
        </w:rPr>
        <w:t xml:space="preserve">which led to no </w:t>
      </w:r>
      <w:r w:rsidR="00CF609C" w:rsidRPr="5964CDA8">
        <w:rPr>
          <w:rFonts w:eastAsia="Arial" w:cs="Arial"/>
          <w:sz w:val="22"/>
          <w:szCs w:val="22"/>
        </w:rPr>
        <w:t xml:space="preserve">funding gap in </w:t>
      </w:r>
      <w:r w:rsidR="553B0325" w:rsidRPr="5964CDA8">
        <w:rPr>
          <w:rFonts w:eastAsia="Arial" w:cs="Arial"/>
          <w:sz w:val="22"/>
          <w:szCs w:val="22"/>
        </w:rPr>
        <w:t>202</w:t>
      </w:r>
      <w:r w:rsidR="37C0157D" w:rsidRPr="5964CDA8">
        <w:rPr>
          <w:rFonts w:eastAsia="Arial" w:cs="Arial"/>
          <w:sz w:val="22"/>
          <w:szCs w:val="22"/>
        </w:rPr>
        <w:t>3</w:t>
      </w:r>
      <w:r w:rsidR="7CA71B4E" w:rsidRPr="5964CDA8">
        <w:rPr>
          <w:rFonts w:eastAsia="Arial" w:cs="Arial"/>
          <w:sz w:val="22"/>
          <w:szCs w:val="22"/>
        </w:rPr>
        <w:t>.</w:t>
      </w:r>
      <w:r w:rsidR="00C21E1A" w:rsidRPr="5964CDA8">
        <w:rPr>
          <w:rFonts w:eastAsia="Arial" w:cs="Arial"/>
          <w:sz w:val="22"/>
          <w:szCs w:val="22"/>
        </w:rPr>
        <w:t xml:space="preserve"> An independent programme evaluation has been commissioned alongside mid-term and final evaluations for </w:t>
      </w:r>
      <w:proofErr w:type="gramStart"/>
      <w:r w:rsidR="00C21E1A" w:rsidRPr="5964CDA8">
        <w:rPr>
          <w:rFonts w:eastAsia="Arial" w:cs="Arial"/>
          <w:sz w:val="22"/>
          <w:szCs w:val="22"/>
        </w:rPr>
        <w:t>a number of</w:t>
      </w:r>
      <w:proofErr w:type="gramEnd"/>
      <w:r w:rsidR="00C21E1A" w:rsidRPr="5964CDA8">
        <w:rPr>
          <w:rFonts w:eastAsia="Arial" w:cs="Arial"/>
          <w:sz w:val="22"/>
          <w:szCs w:val="22"/>
        </w:rPr>
        <w:t xml:space="preserve"> projects and a corresponding meta-analysis of all project evaluations so far. These project evaluations have contributed to a process of learning, evaluating project outcomes and determining what the common challenges faced by projects are and developing lessons learnt to be applied to future projects. </w:t>
      </w:r>
      <w:r w:rsidRPr="5964CDA8">
        <w:rPr>
          <w:rFonts w:eastAsia="Arial" w:cs="Arial"/>
          <w:sz w:val="22"/>
          <w:szCs w:val="22"/>
        </w:rPr>
        <w:t>The shorter design phase coupled with new cancellation policies means that we expect efficiency to improve for the later calls which these apply to.</w:t>
      </w:r>
      <w:r w:rsidR="00131BE2" w:rsidRPr="5964CDA8">
        <w:rPr>
          <w:rFonts w:eastAsia="Arial" w:cs="Arial"/>
          <w:sz w:val="22"/>
          <w:szCs w:val="22"/>
        </w:rPr>
        <w:t xml:space="preserve"> There remains room for improvement in how efficiently the programme converts </w:t>
      </w:r>
      <w:r w:rsidR="00C21E1A" w:rsidRPr="5964CDA8">
        <w:rPr>
          <w:rFonts w:eastAsia="Arial" w:cs="Arial"/>
          <w:sz w:val="22"/>
          <w:szCs w:val="22"/>
        </w:rPr>
        <w:t xml:space="preserve">some of its </w:t>
      </w:r>
      <w:r w:rsidR="00131BE2" w:rsidRPr="5964CDA8">
        <w:rPr>
          <w:rFonts w:eastAsia="Arial" w:cs="Arial"/>
          <w:sz w:val="22"/>
          <w:szCs w:val="22"/>
        </w:rPr>
        <w:t xml:space="preserve">inputs into outputs, with </w:t>
      </w:r>
      <w:r w:rsidR="34F4367C" w:rsidRPr="5964CDA8">
        <w:rPr>
          <w:rFonts w:eastAsia="Arial" w:cs="Arial"/>
          <w:sz w:val="22"/>
          <w:szCs w:val="22"/>
        </w:rPr>
        <w:t>8</w:t>
      </w:r>
      <w:r w:rsidR="00131BE2" w:rsidRPr="5964CDA8">
        <w:rPr>
          <w:rFonts w:eastAsia="Arial" w:cs="Arial"/>
          <w:sz w:val="22"/>
          <w:szCs w:val="22"/>
        </w:rPr>
        <w:t xml:space="preserve"> targets not being met. This includes the rate of disbursements which have been an issue </w:t>
      </w:r>
      <w:r w:rsidR="5DB6D921" w:rsidRPr="5964CDA8">
        <w:rPr>
          <w:rFonts w:eastAsia="Arial" w:cs="Arial"/>
          <w:sz w:val="22"/>
          <w:szCs w:val="22"/>
        </w:rPr>
        <w:t xml:space="preserve">since </w:t>
      </w:r>
      <w:r w:rsidR="00131BE2" w:rsidRPr="5964CDA8">
        <w:rPr>
          <w:rFonts w:eastAsia="Arial" w:cs="Arial"/>
          <w:sz w:val="22"/>
          <w:szCs w:val="22"/>
        </w:rPr>
        <w:t>the pandemic</w:t>
      </w:r>
      <w:r w:rsidR="4C616201" w:rsidRPr="5964CDA8">
        <w:rPr>
          <w:rFonts w:eastAsia="Arial" w:cs="Arial"/>
          <w:sz w:val="22"/>
          <w:szCs w:val="22"/>
        </w:rPr>
        <w:t>, as well as the rate of completion of the project development phase</w:t>
      </w:r>
      <w:r w:rsidR="00131BE2" w:rsidRPr="5964CDA8">
        <w:rPr>
          <w:rFonts w:eastAsia="Arial" w:cs="Arial"/>
          <w:sz w:val="22"/>
          <w:szCs w:val="22"/>
        </w:rPr>
        <w:t xml:space="preserve">. </w:t>
      </w:r>
    </w:p>
    <w:p w14:paraId="2926C98F" w14:textId="7D97874A" w:rsidR="00D0302B" w:rsidRDefault="00D0302B" w:rsidP="07AF1209">
      <w:pPr>
        <w:jc w:val="both"/>
        <w:rPr>
          <w:rFonts w:eastAsia="Arial" w:cs="Arial"/>
          <w:color w:val="5B9BD5" w:themeColor="accent5"/>
        </w:rPr>
      </w:pPr>
    </w:p>
    <w:p w14:paraId="0D41C80B" w14:textId="365CB589" w:rsidR="00D0302B" w:rsidRDefault="0D68162A" w:rsidP="07AF1209">
      <w:pPr>
        <w:jc w:val="both"/>
        <w:rPr>
          <w:rFonts w:eastAsia="Arial" w:cs="Arial"/>
          <w:color w:val="5B9BD5" w:themeColor="accent5"/>
          <w:sz w:val="22"/>
          <w:szCs w:val="22"/>
        </w:rPr>
      </w:pPr>
      <w:r w:rsidRPr="5964CDA8">
        <w:rPr>
          <w:rFonts w:eastAsia="Arial" w:cs="Arial"/>
          <w:sz w:val="22"/>
          <w:szCs w:val="22"/>
          <w:u w:val="single"/>
        </w:rPr>
        <w:t>Effectiveness:</w:t>
      </w:r>
      <w:r w:rsidRPr="5964CDA8">
        <w:rPr>
          <w:rFonts w:eastAsia="Arial" w:cs="Arial"/>
          <w:sz w:val="22"/>
          <w:szCs w:val="22"/>
        </w:rPr>
        <w:t xml:space="preserve"> The achieved volumes of leveraged public and private funding indicates the effectiveness of the programme in supporting other investors to finance mitigation projects. While the number of projects reporting </w:t>
      </w:r>
      <w:r w:rsidR="5BC7F38D" w:rsidRPr="5964CDA8">
        <w:rPr>
          <w:rFonts w:eastAsia="Arial" w:cs="Arial"/>
          <w:sz w:val="22"/>
          <w:szCs w:val="22"/>
        </w:rPr>
        <w:t>significant leveraged finance</w:t>
      </w:r>
      <w:r w:rsidR="3023B844" w:rsidRPr="5964CDA8">
        <w:rPr>
          <w:rFonts w:eastAsia="Arial" w:cs="Arial"/>
          <w:sz w:val="22"/>
          <w:szCs w:val="22"/>
        </w:rPr>
        <w:t xml:space="preserve"> </w:t>
      </w:r>
      <w:r w:rsidRPr="5964CDA8">
        <w:rPr>
          <w:rFonts w:eastAsia="Arial" w:cs="Arial"/>
          <w:sz w:val="22"/>
          <w:szCs w:val="22"/>
        </w:rPr>
        <w:t xml:space="preserve">is low due to the early stage of most </w:t>
      </w:r>
      <w:r w:rsidR="690814DC" w:rsidRPr="5964CDA8">
        <w:rPr>
          <w:rFonts w:eastAsia="Arial" w:cs="Arial"/>
          <w:sz w:val="22"/>
          <w:szCs w:val="22"/>
        </w:rPr>
        <w:t>projects</w:t>
      </w:r>
      <w:r w:rsidRPr="5964CDA8">
        <w:rPr>
          <w:rFonts w:eastAsia="Arial" w:cs="Arial"/>
          <w:sz w:val="22"/>
          <w:szCs w:val="22"/>
        </w:rPr>
        <w:t>, this will increase as the programme progresses</w:t>
      </w:r>
      <w:r w:rsidR="00F01806" w:rsidRPr="5964CDA8">
        <w:rPr>
          <w:rFonts w:eastAsia="Arial" w:cs="Arial"/>
          <w:sz w:val="22"/>
          <w:szCs w:val="22"/>
        </w:rPr>
        <w:t xml:space="preserve">, with </w:t>
      </w:r>
      <w:r w:rsidR="7E395761" w:rsidRPr="5964CDA8">
        <w:rPr>
          <w:rFonts w:eastAsia="Arial" w:cs="Arial"/>
          <w:sz w:val="22"/>
          <w:szCs w:val="22"/>
        </w:rPr>
        <w:t>2</w:t>
      </w:r>
      <w:r w:rsidR="1125337E" w:rsidRPr="5964CDA8">
        <w:rPr>
          <w:rFonts w:eastAsia="Arial" w:cs="Arial"/>
          <w:sz w:val="22"/>
          <w:szCs w:val="22"/>
        </w:rPr>
        <w:t xml:space="preserve"> </w:t>
      </w:r>
      <w:r w:rsidR="145BE376" w:rsidRPr="5964CDA8">
        <w:rPr>
          <w:rFonts w:eastAsia="Arial" w:cs="Arial"/>
          <w:sz w:val="22"/>
          <w:szCs w:val="22"/>
        </w:rPr>
        <w:t>more</w:t>
      </w:r>
      <w:r w:rsidR="001401E4" w:rsidRPr="5964CDA8">
        <w:rPr>
          <w:rFonts w:eastAsia="Arial" w:cs="Arial"/>
          <w:sz w:val="22"/>
          <w:szCs w:val="22"/>
        </w:rPr>
        <w:t xml:space="preserve"> projects reporting results for </w:t>
      </w:r>
      <w:r w:rsidR="00D5770B" w:rsidRPr="5964CDA8">
        <w:rPr>
          <w:rFonts w:eastAsia="Arial" w:cs="Arial"/>
          <w:sz w:val="22"/>
          <w:szCs w:val="22"/>
        </w:rPr>
        <w:t xml:space="preserve">achieving leveraged finance </w:t>
      </w:r>
      <w:r w:rsidR="00343336" w:rsidRPr="5964CDA8">
        <w:rPr>
          <w:rFonts w:eastAsia="Arial" w:cs="Arial"/>
          <w:sz w:val="22"/>
          <w:szCs w:val="22"/>
        </w:rPr>
        <w:t>for the first time this year</w:t>
      </w:r>
      <w:r w:rsidRPr="5964CDA8">
        <w:rPr>
          <w:rFonts w:eastAsia="Arial" w:cs="Arial"/>
          <w:sz w:val="22"/>
          <w:szCs w:val="22"/>
        </w:rPr>
        <w:t xml:space="preserve">. </w:t>
      </w:r>
      <w:r w:rsidR="006E629F" w:rsidRPr="5964CDA8">
        <w:rPr>
          <w:rFonts w:eastAsia="Arial" w:cs="Arial"/>
          <w:sz w:val="22"/>
          <w:szCs w:val="22"/>
        </w:rPr>
        <w:t xml:space="preserve">MAF has also </w:t>
      </w:r>
      <w:r w:rsidR="00701BE8" w:rsidRPr="5964CDA8">
        <w:rPr>
          <w:rFonts w:eastAsia="Arial" w:cs="Arial"/>
          <w:sz w:val="22"/>
          <w:szCs w:val="22"/>
        </w:rPr>
        <w:t xml:space="preserve">continued to show progress in the amount of GHG emissions reduced (indicator M1) with </w:t>
      </w:r>
      <w:r w:rsidR="29D172E5" w:rsidRPr="5964CDA8">
        <w:rPr>
          <w:rFonts w:eastAsia="Arial" w:cs="Arial"/>
          <w:sz w:val="22"/>
          <w:szCs w:val="22"/>
        </w:rPr>
        <w:t>11</w:t>
      </w:r>
      <w:r w:rsidR="30D583C4" w:rsidRPr="5964CDA8">
        <w:rPr>
          <w:rFonts w:eastAsia="Arial" w:cs="Arial"/>
          <w:sz w:val="22"/>
          <w:szCs w:val="22"/>
        </w:rPr>
        <w:t>.</w:t>
      </w:r>
      <w:r w:rsidR="6F63D312" w:rsidRPr="5964CDA8">
        <w:rPr>
          <w:rFonts w:eastAsia="Arial" w:cs="Arial"/>
          <w:sz w:val="22"/>
          <w:szCs w:val="22"/>
        </w:rPr>
        <w:t>3</w:t>
      </w:r>
      <w:r w:rsidR="30D583C4" w:rsidRPr="5964CDA8">
        <w:rPr>
          <w:rFonts w:eastAsia="Arial" w:cs="Arial"/>
          <w:sz w:val="22"/>
          <w:szCs w:val="22"/>
        </w:rPr>
        <w:t>mtCO2</w:t>
      </w:r>
      <w:r w:rsidR="00701BE8" w:rsidRPr="5964CDA8">
        <w:rPr>
          <w:rFonts w:eastAsia="Arial" w:cs="Arial"/>
          <w:sz w:val="22"/>
          <w:szCs w:val="22"/>
        </w:rPr>
        <w:t xml:space="preserve"> reported up to </w:t>
      </w:r>
      <w:r w:rsidR="30D583C4" w:rsidRPr="5964CDA8">
        <w:rPr>
          <w:rFonts w:eastAsia="Arial" w:cs="Arial"/>
          <w:sz w:val="22"/>
          <w:szCs w:val="22"/>
        </w:rPr>
        <w:t>202</w:t>
      </w:r>
      <w:r w:rsidR="239D403A" w:rsidRPr="5964CDA8">
        <w:rPr>
          <w:rFonts w:eastAsia="Arial" w:cs="Arial"/>
          <w:sz w:val="22"/>
          <w:szCs w:val="22"/>
        </w:rPr>
        <w:t>3</w:t>
      </w:r>
      <w:r w:rsidR="00701BE8" w:rsidRPr="5964CDA8">
        <w:rPr>
          <w:rFonts w:eastAsia="Arial" w:cs="Arial"/>
          <w:sz w:val="22"/>
          <w:szCs w:val="22"/>
        </w:rPr>
        <w:t xml:space="preserve">. </w:t>
      </w:r>
      <w:r w:rsidR="14B6D653" w:rsidRPr="5964CDA8">
        <w:rPr>
          <w:rFonts w:eastAsia="Arial" w:cs="Arial"/>
          <w:sz w:val="22"/>
          <w:szCs w:val="22"/>
        </w:rPr>
        <w:t>MAF</w:t>
      </w:r>
      <w:r w:rsidRPr="5964CDA8">
        <w:rPr>
          <w:rFonts w:eastAsia="Arial" w:cs="Arial"/>
          <w:sz w:val="22"/>
          <w:szCs w:val="22"/>
        </w:rPr>
        <w:t xml:space="preserve"> </w:t>
      </w:r>
      <w:r w:rsidR="3613BC82" w:rsidRPr="5964CDA8">
        <w:rPr>
          <w:rFonts w:eastAsia="Arial" w:cs="Arial"/>
          <w:sz w:val="22"/>
          <w:szCs w:val="22"/>
        </w:rPr>
        <w:t xml:space="preserve">continued to </w:t>
      </w:r>
      <w:r w:rsidR="24ED05A0" w:rsidRPr="5964CDA8">
        <w:rPr>
          <w:rFonts w:eastAsia="Arial" w:cs="Arial"/>
          <w:sz w:val="22"/>
          <w:szCs w:val="22"/>
        </w:rPr>
        <w:t>conduct</w:t>
      </w:r>
      <w:r w:rsidRPr="5964CDA8">
        <w:rPr>
          <w:rFonts w:eastAsia="Arial" w:cs="Arial"/>
          <w:sz w:val="22"/>
          <w:szCs w:val="22"/>
        </w:rPr>
        <w:t xml:space="preserve"> mid-term and final evaluations </w:t>
      </w:r>
      <w:r w:rsidR="57B74879" w:rsidRPr="5964CDA8">
        <w:rPr>
          <w:rFonts w:eastAsia="Arial" w:cs="Arial"/>
          <w:sz w:val="22"/>
          <w:szCs w:val="22"/>
          <w:u w:val="single"/>
        </w:rPr>
        <w:t>in</w:t>
      </w:r>
      <w:r w:rsidR="505C0BB4" w:rsidRPr="5964CDA8">
        <w:rPr>
          <w:rFonts w:eastAsia="Arial" w:cs="Arial"/>
          <w:sz w:val="22"/>
          <w:szCs w:val="22"/>
          <w:u w:val="single"/>
        </w:rPr>
        <w:t xml:space="preserve"> 2023</w:t>
      </w:r>
      <w:r w:rsidRPr="5964CDA8">
        <w:rPr>
          <w:rFonts w:eastAsia="Arial" w:cs="Arial"/>
          <w:sz w:val="22"/>
          <w:szCs w:val="22"/>
        </w:rPr>
        <w:t xml:space="preserve"> to assess the progress projects are making towards transformational change. Findings from the evaluations completed so </w:t>
      </w:r>
      <w:r w:rsidR="3023B844" w:rsidRPr="5964CDA8">
        <w:rPr>
          <w:rFonts w:eastAsia="Arial" w:cs="Arial"/>
          <w:sz w:val="22"/>
          <w:szCs w:val="22"/>
        </w:rPr>
        <w:t>far</w:t>
      </w:r>
      <w:r w:rsidRPr="5964CDA8">
        <w:rPr>
          <w:rFonts w:eastAsia="Arial" w:cs="Arial"/>
          <w:sz w:val="22"/>
          <w:szCs w:val="22"/>
        </w:rPr>
        <w:t xml:space="preserve"> suggest there to be positive evidence that the </w:t>
      </w:r>
      <w:r w:rsidR="10A06ACA" w:rsidRPr="5964CDA8">
        <w:rPr>
          <w:rFonts w:eastAsia="Arial" w:cs="Arial"/>
          <w:sz w:val="22"/>
          <w:szCs w:val="22"/>
        </w:rPr>
        <w:t>projects</w:t>
      </w:r>
      <w:r w:rsidRPr="5964CDA8">
        <w:rPr>
          <w:rFonts w:eastAsia="Arial" w:cs="Arial"/>
          <w:sz w:val="22"/>
          <w:szCs w:val="22"/>
        </w:rPr>
        <w:t xml:space="preserve"> are effectively supporting transformational change in partner countries, reducing greenhouse gas emissions, and enhancing low carbon development. However, the evaluations have also found that delays to implementation and slow disbursement rates have lowered the effectiveness of some </w:t>
      </w:r>
      <w:r w:rsidR="7D91F49F" w:rsidRPr="5964CDA8">
        <w:rPr>
          <w:rFonts w:eastAsia="Arial" w:cs="Arial"/>
          <w:sz w:val="22"/>
          <w:szCs w:val="22"/>
        </w:rPr>
        <w:t>projects</w:t>
      </w:r>
      <w:r w:rsidRPr="5964CDA8">
        <w:rPr>
          <w:rFonts w:eastAsia="Arial" w:cs="Arial"/>
          <w:sz w:val="22"/>
          <w:szCs w:val="22"/>
        </w:rPr>
        <w:t xml:space="preserve">. </w:t>
      </w:r>
      <w:r w:rsidR="5A266C59" w:rsidRPr="5964CDA8">
        <w:rPr>
          <w:rFonts w:eastAsia="Arial" w:cs="Arial"/>
          <w:sz w:val="22"/>
          <w:szCs w:val="22"/>
        </w:rPr>
        <w:t>DESNZ</w:t>
      </w:r>
      <w:r w:rsidRPr="5964CDA8">
        <w:rPr>
          <w:rFonts w:eastAsia="Arial" w:cs="Arial"/>
          <w:sz w:val="22"/>
          <w:szCs w:val="22"/>
        </w:rPr>
        <w:t xml:space="preserve"> have asked TSU to collect the lessons learnt from the evaluations and monitor closely how </w:t>
      </w:r>
      <w:r w:rsidR="0FFCCBB2" w:rsidRPr="5964CDA8">
        <w:rPr>
          <w:rFonts w:eastAsia="Arial" w:cs="Arial"/>
          <w:sz w:val="22"/>
          <w:szCs w:val="22"/>
        </w:rPr>
        <w:t>projects</w:t>
      </w:r>
      <w:r w:rsidRPr="5964CDA8">
        <w:rPr>
          <w:rFonts w:eastAsia="Arial" w:cs="Arial"/>
          <w:sz w:val="22"/>
          <w:szCs w:val="22"/>
        </w:rPr>
        <w:t xml:space="preserve"> incorporate recommendations into programme delivery. </w:t>
      </w:r>
    </w:p>
    <w:p w14:paraId="387EA675" w14:textId="7B20F29F" w:rsidR="00E02F12" w:rsidRDefault="00E02F12" w:rsidP="07AF1209">
      <w:pPr>
        <w:jc w:val="both"/>
        <w:rPr>
          <w:rFonts w:eastAsia="Arial" w:cs="Arial"/>
          <w:color w:val="5B9BD5" w:themeColor="accent5"/>
          <w:sz w:val="22"/>
          <w:szCs w:val="22"/>
        </w:rPr>
      </w:pPr>
    </w:p>
    <w:p w14:paraId="782D48E7" w14:textId="36375763" w:rsidR="00E02F12" w:rsidRPr="009D6172" w:rsidRDefault="1CED6FD1" w:rsidP="5964CDA8">
      <w:pPr>
        <w:jc w:val="both"/>
        <w:rPr>
          <w:rStyle w:val="eop"/>
          <w:rFonts w:eastAsia="Arial" w:cs="Arial"/>
          <w:sz w:val="22"/>
          <w:szCs w:val="22"/>
          <w:shd w:val="clear" w:color="auto" w:fill="FFFFFF"/>
        </w:rPr>
      </w:pPr>
      <w:r w:rsidRPr="009D6172">
        <w:rPr>
          <w:rStyle w:val="normaltextrun"/>
          <w:rFonts w:eastAsia="Arial" w:cs="Arial"/>
          <w:sz w:val="22"/>
          <w:szCs w:val="22"/>
        </w:rPr>
        <w:t xml:space="preserve">In the second year of the new </w:t>
      </w:r>
      <w:r w:rsidR="025BCB5C" w:rsidRPr="009D6172">
        <w:rPr>
          <w:rStyle w:val="normaltextrun"/>
          <w:rFonts w:eastAsia="Arial" w:cs="Arial"/>
          <w:sz w:val="22"/>
          <w:szCs w:val="22"/>
        </w:rPr>
        <w:t>Technical Assistance (TA)</w:t>
      </w:r>
      <w:r w:rsidR="00A0082B" w:rsidRPr="009D6172">
        <w:rPr>
          <w:rStyle w:val="normaltextrun"/>
          <w:rFonts w:eastAsia="Arial" w:cs="Arial"/>
          <w:sz w:val="22"/>
          <w:szCs w:val="22"/>
          <w:shd w:val="clear" w:color="auto" w:fill="FFFFFF"/>
        </w:rPr>
        <w:t xml:space="preserve"> KPIs</w:t>
      </w:r>
      <w:r w:rsidR="144302F3" w:rsidRPr="009D6172">
        <w:rPr>
          <w:rStyle w:val="normaltextrun"/>
          <w:rFonts w:eastAsia="Arial" w:cs="Arial"/>
          <w:sz w:val="22"/>
          <w:szCs w:val="22"/>
          <w:shd w:val="clear" w:color="auto" w:fill="FFFFFF"/>
        </w:rPr>
        <w:t>, first</w:t>
      </w:r>
      <w:r w:rsidR="00A0082B" w:rsidRPr="009D6172">
        <w:rPr>
          <w:rStyle w:val="normaltextrun"/>
          <w:rFonts w:eastAsia="Arial" w:cs="Arial"/>
          <w:sz w:val="22"/>
          <w:szCs w:val="22"/>
          <w:shd w:val="clear" w:color="auto" w:fill="FFFFFF"/>
        </w:rPr>
        <w:t xml:space="preserve"> introduced for </w:t>
      </w:r>
      <w:r w:rsidR="006D6B65" w:rsidRPr="009D6172">
        <w:rPr>
          <w:rStyle w:val="normaltextrun"/>
          <w:rFonts w:eastAsia="Arial" w:cs="Arial"/>
          <w:sz w:val="22"/>
          <w:szCs w:val="22"/>
          <w:shd w:val="clear" w:color="auto" w:fill="FFFFFF"/>
        </w:rPr>
        <w:t>the</w:t>
      </w:r>
      <w:r w:rsidR="00A0082B" w:rsidRPr="009D6172">
        <w:rPr>
          <w:rStyle w:val="normaltextrun"/>
          <w:rFonts w:eastAsia="Arial" w:cs="Arial"/>
          <w:sz w:val="22"/>
          <w:szCs w:val="22"/>
          <w:shd w:val="clear" w:color="auto" w:fill="FFFFFF"/>
        </w:rPr>
        <w:t xml:space="preserve"> </w:t>
      </w:r>
      <w:r w:rsidR="149E653A" w:rsidRPr="009D6172">
        <w:rPr>
          <w:rStyle w:val="normaltextrun"/>
          <w:rFonts w:eastAsia="Arial" w:cs="Arial"/>
          <w:sz w:val="22"/>
          <w:szCs w:val="22"/>
          <w:shd w:val="clear" w:color="auto" w:fill="FFFFFF"/>
        </w:rPr>
        <w:t>annual results for reporting for 2022</w:t>
      </w:r>
      <w:r w:rsidR="00A0082B" w:rsidRPr="009D6172">
        <w:rPr>
          <w:rStyle w:val="normaltextrun"/>
          <w:rFonts w:eastAsia="Arial" w:cs="Arial"/>
          <w:sz w:val="22"/>
          <w:szCs w:val="22"/>
          <w:shd w:val="clear" w:color="auto" w:fill="FFFFFF"/>
        </w:rPr>
        <w:t xml:space="preserve"> </w:t>
      </w:r>
      <w:r w:rsidR="2C2D7FB8" w:rsidRPr="009D6172">
        <w:rPr>
          <w:rStyle w:val="normaltextrun"/>
          <w:rFonts w:eastAsia="Arial" w:cs="Arial"/>
          <w:sz w:val="22"/>
          <w:szCs w:val="22"/>
          <w:shd w:val="clear" w:color="auto" w:fill="FFFFFF"/>
        </w:rPr>
        <w:t xml:space="preserve">MAF reported </w:t>
      </w:r>
      <w:r w:rsidR="48DCF4FF" w:rsidRPr="009D6172">
        <w:rPr>
          <w:rStyle w:val="normaltextrun"/>
          <w:rFonts w:eastAsia="Arial" w:cs="Arial"/>
          <w:sz w:val="22"/>
          <w:szCs w:val="22"/>
          <w:shd w:val="clear" w:color="auto" w:fill="FFFFFF"/>
        </w:rPr>
        <w:t xml:space="preserve">improved </w:t>
      </w:r>
      <w:r w:rsidR="2C2D7FB8" w:rsidRPr="009D6172">
        <w:rPr>
          <w:rStyle w:val="normaltextrun"/>
          <w:rFonts w:eastAsia="Arial" w:cs="Arial"/>
          <w:sz w:val="22"/>
          <w:szCs w:val="22"/>
          <w:shd w:val="clear" w:color="auto" w:fill="FFFFFF"/>
        </w:rPr>
        <w:t>results</w:t>
      </w:r>
      <w:r w:rsidR="6D3A4582" w:rsidRPr="009D6172">
        <w:rPr>
          <w:rStyle w:val="normaltextrun"/>
          <w:rFonts w:eastAsia="Arial" w:cs="Arial"/>
          <w:sz w:val="22"/>
          <w:szCs w:val="22"/>
          <w:shd w:val="clear" w:color="auto" w:fill="FFFFFF"/>
        </w:rPr>
        <w:t xml:space="preserve"> in 2023:</w:t>
      </w:r>
    </w:p>
    <w:p w14:paraId="20297BAD" w14:textId="77777777" w:rsidR="0000678C" w:rsidRPr="009D6172" w:rsidRDefault="0000678C" w:rsidP="5964CDA8">
      <w:pPr>
        <w:jc w:val="both"/>
        <w:rPr>
          <w:rStyle w:val="eop"/>
          <w:rFonts w:eastAsia="Arial" w:cs="Arial"/>
          <w:sz w:val="22"/>
          <w:szCs w:val="22"/>
          <w:shd w:val="clear" w:color="auto" w:fill="FFFFFF"/>
        </w:rPr>
      </w:pPr>
    </w:p>
    <w:p w14:paraId="4CE830B1" w14:textId="3F89FC94" w:rsidR="00F413C0" w:rsidRPr="009D6172" w:rsidRDefault="00FA58C3" w:rsidP="5964CDA8">
      <w:pPr>
        <w:pStyle w:val="ListParagraph"/>
        <w:numPr>
          <w:ilvl w:val="0"/>
          <w:numId w:val="20"/>
        </w:numPr>
        <w:jc w:val="both"/>
        <w:rPr>
          <w:rStyle w:val="eop"/>
          <w:rFonts w:eastAsia="Arial" w:cs="Arial"/>
          <w:sz w:val="22"/>
          <w:szCs w:val="22"/>
          <w:shd w:val="clear" w:color="auto" w:fill="FFFFFF"/>
        </w:rPr>
      </w:pPr>
      <w:r w:rsidRPr="009D6172">
        <w:rPr>
          <w:rStyle w:val="eop"/>
          <w:rFonts w:eastAsia="Arial" w:cs="Arial"/>
          <w:sz w:val="22"/>
          <w:szCs w:val="22"/>
          <w:shd w:val="clear" w:color="auto" w:fill="FFFFFF"/>
        </w:rPr>
        <w:t>TA KPI 1</w:t>
      </w:r>
      <w:r w:rsidR="001B1CA4" w:rsidRPr="009D6172">
        <w:rPr>
          <w:rStyle w:val="eop"/>
          <w:rFonts w:eastAsia="Arial" w:cs="Arial"/>
          <w:sz w:val="22"/>
          <w:szCs w:val="22"/>
          <w:shd w:val="clear" w:color="auto" w:fill="FFFFFF"/>
        </w:rPr>
        <w:t>:</w:t>
      </w:r>
      <w:r w:rsidR="00DC024B" w:rsidRPr="009D6172">
        <w:rPr>
          <w:rStyle w:val="eop"/>
          <w:rFonts w:eastAsia="Arial" w:cs="Arial"/>
          <w:sz w:val="22"/>
          <w:szCs w:val="22"/>
          <w:shd w:val="clear" w:color="auto" w:fill="FFFFFF"/>
        </w:rPr>
        <w:t xml:space="preserve"> </w:t>
      </w:r>
      <w:r w:rsidR="00841FEC" w:rsidRPr="009D6172">
        <w:rPr>
          <w:rStyle w:val="eop"/>
          <w:rFonts w:eastAsia="Arial" w:cs="Arial"/>
          <w:sz w:val="22"/>
          <w:szCs w:val="22"/>
        </w:rPr>
        <w:t xml:space="preserve">Number of countries supported by ICF technical </w:t>
      </w:r>
      <w:r w:rsidR="00841FEC" w:rsidRPr="009D6172">
        <w:rPr>
          <w:rStyle w:val="eop"/>
          <w:rFonts w:eastAsia="Arial" w:cs="Arial"/>
          <w:sz w:val="22"/>
          <w:szCs w:val="22"/>
          <w:shd w:val="clear" w:color="auto" w:fill="FFFFFF"/>
        </w:rPr>
        <w:t>assistance</w:t>
      </w:r>
      <w:r w:rsidR="00D41EF3" w:rsidRPr="009D6172">
        <w:rPr>
          <w:rStyle w:val="eop"/>
          <w:rFonts w:eastAsia="Arial" w:cs="Arial"/>
          <w:sz w:val="22"/>
          <w:szCs w:val="22"/>
          <w:shd w:val="clear" w:color="auto" w:fill="FFFFFF"/>
        </w:rPr>
        <w:t xml:space="preserve">. </w:t>
      </w:r>
      <w:r w:rsidR="750C8D24" w:rsidRPr="009D6172">
        <w:rPr>
          <w:rStyle w:val="eop"/>
          <w:rFonts w:eastAsia="Arial" w:cs="Arial"/>
          <w:sz w:val="22"/>
          <w:szCs w:val="22"/>
          <w:shd w:val="clear" w:color="auto" w:fill="FFFFFF"/>
        </w:rPr>
        <w:t>1</w:t>
      </w:r>
      <w:r w:rsidR="3E85E8BF" w:rsidRPr="009D6172">
        <w:rPr>
          <w:rStyle w:val="eop"/>
          <w:rFonts w:eastAsia="Arial" w:cs="Arial"/>
          <w:sz w:val="22"/>
          <w:szCs w:val="22"/>
          <w:shd w:val="clear" w:color="auto" w:fill="FFFFFF"/>
        </w:rPr>
        <w:t>8</w:t>
      </w:r>
      <w:r w:rsidR="00D41EF3" w:rsidRPr="009D6172">
        <w:rPr>
          <w:rStyle w:val="eop"/>
          <w:rFonts w:eastAsia="Arial" w:cs="Arial"/>
          <w:sz w:val="22"/>
          <w:szCs w:val="22"/>
          <w:shd w:val="clear" w:color="auto" w:fill="FFFFFF"/>
        </w:rPr>
        <w:t xml:space="preserve"> countries were supported by the Mitigation Action Facility in </w:t>
      </w:r>
      <w:r w:rsidR="750C8D24" w:rsidRPr="009D6172">
        <w:rPr>
          <w:rStyle w:val="eop"/>
          <w:rFonts w:eastAsia="Arial" w:cs="Arial"/>
          <w:sz w:val="22"/>
          <w:szCs w:val="22"/>
          <w:shd w:val="clear" w:color="auto" w:fill="FFFFFF"/>
        </w:rPr>
        <w:t>202</w:t>
      </w:r>
      <w:r w:rsidR="1486820A" w:rsidRPr="009D6172">
        <w:rPr>
          <w:rStyle w:val="eop"/>
          <w:rFonts w:eastAsia="Arial" w:cs="Arial"/>
          <w:sz w:val="22"/>
          <w:szCs w:val="22"/>
          <w:shd w:val="clear" w:color="auto" w:fill="FFFFFF"/>
        </w:rPr>
        <w:t>3</w:t>
      </w:r>
      <w:r w:rsidR="7DB58A82" w:rsidRPr="009D6172">
        <w:rPr>
          <w:rStyle w:val="eop"/>
          <w:rFonts w:eastAsia="Arial" w:cs="Arial"/>
          <w:sz w:val="22"/>
          <w:szCs w:val="22"/>
          <w:shd w:val="clear" w:color="auto" w:fill="FFFFFF"/>
        </w:rPr>
        <w:t>.</w:t>
      </w:r>
      <w:r w:rsidR="48C713E3" w:rsidRPr="009D6172">
        <w:rPr>
          <w:rStyle w:val="eop"/>
          <w:rFonts w:eastAsia="Arial" w:cs="Arial"/>
          <w:sz w:val="22"/>
          <w:szCs w:val="22"/>
          <w:shd w:val="clear" w:color="auto" w:fill="FFFFFF"/>
        </w:rPr>
        <w:t xml:space="preserve"> </w:t>
      </w:r>
      <w:r w:rsidR="001B1CA4" w:rsidRPr="009D6172">
        <w:rPr>
          <w:rStyle w:val="eop"/>
          <w:rFonts w:eastAsia="Arial" w:cs="Arial"/>
          <w:sz w:val="22"/>
          <w:szCs w:val="22"/>
          <w:shd w:val="clear" w:color="auto" w:fill="FFFFFF"/>
        </w:rPr>
        <w:t>TA KPI 2: Number of Individuals and Organisations Supported by ICF Technical Assistance</w:t>
      </w:r>
      <w:r w:rsidR="00A96C7D" w:rsidRPr="009D6172">
        <w:rPr>
          <w:rStyle w:val="eop"/>
          <w:rFonts w:eastAsia="Arial" w:cs="Arial"/>
          <w:sz w:val="22"/>
          <w:szCs w:val="22"/>
          <w:shd w:val="clear" w:color="auto" w:fill="FFFFFF"/>
        </w:rPr>
        <w:t>.</w:t>
      </w:r>
      <w:r w:rsidR="00D35987" w:rsidRPr="009D6172">
        <w:rPr>
          <w:rStyle w:val="eop"/>
          <w:rFonts w:eastAsia="Arial" w:cs="Arial"/>
          <w:sz w:val="22"/>
          <w:szCs w:val="22"/>
          <w:shd w:val="clear" w:color="auto" w:fill="FFFFFF"/>
        </w:rPr>
        <w:t xml:space="preserve"> </w:t>
      </w:r>
      <w:r w:rsidR="1A2B2B47" w:rsidRPr="009D6172">
        <w:rPr>
          <w:rStyle w:val="eop"/>
          <w:rFonts w:eastAsia="Arial" w:cs="Arial"/>
          <w:sz w:val="22"/>
          <w:szCs w:val="22"/>
          <w:shd w:val="clear" w:color="auto" w:fill="FFFFFF"/>
        </w:rPr>
        <w:t>1</w:t>
      </w:r>
      <w:r w:rsidR="7CA383D0" w:rsidRPr="009D6172">
        <w:rPr>
          <w:rStyle w:val="eop"/>
          <w:rFonts w:eastAsia="Arial" w:cs="Arial"/>
          <w:sz w:val="22"/>
          <w:szCs w:val="22"/>
          <w:shd w:val="clear" w:color="auto" w:fill="FFFFFF"/>
        </w:rPr>
        <w:t>991</w:t>
      </w:r>
      <w:r w:rsidR="00D35987" w:rsidRPr="009D6172">
        <w:rPr>
          <w:rStyle w:val="eop"/>
          <w:rFonts w:eastAsia="Arial" w:cs="Arial"/>
          <w:sz w:val="22"/>
          <w:szCs w:val="22"/>
          <w:shd w:val="clear" w:color="auto" w:fill="FFFFFF"/>
        </w:rPr>
        <w:t xml:space="preserve"> </w:t>
      </w:r>
      <w:r w:rsidR="005B661F" w:rsidRPr="009D6172">
        <w:rPr>
          <w:rStyle w:val="eop"/>
          <w:rFonts w:eastAsia="Arial" w:cs="Arial"/>
          <w:sz w:val="22"/>
          <w:szCs w:val="22"/>
          <w:shd w:val="clear" w:color="auto" w:fill="FFFFFF"/>
        </w:rPr>
        <w:t>individuals</w:t>
      </w:r>
      <w:r w:rsidR="00D35987" w:rsidRPr="009D6172">
        <w:rPr>
          <w:rStyle w:val="eop"/>
          <w:rFonts w:eastAsia="Arial" w:cs="Arial"/>
          <w:sz w:val="22"/>
          <w:szCs w:val="22"/>
          <w:shd w:val="clear" w:color="auto" w:fill="FFFFFF"/>
        </w:rPr>
        <w:t xml:space="preserve"> and </w:t>
      </w:r>
      <w:r w:rsidR="15A4E844" w:rsidRPr="009D6172">
        <w:rPr>
          <w:rStyle w:val="eop"/>
          <w:rFonts w:eastAsia="Arial" w:cs="Arial"/>
          <w:sz w:val="22"/>
          <w:szCs w:val="22"/>
          <w:shd w:val="clear" w:color="auto" w:fill="FFFFFF"/>
        </w:rPr>
        <w:t>400</w:t>
      </w:r>
      <w:r w:rsidR="00657271" w:rsidRPr="009D6172">
        <w:rPr>
          <w:rStyle w:val="eop"/>
          <w:rFonts w:eastAsia="Arial" w:cs="Arial"/>
          <w:sz w:val="22"/>
          <w:szCs w:val="22"/>
          <w:shd w:val="clear" w:color="auto" w:fill="FFFFFF"/>
        </w:rPr>
        <w:t xml:space="preserve"> </w:t>
      </w:r>
      <w:r w:rsidR="69A5AA7E" w:rsidRPr="009D6172">
        <w:rPr>
          <w:rStyle w:val="eop"/>
          <w:rFonts w:eastAsia="Arial" w:cs="Arial"/>
          <w:sz w:val="22"/>
          <w:szCs w:val="22"/>
          <w:shd w:val="clear" w:color="auto" w:fill="FFFFFF"/>
        </w:rPr>
        <w:t>national and subnational</w:t>
      </w:r>
      <w:r w:rsidR="005B661F" w:rsidRPr="009D6172">
        <w:rPr>
          <w:rStyle w:val="eop"/>
          <w:rFonts w:eastAsia="Arial" w:cs="Arial"/>
          <w:sz w:val="22"/>
          <w:szCs w:val="22"/>
          <w:shd w:val="clear" w:color="auto" w:fill="FFFFFF"/>
        </w:rPr>
        <w:t xml:space="preserve"> organisations were supported in </w:t>
      </w:r>
      <w:r w:rsidR="00657271" w:rsidRPr="009D6172">
        <w:rPr>
          <w:rStyle w:val="eop"/>
          <w:rFonts w:eastAsia="Arial" w:cs="Arial"/>
          <w:sz w:val="22"/>
          <w:szCs w:val="22"/>
          <w:shd w:val="clear" w:color="auto" w:fill="FFFFFF"/>
        </w:rPr>
        <w:t>202</w:t>
      </w:r>
      <w:r w:rsidR="4ADBEAF1" w:rsidRPr="009D6172">
        <w:rPr>
          <w:rStyle w:val="eop"/>
          <w:rFonts w:eastAsia="Arial" w:cs="Arial"/>
          <w:sz w:val="22"/>
          <w:szCs w:val="22"/>
          <w:shd w:val="clear" w:color="auto" w:fill="FFFFFF"/>
        </w:rPr>
        <w:t>3</w:t>
      </w:r>
      <w:r w:rsidR="005B661F" w:rsidRPr="009D6172">
        <w:rPr>
          <w:rStyle w:val="eop"/>
          <w:rFonts w:eastAsia="Arial" w:cs="Arial"/>
          <w:sz w:val="22"/>
          <w:szCs w:val="22"/>
          <w:shd w:val="clear" w:color="auto" w:fill="FFFFFF"/>
        </w:rPr>
        <w:t>.</w:t>
      </w:r>
    </w:p>
    <w:p w14:paraId="4C1D09EF" w14:textId="24C889B2" w:rsidR="005B661F" w:rsidRPr="009D6172" w:rsidRDefault="007F2085" w:rsidP="5964CDA8">
      <w:pPr>
        <w:pStyle w:val="ListParagraph"/>
        <w:numPr>
          <w:ilvl w:val="0"/>
          <w:numId w:val="20"/>
        </w:numPr>
        <w:jc w:val="both"/>
        <w:rPr>
          <w:rStyle w:val="eop"/>
          <w:rFonts w:eastAsia="Arial" w:cs="Arial"/>
          <w:sz w:val="22"/>
          <w:szCs w:val="22"/>
          <w:shd w:val="clear" w:color="auto" w:fill="FFFFFF"/>
        </w:rPr>
      </w:pPr>
      <w:r w:rsidRPr="009D6172">
        <w:rPr>
          <w:rStyle w:val="eop"/>
          <w:rFonts w:eastAsia="Arial" w:cs="Arial"/>
          <w:sz w:val="22"/>
          <w:szCs w:val="22"/>
        </w:rPr>
        <w:t xml:space="preserve">TA KPI 3: Number of climate policies informed by International Climate Finance technical </w:t>
      </w:r>
      <w:r w:rsidRPr="009D6172">
        <w:rPr>
          <w:rStyle w:val="eop"/>
          <w:rFonts w:eastAsia="Arial" w:cs="Arial"/>
          <w:sz w:val="22"/>
          <w:szCs w:val="22"/>
          <w:shd w:val="clear" w:color="auto" w:fill="FFFFFF"/>
        </w:rPr>
        <w:t xml:space="preserve">assistance. </w:t>
      </w:r>
      <w:r w:rsidR="0D9F5B55" w:rsidRPr="009D6172">
        <w:rPr>
          <w:rStyle w:val="eop"/>
          <w:rFonts w:eastAsia="Arial" w:cs="Arial"/>
          <w:sz w:val="22"/>
          <w:szCs w:val="22"/>
          <w:shd w:val="clear" w:color="auto" w:fill="FFFFFF"/>
        </w:rPr>
        <w:t>3</w:t>
      </w:r>
      <w:r w:rsidR="1A597FD9" w:rsidRPr="009D6172">
        <w:rPr>
          <w:rStyle w:val="eop"/>
          <w:rFonts w:eastAsia="Arial" w:cs="Arial"/>
          <w:sz w:val="22"/>
          <w:szCs w:val="22"/>
          <w:shd w:val="clear" w:color="auto" w:fill="FFFFFF"/>
        </w:rPr>
        <w:t>5</w:t>
      </w:r>
      <w:r w:rsidR="00370698" w:rsidRPr="009D6172">
        <w:rPr>
          <w:rStyle w:val="eop"/>
          <w:rFonts w:eastAsia="Arial" w:cs="Arial"/>
          <w:sz w:val="22"/>
          <w:szCs w:val="22"/>
          <w:shd w:val="clear" w:color="auto" w:fill="FFFFFF"/>
        </w:rPr>
        <w:t xml:space="preserve"> climate policies were supported by MAF in </w:t>
      </w:r>
      <w:r w:rsidR="1A597FD9" w:rsidRPr="009D6172">
        <w:rPr>
          <w:rStyle w:val="eop"/>
          <w:rFonts w:eastAsia="Arial" w:cs="Arial"/>
          <w:sz w:val="22"/>
          <w:szCs w:val="22"/>
          <w:shd w:val="clear" w:color="auto" w:fill="FFFFFF"/>
        </w:rPr>
        <w:t>202</w:t>
      </w:r>
      <w:r w:rsidR="7264ACC7" w:rsidRPr="009D6172">
        <w:rPr>
          <w:rStyle w:val="eop"/>
          <w:rFonts w:eastAsia="Arial" w:cs="Arial"/>
          <w:sz w:val="22"/>
          <w:szCs w:val="22"/>
          <w:shd w:val="clear" w:color="auto" w:fill="FFFFFF"/>
        </w:rPr>
        <w:t>3</w:t>
      </w:r>
      <w:r w:rsidR="00370698" w:rsidRPr="009D6172">
        <w:rPr>
          <w:rStyle w:val="eop"/>
          <w:rFonts w:eastAsia="Arial" w:cs="Arial"/>
          <w:sz w:val="22"/>
          <w:szCs w:val="22"/>
          <w:shd w:val="clear" w:color="auto" w:fill="FFFFFF"/>
        </w:rPr>
        <w:t>.</w:t>
      </w:r>
    </w:p>
    <w:p w14:paraId="4C6AF550" w14:textId="44E4976E" w:rsidR="00370698" w:rsidRPr="009D6172" w:rsidRDefault="004C16D5" w:rsidP="5964CDA8">
      <w:pPr>
        <w:pStyle w:val="ListParagraph"/>
        <w:numPr>
          <w:ilvl w:val="0"/>
          <w:numId w:val="20"/>
        </w:numPr>
        <w:jc w:val="both"/>
        <w:rPr>
          <w:rStyle w:val="eop"/>
          <w:rFonts w:eastAsia="Arial" w:cs="Arial"/>
          <w:sz w:val="22"/>
          <w:szCs w:val="22"/>
          <w:shd w:val="clear" w:color="auto" w:fill="FFFFFF"/>
        </w:rPr>
      </w:pPr>
      <w:r w:rsidRPr="009D6172">
        <w:rPr>
          <w:rStyle w:val="eop"/>
          <w:rFonts w:eastAsia="Arial" w:cs="Arial"/>
          <w:sz w:val="22"/>
          <w:szCs w:val="22"/>
          <w:shd w:val="clear" w:color="auto" w:fill="FFFFFF"/>
        </w:rPr>
        <w:t xml:space="preserve">TA KPI 5: Volume of emissions reductions avoided/supported by ICF Technical Assistance. </w:t>
      </w:r>
      <w:r w:rsidR="008B7DE7" w:rsidRPr="009D6172">
        <w:rPr>
          <w:rStyle w:val="eop"/>
          <w:rFonts w:eastAsia="Arial" w:cs="Arial"/>
          <w:sz w:val="22"/>
          <w:szCs w:val="22"/>
          <w:shd w:val="clear" w:color="auto" w:fill="FFFFFF"/>
        </w:rPr>
        <w:t>1,316,881</w:t>
      </w:r>
      <w:r w:rsidR="00A63AEE" w:rsidRPr="009D6172">
        <w:rPr>
          <w:rStyle w:val="eop"/>
          <w:rFonts w:eastAsia="Arial" w:cs="Arial"/>
          <w:sz w:val="22"/>
          <w:szCs w:val="22"/>
          <w:shd w:val="clear" w:color="auto" w:fill="FFFFFF"/>
        </w:rPr>
        <w:t xml:space="preserve"> tonnes of CO2 have been mitigated </w:t>
      </w:r>
      <w:proofErr w:type="gramStart"/>
      <w:r w:rsidR="00A63AEE" w:rsidRPr="009D6172">
        <w:rPr>
          <w:rStyle w:val="eop"/>
          <w:rFonts w:eastAsia="Arial" w:cs="Arial"/>
          <w:sz w:val="22"/>
          <w:szCs w:val="22"/>
          <w:shd w:val="clear" w:color="auto" w:fill="FFFFFF"/>
        </w:rPr>
        <w:t>as a result of</w:t>
      </w:r>
      <w:proofErr w:type="gramEnd"/>
      <w:r w:rsidR="00A63AEE" w:rsidRPr="009D6172">
        <w:rPr>
          <w:rStyle w:val="eop"/>
          <w:rFonts w:eastAsia="Arial" w:cs="Arial"/>
          <w:sz w:val="22"/>
          <w:szCs w:val="22"/>
          <w:shd w:val="clear" w:color="auto" w:fill="FFFFFF"/>
        </w:rPr>
        <w:t xml:space="preserve"> TA activities in 202</w:t>
      </w:r>
      <w:r w:rsidR="008B7DE7" w:rsidRPr="009D6172">
        <w:rPr>
          <w:rStyle w:val="eop"/>
          <w:rFonts w:eastAsia="Arial" w:cs="Arial"/>
          <w:sz w:val="22"/>
          <w:szCs w:val="22"/>
          <w:shd w:val="clear" w:color="auto" w:fill="FFFFFF"/>
        </w:rPr>
        <w:t>3</w:t>
      </w:r>
      <w:r w:rsidR="00116FD6" w:rsidRPr="009D6172">
        <w:rPr>
          <w:rStyle w:val="eop"/>
          <w:rFonts w:eastAsia="Arial" w:cs="Arial"/>
          <w:sz w:val="22"/>
          <w:szCs w:val="22"/>
          <w:shd w:val="clear" w:color="auto" w:fill="FFFFFF"/>
        </w:rPr>
        <w:t xml:space="preserve"> and </w:t>
      </w:r>
      <w:r w:rsidR="008B7DE7" w:rsidRPr="009D6172">
        <w:rPr>
          <w:rStyle w:val="eop"/>
          <w:rFonts w:eastAsia="Arial" w:cs="Arial"/>
          <w:sz w:val="22"/>
          <w:szCs w:val="22"/>
          <w:shd w:val="clear" w:color="auto" w:fill="FFFFFF"/>
        </w:rPr>
        <w:t>9,471,168</w:t>
      </w:r>
      <w:r w:rsidR="00C76E38" w:rsidRPr="009D6172">
        <w:rPr>
          <w:rStyle w:val="eop"/>
          <w:rFonts w:eastAsia="Arial" w:cs="Arial"/>
          <w:sz w:val="22"/>
          <w:szCs w:val="22"/>
          <w:shd w:val="clear" w:color="auto" w:fill="FFFFFF"/>
        </w:rPr>
        <w:t xml:space="preserve"> </w:t>
      </w:r>
      <w:r w:rsidR="00C8637B" w:rsidRPr="009D6172">
        <w:rPr>
          <w:rStyle w:val="eop"/>
          <w:rFonts w:eastAsia="Arial" w:cs="Arial"/>
          <w:sz w:val="22"/>
          <w:szCs w:val="22"/>
          <w:shd w:val="clear" w:color="auto" w:fill="FFFFFF"/>
        </w:rPr>
        <w:t xml:space="preserve">tonnes of CO2 since </w:t>
      </w:r>
      <w:r w:rsidR="00C7571D" w:rsidRPr="009D6172">
        <w:rPr>
          <w:rStyle w:val="eop"/>
          <w:rFonts w:eastAsia="Arial" w:cs="Arial"/>
          <w:sz w:val="22"/>
          <w:szCs w:val="22"/>
          <w:shd w:val="clear" w:color="auto" w:fill="FFFFFF"/>
        </w:rPr>
        <w:t>2016</w:t>
      </w:r>
      <w:r w:rsidR="00C8637B" w:rsidRPr="009D6172">
        <w:rPr>
          <w:rStyle w:val="eop"/>
          <w:rFonts w:eastAsia="Arial" w:cs="Arial"/>
          <w:sz w:val="22"/>
          <w:szCs w:val="22"/>
          <w:shd w:val="clear" w:color="auto" w:fill="FFFFFF"/>
        </w:rPr>
        <w:t>.</w:t>
      </w:r>
    </w:p>
    <w:p w14:paraId="004FB73B" w14:textId="7D572527" w:rsidR="00D0302B" w:rsidRDefault="4E95A290" w:rsidP="07AF1209">
      <w:pPr>
        <w:jc w:val="both"/>
        <w:rPr>
          <w:rFonts w:eastAsia="Arial" w:cs="Arial"/>
          <w:color w:val="5B9BD5" w:themeColor="accent5"/>
          <w:sz w:val="22"/>
          <w:szCs w:val="22"/>
        </w:rPr>
      </w:pPr>
      <w:r w:rsidRPr="5964CDA8">
        <w:rPr>
          <w:rFonts w:eastAsia="Arial" w:cs="Arial"/>
          <w:sz w:val="22"/>
          <w:szCs w:val="22"/>
          <w:u w:val="single"/>
        </w:rPr>
        <w:t>Equity:</w:t>
      </w:r>
      <w:r w:rsidRPr="5964CDA8">
        <w:rPr>
          <w:rFonts w:eastAsia="Arial" w:cs="Arial"/>
          <w:sz w:val="22"/>
          <w:szCs w:val="22"/>
        </w:rPr>
        <w:t xml:space="preserve"> The benefits from </w:t>
      </w:r>
      <w:r w:rsidR="1BD1C62C" w:rsidRPr="5964CDA8">
        <w:rPr>
          <w:rFonts w:eastAsia="Arial" w:cs="Arial"/>
          <w:sz w:val="22"/>
          <w:szCs w:val="22"/>
        </w:rPr>
        <w:t xml:space="preserve">projects </w:t>
      </w:r>
      <w:r w:rsidRPr="5964CDA8">
        <w:rPr>
          <w:rFonts w:eastAsia="Arial" w:cs="Arial"/>
          <w:sz w:val="22"/>
          <w:szCs w:val="22"/>
        </w:rPr>
        <w:t xml:space="preserve">are spread across a diverse range of regions and sectors. </w:t>
      </w:r>
      <w:r w:rsidR="45901D6B" w:rsidRPr="5964CDA8">
        <w:rPr>
          <w:rFonts w:eastAsia="Arial" w:cs="Arial"/>
          <w:sz w:val="22"/>
          <w:szCs w:val="22"/>
        </w:rPr>
        <w:t>Across</w:t>
      </w:r>
      <w:r w:rsidR="5B1EFD3F" w:rsidRPr="5964CDA8">
        <w:rPr>
          <w:rFonts w:eastAsia="Arial" w:cs="Arial"/>
          <w:sz w:val="22"/>
          <w:szCs w:val="22"/>
        </w:rPr>
        <w:t xml:space="preserve"> energy, </w:t>
      </w:r>
      <w:r w:rsidR="45901D6B" w:rsidRPr="5964CDA8">
        <w:rPr>
          <w:rFonts w:eastAsia="Arial" w:cs="Arial"/>
          <w:sz w:val="22"/>
          <w:szCs w:val="22"/>
        </w:rPr>
        <w:t>transpor</w:t>
      </w:r>
      <w:r w:rsidR="5211B017" w:rsidRPr="5964CDA8">
        <w:rPr>
          <w:rFonts w:eastAsia="Arial" w:cs="Arial"/>
          <w:sz w:val="22"/>
          <w:szCs w:val="22"/>
        </w:rPr>
        <w:t>t</w:t>
      </w:r>
      <w:r w:rsidR="5E7FDFB9" w:rsidRPr="5964CDA8">
        <w:rPr>
          <w:rFonts w:eastAsia="Arial" w:cs="Arial"/>
          <w:sz w:val="22"/>
          <w:szCs w:val="22"/>
        </w:rPr>
        <w:t>,</w:t>
      </w:r>
      <w:r w:rsidR="69E9D0A8" w:rsidRPr="5964CDA8">
        <w:rPr>
          <w:rFonts w:eastAsia="Arial" w:cs="Arial"/>
          <w:sz w:val="22"/>
          <w:szCs w:val="22"/>
        </w:rPr>
        <w:t xml:space="preserve"> </w:t>
      </w:r>
      <w:r w:rsidR="47E45007" w:rsidRPr="5964CDA8">
        <w:rPr>
          <w:rFonts w:eastAsia="Arial" w:cs="Arial"/>
          <w:sz w:val="22"/>
          <w:szCs w:val="22"/>
        </w:rPr>
        <w:t>industry</w:t>
      </w:r>
      <w:r w:rsidR="45901D6B" w:rsidRPr="5964CDA8">
        <w:rPr>
          <w:rFonts w:eastAsia="Arial" w:cs="Arial"/>
          <w:sz w:val="22"/>
          <w:szCs w:val="22"/>
        </w:rPr>
        <w:t xml:space="preserve"> and </w:t>
      </w:r>
      <w:r w:rsidR="66B6DDC7" w:rsidRPr="5964CDA8">
        <w:rPr>
          <w:rFonts w:eastAsia="Arial" w:cs="Arial"/>
          <w:sz w:val="22"/>
          <w:szCs w:val="22"/>
        </w:rPr>
        <w:t>a</w:t>
      </w:r>
      <w:r w:rsidR="36B5A5F2" w:rsidRPr="5964CDA8">
        <w:rPr>
          <w:rFonts w:eastAsia="Arial" w:cs="Arial"/>
          <w:sz w:val="22"/>
          <w:szCs w:val="22"/>
        </w:rPr>
        <w:t>cross-sector</w:t>
      </w:r>
      <w:r w:rsidR="6A98A31E" w:rsidRPr="5964CDA8">
        <w:rPr>
          <w:rFonts w:eastAsia="Arial" w:cs="Arial"/>
          <w:sz w:val="22"/>
          <w:szCs w:val="22"/>
        </w:rPr>
        <w:t xml:space="preserve">, </w:t>
      </w:r>
      <w:r w:rsidR="3D758430" w:rsidRPr="5964CDA8">
        <w:rPr>
          <w:rFonts w:eastAsia="Arial" w:cs="Arial"/>
          <w:sz w:val="22"/>
          <w:szCs w:val="22"/>
        </w:rPr>
        <w:t>35% of</w:t>
      </w:r>
      <w:r w:rsidR="19D2DD9F" w:rsidRPr="5964CDA8">
        <w:rPr>
          <w:rFonts w:eastAsia="Arial" w:cs="Arial"/>
          <w:sz w:val="22"/>
          <w:szCs w:val="22"/>
        </w:rPr>
        <w:t xml:space="preserve"> </w:t>
      </w:r>
      <w:r w:rsidRPr="5964CDA8">
        <w:rPr>
          <w:rFonts w:eastAsia="Arial" w:cs="Arial"/>
          <w:sz w:val="22"/>
          <w:szCs w:val="22"/>
        </w:rPr>
        <w:t xml:space="preserve">projects in implementation </w:t>
      </w:r>
      <w:r w:rsidR="22FF7CF6" w:rsidRPr="5964CDA8">
        <w:rPr>
          <w:rFonts w:eastAsia="Arial" w:cs="Arial"/>
          <w:sz w:val="22"/>
          <w:szCs w:val="22"/>
        </w:rPr>
        <w:t xml:space="preserve">or DPP </w:t>
      </w:r>
      <w:r w:rsidR="2A947893" w:rsidRPr="5964CDA8">
        <w:rPr>
          <w:rFonts w:eastAsia="Arial" w:cs="Arial"/>
          <w:sz w:val="22"/>
          <w:szCs w:val="22"/>
        </w:rPr>
        <w:t>are in</w:t>
      </w:r>
      <w:r w:rsidR="19D2DD9F" w:rsidRPr="5964CDA8">
        <w:rPr>
          <w:rFonts w:eastAsia="Arial" w:cs="Arial"/>
          <w:sz w:val="22"/>
          <w:szCs w:val="22"/>
        </w:rPr>
        <w:t xml:space="preserve"> </w:t>
      </w:r>
      <w:r w:rsidRPr="5964CDA8">
        <w:rPr>
          <w:rFonts w:eastAsia="Arial" w:cs="Arial"/>
          <w:sz w:val="22"/>
          <w:szCs w:val="22"/>
        </w:rPr>
        <w:t xml:space="preserve">Latin American Region, </w:t>
      </w:r>
      <w:r w:rsidR="12CB3BF6" w:rsidRPr="5964CDA8">
        <w:rPr>
          <w:rFonts w:eastAsia="Arial" w:cs="Arial"/>
          <w:sz w:val="22"/>
          <w:szCs w:val="22"/>
        </w:rPr>
        <w:t>31%</w:t>
      </w:r>
      <w:r w:rsidRPr="5964CDA8">
        <w:rPr>
          <w:rFonts w:eastAsia="Arial" w:cs="Arial"/>
          <w:sz w:val="22"/>
          <w:szCs w:val="22"/>
        </w:rPr>
        <w:t xml:space="preserve"> projects in </w:t>
      </w:r>
      <w:r w:rsidR="19D2DD9F" w:rsidRPr="5964CDA8">
        <w:rPr>
          <w:rFonts w:eastAsia="Arial" w:cs="Arial"/>
          <w:sz w:val="22"/>
          <w:szCs w:val="22"/>
        </w:rPr>
        <w:t>Asia</w:t>
      </w:r>
      <w:r w:rsidR="0ED2DAA5" w:rsidRPr="5964CDA8">
        <w:rPr>
          <w:rFonts w:eastAsia="Arial" w:cs="Arial"/>
          <w:sz w:val="22"/>
          <w:szCs w:val="22"/>
        </w:rPr>
        <w:t>-Pacific</w:t>
      </w:r>
      <w:r w:rsidRPr="5964CDA8">
        <w:rPr>
          <w:rFonts w:eastAsia="Arial" w:cs="Arial"/>
          <w:sz w:val="22"/>
          <w:szCs w:val="22"/>
        </w:rPr>
        <w:t xml:space="preserve">, and </w:t>
      </w:r>
      <w:r w:rsidR="289D99E3" w:rsidRPr="5964CDA8">
        <w:rPr>
          <w:rFonts w:eastAsia="Arial" w:cs="Arial"/>
          <w:sz w:val="22"/>
          <w:szCs w:val="22"/>
        </w:rPr>
        <w:t>34%</w:t>
      </w:r>
      <w:r w:rsidRPr="5964CDA8">
        <w:rPr>
          <w:rFonts w:eastAsia="Arial" w:cs="Arial"/>
          <w:sz w:val="22"/>
          <w:szCs w:val="22"/>
        </w:rPr>
        <w:t xml:space="preserve"> projects in African countries</w:t>
      </w:r>
      <w:r w:rsidR="467F5191" w:rsidRPr="5964CDA8">
        <w:rPr>
          <w:rFonts w:eastAsia="Arial" w:cs="Arial"/>
          <w:sz w:val="22"/>
          <w:szCs w:val="22"/>
        </w:rPr>
        <w:t>.</w:t>
      </w:r>
      <w:r w:rsidRPr="5964CDA8">
        <w:rPr>
          <w:rFonts w:eastAsia="Arial" w:cs="Arial"/>
          <w:sz w:val="22"/>
          <w:szCs w:val="22"/>
        </w:rPr>
        <w:t xml:space="preserve"> </w:t>
      </w:r>
      <w:r w:rsidR="0F32257E" w:rsidRPr="5964CDA8">
        <w:rPr>
          <w:rFonts w:eastAsia="Arial" w:cs="Arial"/>
          <w:sz w:val="22"/>
          <w:szCs w:val="22"/>
        </w:rPr>
        <w:t xml:space="preserve">The portfolio includes </w:t>
      </w:r>
      <w:r w:rsidR="6B26B74D" w:rsidRPr="5964CDA8">
        <w:rPr>
          <w:rFonts w:eastAsia="Arial" w:cs="Arial"/>
          <w:sz w:val="22"/>
          <w:szCs w:val="22"/>
        </w:rPr>
        <w:t>3</w:t>
      </w:r>
      <w:r w:rsidRPr="5964CDA8">
        <w:rPr>
          <w:rFonts w:eastAsia="Arial" w:cs="Arial"/>
          <w:sz w:val="22"/>
          <w:szCs w:val="22"/>
        </w:rPr>
        <w:t xml:space="preserve"> </w:t>
      </w:r>
      <w:r w:rsidR="582DAEB5" w:rsidRPr="5964CDA8">
        <w:rPr>
          <w:rFonts w:eastAsia="Arial" w:cs="Arial"/>
          <w:sz w:val="22"/>
          <w:szCs w:val="22"/>
        </w:rPr>
        <w:t>least</w:t>
      </w:r>
      <w:r w:rsidR="64364881" w:rsidRPr="5964CDA8">
        <w:rPr>
          <w:rFonts w:eastAsia="Arial" w:cs="Arial"/>
          <w:sz w:val="22"/>
          <w:szCs w:val="22"/>
        </w:rPr>
        <w:t xml:space="preserve"> developed countries</w:t>
      </w:r>
      <w:r w:rsidR="1988C984" w:rsidRPr="5964CDA8">
        <w:rPr>
          <w:rFonts w:eastAsia="Arial" w:cs="Arial"/>
          <w:sz w:val="22"/>
          <w:szCs w:val="22"/>
        </w:rPr>
        <w:t xml:space="preserve">, </w:t>
      </w:r>
      <w:r w:rsidR="566B3B34" w:rsidRPr="5964CDA8">
        <w:rPr>
          <w:rFonts w:eastAsia="Arial" w:cs="Arial"/>
          <w:sz w:val="22"/>
          <w:szCs w:val="22"/>
        </w:rPr>
        <w:t>8</w:t>
      </w:r>
      <w:r w:rsidR="1988C984" w:rsidRPr="5964CDA8">
        <w:rPr>
          <w:rFonts w:eastAsia="Arial" w:cs="Arial"/>
          <w:sz w:val="22"/>
          <w:szCs w:val="22"/>
        </w:rPr>
        <w:t xml:space="preserve"> lower middle-income countries and </w:t>
      </w:r>
      <w:r w:rsidR="5002BFBE" w:rsidRPr="5964CDA8">
        <w:rPr>
          <w:rFonts w:eastAsia="Arial" w:cs="Arial"/>
          <w:sz w:val="22"/>
          <w:szCs w:val="22"/>
        </w:rPr>
        <w:t>1</w:t>
      </w:r>
      <w:r w:rsidR="443B5C0E" w:rsidRPr="5964CDA8">
        <w:rPr>
          <w:rFonts w:eastAsia="Arial" w:cs="Arial"/>
          <w:sz w:val="22"/>
          <w:szCs w:val="22"/>
        </w:rPr>
        <w:t>1</w:t>
      </w:r>
      <w:r w:rsidR="1988C984" w:rsidRPr="5964CDA8">
        <w:rPr>
          <w:rFonts w:eastAsia="Arial" w:cs="Arial"/>
          <w:sz w:val="22"/>
          <w:szCs w:val="22"/>
        </w:rPr>
        <w:t xml:space="preserve"> upper middle-income</w:t>
      </w:r>
      <w:r w:rsidRPr="5964CDA8">
        <w:rPr>
          <w:rFonts w:eastAsia="Arial" w:cs="Arial"/>
          <w:sz w:val="22"/>
          <w:szCs w:val="22"/>
        </w:rPr>
        <w:t xml:space="preserve"> </w:t>
      </w:r>
      <w:r w:rsidR="7C1F6EC4" w:rsidRPr="5964CDA8">
        <w:rPr>
          <w:rFonts w:eastAsia="Arial" w:cs="Arial"/>
          <w:sz w:val="22"/>
          <w:szCs w:val="22"/>
        </w:rPr>
        <w:t>countries. One high-income economy is also included; Chile graduated from the OECD DAC list after the project was selected</w:t>
      </w:r>
      <w:r w:rsidR="2B3726A8" w:rsidRPr="5964CDA8">
        <w:rPr>
          <w:rFonts w:eastAsia="Arial" w:cs="Arial"/>
          <w:sz w:val="22"/>
          <w:szCs w:val="22"/>
        </w:rPr>
        <w:t xml:space="preserve"> from the first call for projects in 2013</w:t>
      </w:r>
      <w:r w:rsidR="7C1F6EC4" w:rsidRPr="5964CDA8">
        <w:rPr>
          <w:rFonts w:eastAsia="Arial" w:cs="Arial"/>
          <w:sz w:val="22"/>
          <w:szCs w:val="22"/>
        </w:rPr>
        <w:t>.</w:t>
      </w:r>
      <w:r w:rsidR="764BCCB2" w:rsidRPr="5964CDA8">
        <w:rPr>
          <w:rFonts w:eastAsia="Arial" w:cs="Arial"/>
          <w:sz w:val="22"/>
          <w:szCs w:val="22"/>
        </w:rPr>
        <w:t xml:space="preserve"> </w:t>
      </w:r>
      <w:r w:rsidR="08E72181" w:rsidRPr="5964CDA8">
        <w:rPr>
          <w:rFonts w:eastAsia="Arial" w:cs="Arial"/>
          <w:sz w:val="22"/>
          <w:szCs w:val="22"/>
        </w:rPr>
        <w:t>MAF</w:t>
      </w:r>
      <w:r w:rsidRPr="5964CDA8">
        <w:rPr>
          <w:rFonts w:eastAsia="Arial" w:cs="Arial"/>
          <w:sz w:val="22"/>
          <w:szCs w:val="22"/>
        </w:rPr>
        <w:t xml:space="preserve"> </w:t>
      </w:r>
      <w:r w:rsidR="41E1A09A" w:rsidRPr="5964CDA8">
        <w:rPr>
          <w:rFonts w:eastAsia="Arial" w:cs="Arial"/>
          <w:sz w:val="22"/>
          <w:szCs w:val="22"/>
        </w:rPr>
        <w:t>developed</w:t>
      </w:r>
      <w:r w:rsidRPr="5964CDA8">
        <w:rPr>
          <w:rFonts w:eastAsia="Arial" w:cs="Arial"/>
          <w:sz w:val="22"/>
          <w:szCs w:val="22"/>
        </w:rPr>
        <w:t xml:space="preserve"> </w:t>
      </w:r>
      <w:r w:rsidR="009D6172" w:rsidRPr="5964CDA8">
        <w:rPr>
          <w:rFonts w:eastAsia="Arial" w:cs="Arial"/>
          <w:sz w:val="22"/>
          <w:szCs w:val="22"/>
        </w:rPr>
        <w:t>a Gender</w:t>
      </w:r>
      <w:r w:rsidR="1B2FECA1" w:rsidRPr="5964CDA8">
        <w:rPr>
          <w:rFonts w:eastAsia="Arial" w:cs="Arial"/>
          <w:sz w:val="22"/>
          <w:szCs w:val="22"/>
        </w:rPr>
        <w:t xml:space="preserve"> Action Plan</w:t>
      </w:r>
      <w:r w:rsidR="0FFFD77C" w:rsidRPr="5964CDA8">
        <w:rPr>
          <w:rFonts w:eastAsia="Arial" w:cs="Arial"/>
          <w:sz w:val="22"/>
          <w:szCs w:val="22"/>
        </w:rPr>
        <w:t xml:space="preserve"> in 2023. </w:t>
      </w:r>
      <w:r w:rsidR="6E84075C" w:rsidRPr="5964CDA8">
        <w:rPr>
          <w:rFonts w:eastAsia="Arial" w:cs="Arial"/>
          <w:sz w:val="22"/>
          <w:szCs w:val="22"/>
        </w:rPr>
        <w:t>Using the MAF’s 2022 Gender Vision</w:t>
      </w:r>
      <w:r w:rsidR="751343BE" w:rsidRPr="5964CDA8">
        <w:rPr>
          <w:rFonts w:eastAsia="Arial" w:cs="Arial"/>
          <w:sz w:val="22"/>
          <w:szCs w:val="22"/>
        </w:rPr>
        <w:t xml:space="preserve"> as a building block</w:t>
      </w:r>
      <w:r w:rsidR="6E84075C" w:rsidRPr="5964CDA8">
        <w:rPr>
          <w:rFonts w:eastAsia="Arial" w:cs="Arial"/>
          <w:sz w:val="22"/>
          <w:szCs w:val="22"/>
        </w:rPr>
        <w:t>, t</w:t>
      </w:r>
      <w:r w:rsidR="7DA35145" w:rsidRPr="5964CDA8">
        <w:rPr>
          <w:rFonts w:eastAsia="Arial" w:cs="Arial"/>
          <w:sz w:val="22"/>
          <w:szCs w:val="22"/>
        </w:rPr>
        <w:t xml:space="preserve">he Gender </w:t>
      </w:r>
      <w:r w:rsidR="09C106A4" w:rsidRPr="5964CDA8">
        <w:rPr>
          <w:rFonts w:eastAsia="Arial" w:cs="Arial"/>
          <w:sz w:val="22"/>
          <w:szCs w:val="22"/>
        </w:rPr>
        <w:t xml:space="preserve">Action Plan aims at ensuring equal rights, opportunities, access, decision-making power, and treatment of the interests, needs, and priorities of persons of all genders, and those facing social exclusion and discrimination, within all processes and interventions of </w:t>
      </w:r>
      <w:r w:rsidR="36B54E50" w:rsidRPr="5964CDA8">
        <w:rPr>
          <w:rFonts w:eastAsia="Arial" w:cs="Arial"/>
          <w:sz w:val="22"/>
          <w:szCs w:val="22"/>
        </w:rPr>
        <w:t>the</w:t>
      </w:r>
      <w:r w:rsidR="09C106A4" w:rsidRPr="5964CDA8">
        <w:rPr>
          <w:rFonts w:eastAsia="Arial" w:cs="Arial"/>
          <w:sz w:val="22"/>
          <w:szCs w:val="22"/>
        </w:rPr>
        <w:t xml:space="preserve"> Facility. The plan serves as a practical guide to mainstream gender and social inclusion (GESI) throughout </w:t>
      </w:r>
      <w:r w:rsidR="4D4965A9" w:rsidRPr="5964CDA8">
        <w:rPr>
          <w:rFonts w:eastAsia="Arial" w:cs="Arial"/>
          <w:sz w:val="22"/>
          <w:szCs w:val="22"/>
        </w:rPr>
        <w:t>MAF</w:t>
      </w:r>
      <w:r w:rsidR="09C106A4" w:rsidRPr="5964CDA8">
        <w:rPr>
          <w:rFonts w:eastAsia="Arial" w:cs="Arial"/>
          <w:sz w:val="22"/>
          <w:szCs w:val="22"/>
        </w:rPr>
        <w:t>. During</w:t>
      </w:r>
      <w:r w:rsidRPr="5964CDA8">
        <w:rPr>
          <w:rFonts w:eastAsia="Arial" w:cs="Arial"/>
          <w:sz w:val="22"/>
          <w:szCs w:val="22"/>
        </w:rPr>
        <w:t xml:space="preserve"> the </w:t>
      </w:r>
      <w:r w:rsidR="09C106A4" w:rsidRPr="5964CDA8">
        <w:rPr>
          <w:rFonts w:eastAsia="Arial" w:cs="Arial"/>
          <w:sz w:val="22"/>
          <w:szCs w:val="22"/>
        </w:rPr>
        <w:t>digital kick-off workshops in September</w:t>
      </w:r>
      <w:r w:rsidR="71990239" w:rsidRPr="5964CDA8">
        <w:rPr>
          <w:rFonts w:eastAsia="Arial" w:cs="Arial"/>
          <w:sz w:val="22"/>
          <w:szCs w:val="22"/>
        </w:rPr>
        <w:t xml:space="preserve"> 2023</w:t>
      </w:r>
      <w:r w:rsidR="09C106A4" w:rsidRPr="5964CDA8">
        <w:rPr>
          <w:rFonts w:eastAsia="Arial" w:cs="Arial"/>
          <w:sz w:val="22"/>
          <w:szCs w:val="22"/>
        </w:rPr>
        <w:t xml:space="preserve">, TSU staff and project representatives were introduced to </w:t>
      </w:r>
      <w:r w:rsidRPr="5964CDA8">
        <w:rPr>
          <w:rFonts w:eastAsia="Arial" w:cs="Arial"/>
          <w:sz w:val="22"/>
          <w:szCs w:val="22"/>
        </w:rPr>
        <w:t xml:space="preserve">the </w:t>
      </w:r>
      <w:r w:rsidR="09C106A4" w:rsidRPr="5964CDA8">
        <w:rPr>
          <w:rFonts w:eastAsia="Arial" w:cs="Arial"/>
          <w:sz w:val="22"/>
          <w:szCs w:val="22"/>
        </w:rPr>
        <w:t>new objectives, requirements, and quality-assurance mechanisms as well as to training and sensitisation measures.</w:t>
      </w:r>
      <w:r w:rsidRPr="5964CDA8">
        <w:rPr>
          <w:rFonts w:eastAsia="Arial" w:cs="Arial"/>
          <w:sz w:val="22"/>
          <w:szCs w:val="22"/>
        </w:rPr>
        <w:t xml:space="preserve"> The Facility has strong safeguards in place, as it uses GIZ’s safeguard framework (which matches international best practices), which covers among others the areas of climate and environment, conflict, gender and sexual harassment and violence. </w:t>
      </w:r>
    </w:p>
    <w:p w14:paraId="568D8ABE" w14:textId="036725CC" w:rsidR="00D0302B" w:rsidRDefault="00D0302B" w:rsidP="001B4FD0">
      <w:pPr>
        <w:rPr>
          <w:rFonts w:eastAsia="Arial" w:cs="Arial"/>
          <w:color w:val="000000" w:themeColor="text1"/>
          <w:sz w:val="22"/>
          <w:szCs w:val="22"/>
        </w:rPr>
      </w:pPr>
    </w:p>
    <w:p w14:paraId="0E017600" w14:textId="77777777" w:rsidR="00A931F1" w:rsidRPr="00A931F1" w:rsidRDefault="4EC3E3B7" w:rsidP="00A931F1">
      <w:pPr>
        <w:rPr>
          <w:rFonts w:eastAsia="Arial" w:cs="Arial"/>
        </w:rPr>
      </w:pPr>
      <w:r w:rsidRPr="07AF1209">
        <w:rPr>
          <w:rFonts w:eastAsia="Arial" w:cs="Arial"/>
        </w:rPr>
        <w:t> </w:t>
      </w:r>
    </w:p>
    <w:p w14:paraId="69189166" w14:textId="6B434325" w:rsidR="00A931F1" w:rsidRPr="00DE46EB" w:rsidRDefault="4EC3E3B7" w:rsidP="00A931F1">
      <w:pPr>
        <w:rPr>
          <w:rFonts w:eastAsia="Arial" w:cs="Arial"/>
          <w:sz w:val="22"/>
          <w:szCs w:val="22"/>
        </w:rPr>
      </w:pPr>
      <w:r w:rsidRPr="5964CDA8">
        <w:rPr>
          <w:rFonts w:eastAsia="Arial" w:cs="Arial"/>
          <w:sz w:val="22"/>
          <w:szCs w:val="22"/>
        </w:rPr>
        <w:t xml:space="preserve">Compliance table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A931F1" w:rsidRPr="00DE46EB" w14:paraId="319112C8" w14:textId="77777777" w:rsidTr="07AF1209">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6E8EE71E" w14:textId="77777777" w:rsidR="00A931F1" w:rsidRPr="009D6172" w:rsidRDefault="4EC3E3B7" w:rsidP="00A931F1">
            <w:pPr>
              <w:rPr>
                <w:rFonts w:eastAsia="Arial" w:cs="Arial"/>
                <w:sz w:val="22"/>
                <w:szCs w:val="22"/>
              </w:rPr>
            </w:pPr>
            <w:r w:rsidRPr="07AF1209">
              <w:rPr>
                <w:rFonts w:eastAsia="Arial" w:cs="Arial"/>
                <w:b/>
                <w:bCs/>
                <w:sz w:val="22"/>
                <w:szCs w:val="22"/>
              </w:rPr>
              <w:t>Paris alignment pillar</w:t>
            </w:r>
            <w:r w:rsidRPr="07AF1209">
              <w:rPr>
                <w:rFonts w:eastAsia="Arial" w:cs="Arial"/>
                <w:sz w:val="22"/>
                <w:szCs w:val="22"/>
              </w:rPr>
              <w:t> </w:t>
            </w:r>
          </w:p>
        </w:tc>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7B456DC5" w14:textId="77777777" w:rsidR="00A931F1" w:rsidRPr="009D6172" w:rsidRDefault="4EC3E3B7" w:rsidP="00A931F1">
            <w:pPr>
              <w:rPr>
                <w:rFonts w:eastAsia="Arial" w:cs="Arial"/>
                <w:sz w:val="22"/>
                <w:szCs w:val="22"/>
              </w:rPr>
            </w:pPr>
            <w:r w:rsidRPr="07AF1209">
              <w:rPr>
                <w:rFonts w:eastAsia="Arial" w:cs="Arial"/>
                <w:b/>
                <w:bCs/>
                <w:sz w:val="22"/>
                <w:szCs w:val="22"/>
              </w:rPr>
              <w:t>Description of activity</w:t>
            </w:r>
            <w:r w:rsidRPr="07AF1209">
              <w:rPr>
                <w:rFonts w:eastAsia="Arial" w:cs="Arial"/>
                <w:sz w:val="22"/>
                <w:szCs w:val="22"/>
              </w:rPr>
              <w:t> </w:t>
            </w:r>
          </w:p>
        </w:tc>
      </w:tr>
      <w:tr w:rsidR="00A931F1" w:rsidRPr="00DE46EB" w14:paraId="250006E6" w14:textId="77777777" w:rsidTr="07AF1209">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258A5202" w14:textId="77777777" w:rsidR="00A931F1" w:rsidRPr="009D6172" w:rsidRDefault="4EC3E3B7" w:rsidP="00A931F1">
            <w:pPr>
              <w:rPr>
                <w:rFonts w:eastAsia="Arial" w:cs="Arial"/>
                <w:sz w:val="22"/>
                <w:szCs w:val="22"/>
              </w:rPr>
            </w:pPr>
            <w:r w:rsidRPr="07AF1209">
              <w:rPr>
                <w:rFonts w:eastAsia="Arial" w:cs="Arial"/>
                <w:sz w:val="22"/>
                <w:szCs w:val="22"/>
              </w:rPr>
              <w:t>How have you taken a proportional approach to climate and environment risk assurance? </w:t>
            </w:r>
          </w:p>
        </w:tc>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4678D7EA" w14:textId="6014A098" w:rsidR="00A931F1" w:rsidRPr="00DE46EB" w:rsidRDefault="4EC3E3B7" w:rsidP="07AF1209">
            <w:pPr>
              <w:rPr>
                <w:rFonts w:eastAsia="Arial" w:cs="Arial"/>
              </w:rPr>
            </w:pPr>
            <w:r w:rsidRPr="07AF1209">
              <w:rPr>
                <w:rFonts w:eastAsia="Arial" w:cs="Arial"/>
              </w:rPr>
              <w:t> </w:t>
            </w:r>
            <w:r w:rsidR="249D8C02" w:rsidRPr="07AF1209">
              <w:rPr>
                <w:rFonts w:eastAsia="Arial" w:cs="Arial"/>
                <w:color w:val="212121"/>
                <w:sz w:val="22"/>
                <w:szCs w:val="22"/>
              </w:rPr>
              <w:t>Yes, a climate risk assessment has been undertaken which conclude that the programme is</w:t>
            </w:r>
            <w:r w:rsidR="249D8C02" w:rsidRPr="07AF1209">
              <w:rPr>
                <w:rFonts w:eastAsia="Arial" w:cs="Arial"/>
                <w:b/>
                <w:bCs/>
                <w:color w:val="212121"/>
                <w:sz w:val="22"/>
                <w:szCs w:val="22"/>
              </w:rPr>
              <w:t xml:space="preserve"> low risk.</w:t>
            </w:r>
            <w:r w:rsidR="249D8C02" w:rsidRPr="07AF1209">
              <w:rPr>
                <w:rFonts w:eastAsia="Arial" w:cs="Arial"/>
                <w:color w:val="212121"/>
                <w:sz w:val="22"/>
                <w:szCs w:val="22"/>
              </w:rPr>
              <w:t xml:space="preserve"> An Environmental Screening was also conducted, which was rated </w:t>
            </w:r>
            <w:r w:rsidR="249D8C02" w:rsidRPr="07AF1209">
              <w:rPr>
                <w:rFonts w:eastAsia="Arial" w:cs="Arial"/>
                <w:b/>
                <w:bCs/>
                <w:color w:val="212121"/>
                <w:sz w:val="22"/>
                <w:szCs w:val="22"/>
              </w:rPr>
              <w:t>low risk</w:t>
            </w:r>
          </w:p>
        </w:tc>
      </w:tr>
      <w:tr w:rsidR="00A931F1" w:rsidRPr="00DE46EB" w14:paraId="3FC643AD" w14:textId="77777777" w:rsidTr="07AF1209">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0D1565B2" w14:textId="77777777" w:rsidR="00A931F1" w:rsidRPr="009D6172" w:rsidRDefault="4EC3E3B7" w:rsidP="00A931F1">
            <w:pPr>
              <w:rPr>
                <w:rFonts w:eastAsia="Arial" w:cs="Arial"/>
                <w:sz w:val="22"/>
                <w:szCs w:val="22"/>
              </w:rPr>
            </w:pPr>
            <w:r w:rsidRPr="07AF1209">
              <w:rPr>
                <w:rFonts w:eastAsia="Arial" w:cs="Arial"/>
                <w:sz w:val="22"/>
                <w:szCs w:val="22"/>
              </w:rPr>
              <w:t>How have you taken a proportional approach to using shadow carbon pricing? </w:t>
            </w:r>
          </w:p>
        </w:tc>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08EB23BA" w14:textId="2D0A95C6" w:rsidR="00A931F1" w:rsidRPr="00DE46EB" w:rsidRDefault="4EC3E3B7" w:rsidP="07AF1209">
            <w:pPr>
              <w:rPr>
                <w:rFonts w:eastAsia="Arial" w:cs="Arial"/>
              </w:rPr>
            </w:pPr>
            <w:r w:rsidRPr="07AF1209">
              <w:rPr>
                <w:rFonts w:eastAsia="Arial" w:cs="Arial"/>
              </w:rPr>
              <w:t> </w:t>
            </w:r>
            <w:r w:rsidR="6F18C511" w:rsidRPr="07AF1209">
              <w:rPr>
                <w:rFonts w:eastAsia="Arial" w:cs="Arial"/>
                <w:color w:val="212121"/>
                <w:sz w:val="22"/>
                <w:szCs w:val="22"/>
              </w:rPr>
              <w:t>As the programme does not pertain to any of the relevant sector codes (Water Supply and Sanitation; Social Services and Infrastructure; Economic Infrastructure; Production Sector; Environment Protection; Development Planning), a shadow carbon pricing appraisal is not applicable.</w:t>
            </w:r>
          </w:p>
        </w:tc>
      </w:tr>
      <w:tr w:rsidR="00A931F1" w:rsidRPr="00DE46EB" w14:paraId="7E736C99" w14:textId="77777777" w:rsidTr="07AF1209">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341F2B06" w14:textId="77777777" w:rsidR="00A931F1" w:rsidRPr="009D6172" w:rsidRDefault="4EC3E3B7" w:rsidP="00A931F1">
            <w:pPr>
              <w:rPr>
                <w:rFonts w:eastAsia="Arial" w:cs="Arial"/>
                <w:sz w:val="22"/>
                <w:szCs w:val="22"/>
              </w:rPr>
            </w:pPr>
            <w:r w:rsidRPr="07AF1209">
              <w:rPr>
                <w:rFonts w:eastAsia="Arial" w:cs="Arial"/>
                <w:sz w:val="22"/>
                <w:szCs w:val="22"/>
              </w:rPr>
              <w:t>Does the programme adhere to HMG’s fossil fuel policy? </w:t>
            </w:r>
          </w:p>
        </w:tc>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2AC26397" w14:textId="228A399C" w:rsidR="00A931F1" w:rsidRPr="00DE46EB" w:rsidRDefault="1FF5F047" w:rsidP="07AF1209">
            <w:pPr>
              <w:rPr>
                <w:rFonts w:eastAsia="Arial" w:cs="Arial"/>
              </w:rPr>
            </w:pPr>
            <w:r w:rsidRPr="07AF1209">
              <w:rPr>
                <w:rFonts w:eastAsia="Arial" w:cs="Arial"/>
                <w:color w:val="212121"/>
                <w:sz w:val="22"/>
                <w:szCs w:val="22"/>
              </w:rPr>
              <w:t xml:space="preserve">Yes, the programme is focussed on providing financial and technical assistance to accelerate deployment of clean energy technologies </w:t>
            </w:r>
            <w:r w:rsidRPr="07AF1209">
              <w:rPr>
                <w:rFonts w:eastAsia="Arial" w:cs="Arial"/>
              </w:rPr>
              <w:t xml:space="preserve"> </w:t>
            </w:r>
          </w:p>
        </w:tc>
      </w:tr>
      <w:tr w:rsidR="00A931F1" w:rsidRPr="00DE46EB" w14:paraId="2CB7F608" w14:textId="77777777" w:rsidTr="07AF1209">
        <w:trPr>
          <w:trHeight w:val="525"/>
        </w:trPr>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2D1A1422" w14:textId="77777777" w:rsidR="00A931F1" w:rsidRPr="009D6172" w:rsidRDefault="4EC3E3B7" w:rsidP="00A931F1">
            <w:pPr>
              <w:rPr>
                <w:rFonts w:eastAsia="Arial" w:cs="Arial"/>
                <w:sz w:val="22"/>
                <w:szCs w:val="22"/>
              </w:rPr>
            </w:pPr>
            <w:r w:rsidRPr="07AF1209">
              <w:rPr>
                <w:rFonts w:eastAsia="Arial" w:cs="Arial"/>
                <w:sz w:val="22"/>
                <w:szCs w:val="22"/>
              </w:rPr>
              <w:t>Are you ensuring the programme does not undermine impacted countries climate plans? </w:t>
            </w:r>
          </w:p>
        </w:tc>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5C831B37" w14:textId="6D6753AB" w:rsidR="00A931F1" w:rsidRPr="00DE46EB" w:rsidRDefault="0934B46D" w:rsidP="07AF1209">
            <w:pPr>
              <w:rPr>
                <w:rFonts w:eastAsia="Arial" w:cs="Arial"/>
              </w:rPr>
            </w:pPr>
            <w:r w:rsidRPr="07AF1209">
              <w:rPr>
                <w:rFonts w:eastAsia="Arial" w:cs="Arial"/>
                <w:color w:val="212121"/>
                <w:sz w:val="22"/>
                <w:szCs w:val="22"/>
              </w:rPr>
              <w:t>Yes, the Mitigation Action Facility is designed to specifically aid delivery of national climate plans by providing technical and financial assistance to develop technical, policy, regulatory, investment and innovation-linked projects to accelerate national transitions in line with NDCs and LTSs.</w:t>
            </w:r>
          </w:p>
        </w:tc>
      </w:tr>
    </w:tbl>
    <w:p w14:paraId="68D44245" w14:textId="3AB5809F" w:rsidR="003D222C" w:rsidRPr="00D80C6C" w:rsidRDefault="003D222C" w:rsidP="001B4FD0">
      <w:pPr>
        <w:rPr>
          <w:rFonts w:eastAsia="Arial" w:cs="Arial"/>
        </w:rPr>
      </w:pPr>
    </w:p>
    <w:p w14:paraId="04ECD5A3" w14:textId="77777777" w:rsidR="00095CF9" w:rsidRPr="00D80C6C" w:rsidRDefault="00095CF9" w:rsidP="001B4FD0">
      <w:pPr>
        <w:rPr>
          <w:rFonts w:eastAsia="Arial" w:cs="Arial"/>
        </w:rPr>
      </w:pPr>
    </w:p>
    <w:tbl>
      <w:tblPr>
        <w:tblStyle w:val="TableGrid"/>
        <w:tblW w:w="0" w:type="auto"/>
        <w:tblLook w:val="04A0" w:firstRow="1" w:lastRow="0" w:firstColumn="1" w:lastColumn="0" w:noHBand="0" w:noVBand="1"/>
      </w:tblPr>
      <w:tblGrid>
        <w:gridCol w:w="4508"/>
        <w:gridCol w:w="2268"/>
      </w:tblGrid>
      <w:tr w:rsidR="003D222C" w:rsidRPr="00D80C6C" w14:paraId="237FE329" w14:textId="77777777" w:rsidTr="2AC4FA93">
        <w:tc>
          <w:tcPr>
            <w:tcW w:w="450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1FF5132" w14:textId="77777777" w:rsidR="003D222C" w:rsidRPr="00D80C6C" w:rsidRDefault="003D222C" w:rsidP="001B4FD0">
            <w:pPr>
              <w:rPr>
                <w:rFonts w:eastAsia="Arial" w:cs="Arial"/>
                <w:sz w:val="22"/>
                <w:szCs w:val="22"/>
              </w:rPr>
            </w:pPr>
            <w:r w:rsidRPr="1D6CE88E">
              <w:rPr>
                <w:rFonts w:eastAsia="Arial" w:cs="Arial"/>
                <w:sz w:val="22"/>
                <w:szCs w:val="22"/>
              </w:rPr>
              <w:t>Date of last narrative financial report</w:t>
            </w:r>
          </w:p>
        </w:tc>
        <w:tc>
          <w:tcPr>
            <w:tcW w:w="2268" w:type="dxa"/>
            <w:tcBorders>
              <w:top w:val="single" w:sz="4" w:space="0" w:color="auto"/>
              <w:left w:val="single" w:sz="4" w:space="0" w:color="auto"/>
              <w:bottom w:val="single" w:sz="4" w:space="0" w:color="auto"/>
              <w:right w:val="single" w:sz="4" w:space="0" w:color="auto"/>
            </w:tcBorders>
          </w:tcPr>
          <w:p w14:paraId="2ADAB5DF" w14:textId="77777777" w:rsidR="003D222C" w:rsidRPr="00D80C6C" w:rsidRDefault="003D222C" w:rsidP="001B4FD0">
            <w:pPr>
              <w:rPr>
                <w:rFonts w:eastAsia="Arial" w:cs="Arial"/>
                <w:sz w:val="22"/>
                <w:szCs w:val="22"/>
              </w:rPr>
            </w:pPr>
          </w:p>
        </w:tc>
      </w:tr>
      <w:tr w:rsidR="003D222C" w:rsidRPr="00D80C6C" w14:paraId="1FE89B21" w14:textId="77777777" w:rsidTr="2AC4FA93">
        <w:tc>
          <w:tcPr>
            <w:tcW w:w="450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3A69BE" w14:textId="77777777" w:rsidR="003D222C" w:rsidRPr="00D80C6C" w:rsidRDefault="003D222C" w:rsidP="001B4FD0">
            <w:pPr>
              <w:rPr>
                <w:rFonts w:eastAsia="Arial" w:cs="Arial"/>
                <w:sz w:val="22"/>
                <w:szCs w:val="22"/>
              </w:rPr>
            </w:pPr>
            <w:r w:rsidRPr="1D6CE88E">
              <w:rPr>
                <w:rFonts w:eastAsia="Arial" w:cs="Arial"/>
                <w:sz w:val="22"/>
                <w:szCs w:val="22"/>
              </w:rPr>
              <w:t>Date of last audited annual statement</w:t>
            </w:r>
          </w:p>
        </w:tc>
        <w:tc>
          <w:tcPr>
            <w:tcW w:w="2268" w:type="dxa"/>
            <w:tcBorders>
              <w:top w:val="single" w:sz="4" w:space="0" w:color="auto"/>
              <w:left w:val="single" w:sz="4" w:space="0" w:color="auto"/>
              <w:bottom w:val="single" w:sz="4" w:space="0" w:color="auto"/>
              <w:right w:val="single" w:sz="4" w:space="0" w:color="auto"/>
            </w:tcBorders>
          </w:tcPr>
          <w:p w14:paraId="67F793A9" w14:textId="77777777" w:rsidR="003D222C" w:rsidRPr="00D80C6C" w:rsidRDefault="003D222C" w:rsidP="001B4FD0">
            <w:pPr>
              <w:rPr>
                <w:rFonts w:eastAsia="Arial" w:cs="Arial"/>
                <w:sz w:val="22"/>
                <w:szCs w:val="22"/>
              </w:rPr>
            </w:pPr>
          </w:p>
        </w:tc>
      </w:tr>
    </w:tbl>
    <w:p w14:paraId="4AB97E44" w14:textId="77777777" w:rsidR="003D222C" w:rsidRPr="00D80C6C" w:rsidRDefault="003D222C" w:rsidP="001B4FD0">
      <w:pPr>
        <w:rPr>
          <w:rFonts w:eastAsia="Arial" w:cs="Arial"/>
          <w:sz w:val="22"/>
          <w:szCs w:val="22"/>
        </w:rPr>
      </w:pPr>
    </w:p>
    <w:sectPr w:rsidR="003D222C" w:rsidRPr="00D80C6C" w:rsidSect="00740805">
      <w:headerReference w:type="default" r:id="rId16"/>
      <w:footerReference w:type="default" r:id="rId17"/>
      <w:headerReference w:type="first" r:id="rId18"/>
      <w:footerReference w:type="first" r:id="rId19"/>
      <w:pgSz w:w="11906" w:h="16838"/>
      <w:pgMar w:top="709"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3CB78" w14:textId="77777777" w:rsidR="0028420C" w:rsidRDefault="0028420C" w:rsidP="003D222C">
      <w:r>
        <w:separator/>
      </w:r>
    </w:p>
  </w:endnote>
  <w:endnote w:type="continuationSeparator" w:id="0">
    <w:p w14:paraId="66E73916" w14:textId="77777777" w:rsidR="0028420C" w:rsidRDefault="0028420C" w:rsidP="003D222C">
      <w:r>
        <w:continuationSeparator/>
      </w:r>
    </w:p>
  </w:endnote>
  <w:endnote w:type="continuationNotice" w:id="1">
    <w:p w14:paraId="5EF7BA3A" w14:textId="77777777" w:rsidR="0028420C" w:rsidRDefault="0028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79427"/>
      <w:docPartObj>
        <w:docPartGallery w:val="Page Numbers (Bottom of Page)"/>
        <w:docPartUnique/>
      </w:docPartObj>
    </w:sdtPr>
    <w:sdtEndPr>
      <w:rPr>
        <w:noProof/>
      </w:rPr>
    </w:sdtEndPr>
    <w:sdtContent>
      <w:p w14:paraId="6505D46B" w14:textId="26A3B61B" w:rsidR="00920D19" w:rsidRDefault="00920D1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1D872792" w14:textId="77777777" w:rsidR="00920D19" w:rsidRDefault="00920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DCA5" w14:textId="374A9F15" w:rsidR="00090217" w:rsidRDefault="7849A67F" w:rsidP="00090217">
    <w:pPr>
      <w:pStyle w:val="BEISDate"/>
    </w:pPr>
    <w:r>
      <w:t>August 2024</w:t>
    </w:r>
  </w:p>
  <w:p w14:paraId="4E83EFA8" w14:textId="77777777" w:rsidR="00090217" w:rsidRDefault="00090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A301C" w14:textId="77777777" w:rsidR="0028420C" w:rsidRDefault="0028420C" w:rsidP="003D222C">
      <w:r>
        <w:separator/>
      </w:r>
    </w:p>
  </w:footnote>
  <w:footnote w:type="continuationSeparator" w:id="0">
    <w:p w14:paraId="7BFD0502" w14:textId="77777777" w:rsidR="0028420C" w:rsidRDefault="0028420C" w:rsidP="003D222C">
      <w:r>
        <w:continuationSeparator/>
      </w:r>
    </w:p>
  </w:footnote>
  <w:footnote w:type="continuationNotice" w:id="1">
    <w:p w14:paraId="46206DD1" w14:textId="77777777" w:rsidR="0028420C" w:rsidRDefault="00284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CE93" w14:textId="2A47A344" w:rsidR="00164467" w:rsidRPr="00B00598" w:rsidRDefault="00842CF4" w:rsidP="00164467">
    <w:pPr>
      <w:pStyle w:val="Header"/>
      <w:pBdr>
        <w:bottom w:val="single" w:sz="2" w:space="3" w:color="2B7EE2"/>
      </w:pBdr>
      <w:rPr>
        <w:color w:val="041E42"/>
        <w:sz w:val="22"/>
      </w:rPr>
    </w:pPr>
    <w:r>
      <w:rPr>
        <w:color w:val="041E42"/>
        <w:sz w:val="22"/>
      </w:rPr>
      <w:t>Mitigation Action Facility Annual Review 202</w:t>
    </w:r>
    <w:r w:rsidR="009B384B">
      <w:rPr>
        <w:color w:val="041E42"/>
        <w:sz w:val="22"/>
      </w:rPr>
      <w:t>3</w:t>
    </w:r>
  </w:p>
  <w:p w14:paraId="0FC91CB9" w14:textId="77777777" w:rsidR="00164467" w:rsidRDefault="00164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A78C" w14:textId="3350904A" w:rsidR="00C67FEB" w:rsidRDefault="008545EA">
    <w:pPr>
      <w:pStyle w:val="Header"/>
    </w:pPr>
    <w:r>
      <w:rPr>
        <w:noProof/>
        <w:color w:val="2B579A"/>
        <w:shd w:val="clear" w:color="auto" w:fill="E6E6E6"/>
        <w:lang w:eastAsia="en-GB"/>
      </w:rPr>
      <w:drawing>
        <wp:anchor distT="0" distB="0" distL="114300" distR="114300" simplePos="0" relativeHeight="251658240" behindDoc="0" locked="0" layoutInCell="1" allowOverlap="1" wp14:anchorId="34BC2526" wp14:editId="70FCA39A">
          <wp:simplePos x="0" y="0"/>
          <wp:positionH relativeFrom="column">
            <wp:posOffset>-942975</wp:posOffset>
          </wp:positionH>
          <wp:positionV relativeFrom="paragraph">
            <wp:posOffset>-438785</wp:posOffset>
          </wp:positionV>
          <wp:extent cx="2383200" cy="1674000"/>
          <wp:effectExtent l="0" t="0" r="0" b="0"/>
          <wp:wrapNone/>
          <wp:docPr id="3" name="Picture 3" descr="Logo - Department for Business, Enegy and Industrial Strategy &amp; Industrial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document-headers_BEIS-INTERNAL-1.png"/>
                  <pic:cNvPicPr/>
                </pic:nvPicPr>
                <pic:blipFill rotWithShape="1">
                  <a:blip r:embed="rId1"/>
                  <a:srcRect r="69232"/>
                  <a:stretch/>
                </pic:blipFill>
                <pic:spPr bwMode="auto">
                  <a:xfrm>
                    <a:off x="0" y="0"/>
                    <a:ext cx="2383200" cy="167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UjzQz4N6JwzqU" int2:id="NFbzUBD6">
      <int2:state int2:value="Rejected" int2:type="AugLoop_Text_Critique"/>
    </int2:textHash>
    <int2:textHash int2:hashCode="c+Xt49Zu53G1ZJ" int2:id="Nt5Cgl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D36"/>
    <w:multiLevelType w:val="hybridMultilevel"/>
    <w:tmpl w:val="C142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70B3B"/>
    <w:multiLevelType w:val="hybridMultilevel"/>
    <w:tmpl w:val="11EA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5FBBE"/>
    <w:multiLevelType w:val="hybridMultilevel"/>
    <w:tmpl w:val="FFFFFFFF"/>
    <w:lvl w:ilvl="0" w:tplc="4104C658">
      <w:start w:val="1"/>
      <w:numFmt w:val="bullet"/>
      <w:lvlText w:val=""/>
      <w:lvlJc w:val="left"/>
      <w:pPr>
        <w:ind w:left="720" w:hanging="360"/>
      </w:pPr>
      <w:rPr>
        <w:rFonts w:ascii="Symbol" w:hAnsi="Symbol" w:hint="default"/>
      </w:rPr>
    </w:lvl>
    <w:lvl w:ilvl="1" w:tplc="9198E30E">
      <w:start w:val="1"/>
      <w:numFmt w:val="bullet"/>
      <w:lvlText w:val="o"/>
      <w:lvlJc w:val="left"/>
      <w:pPr>
        <w:ind w:left="1440" w:hanging="360"/>
      </w:pPr>
      <w:rPr>
        <w:rFonts w:ascii="Courier New" w:hAnsi="Courier New" w:hint="default"/>
      </w:rPr>
    </w:lvl>
    <w:lvl w:ilvl="2" w:tplc="42BA49D8">
      <w:start w:val="1"/>
      <w:numFmt w:val="bullet"/>
      <w:lvlText w:val=""/>
      <w:lvlJc w:val="left"/>
      <w:pPr>
        <w:ind w:left="2160" w:hanging="360"/>
      </w:pPr>
      <w:rPr>
        <w:rFonts w:ascii="Wingdings" w:hAnsi="Wingdings" w:hint="default"/>
      </w:rPr>
    </w:lvl>
    <w:lvl w:ilvl="3" w:tplc="3D1A821A">
      <w:start w:val="1"/>
      <w:numFmt w:val="bullet"/>
      <w:lvlText w:val=""/>
      <w:lvlJc w:val="left"/>
      <w:pPr>
        <w:ind w:left="2880" w:hanging="360"/>
      </w:pPr>
      <w:rPr>
        <w:rFonts w:ascii="Symbol" w:hAnsi="Symbol" w:hint="default"/>
      </w:rPr>
    </w:lvl>
    <w:lvl w:ilvl="4" w:tplc="911C4796">
      <w:start w:val="1"/>
      <w:numFmt w:val="bullet"/>
      <w:lvlText w:val="o"/>
      <w:lvlJc w:val="left"/>
      <w:pPr>
        <w:ind w:left="3600" w:hanging="360"/>
      </w:pPr>
      <w:rPr>
        <w:rFonts w:ascii="Courier New" w:hAnsi="Courier New" w:hint="default"/>
      </w:rPr>
    </w:lvl>
    <w:lvl w:ilvl="5" w:tplc="AAFAD954">
      <w:start w:val="1"/>
      <w:numFmt w:val="bullet"/>
      <w:lvlText w:val=""/>
      <w:lvlJc w:val="left"/>
      <w:pPr>
        <w:ind w:left="4320" w:hanging="360"/>
      </w:pPr>
      <w:rPr>
        <w:rFonts w:ascii="Wingdings" w:hAnsi="Wingdings" w:hint="default"/>
      </w:rPr>
    </w:lvl>
    <w:lvl w:ilvl="6" w:tplc="E928224E">
      <w:start w:val="1"/>
      <w:numFmt w:val="bullet"/>
      <w:lvlText w:val=""/>
      <w:lvlJc w:val="left"/>
      <w:pPr>
        <w:ind w:left="5040" w:hanging="360"/>
      </w:pPr>
      <w:rPr>
        <w:rFonts w:ascii="Symbol" w:hAnsi="Symbol" w:hint="default"/>
      </w:rPr>
    </w:lvl>
    <w:lvl w:ilvl="7" w:tplc="736A19C2">
      <w:start w:val="1"/>
      <w:numFmt w:val="bullet"/>
      <w:lvlText w:val="o"/>
      <w:lvlJc w:val="left"/>
      <w:pPr>
        <w:ind w:left="5760" w:hanging="360"/>
      </w:pPr>
      <w:rPr>
        <w:rFonts w:ascii="Courier New" w:hAnsi="Courier New" w:hint="default"/>
      </w:rPr>
    </w:lvl>
    <w:lvl w:ilvl="8" w:tplc="6BCAC0E4">
      <w:start w:val="1"/>
      <w:numFmt w:val="bullet"/>
      <w:lvlText w:val=""/>
      <w:lvlJc w:val="left"/>
      <w:pPr>
        <w:ind w:left="6480" w:hanging="360"/>
      </w:pPr>
      <w:rPr>
        <w:rFonts w:ascii="Wingdings" w:hAnsi="Wingdings" w:hint="default"/>
      </w:rPr>
    </w:lvl>
  </w:abstractNum>
  <w:abstractNum w:abstractNumId="3" w15:restartNumberingAfterBreak="0">
    <w:nsid w:val="1AC35234"/>
    <w:multiLevelType w:val="hybridMultilevel"/>
    <w:tmpl w:val="C9B84288"/>
    <w:lvl w:ilvl="0" w:tplc="D63693FC">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7D4F60"/>
    <w:multiLevelType w:val="hybridMultilevel"/>
    <w:tmpl w:val="AE4E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13E5F"/>
    <w:multiLevelType w:val="hybridMultilevel"/>
    <w:tmpl w:val="1EDE7E5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56490D"/>
    <w:multiLevelType w:val="hybridMultilevel"/>
    <w:tmpl w:val="90A452C8"/>
    <w:lvl w:ilvl="0" w:tplc="D63693FC">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1C7380"/>
    <w:multiLevelType w:val="hybridMultilevel"/>
    <w:tmpl w:val="FFFFFFFF"/>
    <w:lvl w:ilvl="0" w:tplc="64628B4C">
      <w:start w:val="1"/>
      <w:numFmt w:val="bullet"/>
      <w:lvlText w:val=""/>
      <w:lvlJc w:val="left"/>
      <w:pPr>
        <w:ind w:left="720" w:hanging="360"/>
      </w:pPr>
      <w:rPr>
        <w:rFonts w:ascii="Symbol" w:hAnsi="Symbol" w:hint="default"/>
      </w:rPr>
    </w:lvl>
    <w:lvl w:ilvl="1" w:tplc="7526C7E6">
      <w:start w:val="1"/>
      <w:numFmt w:val="bullet"/>
      <w:lvlText w:val="o"/>
      <w:lvlJc w:val="left"/>
      <w:pPr>
        <w:ind w:left="1440" w:hanging="360"/>
      </w:pPr>
      <w:rPr>
        <w:rFonts w:ascii="Courier New" w:hAnsi="Courier New" w:hint="default"/>
      </w:rPr>
    </w:lvl>
    <w:lvl w:ilvl="2" w:tplc="4EE8A096">
      <w:start w:val="1"/>
      <w:numFmt w:val="bullet"/>
      <w:lvlText w:val=""/>
      <w:lvlJc w:val="left"/>
      <w:pPr>
        <w:ind w:left="2160" w:hanging="360"/>
      </w:pPr>
      <w:rPr>
        <w:rFonts w:ascii="Wingdings" w:hAnsi="Wingdings" w:hint="default"/>
      </w:rPr>
    </w:lvl>
    <w:lvl w:ilvl="3" w:tplc="2C4A9454">
      <w:start w:val="1"/>
      <w:numFmt w:val="bullet"/>
      <w:lvlText w:val=""/>
      <w:lvlJc w:val="left"/>
      <w:pPr>
        <w:ind w:left="2880" w:hanging="360"/>
      </w:pPr>
      <w:rPr>
        <w:rFonts w:ascii="Symbol" w:hAnsi="Symbol" w:hint="default"/>
      </w:rPr>
    </w:lvl>
    <w:lvl w:ilvl="4" w:tplc="E0140E4E">
      <w:start w:val="1"/>
      <w:numFmt w:val="bullet"/>
      <w:lvlText w:val="o"/>
      <w:lvlJc w:val="left"/>
      <w:pPr>
        <w:ind w:left="3600" w:hanging="360"/>
      </w:pPr>
      <w:rPr>
        <w:rFonts w:ascii="Courier New" w:hAnsi="Courier New" w:hint="default"/>
      </w:rPr>
    </w:lvl>
    <w:lvl w:ilvl="5" w:tplc="2FC05F80">
      <w:start w:val="1"/>
      <w:numFmt w:val="bullet"/>
      <w:lvlText w:val=""/>
      <w:lvlJc w:val="left"/>
      <w:pPr>
        <w:ind w:left="4320" w:hanging="360"/>
      </w:pPr>
      <w:rPr>
        <w:rFonts w:ascii="Wingdings" w:hAnsi="Wingdings" w:hint="default"/>
      </w:rPr>
    </w:lvl>
    <w:lvl w:ilvl="6" w:tplc="315AB00E">
      <w:start w:val="1"/>
      <w:numFmt w:val="bullet"/>
      <w:lvlText w:val=""/>
      <w:lvlJc w:val="left"/>
      <w:pPr>
        <w:ind w:left="5040" w:hanging="360"/>
      </w:pPr>
      <w:rPr>
        <w:rFonts w:ascii="Symbol" w:hAnsi="Symbol" w:hint="default"/>
      </w:rPr>
    </w:lvl>
    <w:lvl w:ilvl="7" w:tplc="A92816C0">
      <w:start w:val="1"/>
      <w:numFmt w:val="bullet"/>
      <w:lvlText w:val="o"/>
      <w:lvlJc w:val="left"/>
      <w:pPr>
        <w:ind w:left="5760" w:hanging="360"/>
      </w:pPr>
      <w:rPr>
        <w:rFonts w:ascii="Courier New" w:hAnsi="Courier New" w:hint="default"/>
      </w:rPr>
    </w:lvl>
    <w:lvl w:ilvl="8" w:tplc="185E3CBE">
      <w:start w:val="1"/>
      <w:numFmt w:val="bullet"/>
      <w:lvlText w:val=""/>
      <w:lvlJc w:val="left"/>
      <w:pPr>
        <w:ind w:left="6480" w:hanging="360"/>
      </w:pPr>
      <w:rPr>
        <w:rFonts w:ascii="Wingdings" w:hAnsi="Wingdings" w:hint="default"/>
      </w:rPr>
    </w:lvl>
  </w:abstractNum>
  <w:abstractNum w:abstractNumId="8" w15:restartNumberingAfterBreak="0">
    <w:nsid w:val="2FE113ED"/>
    <w:multiLevelType w:val="hybridMultilevel"/>
    <w:tmpl w:val="604C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426D5"/>
    <w:multiLevelType w:val="hybridMultilevel"/>
    <w:tmpl w:val="561C0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414A5"/>
    <w:multiLevelType w:val="multilevel"/>
    <w:tmpl w:val="BC9423CE"/>
    <w:lvl w:ilvl="0">
      <w:start w:val="1"/>
      <w:numFmt w:val="bullet"/>
      <w:lvlText w:val=""/>
      <w:lvlJc w:val="left"/>
      <w:pPr>
        <w:tabs>
          <w:tab w:val="num" w:pos="720"/>
        </w:tabs>
        <w:ind w:left="720" w:hanging="360"/>
      </w:pPr>
      <w:rPr>
        <w:rFonts w:ascii="Symbol" w:hAnsi="Symbol" w:hint="default"/>
        <w:b/>
        <w:i w:val="0"/>
        <w:color w:val="0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42184"/>
    <w:multiLevelType w:val="hybridMultilevel"/>
    <w:tmpl w:val="0CC0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5658A"/>
    <w:multiLevelType w:val="hybridMultilevel"/>
    <w:tmpl w:val="77F6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67EE2"/>
    <w:multiLevelType w:val="hybridMultilevel"/>
    <w:tmpl w:val="148C98AA"/>
    <w:lvl w:ilvl="0" w:tplc="D63693FC">
      <w:start w:val="1"/>
      <w:numFmt w:val="bullet"/>
      <w:lvlText w:val="-"/>
      <w:lvlJc w:val="left"/>
      <w:pPr>
        <w:ind w:left="1080" w:hanging="360"/>
      </w:pPr>
      <w:rPr>
        <w:rFonts w:ascii="Courier New" w:hAnsi="Courier New" w:hint="default"/>
      </w:rPr>
    </w:lvl>
    <w:lvl w:ilvl="1" w:tplc="D63693FC">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167244"/>
    <w:multiLevelType w:val="hybridMultilevel"/>
    <w:tmpl w:val="FFFFFFFF"/>
    <w:lvl w:ilvl="0" w:tplc="5E2C1CA4">
      <w:start w:val="1"/>
      <w:numFmt w:val="bullet"/>
      <w:lvlText w:val="·"/>
      <w:lvlJc w:val="left"/>
      <w:pPr>
        <w:ind w:left="720" w:hanging="360"/>
      </w:pPr>
      <w:rPr>
        <w:rFonts w:ascii="Symbol" w:hAnsi="Symbol" w:hint="default"/>
      </w:rPr>
    </w:lvl>
    <w:lvl w:ilvl="1" w:tplc="459AAB76">
      <w:start w:val="1"/>
      <w:numFmt w:val="bullet"/>
      <w:lvlText w:val="o"/>
      <w:lvlJc w:val="left"/>
      <w:pPr>
        <w:ind w:left="1440" w:hanging="360"/>
      </w:pPr>
      <w:rPr>
        <w:rFonts w:ascii="Courier New" w:hAnsi="Courier New" w:hint="default"/>
      </w:rPr>
    </w:lvl>
    <w:lvl w:ilvl="2" w:tplc="46D8542A">
      <w:start w:val="1"/>
      <w:numFmt w:val="bullet"/>
      <w:lvlText w:val=""/>
      <w:lvlJc w:val="left"/>
      <w:pPr>
        <w:ind w:left="2160" w:hanging="360"/>
      </w:pPr>
      <w:rPr>
        <w:rFonts w:ascii="Wingdings" w:hAnsi="Wingdings" w:hint="default"/>
      </w:rPr>
    </w:lvl>
    <w:lvl w:ilvl="3" w:tplc="52A4DCE2">
      <w:start w:val="1"/>
      <w:numFmt w:val="bullet"/>
      <w:lvlText w:val=""/>
      <w:lvlJc w:val="left"/>
      <w:pPr>
        <w:ind w:left="2880" w:hanging="360"/>
      </w:pPr>
      <w:rPr>
        <w:rFonts w:ascii="Symbol" w:hAnsi="Symbol" w:hint="default"/>
      </w:rPr>
    </w:lvl>
    <w:lvl w:ilvl="4" w:tplc="46D0FBA4">
      <w:start w:val="1"/>
      <w:numFmt w:val="bullet"/>
      <w:lvlText w:val="o"/>
      <w:lvlJc w:val="left"/>
      <w:pPr>
        <w:ind w:left="3600" w:hanging="360"/>
      </w:pPr>
      <w:rPr>
        <w:rFonts w:ascii="Courier New" w:hAnsi="Courier New" w:hint="default"/>
      </w:rPr>
    </w:lvl>
    <w:lvl w:ilvl="5" w:tplc="5E925F22">
      <w:start w:val="1"/>
      <w:numFmt w:val="bullet"/>
      <w:lvlText w:val=""/>
      <w:lvlJc w:val="left"/>
      <w:pPr>
        <w:ind w:left="4320" w:hanging="360"/>
      </w:pPr>
      <w:rPr>
        <w:rFonts w:ascii="Wingdings" w:hAnsi="Wingdings" w:hint="default"/>
      </w:rPr>
    </w:lvl>
    <w:lvl w:ilvl="6" w:tplc="0E3A454A">
      <w:start w:val="1"/>
      <w:numFmt w:val="bullet"/>
      <w:lvlText w:val=""/>
      <w:lvlJc w:val="left"/>
      <w:pPr>
        <w:ind w:left="5040" w:hanging="360"/>
      </w:pPr>
      <w:rPr>
        <w:rFonts w:ascii="Symbol" w:hAnsi="Symbol" w:hint="default"/>
      </w:rPr>
    </w:lvl>
    <w:lvl w:ilvl="7" w:tplc="8BDAB9EA">
      <w:start w:val="1"/>
      <w:numFmt w:val="bullet"/>
      <w:lvlText w:val="o"/>
      <w:lvlJc w:val="left"/>
      <w:pPr>
        <w:ind w:left="5760" w:hanging="360"/>
      </w:pPr>
      <w:rPr>
        <w:rFonts w:ascii="Courier New" w:hAnsi="Courier New" w:hint="default"/>
      </w:rPr>
    </w:lvl>
    <w:lvl w:ilvl="8" w:tplc="D494EC9C">
      <w:start w:val="1"/>
      <w:numFmt w:val="bullet"/>
      <w:lvlText w:val=""/>
      <w:lvlJc w:val="left"/>
      <w:pPr>
        <w:ind w:left="6480" w:hanging="360"/>
      </w:pPr>
      <w:rPr>
        <w:rFonts w:ascii="Wingdings" w:hAnsi="Wingdings" w:hint="default"/>
      </w:rPr>
    </w:lvl>
  </w:abstractNum>
  <w:abstractNum w:abstractNumId="15" w15:restartNumberingAfterBreak="0">
    <w:nsid w:val="46F97A37"/>
    <w:multiLevelType w:val="hybridMultilevel"/>
    <w:tmpl w:val="B3068798"/>
    <w:lvl w:ilvl="0" w:tplc="D63693FC">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702F0A"/>
    <w:multiLevelType w:val="hybridMultilevel"/>
    <w:tmpl w:val="7FF6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01B62"/>
    <w:multiLevelType w:val="hybridMultilevel"/>
    <w:tmpl w:val="735A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C6E1A"/>
    <w:multiLevelType w:val="hybridMultilevel"/>
    <w:tmpl w:val="48DA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87B37"/>
    <w:multiLevelType w:val="hybridMultilevel"/>
    <w:tmpl w:val="E444C816"/>
    <w:lvl w:ilvl="0" w:tplc="94FAE88C">
      <w:start w:val="1"/>
      <w:numFmt w:val="bullet"/>
      <w:lvlText w:val=""/>
      <w:lvlJc w:val="left"/>
      <w:pPr>
        <w:ind w:left="720" w:hanging="360"/>
      </w:pPr>
      <w:rPr>
        <w:rFonts w:ascii="Symbol" w:hAnsi="Symbol" w:hint="default"/>
        <w:color w:val="auto"/>
      </w:rPr>
    </w:lvl>
    <w:lvl w:ilvl="1" w:tplc="43766C22">
      <w:start w:val="1"/>
      <w:numFmt w:val="bullet"/>
      <w:lvlText w:val="o"/>
      <w:lvlJc w:val="left"/>
      <w:pPr>
        <w:ind w:left="1440" w:hanging="360"/>
      </w:pPr>
      <w:rPr>
        <w:rFonts w:ascii="Courier New" w:hAnsi="Courier New" w:hint="default"/>
      </w:rPr>
    </w:lvl>
    <w:lvl w:ilvl="2" w:tplc="E36E870C">
      <w:start w:val="1"/>
      <w:numFmt w:val="bullet"/>
      <w:lvlText w:val=""/>
      <w:lvlJc w:val="left"/>
      <w:pPr>
        <w:ind w:left="2160" w:hanging="360"/>
      </w:pPr>
      <w:rPr>
        <w:rFonts w:ascii="Wingdings" w:hAnsi="Wingdings" w:hint="default"/>
      </w:rPr>
    </w:lvl>
    <w:lvl w:ilvl="3" w:tplc="3E664B44">
      <w:start w:val="1"/>
      <w:numFmt w:val="bullet"/>
      <w:lvlText w:val=""/>
      <w:lvlJc w:val="left"/>
      <w:pPr>
        <w:ind w:left="2880" w:hanging="360"/>
      </w:pPr>
      <w:rPr>
        <w:rFonts w:ascii="Symbol" w:hAnsi="Symbol" w:hint="default"/>
      </w:rPr>
    </w:lvl>
    <w:lvl w:ilvl="4" w:tplc="C4906EB8">
      <w:start w:val="1"/>
      <w:numFmt w:val="bullet"/>
      <w:lvlText w:val="o"/>
      <w:lvlJc w:val="left"/>
      <w:pPr>
        <w:ind w:left="3600" w:hanging="360"/>
      </w:pPr>
      <w:rPr>
        <w:rFonts w:ascii="Courier New" w:hAnsi="Courier New" w:hint="default"/>
      </w:rPr>
    </w:lvl>
    <w:lvl w:ilvl="5" w:tplc="EC6CAA0C">
      <w:start w:val="1"/>
      <w:numFmt w:val="bullet"/>
      <w:lvlText w:val=""/>
      <w:lvlJc w:val="left"/>
      <w:pPr>
        <w:ind w:left="4320" w:hanging="360"/>
      </w:pPr>
      <w:rPr>
        <w:rFonts w:ascii="Wingdings" w:hAnsi="Wingdings" w:hint="default"/>
      </w:rPr>
    </w:lvl>
    <w:lvl w:ilvl="6" w:tplc="129C5D40">
      <w:start w:val="1"/>
      <w:numFmt w:val="bullet"/>
      <w:lvlText w:val=""/>
      <w:lvlJc w:val="left"/>
      <w:pPr>
        <w:ind w:left="5040" w:hanging="360"/>
      </w:pPr>
      <w:rPr>
        <w:rFonts w:ascii="Symbol" w:hAnsi="Symbol" w:hint="default"/>
      </w:rPr>
    </w:lvl>
    <w:lvl w:ilvl="7" w:tplc="EC5C24E0">
      <w:start w:val="1"/>
      <w:numFmt w:val="bullet"/>
      <w:lvlText w:val="o"/>
      <w:lvlJc w:val="left"/>
      <w:pPr>
        <w:ind w:left="5760" w:hanging="360"/>
      </w:pPr>
      <w:rPr>
        <w:rFonts w:ascii="Courier New" w:hAnsi="Courier New" w:hint="default"/>
      </w:rPr>
    </w:lvl>
    <w:lvl w:ilvl="8" w:tplc="02A48848">
      <w:start w:val="1"/>
      <w:numFmt w:val="bullet"/>
      <w:lvlText w:val=""/>
      <w:lvlJc w:val="left"/>
      <w:pPr>
        <w:ind w:left="6480" w:hanging="360"/>
      </w:pPr>
      <w:rPr>
        <w:rFonts w:ascii="Wingdings" w:hAnsi="Wingdings" w:hint="default"/>
      </w:rPr>
    </w:lvl>
  </w:abstractNum>
  <w:abstractNum w:abstractNumId="20" w15:restartNumberingAfterBreak="0">
    <w:nsid w:val="563F740E"/>
    <w:multiLevelType w:val="hybridMultilevel"/>
    <w:tmpl w:val="207A6D9C"/>
    <w:lvl w:ilvl="0" w:tplc="6FFC84A2">
      <w:start w:val="1"/>
      <w:numFmt w:val="bullet"/>
      <w:lvlText w:val=""/>
      <w:lvlJc w:val="left"/>
      <w:pPr>
        <w:ind w:left="720" w:hanging="360"/>
      </w:pPr>
      <w:rPr>
        <w:rFonts w:ascii="Symbol" w:hAnsi="Symbol"/>
      </w:rPr>
    </w:lvl>
    <w:lvl w:ilvl="1" w:tplc="D29ADBAC">
      <w:start w:val="1"/>
      <w:numFmt w:val="bullet"/>
      <w:lvlText w:val=""/>
      <w:lvlJc w:val="left"/>
      <w:pPr>
        <w:ind w:left="720" w:hanging="360"/>
      </w:pPr>
      <w:rPr>
        <w:rFonts w:ascii="Symbol" w:hAnsi="Symbol"/>
      </w:rPr>
    </w:lvl>
    <w:lvl w:ilvl="2" w:tplc="F7D64FC2">
      <w:start w:val="1"/>
      <w:numFmt w:val="bullet"/>
      <w:lvlText w:val=""/>
      <w:lvlJc w:val="left"/>
      <w:pPr>
        <w:ind w:left="720" w:hanging="360"/>
      </w:pPr>
      <w:rPr>
        <w:rFonts w:ascii="Symbol" w:hAnsi="Symbol"/>
      </w:rPr>
    </w:lvl>
    <w:lvl w:ilvl="3" w:tplc="3E0CE40C">
      <w:start w:val="1"/>
      <w:numFmt w:val="bullet"/>
      <w:lvlText w:val=""/>
      <w:lvlJc w:val="left"/>
      <w:pPr>
        <w:ind w:left="720" w:hanging="360"/>
      </w:pPr>
      <w:rPr>
        <w:rFonts w:ascii="Symbol" w:hAnsi="Symbol"/>
      </w:rPr>
    </w:lvl>
    <w:lvl w:ilvl="4" w:tplc="5F584DFC">
      <w:start w:val="1"/>
      <w:numFmt w:val="bullet"/>
      <w:lvlText w:val=""/>
      <w:lvlJc w:val="left"/>
      <w:pPr>
        <w:ind w:left="720" w:hanging="360"/>
      </w:pPr>
      <w:rPr>
        <w:rFonts w:ascii="Symbol" w:hAnsi="Symbol"/>
      </w:rPr>
    </w:lvl>
    <w:lvl w:ilvl="5" w:tplc="39EC752C">
      <w:start w:val="1"/>
      <w:numFmt w:val="bullet"/>
      <w:lvlText w:val=""/>
      <w:lvlJc w:val="left"/>
      <w:pPr>
        <w:ind w:left="720" w:hanging="360"/>
      </w:pPr>
      <w:rPr>
        <w:rFonts w:ascii="Symbol" w:hAnsi="Symbol"/>
      </w:rPr>
    </w:lvl>
    <w:lvl w:ilvl="6" w:tplc="ADD690B0">
      <w:start w:val="1"/>
      <w:numFmt w:val="bullet"/>
      <w:lvlText w:val=""/>
      <w:lvlJc w:val="left"/>
      <w:pPr>
        <w:ind w:left="720" w:hanging="360"/>
      </w:pPr>
      <w:rPr>
        <w:rFonts w:ascii="Symbol" w:hAnsi="Symbol"/>
      </w:rPr>
    </w:lvl>
    <w:lvl w:ilvl="7" w:tplc="274CEE94">
      <w:start w:val="1"/>
      <w:numFmt w:val="bullet"/>
      <w:lvlText w:val=""/>
      <w:lvlJc w:val="left"/>
      <w:pPr>
        <w:ind w:left="720" w:hanging="360"/>
      </w:pPr>
      <w:rPr>
        <w:rFonts w:ascii="Symbol" w:hAnsi="Symbol"/>
      </w:rPr>
    </w:lvl>
    <w:lvl w:ilvl="8" w:tplc="647ED628">
      <w:start w:val="1"/>
      <w:numFmt w:val="bullet"/>
      <w:lvlText w:val=""/>
      <w:lvlJc w:val="left"/>
      <w:pPr>
        <w:ind w:left="720" w:hanging="360"/>
      </w:pPr>
      <w:rPr>
        <w:rFonts w:ascii="Symbol" w:hAnsi="Symbol"/>
      </w:rPr>
    </w:lvl>
  </w:abstractNum>
  <w:abstractNum w:abstractNumId="21" w15:restartNumberingAfterBreak="0">
    <w:nsid w:val="5919B0A9"/>
    <w:multiLevelType w:val="hybridMultilevel"/>
    <w:tmpl w:val="FFFFFFFF"/>
    <w:lvl w:ilvl="0" w:tplc="EF38F112">
      <w:start w:val="1"/>
      <w:numFmt w:val="bullet"/>
      <w:lvlText w:val=""/>
      <w:lvlJc w:val="left"/>
      <w:pPr>
        <w:ind w:left="720" w:hanging="360"/>
      </w:pPr>
      <w:rPr>
        <w:rFonts w:ascii="Symbol" w:hAnsi="Symbol" w:hint="default"/>
      </w:rPr>
    </w:lvl>
    <w:lvl w:ilvl="1" w:tplc="F9B8C9C8">
      <w:start w:val="1"/>
      <w:numFmt w:val="bullet"/>
      <w:lvlText w:val="o"/>
      <w:lvlJc w:val="left"/>
      <w:pPr>
        <w:ind w:left="1440" w:hanging="360"/>
      </w:pPr>
      <w:rPr>
        <w:rFonts w:ascii="Courier New" w:hAnsi="Courier New" w:hint="default"/>
      </w:rPr>
    </w:lvl>
    <w:lvl w:ilvl="2" w:tplc="8396928E">
      <w:start w:val="1"/>
      <w:numFmt w:val="bullet"/>
      <w:lvlText w:val=""/>
      <w:lvlJc w:val="left"/>
      <w:pPr>
        <w:ind w:left="2160" w:hanging="360"/>
      </w:pPr>
      <w:rPr>
        <w:rFonts w:ascii="Wingdings" w:hAnsi="Wingdings" w:hint="default"/>
      </w:rPr>
    </w:lvl>
    <w:lvl w:ilvl="3" w:tplc="D10E822C">
      <w:start w:val="1"/>
      <w:numFmt w:val="bullet"/>
      <w:lvlText w:val=""/>
      <w:lvlJc w:val="left"/>
      <w:pPr>
        <w:ind w:left="2880" w:hanging="360"/>
      </w:pPr>
      <w:rPr>
        <w:rFonts w:ascii="Symbol" w:hAnsi="Symbol" w:hint="default"/>
      </w:rPr>
    </w:lvl>
    <w:lvl w:ilvl="4" w:tplc="6568B078">
      <w:start w:val="1"/>
      <w:numFmt w:val="bullet"/>
      <w:lvlText w:val="o"/>
      <w:lvlJc w:val="left"/>
      <w:pPr>
        <w:ind w:left="3600" w:hanging="360"/>
      </w:pPr>
      <w:rPr>
        <w:rFonts w:ascii="Courier New" w:hAnsi="Courier New" w:hint="default"/>
      </w:rPr>
    </w:lvl>
    <w:lvl w:ilvl="5" w:tplc="7CDA4898">
      <w:start w:val="1"/>
      <w:numFmt w:val="bullet"/>
      <w:lvlText w:val=""/>
      <w:lvlJc w:val="left"/>
      <w:pPr>
        <w:ind w:left="4320" w:hanging="360"/>
      </w:pPr>
      <w:rPr>
        <w:rFonts w:ascii="Wingdings" w:hAnsi="Wingdings" w:hint="default"/>
      </w:rPr>
    </w:lvl>
    <w:lvl w:ilvl="6" w:tplc="7D36F282">
      <w:start w:val="1"/>
      <w:numFmt w:val="bullet"/>
      <w:lvlText w:val=""/>
      <w:lvlJc w:val="left"/>
      <w:pPr>
        <w:ind w:left="5040" w:hanging="360"/>
      </w:pPr>
      <w:rPr>
        <w:rFonts w:ascii="Symbol" w:hAnsi="Symbol" w:hint="default"/>
      </w:rPr>
    </w:lvl>
    <w:lvl w:ilvl="7" w:tplc="ED72DF22">
      <w:start w:val="1"/>
      <w:numFmt w:val="bullet"/>
      <w:lvlText w:val="o"/>
      <w:lvlJc w:val="left"/>
      <w:pPr>
        <w:ind w:left="5760" w:hanging="360"/>
      </w:pPr>
      <w:rPr>
        <w:rFonts w:ascii="Courier New" w:hAnsi="Courier New" w:hint="default"/>
      </w:rPr>
    </w:lvl>
    <w:lvl w:ilvl="8" w:tplc="97E0F1AC">
      <w:start w:val="1"/>
      <w:numFmt w:val="bullet"/>
      <w:lvlText w:val=""/>
      <w:lvlJc w:val="left"/>
      <w:pPr>
        <w:ind w:left="6480" w:hanging="360"/>
      </w:pPr>
      <w:rPr>
        <w:rFonts w:ascii="Wingdings" w:hAnsi="Wingdings" w:hint="default"/>
      </w:rPr>
    </w:lvl>
  </w:abstractNum>
  <w:abstractNum w:abstractNumId="22" w15:restartNumberingAfterBreak="0">
    <w:nsid w:val="59D50DF0"/>
    <w:multiLevelType w:val="multilevel"/>
    <w:tmpl w:val="BC9423C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3" w15:restartNumberingAfterBreak="0">
    <w:nsid w:val="67C9F669"/>
    <w:multiLevelType w:val="hybridMultilevel"/>
    <w:tmpl w:val="FFFFFFFF"/>
    <w:lvl w:ilvl="0" w:tplc="11646FFA">
      <w:start w:val="1"/>
      <w:numFmt w:val="bullet"/>
      <w:lvlText w:val=""/>
      <w:lvlJc w:val="left"/>
      <w:pPr>
        <w:ind w:left="720" w:hanging="360"/>
      </w:pPr>
      <w:rPr>
        <w:rFonts w:ascii="Symbol" w:hAnsi="Symbol" w:hint="default"/>
      </w:rPr>
    </w:lvl>
    <w:lvl w:ilvl="1" w:tplc="39ECA10E">
      <w:start w:val="1"/>
      <w:numFmt w:val="bullet"/>
      <w:lvlText w:val="o"/>
      <w:lvlJc w:val="left"/>
      <w:pPr>
        <w:ind w:left="1440" w:hanging="360"/>
      </w:pPr>
      <w:rPr>
        <w:rFonts w:ascii="Courier New" w:hAnsi="Courier New" w:hint="default"/>
      </w:rPr>
    </w:lvl>
    <w:lvl w:ilvl="2" w:tplc="1626F9D8">
      <w:start w:val="1"/>
      <w:numFmt w:val="bullet"/>
      <w:lvlText w:val=""/>
      <w:lvlJc w:val="left"/>
      <w:pPr>
        <w:ind w:left="2160" w:hanging="360"/>
      </w:pPr>
      <w:rPr>
        <w:rFonts w:ascii="Wingdings" w:hAnsi="Wingdings" w:hint="default"/>
      </w:rPr>
    </w:lvl>
    <w:lvl w:ilvl="3" w:tplc="597A25E8">
      <w:start w:val="1"/>
      <w:numFmt w:val="bullet"/>
      <w:lvlText w:val=""/>
      <w:lvlJc w:val="left"/>
      <w:pPr>
        <w:ind w:left="2880" w:hanging="360"/>
      </w:pPr>
      <w:rPr>
        <w:rFonts w:ascii="Symbol" w:hAnsi="Symbol" w:hint="default"/>
      </w:rPr>
    </w:lvl>
    <w:lvl w:ilvl="4" w:tplc="B0A2DFC0">
      <w:start w:val="1"/>
      <w:numFmt w:val="bullet"/>
      <w:lvlText w:val="o"/>
      <w:lvlJc w:val="left"/>
      <w:pPr>
        <w:ind w:left="3600" w:hanging="360"/>
      </w:pPr>
      <w:rPr>
        <w:rFonts w:ascii="Courier New" w:hAnsi="Courier New" w:hint="default"/>
      </w:rPr>
    </w:lvl>
    <w:lvl w:ilvl="5" w:tplc="466CF7F8">
      <w:start w:val="1"/>
      <w:numFmt w:val="bullet"/>
      <w:lvlText w:val=""/>
      <w:lvlJc w:val="left"/>
      <w:pPr>
        <w:ind w:left="4320" w:hanging="360"/>
      </w:pPr>
      <w:rPr>
        <w:rFonts w:ascii="Wingdings" w:hAnsi="Wingdings" w:hint="default"/>
      </w:rPr>
    </w:lvl>
    <w:lvl w:ilvl="6" w:tplc="A6DCDE22">
      <w:start w:val="1"/>
      <w:numFmt w:val="bullet"/>
      <w:lvlText w:val=""/>
      <w:lvlJc w:val="left"/>
      <w:pPr>
        <w:ind w:left="5040" w:hanging="360"/>
      </w:pPr>
      <w:rPr>
        <w:rFonts w:ascii="Symbol" w:hAnsi="Symbol" w:hint="default"/>
      </w:rPr>
    </w:lvl>
    <w:lvl w:ilvl="7" w:tplc="60DC3DF8">
      <w:start w:val="1"/>
      <w:numFmt w:val="bullet"/>
      <w:lvlText w:val="o"/>
      <w:lvlJc w:val="left"/>
      <w:pPr>
        <w:ind w:left="5760" w:hanging="360"/>
      </w:pPr>
      <w:rPr>
        <w:rFonts w:ascii="Courier New" w:hAnsi="Courier New" w:hint="default"/>
      </w:rPr>
    </w:lvl>
    <w:lvl w:ilvl="8" w:tplc="C2A487BE">
      <w:start w:val="1"/>
      <w:numFmt w:val="bullet"/>
      <w:lvlText w:val=""/>
      <w:lvlJc w:val="left"/>
      <w:pPr>
        <w:ind w:left="6480" w:hanging="360"/>
      </w:pPr>
      <w:rPr>
        <w:rFonts w:ascii="Wingdings" w:hAnsi="Wingdings" w:hint="default"/>
      </w:rPr>
    </w:lvl>
  </w:abstractNum>
  <w:num w:numId="1" w16cid:durableId="1211915063">
    <w:abstractNumId w:val="2"/>
  </w:num>
  <w:num w:numId="2" w16cid:durableId="384531865">
    <w:abstractNumId w:val="23"/>
  </w:num>
  <w:num w:numId="3" w16cid:durableId="1851412529">
    <w:abstractNumId w:val="21"/>
  </w:num>
  <w:num w:numId="4" w16cid:durableId="1048920116">
    <w:abstractNumId w:val="5"/>
  </w:num>
  <w:num w:numId="5" w16cid:durableId="714812672">
    <w:abstractNumId w:val="17"/>
  </w:num>
  <w:num w:numId="6" w16cid:durableId="748505300">
    <w:abstractNumId w:val="9"/>
  </w:num>
  <w:num w:numId="7" w16cid:durableId="1302731980">
    <w:abstractNumId w:val="15"/>
  </w:num>
  <w:num w:numId="8" w16cid:durableId="554388160">
    <w:abstractNumId w:val="6"/>
  </w:num>
  <w:num w:numId="9" w16cid:durableId="1329014394">
    <w:abstractNumId w:val="3"/>
  </w:num>
  <w:num w:numId="10" w16cid:durableId="611786646">
    <w:abstractNumId w:val="13"/>
  </w:num>
  <w:num w:numId="11" w16cid:durableId="715858354">
    <w:abstractNumId w:val="20"/>
  </w:num>
  <w:num w:numId="12" w16cid:durableId="1943565210">
    <w:abstractNumId w:val="11"/>
  </w:num>
  <w:num w:numId="13" w16cid:durableId="858616236">
    <w:abstractNumId w:val="10"/>
  </w:num>
  <w:num w:numId="14" w16cid:durableId="1085883711">
    <w:abstractNumId w:val="16"/>
  </w:num>
  <w:num w:numId="15" w16cid:durableId="834030570">
    <w:abstractNumId w:val="1"/>
  </w:num>
  <w:num w:numId="16" w16cid:durableId="876046703">
    <w:abstractNumId w:val="22"/>
  </w:num>
  <w:num w:numId="17" w16cid:durableId="2101556927">
    <w:abstractNumId w:val="7"/>
  </w:num>
  <w:num w:numId="18" w16cid:durableId="1966035461">
    <w:abstractNumId w:val="19"/>
  </w:num>
  <w:num w:numId="19" w16cid:durableId="281347860">
    <w:abstractNumId w:val="12"/>
  </w:num>
  <w:num w:numId="20" w16cid:durableId="415976825">
    <w:abstractNumId w:val="4"/>
  </w:num>
  <w:num w:numId="21" w16cid:durableId="1703165564">
    <w:abstractNumId w:val="18"/>
  </w:num>
  <w:num w:numId="22" w16cid:durableId="1325745847">
    <w:abstractNumId w:val="8"/>
  </w:num>
  <w:num w:numId="23" w16cid:durableId="900362367">
    <w:abstractNumId w:val="0"/>
  </w:num>
  <w:num w:numId="24" w16cid:durableId="486361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2C"/>
    <w:rsid w:val="000008C0"/>
    <w:rsid w:val="0000238C"/>
    <w:rsid w:val="00002EB6"/>
    <w:rsid w:val="000031B9"/>
    <w:rsid w:val="00003F46"/>
    <w:rsid w:val="00004317"/>
    <w:rsid w:val="00004515"/>
    <w:rsid w:val="00004623"/>
    <w:rsid w:val="000048D8"/>
    <w:rsid w:val="000048F3"/>
    <w:rsid w:val="00004929"/>
    <w:rsid w:val="0000678C"/>
    <w:rsid w:val="00006994"/>
    <w:rsid w:val="00006EF4"/>
    <w:rsid w:val="0000772D"/>
    <w:rsid w:val="000108D2"/>
    <w:rsid w:val="00012100"/>
    <w:rsid w:val="00013002"/>
    <w:rsid w:val="000131B2"/>
    <w:rsid w:val="00013947"/>
    <w:rsid w:val="0001408E"/>
    <w:rsid w:val="0001598D"/>
    <w:rsid w:val="0001765E"/>
    <w:rsid w:val="00017F31"/>
    <w:rsid w:val="000208A6"/>
    <w:rsid w:val="0002157B"/>
    <w:rsid w:val="00021F38"/>
    <w:rsid w:val="00022A5E"/>
    <w:rsid w:val="00024855"/>
    <w:rsid w:val="00025102"/>
    <w:rsid w:val="000251FA"/>
    <w:rsid w:val="0002750A"/>
    <w:rsid w:val="00032A95"/>
    <w:rsid w:val="00032EB9"/>
    <w:rsid w:val="00034C28"/>
    <w:rsid w:val="00036C3D"/>
    <w:rsid w:val="0004067B"/>
    <w:rsid w:val="000407F6"/>
    <w:rsid w:val="000413B9"/>
    <w:rsid w:val="000425EB"/>
    <w:rsid w:val="00042CDC"/>
    <w:rsid w:val="000437C2"/>
    <w:rsid w:val="00044EF9"/>
    <w:rsid w:val="00045A11"/>
    <w:rsid w:val="00045E8F"/>
    <w:rsid w:val="00045EAA"/>
    <w:rsid w:val="00046D9D"/>
    <w:rsid w:val="00047596"/>
    <w:rsid w:val="0005007E"/>
    <w:rsid w:val="00051301"/>
    <w:rsid w:val="000516C0"/>
    <w:rsid w:val="00051746"/>
    <w:rsid w:val="00052390"/>
    <w:rsid w:val="00052FD9"/>
    <w:rsid w:val="0005301C"/>
    <w:rsid w:val="00053930"/>
    <w:rsid w:val="00053BD4"/>
    <w:rsid w:val="000552DF"/>
    <w:rsid w:val="00055586"/>
    <w:rsid w:val="0005629C"/>
    <w:rsid w:val="0005668B"/>
    <w:rsid w:val="00056982"/>
    <w:rsid w:val="00056B81"/>
    <w:rsid w:val="0006088F"/>
    <w:rsid w:val="00060F9E"/>
    <w:rsid w:val="00061057"/>
    <w:rsid w:val="00061675"/>
    <w:rsid w:val="00062A48"/>
    <w:rsid w:val="00062A6C"/>
    <w:rsid w:val="00063FE0"/>
    <w:rsid w:val="00064896"/>
    <w:rsid w:val="0006494E"/>
    <w:rsid w:val="00065210"/>
    <w:rsid w:val="00065BB8"/>
    <w:rsid w:val="00065E65"/>
    <w:rsid w:val="000676EB"/>
    <w:rsid w:val="00067AEE"/>
    <w:rsid w:val="00067EC6"/>
    <w:rsid w:val="0006A903"/>
    <w:rsid w:val="0006CFEF"/>
    <w:rsid w:val="00071640"/>
    <w:rsid w:val="00072D8F"/>
    <w:rsid w:val="00074A64"/>
    <w:rsid w:val="00074B3A"/>
    <w:rsid w:val="00074C77"/>
    <w:rsid w:val="0007663E"/>
    <w:rsid w:val="00077870"/>
    <w:rsid w:val="00077B37"/>
    <w:rsid w:val="00077E0E"/>
    <w:rsid w:val="0007F8A1"/>
    <w:rsid w:val="00080070"/>
    <w:rsid w:val="00080399"/>
    <w:rsid w:val="000806A2"/>
    <w:rsid w:val="00080C85"/>
    <w:rsid w:val="0008103D"/>
    <w:rsid w:val="00081456"/>
    <w:rsid w:val="0008189F"/>
    <w:rsid w:val="00081C0A"/>
    <w:rsid w:val="00081EE8"/>
    <w:rsid w:val="00081FE1"/>
    <w:rsid w:val="0008210F"/>
    <w:rsid w:val="000823DE"/>
    <w:rsid w:val="00082C16"/>
    <w:rsid w:val="00083E43"/>
    <w:rsid w:val="0008406A"/>
    <w:rsid w:val="00084DA1"/>
    <w:rsid w:val="00085CCB"/>
    <w:rsid w:val="000867F5"/>
    <w:rsid w:val="00087D12"/>
    <w:rsid w:val="00090217"/>
    <w:rsid w:val="0009034B"/>
    <w:rsid w:val="000909B2"/>
    <w:rsid w:val="00090E2A"/>
    <w:rsid w:val="0009119E"/>
    <w:rsid w:val="000914AD"/>
    <w:rsid w:val="000951EB"/>
    <w:rsid w:val="00095CF9"/>
    <w:rsid w:val="0009659D"/>
    <w:rsid w:val="00097FE4"/>
    <w:rsid w:val="000A1A20"/>
    <w:rsid w:val="000A1FD8"/>
    <w:rsid w:val="000A28C8"/>
    <w:rsid w:val="000A3878"/>
    <w:rsid w:val="000A3B40"/>
    <w:rsid w:val="000A4120"/>
    <w:rsid w:val="000A5087"/>
    <w:rsid w:val="000A5468"/>
    <w:rsid w:val="000A5D80"/>
    <w:rsid w:val="000A5D99"/>
    <w:rsid w:val="000A695B"/>
    <w:rsid w:val="000B0428"/>
    <w:rsid w:val="000B06CF"/>
    <w:rsid w:val="000B07E4"/>
    <w:rsid w:val="000B1BEF"/>
    <w:rsid w:val="000B1DDA"/>
    <w:rsid w:val="000B282A"/>
    <w:rsid w:val="000B2B19"/>
    <w:rsid w:val="000B3619"/>
    <w:rsid w:val="000B3E3F"/>
    <w:rsid w:val="000B5A29"/>
    <w:rsid w:val="000B7926"/>
    <w:rsid w:val="000C06AC"/>
    <w:rsid w:val="000C126C"/>
    <w:rsid w:val="000C24BB"/>
    <w:rsid w:val="000C2765"/>
    <w:rsid w:val="000C4F08"/>
    <w:rsid w:val="000C5B21"/>
    <w:rsid w:val="000C5C36"/>
    <w:rsid w:val="000C63F5"/>
    <w:rsid w:val="000C68E6"/>
    <w:rsid w:val="000C6BB1"/>
    <w:rsid w:val="000C6F15"/>
    <w:rsid w:val="000D0440"/>
    <w:rsid w:val="000D05BB"/>
    <w:rsid w:val="000D14B2"/>
    <w:rsid w:val="000D23CF"/>
    <w:rsid w:val="000D3220"/>
    <w:rsid w:val="000D3349"/>
    <w:rsid w:val="000D4C7A"/>
    <w:rsid w:val="000D4CE5"/>
    <w:rsid w:val="000D74D0"/>
    <w:rsid w:val="000D7FB3"/>
    <w:rsid w:val="000E041A"/>
    <w:rsid w:val="000E06CF"/>
    <w:rsid w:val="000E1B13"/>
    <w:rsid w:val="000E1F0B"/>
    <w:rsid w:val="000E2C05"/>
    <w:rsid w:val="000E328E"/>
    <w:rsid w:val="000E349F"/>
    <w:rsid w:val="000E3C6E"/>
    <w:rsid w:val="000E559E"/>
    <w:rsid w:val="000E5A04"/>
    <w:rsid w:val="000E62E2"/>
    <w:rsid w:val="000E63AF"/>
    <w:rsid w:val="000E6BF0"/>
    <w:rsid w:val="000F0D7C"/>
    <w:rsid w:val="000F221B"/>
    <w:rsid w:val="000F2D5D"/>
    <w:rsid w:val="000F2F83"/>
    <w:rsid w:val="000F351E"/>
    <w:rsid w:val="000F3854"/>
    <w:rsid w:val="000F3C48"/>
    <w:rsid w:val="000F60BE"/>
    <w:rsid w:val="000F6268"/>
    <w:rsid w:val="000F6AF9"/>
    <w:rsid w:val="000F71DF"/>
    <w:rsid w:val="000F72B0"/>
    <w:rsid w:val="000F7AAD"/>
    <w:rsid w:val="001006F4"/>
    <w:rsid w:val="00100CEA"/>
    <w:rsid w:val="00101A4B"/>
    <w:rsid w:val="00101A82"/>
    <w:rsid w:val="00102463"/>
    <w:rsid w:val="0010299E"/>
    <w:rsid w:val="00103F7E"/>
    <w:rsid w:val="00104753"/>
    <w:rsid w:val="00104E2A"/>
    <w:rsid w:val="001071B5"/>
    <w:rsid w:val="0010776F"/>
    <w:rsid w:val="0011075A"/>
    <w:rsid w:val="0011096C"/>
    <w:rsid w:val="00110B00"/>
    <w:rsid w:val="00111466"/>
    <w:rsid w:val="00111AFE"/>
    <w:rsid w:val="00111D75"/>
    <w:rsid w:val="0011208E"/>
    <w:rsid w:val="0011221F"/>
    <w:rsid w:val="001125E9"/>
    <w:rsid w:val="00112E33"/>
    <w:rsid w:val="001140D0"/>
    <w:rsid w:val="00114464"/>
    <w:rsid w:val="00114D18"/>
    <w:rsid w:val="00116471"/>
    <w:rsid w:val="00116D0F"/>
    <w:rsid w:val="00116FD6"/>
    <w:rsid w:val="0011784E"/>
    <w:rsid w:val="00117E11"/>
    <w:rsid w:val="001209B8"/>
    <w:rsid w:val="001212F6"/>
    <w:rsid w:val="00121AAF"/>
    <w:rsid w:val="001224D4"/>
    <w:rsid w:val="00122A79"/>
    <w:rsid w:val="00124374"/>
    <w:rsid w:val="0012456D"/>
    <w:rsid w:val="00125931"/>
    <w:rsid w:val="001268B4"/>
    <w:rsid w:val="00126E82"/>
    <w:rsid w:val="001276D1"/>
    <w:rsid w:val="00127884"/>
    <w:rsid w:val="001279EA"/>
    <w:rsid w:val="00131BE2"/>
    <w:rsid w:val="0013212C"/>
    <w:rsid w:val="001330CE"/>
    <w:rsid w:val="0013391C"/>
    <w:rsid w:val="00133AA5"/>
    <w:rsid w:val="00134C86"/>
    <w:rsid w:val="00135208"/>
    <w:rsid w:val="001356EA"/>
    <w:rsid w:val="001359FD"/>
    <w:rsid w:val="00136B51"/>
    <w:rsid w:val="00136D13"/>
    <w:rsid w:val="001401E4"/>
    <w:rsid w:val="001405A2"/>
    <w:rsid w:val="001409B3"/>
    <w:rsid w:val="001409D4"/>
    <w:rsid w:val="001412B6"/>
    <w:rsid w:val="00141746"/>
    <w:rsid w:val="00142222"/>
    <w:rsid w:val="0014236F"/>
    <w:rsid w:val="00142DB2"/>
    <w:rsid w:val="00144729"/>
    <w:rsid w:val="00145D92"/>
    <w:rsid w:val="0015080B"/>
    <w:rsid w:val="001508F1"/>
    <w:rsid w:val="0015220A"/>
    <w:rsid w:val="0015257E"/>
    <w:rsid w:val="00152714"/>
    <w:rsid w:val="00154AD4"/>
    <w:rsid w:val="0015610F"/>
    <w:rsid w:val="001564EF"/>
    <w:rsid w:val="00161707"/>
    <w:rsid w:val="0016176C"/>
    <w:rsid w:val="00161817"/>
    <w:rsid w:val="00161B1B"/>
    <w:rsid w:val="00161F49"/>
    <w:rsid w:val="0016211D"/>
    <w:rsid w:val="001626AE"/>
    <w:rsid w:val="00162DCA"/>
    <w:rsid w:val="00163381"/>
    <w:rsid w:val="00163A34"/>
    <w:rsid w:val="00164467"/>
    <w:rsid w:val="001669FC"/>
    <w:rsid w:val="00167294"/>
    <w:rsid w:val="00170822"/>
    <w:rsid w:val="00170860"/>
    <w:rsid w:val="00171622"/>
    <w:rsid w:val="00172753"/>
    <w:rsid w:val="00172C54"/>
    <w:rsid w:val="001731F0"/>
    <w:rsid w:val="001737EB"/>
    <w:rsid w:val="0017595C"/>
    <w:rsid w:val="00177BCD"/>
    <w:rsid w:val="0018049F"/>
    <w:rsid w:val="00181516"/>
    <w:rsid w:val="00181D5C"/>
    <w:rsid w:val="001831F7"/>
    <w:rsid w:val="001840D8"/>
    <w:rsid w:val="00184651"/>
    <w:rsid w:val="0018514F"/>
    <w:rsid w:val="001853C2"/>
    <w:rsid w:val="001854C6"/>
    <w:rsid w:val="00190391"/>
    <w:rsid w:val="001907CC"/>
    <w:rsid w:val="00190C4C"/>
    <w:rsid w:val="00191533"/>
    <w:rsid w:val="00191F69"/>
    <w:rsid w:val="001924FC"/>
    <w:rsid w:val="00192720"/>
    <w:rsid w:val="00192907"/>
    <w:rsid w:val="00193325"/>
    <w:rsid w:val="00194667"/>
    <w:rsid w:val="00194909"/>
    <w:rsid w:val="00194B22"/>
    <w:rsid w:val="0019516A"/>
    <w:rsid w:val="00195F29"/>
    <w:rsid w:val="0019738A"/>
    <w:rsid w:val="00197D5F"/>
    <w:rsid w:val="001A0040"/>
    <w:rsid w:val="001A086C"/>
    <w:rsid w:val="001A0A4D"/>
    <w:rsid w:val="001A100E"/>
    <w:rsid w:val="001A149C"/>
    <w:rsid w:val="001A2941"/>
    <w:rsid w:val="001A3A82"/>
    <w:rsid w:val="001A4AA4"/>
    <w:rsid w:val="001A590A"/>
    <w:rsid w:val="001A5D14"/>
    <w:rsid w:val="001A6544"/>
    <w:rsid w:val="001A73CF"/>
    <w:rsid w:val="001A76AC"/>
    <w:rsid w:val="001A7FE5"/>
    <w:rsid w:val="001B0140"/>
    <w:rsid w:val="001B07C6"/>
    <w:rsid w:val="001B0B56"/>
    <w:rsid w:val="001B12D9"/>
    <w:rsid w:val="001B14BA"/>
    <w:rsid w:val="001B1727"/>
    <w:rsid w:val="001B1CA4"/>
    <w:rsid w:val="001B2C81"/>
    <w:rsid w:val="001B3200"/>
    <w:rsid w:val="001B3B3F"/>
    <w:rsid w:val="001B452B"/>
    <w:rsid w:val="001B46B9"/>
    <w:rsid w:val="001B478E"/>
    <w:rsid w:val="001B483D"/>
    <w:rsid w:val="001B4FD0"/>
    <w:rsid w:val="001B6CC2"/>
    <w:rsid w:val="001B6D17"/>
    <w:rsid w:val="001B6E85"/>
    <w:rsid w:val="001B7C41"/>
    <w:rsid w:val="001C0B45"/>
    <w:rsid w:val="001C175B"/>
    <w:rsid w:val="001C17F4"/>
    <w:rsid w:val="001C1DD0"/>
    <w:rsid w:val="001C23EB"/>
    <w:rsid w:val="001C260C"/>
    <w:rsid w:val="001C2C73"/>
    <w:rsid w:val="001C3B49"/>
    <w:rsid w:val="001C7810"/>
    <w:rsid w:val="001D003D"/>
    <w:rsid w:val="001D3546"/>
    <w:rsid w:val="001D4D58"/>
    <w:rsid w:val="001D56ED"/>
    <w:rsid w:val="001D6AF1"/>
    <w:rsid w:val="001D6D1A"/>
    <w:rsid w:val="001D713E"/>
    <w:rsid w:val="001D7558"/>
    <w:rsid w:val="001D75DD"/>
    <w:rsid w:val="001E01A5"/>
    <w:rsid w:val="001E03BE"/>
    <w:rsid w:val="001E06D2"/>
    <w:rsid w:val="001E1229"/>
    <w:rsid w:val="001E1778"/>
    <w:rsid w:val="001E1FC0"/>
    <w:rsid w:val="001E1FE6"/>
    <w:rsid w:val="001E2EA3"/>
    <w:rsid w:val="001E3B8D"/>
    <w:rsid w:val="001E4DEE"/>
    <w:rsid w:val="001E528E"/>
    <w:rsid w:val="001E5EED"/>
    <w:rsid w:val="001E65BF"/>
    <w:rsid w:val="001E75E7"/>
    <w:rsid w:val="001E7E99"/>
    <w:rsid w:val="001F018A"/>
    <w:rsid w:val="001F0C41"/>
    <w:rsid w:val="001F19CB"/>
    <w:rsid w:val="001F1A4B"/>
    <w:rsid w:val="001F1DC1"/>
    <w:rsid w:val="001F2EB2"/>
    <w:rsid w:val="001F2F19"/>
    <w:rsid w:val="001F326C"/>
    <w:rsid w:val="001F3D88"/>
    <w:rsid w:val="001F3D95"/>
    <w:rsid w:val="001F539A"/>
    <w:rsid w:val="001F5B11"/>
    <w:rsid w:val="001F5D33"/>
    <w:rsid w:val="001F7EA8"/>
    <w:rsid w:val="00200002"/>
    <w:rsid w:val="00200712"/>
    <w:rsid w:val="0020082B"/>
    <w:rsid w:val="00200CD1"/>
    <w:rsid w:val="002023F8"/>
    <w:rsid w:val="002024B2"/>
    <w:rsid w:val="00203823"/>
    <w:rsid w:val="00204269"/>
    <w:rsid w:val="002049A1"/>
    <w:rsid w:val="00205C74"/>
    <w:rsid w:val="0020788E"/>
    <w:rsid w:val="00207C33"/>
    <w:rsid w:val="00207D81"/>
    <w:rsid w:val="002104B3"/>
    <w:rsid w:val="00210858"/>
    <w:rsid w:val="00211299"/>
    <w:rsid w:val="002112E9"/>
    <w:rsid w:val="0021158A"/>
    <w:rsid w:val="0021165F"/>
    <w:rsid w:val="00212866"/>
    <w:rsid w:val="00212F33"/>
    <w:rsid w:val="00213693"/>
    <w:rsid w:val="00213F2D"/>
    <w:rsid w:val="00214638"/>
    <w:rsid w:val="00214960"/>
    <w:rsid w:val="00214E74"/>
    <w:rsid w:val="00216E17"/>
    <w:rsid w:val="00216F7B"/>
    <w:rsid w:val="002172D0"/>
    <w:rsid w:val="00217865"/>
    <w:rsid w:val="00217888"/>
    <w:rsid w:val="00217D34"/>
    <w:rsid w:val="00217DA3"/>
    <w:rsid w:val="00220113"/>
    <w:rsid w:val="0022025A"/>
    <w:rsid w:val="00220874"/>
    <w:rsid w:val="00221250"/>
    <w:rsid w:val="00221D38"/>
    <w:rsid w:val="002226F0"/>
    <w:rsid w:val="00222C1C"/>
    <w:rsid w:val="002239DE"/>
    <w:rsid w:val="00223F6A"/>
    <w:rsid w:val="00224CFE"/>
    <w:rsid w:val="00225C67"/>
    <w:rsid w:val="00225D4D"/>
    <w:rsid w:val="002275AA"/>
    <w:rsid w:val="00230B3B"/>
    <w:rsid w:val="00230CBC"/>
    <w:rsid w:val="00230F5F"/>
    <w:rsid w:val="00231A5E"/>
    <w:rsid w:val="002333C4"/>
    <w:rsid w:val="00233938"/>
    <w:rsid w:val="00234902"/>
    <w:rsid w:val="00234A0D"/>
    <w:rsid w:val="00234C1E"/>
    <w:rsid w:val="002363BD"/>
    <w:rsid w:val="00236BA3"/>
    <w:rsid w:val="002371FB"/>
    <w:rsid w:val="002406E1"/>
    <w:rsid w:val="002408B0"/>
    <w:rsid w:val="00240CE5"/>
    <w:rsid w:val="00240E59"/>
    <w:rsid w:val="00242403"/>
    <w:rsid w:val="002437FC"/>
    <w:rsid w:val="00243919"/>
    <w:rsid w:val="00244385"/>
    <w:rsid w:val="0024551D"/>
    <w:rsid w:val="002461A3"/>
    <w:rsid w:val="00246FAE"/>
    <w:rsid w:val="0024705F"/>
    <w:rsid w:val="0025021F"/>
    <w:rsid w:val="002507AC"/>
    <w:rsid w:val="00250EB7"/>
    <w:rsid w:val="00251409"/>
    <w:rsid w:val="00251C52"/>
    <w:rsid w:val="002523D9"/>
    <w:rsid w:val="002525CF"/>
    <w:rsid w:val="002525D7"/>
    <w:rsid w:val="0025268A"/>
    <w:rsid w:val="00252761"/>
    <w:rsid w:val="00252A84"/>
    <w:rsid w:val="002537F2"/>
    <w:rsid w:val="00253D84"/>
    <w:rsid w:val="002544D9"/>
    <w:rsid w:val="0025467E"/>
    <w:rsid w:val="00255195"/>
    <w:rsid w:val="002552B3"/>
    <w:rsid w:val="00255B5D"/>
    <w:rsid w:val="00256298"/>
    <w:rsid w:val="0025650E"/>
    <w:rsid w:val="00256D83"/>
    <w:rsid w:val="002578B8"/>
    <w:rsid w:val="002580F4"/>
    <w:rsid w:val="002600EE"/>
    <w:rsid w:val="00261731"/>
    <w:rsid w:val="00261AFE"/>
    <w:rsid w:val="00262055"/>
    <w:rsid w:val="00262184"/>
    <w:rsid w:val="002639A6"/>
    <w:rsid w:val="002647E3"/>
    <w:rsid w:val="002649A8"/>
    <w:rsid w:val="00264D8E"/>
    <w:rsid w:val="00264E54"/>
    <w:rsid w:val="00266272"/>
    <w:rsid w:val="00266F78"/>
    <w:rsid w:val="0026708F"/>
    <w:rsid w:val="00267512"/>
    <w:rsid w:val="0026797A"/>
    <w:rsid w:val="00270711"/>
    <w:rsid w:val="00270D76"/>
    <w:rsid w:val="00270E6E"/>
    <w:rsid w:val="002710B2"/>
    <w:rsid w:val="002715E5"/>
    <w:rsid w:val="00272DF1"/>
    <w:rsid w:val="002730A0"/>
    <w:rsid w:val="0027321D"/>
    <w:rsid w:val="0027549D"/>
    <w:rsid w:val="00275CCB"/>
    <w:rsid w:val="002763E6"/>
    <w:rsid w:val="00276517"/>
    <w:rsid w:val="002765E9"/>
    <w:rsid w:val="00276B60"/>
    <w:rsid w:val="00277DDE"/>
    <w:rsid w:val="002807CA"/>
    <w:rsid w:val="002808D7"/>
    <w:rsid w:val="00281B22"/>
    <w:rsid w:val="00281B3B"/>
    <w:rsid w:val="0028225D"/>
    <w:rsid w:val="00282443"/>
    <w:rsid w:val="00282694"/>
    <w:rsid w:val="0028293A"/>
    <w:rsid w:val="002829C8"/>
    <w:rsid w:val="00282D86"/>
    <w:rsid w:val="0028370C"/>
    <w:rsid w:val="0028420C"/>
    <w:rsid w:val="002849D8"/>
    <w:rsid w:val="00284B2C"/>
    <w:rsid w:val="002851BC"/>
    <w:rsid w:val="0028597B"/>
    <w:rsid w:val="002867C0"/>
    <w:rsid w:val="00286BE2"/>
    <w:rsid w:val="0028708A"/>
    <w:rsid w:val="00287864"/>
    <w:rsid w:val="00287DAA"/>
    <w:rsid w:val="00291706"/>
    <w:rsid w:val="00292068"/>
    <w:rsid w:val="00292560"/>
    <w:rsid w:val="00292BB5"/>
    <w:rsid w:val="00293431"/>
    <w:rsid w:val="0029388B"/>
    <w:rsid w:val="00293ADD"/>
    <w:rsid w:val="00294737"/>
    <w:rsid w:val="0029494A"/>
    <w:rsid w:val="00295831"/>
    <w:rsid w:val="002964D0"/>
    <w:rsid w:val="002974E1"/>
    <w:rsid w:val="002A0FEE"/>
    <w:rsid w:val="002A1967"/>
    <w:rsid w:val="002A1A0F"/>
    <w:rsid w:val="002A1F9D"/>
    <w:rsid w:val="002A2EE6"/>
    <w:rsid w:val="002A3379"/>
    <w:rsid w:val="002A35D1"/>
    <w:rsid w:val="002A4711"/>
    <w:rsid w:val="002A5E02"/>
    <w:rsid w:val="002A5FE5"/>
    <w:rsid w:val="002A6CE4"/>
    <w:rsid w:val="002A70AF"/>
    <w:rsid w:val="002A77CF"/>
    <w:rsid w:val="002A795F"/>
    <w:rsid w:val="002B1138"/>
    <w:rsid w:val="002B199E"/>
    <w:rsid w:val="002B254E"/>
    <w:rsid w:val="002B2E56"/>
    <w:rsid w:val="002B3183"/>
    <w:rsid w:val="002B381C"/>
    <w:rsid w:val="002B6256"/>
    <w:rsid w:val="002B68D1"/>
    <w:rsid w:val="002B69E0"/>
    <w:rsid w:val="002B7356"/>
    <w:rsid w:val="002C125A"/>
    <w:rsid w:val="002C188C"/>
    <w:rsid w:val="002C2072"/>
    <w:rsid w:val="002C2D49"/>
    <w:rsid w:val="002C2FAF"/>
    <w:rsid w:val="002C326B"/>
    <w:rsid w:val="002C3414"/>
    <w:rsid w:val="002C4E1C"/>
    <w:rsid w:val="002C5004"/>
    <w:rsid w:val="002C5C94"/>
    <w:rsid w:val="002C68D7"/>
    <w:rsid w:val="002C7238"/>
    <w:rsid w:val="002C7B58"/>
    <w:rsid w:val="002D0499"/>
    <w:rsid w:val="002D09A5"/>
    <w:rsid w:val="002D0ED7"/>
    <w:rsid w:val="002D6DAB"/>
    <w:rsid w:val="002D7792"/>
    <w:rsid w:val="002E0D3D"/>
    <w:rsid w:val="002E23B1"/>
    <w:rsid w:val="002E2BB2"/>
    <w:rsid w:val="002E4572"/>
    <w:rsid w:val="002E47F9"/>
    <w:rsid w:val="002E56DC"/>
    <w:rsid w:val="002E6549"/>
    <w:rsid w:val="002F0A65"/>
    <w:rsid w:val="002F0C19"/>
    <w:rsid w:val="002F2E95"/>
    <w:rsid w:val="002F3A37"/>
    <w:rsid w:val="002F43E6"/>
    <w:rsid w:val="002F517B"/>
    <w:rsid w:val="002F6D35"/>
    <w:rsid w:val="002F72E4"/>
    <w:rsid w:val="002F7768"/>
    <w:rsid w:val="0030127F"/>
    <w:rsid w:val="0030176F"/>
    <w:rsid w:val="00301D3A"/>
    <w:rsid w:val="00302CBD"/>
    <w:rsid w:val="00302FB5"/>
    <w:rsid w:val="003032B4"/>
    <w:rsid w:val="00304021"/>
    <w:rsid w:val="003044F8"/>
    <w:rsid w:val="00304613"/>
    <w:rsid w:val="00304BD6"/>
    <w:rsid w:val="003050DB"/>
    <w:rsid w:val="00305209"/>
    <w:rsid w:val="00305B6B"/>
    <w:rsid w:val="003062E6"/>
    <w:rsid w:val="00306349"/>
    <w:rsid w:val="0030664A"/>
    <w:rsid w:val="00306B25"/>
    <w:rsid w:val="00306D77"/>
    <w:rsid w:val="003103B1"/>
    <w:rsid w:val="003108C9"/>
    <w:rsid w:val="0031119A"/>
    <w:rsid w:val="003125E1"/>
    <w:rsid w:val="00312892"/>
    <w:rsid w:val="00312D8E"/>
    <w:rsid w:val="00313548"/>
    <w:rsid w:val="00314BD6"/>
    <w:rsid w:val="00314F6B"/>
    <w:rsid w:val="00315DCB"/>
    <w:rsid w:val="0031606F"/>
    <w:rsid w:val="003160CB"/>
    <w:rsid w:val="00316F12"/>
    <w:rsid w:val="00317176"/>
    <w:rsid w:val="003176BD"/>
    <w:rsid w:val="003201B3"/>
    <w:rsid w:val="0032099E"/>
    <w:rsid w:val="00320AAF"/>
    <w:rsid w:val="00321545"/>
    <w:rsid w:val="0032164E"/>
    <w:rsid w:val="003219B5"/>
    <w:rsid w:val="00321EB1"/>
    <w:rsid w:val="00322F86"/>
    <w:rsid w:val="003236EB"/>
    <w:rsid w:val="00323B6D"/>
    <w:rsid w:val="00324655"/>
    <w:rsid w:val="0032475A"/>
    <w:rsid w:val="003247FF"/>
    <w:rsid w:val="00325CE3"/>
    <w:rsid w:val="003260A5"/>
    <w:rsid w:val="003261E4"/>
    <w:rsid w:val="00326819"/>
    <w:rsid w:val="00327173"/>
    <w:rsid w:val="003309AF"/>
    <w:rsid w:val="00330D15"/>
    <w:rsid w:val="00331268"/>
    <w:rsid w:val="00332E60"/>
    <w:rsid w:val="00333918"/>
    <w:rsid w:val="00334469"/>
    <w:rsid w:val="00334DC0"/>
    <w:rsid w:val="0033578C"/>
    <w:rsid w:val="0033579B"/>
    <w:rsid w:val="00337821"/>
    <w:rsid w:val="003402D8"/>
    <w:rsid w:val="003403C7"/>
    <w:rsid w:val="00340586"/>
    <w:rsid w:val="00340DDA"/>
    <w:rsid w:val="00341265"/>
    <w:rsid w:val="00341F26"/>
    <w:rsid w:val="00343336"/>
    <w:rsid w:val="003436BB"/>
    <w:rsid w:val="003436E5"/>
    <w:rsid w:val="00343D6C"/>
    <w:rsid w:val="003446B0"/>
    <w:rsid w:val="00344976"/>
    <w:rsid w:val="00345B8E"/>
    <w:rsid w:val="00346ABA"/>
    <w:rsid w:val="00346C31"/>
    <w:rsid w:val="0034725B"/>
    <w:rsid w:val="003477E3"/>
    <w:rsid w:val="0035094F"/>
    <w:rsid w:val="003512A7"/>
    <w:rsid w:val="00351576"/>
    <w:rsid w:val="00351712"/>
    <w:rsid w:val="003528F9"/>
    <w:rsid w:val="00352ED1"/>
    <w:rsid w:val="003542FB"/>
    <w:rsid w:val="003548CD"/>
    <w:rsid w:val="00355267"/>
    <w:rsid w:val="003558C3"/>
    <w:rsid w:val="003559DC"/>
    <w:rsid w:val="003563BE"/>
    <w:rsid w:val="003609A8"/>
    <w:rsid w:val="003611F3"/>
    <w:rsid w:val="00362E28"/>
    <w:rsid w:val="00362F10"/>
    <w:rsid w:val="00363220"/>
    <w:rsid w:val="00363AAD"/>
    <w:rsid w:val="00363C1A"/>
    <w:rsid w:val="00363DDF"/>
    <w:rsid w:val="003645AE"/>
    <w:rsid w:val="003703C9"/>
    <w:rsid w:val="00370698"/>
    <w:rsid w:val="00370AA4"/>
    <w:rsid w:val="00370B90"/>
    <w:rsid w:val="00371872"/>
    <w:rsid w:val="00371BBB"/>
    <w:rsid w:val="00372699"/>
    <w:rsid w:val="003728B5"/>
    <w:rsid w:val="00373800"/>
    <w:rsid w:val="003743C9"/>
    <w:rsid w:val="003749BF"/>
    <w:rsid w:val="00374BA2"/>
    <w:rsid w:val="00374EFC"/>
    <w:rsid w:val="003750C5"/>
    <w:rsid w:val="00376877"/>
    <w:rsid w:val="00376C18"/>
    <w:rsid w:val="00377839"/>
    <w:rsid w:val="00380296"/>
    <w:rsid w:val="003821F7"/>
    <w:rsid w:val="00383690"/>
    <w:rsid w:val="00384309"/>
    <w:rsid w:val="003851E9"/>
    <w:rsid w:val="00385692"/>
    <w:rsid w:val="00385847"/>
    <w:rsid w:val="0038592A"/>
    <w:rsid w:val="003859AA"/>
    <w:rsid w:val="003860EB"/>
    <w:rsid w:val="00386BC8"/>
    <w:rsid w:val="00386DFC"/>
    <w:rsid w:val="00390FEC"/>
    <w:rsid w:val="003913FE"/>
    <w:rsid w:val="003955D7"/>
    <w:rsid w:val="0039615C"/>
    <w:rsid w:val="00397274"/>
    <w:rsid w:val="003974B8"/>
    <w:rsid w:val="00397DEF"/>
    <w:rsid w:val="003A0043"/>
    <w:rsid w:val="003A0CD9"/>
    <w:rsid w:val="003A1256"/>
    <w:rsid w:val="003A1361"/>
    <w:rsid w:val="003A1427"/>
    <w:rsid w:val="003A1454"/>
    <w:rsid w:val="003A1702"/>
    <w:rsid w:val="003A18BD"/>
    <w:rsid w:val="003A2392"/>
    <w:rsid w:val="003A4191"/>
    <w:rsid w:val="003A4B5B"/>
    <w:rsid w:val="003A5047"/>
    <w:rsid w:val="003A5061"/>
    <w:rsid w:val="003A6052"/>
    <w:rsid w:val="003A6B77"/>
    <w:rsid w:val="003B0CE2"/>
    <w:rsid w:val="003B0E1B"/>
    <w:rsid w:val="003B1050"/>
    <w:rsid w:val="003B1118"/>
    <w:rsid w:val="003B1E60"/>
    <w:rsid w:val="003B2657"/>
    <w:rsid w:val="003B2898"/>
    <w:rsid w:val="003B30CB"/>
    <w:rsid w:val="003B3CB6"/>
    <w:rsid w:val="003B4A0A"/>
    <w:rsid w:val="003B509B"/>
    <w:rsid w:val="003B52F7"/>
    <w:rsid w:val="003B5670"/>
    <w:rsid w:val="003B5D50"/>
    <w:rsid w:val="003B66D3"/>
    <w:rsid w:val="003C0AC7"/>
    <w:rsid w:val="003C1077"/>
    <w:rsid w:val="003C2A59"/>
    <w:rsid w:val="003C2F86"/>
    <w:rsid w:val="003C309A"/>
    <w:rsid w:val="003C325A"/>
    <w:rsid w:val="003C36C3"/>
    <w:rsid w:val="003C3883"/>
    <w:rsid w:val="003C39F9"/>
    <w:rsid w:val="003C3B45"/>
    <w:rsid w:val="003C6250"/>
    <w:rsid w:val="003C690A"/>
    <w:rsid w:val="003C6E65"/>
    <w:rsid w:val="003D0C9F"/>
    <w:rsid w:val="003D1385"/>
    <w:rsid w:val="003D20A1"/>
    <w:rsid w:val="003D222C"/>
    <w:rsid w:val="003D3143"/>
    <w:rsid w:val="003D33A4"/>
    <w:rsid w:val="003D3A96"/>
    <w:rsid w:val="003D3C75"/>
    <w:rsid w:val="003D4530"/>
    <w:rsid w:val="003D4617"/>
    <w:rsid w:val="003D5146"/>
    <w:rsid w:val="003D674A"/>
    <w:rsid w:val="003D67D7"/>
    <w:rsid w:val="003E0526"/>
    <w:rsid w:val="003E1777"/>
    <w:rsid w:val="003E22F3"/>
    <w:rsid w:val="003E26A2"/>
    <w:rsid w:val="003E3039"/>
    <w:rsid w:val="003E37BB"/>
    <w:rsid w:val="003E45C5"/>
    <w:rsid w:val="003E5452"/>
    <w:rsid w:val="003E5F5D"/>
    <w:rsid w:val="003E7C6D"/>
    <w:rsid w:val="003F01D6"/>
    <w:rsid w:val="003F1A30"/>
    <w:rsid w:val="003F1BBC"/>
    <w:rsid w:val="003F1FBE"/>
    <w:rsid w:val="003F30EB"/>
    <w:rsid w:val="003F3586"/>
    <w:rsid w:val="003F3F46"/>
    <w:rsid w:val="003F4883"/>
    <w:rsid w:val="003F4C66"/>
    <w:rsid w:val="003F5BBE"/>
    <w:rsid w:val="003F5D6F"/>
    <w:rsid w:val="003F63FC"/>
    <w:rsid w:val="003F6641"/>
    <w:rsid w:val="003F68A7"/>
    <w:rsid w:val="003F6E73"/>
    <w:rsid w:val="003F7E73"/>
    <w:rsid w:val="00401217"/>
    <w:rsid w:val="00401758"/>
    <w:rsid w:val="0040185F"/>
    <w:rsid w:val="004019AA"/>
    <w:rsid w:val="00402699"/>
    <w:rsid w:val="00402DDA"/>
    <w:rsid w:val="0040412D"/>
    <w:rsid w:val="00405CB0"/>
    <w:rsid w:val="004076CD"/>
    <w:rsid w:val="00407A4D"/>
    <w:rsid w:val="0040EABB"/>
    <w:rsid w:val="0041093A"/>
    <w:rsid w:val="00410D44"/>
    <w:rsid w:val="00410DFD"/>
    <w:rsid w:val="0041100F"/>
    <w:rsid w:val="00411D86"/>
    <w:rsid w:val="00411EEC"/>
    <w:rsid w:val="00412850"/>
    <w:rsid w:val="00414606"/>
    <w:rsid w:val="00414AB5"/>
    <w:rsid w:val="004151B1"/>
    <w:rsid w:val="00415EB4"/>
    <w:rsid w:val="00416089"/>
    <w:rsid w:val="0041642D"/>
    <w:rsid w:val="004227B3"/>
    <w:rsid w:val="00422B0C"/>
    <w:rsid w:val="00422BE7"/>
    <w:rsid w:val="00424DFF"/>
    <w:rsid w:val="00424E8C"/>
    <w:rsid w:val="00426668"/>
    <w:rsid w:val="004278FF"/>
    <w:rsid w:val="00427B88"/>
    <w:rsid w:val="00430AC8"/>
    <w:rsid w:val="00430BE0"/>
    <w:rsid w:val="0043104A"/>
    <w:rsid w:val="00431FA3"/>
    <w:rsid w:val="00432CE9"/>
    <w:rsid w:val="00434309"/>
    <w:rsid w:val="00434C97"/>
    <w:rsid w:val="00435F62"/>
    <w:rsid w:val="00436EA4"/>
    <w:rsid w:val="00437945"/>
    <w:rsid w:val="00437994"/>
    <w:rsid w:val="0043C6C7"/>
    <w:rsid w:val="0044094C"/>
    <w:rsid w:val="0044194A"/>
    <w:rsid w:val="00443C56"/>
    <w:rsid w:val="00443DD7"/>
    <w:rsid w:val="00444ABC"/>
    <w:rsid w:val="00445B11"/>
    <w:rsid w:val="00445DB8"/>
    <w:rsid w:val="00445EE4"/>
    <w:rsid w:val="004462D5"/>
    <w:rsid w:val="004467DE"/>
    <w:rsid w:val="00450D5F"/>
    <w:rsid w:val="00452183"/>
    <w:rsid w:val="00453EE8"/>
    <w:rsid w:val="004612E1"/>
    <w:rsid w:val="0046135D"/>
    <w:rsid w:val="00461894"/>
    <w:rsid w:val="00462938"/>
    <w:rsid w:val="00463B74"/>
    <w:rsid w:val="0046480B"/>
    <w:rsid w:val="00465584"/>
    <w:rsid w:val="00465C9A"/>
    <w:rsid w:val="0046705E"/>
    <w:rsid w:val="00467176"/>
    <w:rsid w:val="004674E7"/>
    <w:rsid w:val="00472112"/>
    <w:rsid w:val="00472390"/>
    <w:rsid w:val="00472498"/>
    <w:rsid w:val="00473227"/>
    <w:rsid w:val="004732D2"/>
    <w:rsid w:val="00473DAB"/>
    <w:rsid w:val="00474331"/>
    <w:rsid w:val="004747F7"/>
    <w:rsid w:val="00474FD9"/>
    <w:rsid w:val="00476138"/>
    <w:rsid w:val="004766D8"/>
    <w:rsid w:val="00476D8D"/>
    <w:rsid w:val="00476E86"/>
    <w:rsid w:val="00477295"/>
    <w:rsid w:val="00477320"/>
    <w:rsid w:val="00477F15"/>
    <w:rsid w:val="00480BC2"/>
    <w:rsid w:val="00480F98"/>
    <w:rsid w:val="00481C52"/>
    <w:rsid w:val="004822E2"/>
    <w:rsid w:val="0048310F"/>
    <w:rsid w:val="00483630"/>
    <w:rsid w:val="0048384B"/>
    <w:rsid w:val="00484547"/>
    <w:rsid w:val="00484F7C"/>
    <w:rsid w:val="004851B6"/>
    <w:rsid w:val="004856FF"/>
    <w:rsid w:val="0048597E"/>
    <w:rsid w:val="004867DD"/>
    <w:rsid w:val="00486D37"/>
    <w:rsid w:val="00486D7D"/>
    <w:rsid w:val="00487C35"/>
    <w:rsid w:val="00487C83"/>
    <w:rsid w:val="0049010B"/>
    <w:rsid w:val="00490BE8"/>
    <w:rsid w:val="0049121F"/>
    <w:rsid w:val="004913F9"/>
    <w:rsid w:val="00491AC7"/>
    <w:rsid w:val="0049280B"/>
    <w:rsid w:val="00492AA9"/>
    <w:rsid w:val="00493DC6"/>
    <w:rsid w:val="00494FBA"/>
    <w:rsid w:val="00495286"/>
    <w:rsid w:val="00495E0B"/>
    <w:rsid w:val="004965D4"/>
    <w:rsid w:val="00496865"/>
    <w:rsid w:val="00497C1A"/>
    <w:rsid w:val="004A19E5"/>
    <w:rsid w:val="004A1C14"/>
    <w:rsid w:val="004A2B42"/>
    <w:rsid w:val="004A2D06"/>
    <w:rsid w:val="004A3157"/>
    <w:rsid w:val="004A3446"/>
    <w:rsid w:val="004A367B"/>
    <w:rsid w:val="004A3923"/>
    <w:rsid w:val="004A5BB9"/>
    <w:rsid w:val="004A6B9A"/>
    <w:rsid w:val="004A7044"/>
    <w:rsid w:val="004A7090"/>
    <w:rsid w:val="004B0BAE"/>
    <w:rsid w:val="004B0BE6"/>
    <w:rsid w:val="004B1514"/>
    <w:rsid w:val="004B2224"/>
    <w:rsid w:val="004B3CC6"/>
    <w:rsid w:val="004B4A49"/>
    <w:rsid w:val="004B4D09"/>
    <w:rsid w:val="004B555C"/>
    <w:rsid w:val="004B5F88"/>
    <w:rsid w:val="004B6036"/>
    <w:rsid w:val="004B6A1D"/>
    <w:rsid w:val="004B6D0C"/>
    <w:rsid w:val="004C16D5"/>
    <w:rsid w:val="004C19A3"/>
    <w:rsid w:val="004C1F58"/>
    <w:rsid w:val="004C28B3"/>
    <w:rsid w:val="004C32C4"/>
    <w:rsid w:val="004C4001"/>
    <w:rsid w:val="004C4EE0"/>
    <w:rsid w:val="004C5344"/>
    <w:rsid w:val="004C5680"/>
    <w:rsid w:val="004C5952"/>
    <w:rsid w:val="004C6F6F"/>
    <w:rsid w:val="004C7115"/>
    <w:rsid w:val="004D029A"/>
    <w:rsid w:val="004D1886"/>
    <w:rsid w:val="004D1CCA"/>
    <w:rsid w:val="004D2202"/>
    <w:rsid w:val="004D24E9"/>
    <w:rsid w:val="004D2B8F"/>
    <w:rsid w:val="004D2BA8"/>
    <w:rsid w:val="004D2FC0"/>
    <w:rsid w:val="004D3429"/>
    <w:rsid w:val="004D36B8"/>
    <w:rsid w:val="004D39E3"/>
    <w:rsid w:val="004D4C14"/>
    <w:rsid w:val="004D5447"/>
    <w:rsid w:val="004D547A"/>
    <w:rsid w:val="004D54C7"/>
    <w:rsid w:val="004D5FD5"/>
    <w:rsid w:val="004D7F56"/>
    <w:rsid w:val="004E0CF5"/>
    <w:rsid w:val="004E106C"/>
    <w:rsid w:val="004E3200"/>
    <w:rsid w:val="004E3B81"/>
    <w:rsid w:val="004E41F4"/>
    <w:rsid w:val="004E4B77"/>
    <w:rsid w:val="004E5374"/>
    <w:rsid w:val="004E542C"/>
    <w:rsid w:val="004E58C7"/>
    <w:rsid w:val="004E5D8A"/>
    <w:rsid w:val="004E60C4"/>
    <w:rsid w:val="004E6D78"/>
    <w:rsid w:val="004F12AA"/>
    <w:rsid w:val="004F2077"/>
    <w:rsid w:val="004F2779"/>
    <w:rsid w:val="004F36FF"/>
    <w:rsid w:val="004F48C8"/>
    <w:rsid w:val="00501753"/>
    <w:rsid w:val="005035FD"/>
    <w:rsid w:val="005041B9"/>
    <w:rsid w:val="005043E3"/>
    <w:rsid w:val="00504AD9"/>
    <w:rsid w:val="00506485"/>
    <w:rsid w:val="005069CD"/>
    <w:rsid w:val="00506BA7"/>
    <w:rsid w:val="005072C4"/>
    <w:rsid w:val="0050732A"/>
    <w:rsid w:val="005078C9"/>
    <w:rsid w:val="0051018B"/>
    <w:rsid w:val="00510277"/>
    <w:rsid w:val="005103DC"/>
    <w:rsid w:val="00511364"/>
    <w:rsid w:val="00511A77"/>
    <w:rsid w:val="0051244C"/>
    <w:rsid w:val="005137FC"/>
    <w:rsid w:val="00513CCA"/>
    <w:rsid w:val="0051417B"/>
    <w:rsid w:val="00514818"/>
    <w:rsid w:val="005152BB"/>
    <w:rsid w:val="005156C4"/>
    <w:rsid w:val="0051599C"/>
    <w:rsid w:val="00515D83"/>
    <w:rsid w:val="00517926"/>
    <w:rsid w:val="00520480"/>
    <w:rsid w:val="00521749"/>
    <w:rsid w:val="00521C08"/>
    <w:rsid w:val="0052209A"/>
    <w:rsid w:val="00522290"/>
    <w:rsid w:val="00523057"/>
    <w:rsid w:val="00523527"/>
    <w:rsid w:val="005238F6"/>
    <w:rsid w:val="00524430"/>
    <w:rsid w:val="00524EF5"/>
    <w:rsid w:val="0052542D"/>
    <w:rsid w:val="00525664"/>
    <w:rsid w:val="00525DB9"/>
    <w:rsid w:val="00526392"/>
    <w:rsid w:val="00526947"/>
    <w:rsid w:val="00526F01"/>
    <w:rsid w:val="00526F9C"/>
    <w:rsid w:val="005306EA"/>
    <w:rsid w:val="0053091C"/>
    <w:rsid w:val="005322D2"/>
    <w:rsid w:val="00532DB7"/>
    <w:rsid w:val="0053344B"/>
    <w:rsid w:val="00533E58"/>
    <w:rsid w:val="0053D5D2"/>
    <w:rsid w:val="00541028"/>
    <w:rsid w:val="005423D3"/>
    <w:rsid w:val="00542664"/>
    <w:rsid w:val="00542CA6"/>
    <w:rsid w:val="00542D58"/>
    <w:rsid w:val="00543157"/>
    <w:rsid w:val="005438B5"/>
    <w:rsid w:val="00543CED"/>
    <w:rsid w:val="0054466D"/>
    <w:rsid w:val="005454CF"/>
    <w:rsid w:val="005458DA"/>
    <w:rsid w:val="00546684"/>
    <w:rsid w:val="00546F2E"/>
    <w:rsid w:val="0054768A"/>
    <w:rsid w:val="0055004D"/>
    <w:rsid w:val="005502FE"/>
    <w:rsid w:val="005506F0"/>
    <w:rsid w:val="005516DB"/>
    <w:rsid w:val="00551C4E"/>
    <w:rsid w:val="0055234F"/>
    <w:rsid w:val="0055309B"/>
    <w:rsid w:val="0055358B"/>
    <w:rsid w:val="00554D3A"/>
    <w:rsid w:val="005557A1"/>
    <w:rsid w:val="00555FB3"/>
    <w:rsid w:val="00556482"/>
    <w:rsid w:val="00556AFA"/>
    <w:rsid w:val="005604EC"/>
    <w:rsid w:val="00560665"/>
    <w:rsid w:val="00560D34"/>
    <w:rsid w:val="00562CDE"/>
    <w:rsid w:val="00564548"/>
    <w:rsid w:val="00564C18"/>
    <w:rsid w:val="00567D5E"/>
    <w:rsid w:val="00570902"/>
    <w:rsid w:val="00570988"/>
    <w:rsid w:val="00570BB8"/>
    <w:rsid w:val="0057198F"/>
    <w:rsid w:val="005738B7"/>
    <w:rsid w:val="00573A31"/>
    <w:rsid w:val="00574C24"/>
    <w:rsid w:val="00574E0D"/>
    <w:rsid w:val="0057533F"/>
    <w:rsid w:val="0058311F"/>
    <w:rsid w:val="005832E5"/>
    <w:rsid w:val="00584C7C"/>
    <w:rsid w:val="00586887"/>
    <w:rsid w:val="00586A85"/>
    <w:rsid w:val="00586B85"/>
    <w:rsid w:val="00586DAB"/>
    <w:rsid w:val="005875A4"/>
    <w:rsid w:val="0059132B"/>
    <w:rsid w:val="005922CD"/>
    <w:rsid w:val="00592C01"/>
    <w:rsid w:val="00593183"/>
    <w:rsid w:val="005938E9"/>
    <w:rsid w:val="005944EA"/>
    <w:rsid w:val="00594F3F"/>
    <w:rsid w:val="005956F6"/>
    <w:rsid w:val="00595DB3"/>
    <w:rsid w:val="00595FAC"/>
    <w:rsid w:val="005A045C"/>
    <w:rsid w:val="005A1CF2"/>
    <w:rsid w:val="005A226C"/>
    <w:rsid w:val="005A233C"/>
    <w:rsid w:val="005A2E02"/>
    <w:rsid w:val="005A2EA3"/>
    <w:rsid w:val="005A48D6"/>
    <w:rsid w:val="005A4D72"/>
    <w:rsid w:val="005A5C1E"/>
    <w:rsid w:val="005A7114"/>
    <w:rsid w:val="005A72B9"/>
    <w:rsid w:val="005A76E2"/>
    <w:rsid w:val="005A7E49"/>
    <w:rsid w:val="005B0586"/>
    <w:rsid w:val="005B05EB"/>
    <w:rsid w:val="005B112F"/>
    <w:rsid w:val="005B191D"/>
    <w:rsid w:val="005B2237"/>
    <w:rsid w:val="005B661F"/>
    <w:rsid w:val="005B674F"/>
    <w:rsid w:val="005C020F"/>
    <w:rsid w:val="005C07F8"/>
    <w:rsid w:val="005C212A"/>
    <w:rsid w:val="005C28BE"/>
    <w:rsid w:val="005C2CD1"/>
    <w:rsid w:val="005C2E7B"/>
    <w:rsid w:val="005C33CD"/>
    <w:rsid w:val="005C3816"/>
    <w:rsid w:val="005C3DCC"/>
    <w:rsid w:val="005C434B"/>
    <w:rsid w:val="005C49E2"/>
    <w:rsid w:val="005C6C26"/>
    <w:rsid w:val="005C7780"/>
    <w:rsid w:val="005C7BE7"/>
    <w:rsid w:val="005CB948"/>
    <w:rsid w:val="005D1008"/>
    <w:rsid w:val="005D1492"/>
    <w:rsid w:val="005D1659"/>
    <w:rsid w:val="005D1DF6"/>
    <w:rsid w:val="005D26FF"/>
    <w:rsid w:val="005D2855"/>
    <w:rsid w:val="005D3005"/>
    <w:rsid w:val="005D34A2"/>
    <w:rsid w:val="005D3544"/>
    <w:rsid w:val="005D3DF5"/>
    <w:rsid w:val="005D4291"/>
    <w:rsid w:val="005D4885"/>
    <w:rsid w:val="005D49EF"/>
    <w:rsid w:val="005D4A23"/>
    <w:rsid w:val="005D5114"/>
    <w:rsid w:val="005D5762"/>
    <w:rsid w:val="005D5B02"/>
    <w:rsid w:val="005D612D"/>
    <w:rsid w:val="005D6274"/>
    <w:rsid w:val="005E089C"/>
    <w:rsid w:val="005E136F"/>
    <w:rsid w:val="005E2235"/>
    <w:rsid w:val="005E2F74"/>
    <w:rsid w:val="005E3C6E"/>
    <w:rsid w:val="005E5615"/>
    <w:rsid w:val="005E5EEB"/>
    <w:rsid w:val="005E60E1"/>
    <w:rsid w:val="005E71ED"/>
    <w:rsid w:val="005E7ED8"/>
    <w:rsid w:val="005F02BC"/>
    <w:rsid w:val="005F064A"/>
    <w:rsid w:val="005F1E98"/>
    <w:rsid w:val="005F2FB9"/>
    <w:rsid w:val="005F337D"/>
    <w:rsid w:val="005F3392"/>
    <w:rsid w:val="005F3AD9"/>
    <w:rsid w:val="005F3FB7"/>
    <w:rsid w:val="005F4D42"/>
    <w:rsid w:val="005F66DC"/>
    <w:rsid w:val="005F6B05"/>
    <w:rsid w:val="005F6BB9"/>
    <w:rsid w:val="005F71E1"/>
    <w:rsid w:val="005F7A6D"/>
    <w:rsid w:val="005F7F2A"/>
    <w:rsid w:val="006000FC"/>
    <w:rsid w:val="0060027E"/>
    <w:rsid w:val="00601687"/>
    <w:rsid w:val="00601B9D"/>
    <w:rsid w:val="006021CC"/>
    <w:rsid w:val="0060275F"/>
    <w:rsid w:val="00602B5F"/>
    <w:rsid w:val="00603D4E"/>
    <w:rsid w:val="00603E47"/>
    <w:rsid w:val="0060453B"/>
    <w:rsid w:val="0060485E"/>
    <w:rsid w:val="00606675"/>
    <w:rsid w:val="00606822"/>
    <w:rsid w:val="00606E90"/>
    <w:rsid w:val="006075B5"/>
    <w:rsid w:val="006102F2"/>
    <w:rsid w:val="00611197"/>
    <w:rsid w:val="00611360"/>
    <w:rsid w:val="006113F7"/>
    <w:rsid w:val="00612B5F"/>
    <w:rsid w:val="006135CC"/>
    <w:rsid w:val="00614870"/>
    <w:rsid w:val="006148C8"/>
    <w:rsid w:val="0061581F"/>
    <w:rsid w:val="006165EB"/>
    <w:rsid w:val="006170AA"/>
    <w:rsid w:val="006173AC"/>
    <w:rsid w:val="006177DD"/>
    <w:rsid w:val="0061786A"/>
    <w:rsid w:val="00620539"/>
    <w:rsid w:val="006208E7"/>
    <w:rsid w:val="00620930"/>
    <w:rsid w:val="00621165"/>
    <w:rsid w:val="00622BD8"/>
    <w:rsid w:val="00622CD4"/>
    <w:rsid w:val="006232EA"/>
    <w:rsid w:val="006246DD"/>
    <w:rsid w:val="00624A6D"/>
    <w:rsid w:val="00624B14"/>
    <w:rsid w:val="00624B8D"/>
    <w:rsid w:val="00624F09"/>
    <w:rsid w:val="00626049"/>
    <w:rsid w:val="00626461"/>
    <w:rsid w:val="0062660C"/>
    <w:rsid w:val="006268EA"/>
    <w:rsid w:val="006269DF"/>
    <w:rsid w:val="00626F28"/>
    <w:rsid w:val="00632F6A"/>
    <w:rsid w:val="00633718"/>
    <w:rsid w:val="00633BFF"/>
    <w:rsid w:val="00634069"/>
    <w:rsid w:val="00634629"/>
    <w:rsid w:val="0063463B"/>
    <w:rsid w:val="00634B33"/>
    <w:rsid w:val="00634DE1"/>
    <w:rsid w:val="006354E1"/>
    <w:rsid w:val="00637351"/>
    <w:rsid w:val="0063799D"/>
    <w:rsid w:val="00641986"/>
    <w:rsid w:val="0064238D"/>
    <w:rsid w:val="00644427"/>
    <w:rsid w:val="00644B11"/>
    <w:rsid w:val="0064510E"/>
    <w:rsid w:val="006462E5"/>
    <w:rsid w:val="00646FDB"/>
    <w:rsid w:val="00647A96"/>
    <w:rsid w:val="00650067"/>
    <w:rsid w:val="0065072D"/>
    <w:rsid w:val="0065096E"/>
    <w:rsid w:val="00650F9A"/>
    <w:rsid w:val="00651041"/>
    <w:rsid w:val="00651834"/>
    <w:rsid w:val="0065233E"/>
    <w:rsid w:val="006531C1"/>
    <w:rsid w:val="00653C31"/>
    <w:rsid w:val="00654E8D"/>
    <w:rsid w:val="006553E2"/>
    <w:rsid w:val="00655916"/>
    <w:rsid w:val="00655D86"/>
    <w:rsid w:val="006561AF"/>
    <w:rsid w:val="00656E5E"/>
    <w:rsid w:val="00657271"/>
    <w:rsid w:val="00657C25"/>
    <w:rsid w:val="006601FB"/>
    <w:rsid w:val="006603DA"/>
    <w:rsid w:val="006622A9"/>
    <w:rsid w:val="0066271B"/>
    <w:rsid w:val="00663E3C"/>
    <w:rsid w:val="00664E2F"/>
    <w:rsid w:val="00664F1F"/>
    <w:rsid w:val="00665665"/>
    <w:rsid w:val="00665B3C"/>
    <w:rsid w:val="006661AA"/>
    <w:rsid w:val="00667133"/>
    <w:rsid w:val="0066783E"/>
    <w:rsid w:val="00667FED"/>
    <w:rsid w:val="00670CBA"/>
    <w:rsid w:val="00672281"/>
    <w:rsid w:val="006728C4"/>
    <w:rsid w:val="00672FB6"/>
    <w:rsid w:val="00673AC4"/>
    <w:rsid w:val="00673DA9"/>
    <w:rsid w:val="00674150"/>
    <w:rsid w:val="00674711"/>
    <w:rsid w:val="006759E8"/>
    <w:rsid w:val="006765E8"/>
    <w:rsid w:val="00677A11"/>
    <w:rsid w:val="006805B8"/>
    <w:rsid w:val="006808BD"/>
    <w:rsid w:val="00681017"/>
    <w:rsid w:val="0068146B"/>
    <w:rsid w:val="00682382"/>
    <w:rsid w:val="00682B35"/>
    <w:rsid w:val="006833CD"/>
    <w:rsid w:val="00683F13"/>
    <w:rsid w:val="00684787"/>
    <w:rsid w:val="00684964"/>
    <w:rsid w:val="00684D59"/>
    <w:rsid w:val="006859DC"/>
    <w:rsid w:val="0068624B"/>
    <w:rsid w:val="00686A5D"/>
    <w:rsid w:val="006870BF"/>
    <w:rsid w:val="00687E62"/>
    <w:rsid w:val="00690170"/>
    <w:rsid w:val="00691842"/>
    <w:rsid w:val="0069184C"/>
    <w:rsid w:val="00691A14"/>
    <w:rsid w:val="00692080"/>
    <w:rsid w:val="00692884"/>
    <w:rsid w:val="00694DF9"/>
    <w:rsid w:val="00695240"/>
    <w:rsid w:val="00695859"/>
    <w:rsid w:val="006961A6"/>
    <w:rsid w:val="00696CCB"/>
    <w:rsid w:val="0069715F"/>
    <w:rsid w:val="006973CC"/>
    <w:rsid w:val="006974AF"/>
    <w:rsid w:val="0069761F"/>
    <w:rsid w:val="00697921"/>
    <w:rsid w:val="006A000E"/>
    <w:rsid w:val="006A0B8A"/>
    <w:rsid w:val="006A171D"/>
    <w:rsid w:val="006A1F16"/>
    <w:rsid w:val="006A3ABA"/>
    <w:rsid w:val="006A4185"/>
    <w:rsid w:val="006A4B00"/>
    <w:rsid w:val="006A4B0A"/>
    <w:rsid w:val="006A5551"/>
    <w:rsid w:val="006A5AA3"/>
    <w:rsid w:val="006A6FF8"/>
    <w:rsid w:val="006A73F3"/>
    <w:rsid w:val="006A761D"/>
    <w:rsid w:val="006A79E4"/>
    <w:rsid w:val="006B24AE"/>
    <w:rsid w:val="006B3396"/>
    <w:rsid w:val="006B3442"/>
    <w:rsid w:val="006B421E"/>
    <w:rsid w:val="006B4678"/>
    <w:rsid w:val="006B6C4B"/>
    <w:rsid w:val="006B7EDD"/>
    <w:rsid w:val="006C02C0"/>
    <w:rsid w:val="006C07B7"/>
    <w:rsid w:val="006C11CF"/>
    <w:rsid w:val="006C18B8"/>
    <w:rsid w:val="006C2286"/>
    <w:rsid w:val="006C231A"/>
    <w:rsid w:val="006C29AC"/>
    <w:rsid w:val="006C2CF7"/>
    <w:rsid w:val="006C2EC7"/>
    <w:rsid w:val="006C2F5D"/>
    <w:rsid w:val="006C3245"/>
    <w:rsid w:val="006C335B"/>
    <w:rsid w:val="006C3A4A"/>
    <w:rsid w:val="006C516E"/>
    <w:rsid w:val="006C51CC"/>
    <w:rsid w:val="006C5C3D"/>
    <w:rsid w:val="006C66F9"/>
    <w:rsid w:val="006C70DE"/>
    <w:rsid w:val="006C7726"/>
    <w:rsid w:val="006D0400"/>
    <w:rsid w:val="006D04FA"/>
    <w:rsid w:val="006D08D0"/>
    <w:rsid w:val="006D1980"/>
    <w:rsid w:val="006D1B35"/>
    <w:rsid w:val="006D31F1"/>
    <w:rsid w:val="006D4573"/>
    <w:rsid w:val="006D46FA"/>
    <w:rsid w:val="006D5D43"/>
    <w:rsid w:val="006D6803"/>
    <w:rsid w:val="006D6B65"/>
    <w:rsid w:val="006D796B"/>
    <w:rsid w:val="006D7F8F"/>
    <w:rsid w:val="006E0073"/>
    <w:rsid w:val="006E0AE8"/>
    <w:rsid w:val="006E2AA5"/>
    <w:rsid w:val="006E33EC"/>
    <w:rsid w:val="006E3A30"/>
    <w:rsid w:val="006E3BB3"/>
    <w:rsid w:val="006E4071"/>
    <w:rsid w:val="006E4330"/>
    <w:rsid w:val="006E4508"/>
    <w:rsid w:val="006E4ADA"/>
    <w:rsid w:val="006E5B5B"/>
    <w:rsid w:val="006E623E"/>
    <w:rsid w:val="006E629F"/>
    <w:rsid w:val="006E7163"/>
    <w:rsid w:val="006F022E"/>
    <w:rsid w:val="006F2EEF"/>
    <w:rsid w:val="006F3589"/>
    <w:rsid w:val="006F3842"/>
    <w:rsid w:val="006F47A0"/>
    <w:rsid w:val="006F550B"/>
    <w:rsid w:val="006F60DB"/>
    <w:rsid w:val="006F6844"/>
    <w:rsid w:val="006F6B1F"/>
    <w:rsid w:val="006F6E8F"/>
    <w:rsid w:val="006F7920"/>
    <w:rsid w:val="0070047F"/>
    <w:rsid w:val="007008E4"/>
    <w:rsid w:val="0070128F"/>
    <w:rsid w:val="0070129F"/>
    <w:rsid w:val="00701851"/>
    <w:rsid w:val="00701BE8"/>
    <w:rsid w:val="0070310B"/>
    <w:rsid w:val="007033B7"/>
    <w:rsid w:val="00704627"/>
    <w:rsid w:val="0070626E"/>
    <w:rsid w:val="00706C2A"/>
    <w:rsid w:val="007071E4"/>
    <w:rsid w:val="00707389"/>
    <w:rsid w:val="00707469"/>
    <w:rsid w:val="00710795"/>
    <w:rsid w:val="0071156D"/>
    <w:rsid w:val="007117A3"/>
    <w:rsid w:val="00711B2F"/>
    <w:rsid w:val="00712E94"/>
    <w:rsid w:val="007131FD"/>
    <w:rsid w:val="00713CC9"/>
    <w:rsid w:val="00713ED4"/>
    <w:rsid w:val="00714531"/>
    <w:rsid w:val="00715445"/>
    <w:rsid w:val="00715A47"/>
    <w:rsid w:val="00716469"/>
    <w:rsid w:val="007166E1"/>
    <w:rsid w:val="007167FF"/>
    <w:rsid w:val="00717407"/>
    <w:rsid w:val="00717966"/>
    <w:rsid w:val="00717B49"/>
    <w:rsid w:val="00720A7F"/>
    <w:rsid w:val="00720EAD"/>
    <w:rsid w:val="007226BC"/>
    <w:rsid w:val="0072346B"/>
    <w:rsid w:val="007235DD"/>
    <w:rsid w:val="00724C77"/>
    <w:rsid w:val="00725844"/>
    <w:rsid w:val="00725F98"/>
    <w:rsid w:val="007273F1"/>
    <w:rsid w:val="0073030E"/>
    <w:rsid w:val="007304B5"/>
    <w:rsid w:val="00730A25"/>
    <w:rsid w:val="0073203A"/>
    <w:rsid w:val="0073351D"/>
    <w:rsid w:val="00733722"/>
    <w:rsid w:val="007348FF"/>
    <w:rsid w:val="00734B0D"/>
    <w:rsid w:val="00734E88"/>
    <w:rsid w:val="00735FED"/>
    <w:rsid w:val="00736443"/>
    <w:rsid w:val="00737F6C"/>
    <w:rsid w:val="007405E8"/>
    <w:rsid w:val="00740805"/>
    <w:rsid w:val="00740DA5"/>
    <w:rsid w:val="0074311A"/>
    <w:rsid w:val="00744094"/>
    <w:rsid w:val="007456CE"/>
    <w:rsid w:val="00745F1E"/>
    <w:rsid w:val="00747F69"/>
    <w:rsid w:val="007514B6"/>
    <w:rsid w:val="0075272A"/>
    <w:rsid w:val="00752B58"/>
    <w:rsid w:val="007536F5"/>
    <w:rsid w:val="00754288"/>
    <w:rsid w:val="007544F6"/>
    <w:rsid w:val="00755027"/>
    <w:rsid w:val="00755124"/>
    <w:rsid w:val="007552F0"/>
    <w:rsid w:val="00756889"/>
    <w:rsid w:val="00760B75"/>
    <w:rsid w:val="00762094"/>
    <w:rsid w:val="00763186"/>
    <w:rsid w:val="00763BEA"/>
    <w:rsid w:val="007647AC"/>
    <w:rsid w:val="00765353"/>
    <w:rsid w:val="00765C36"/>
    <w:rsid w:val="007661F8"/>
    <w:rsid w:val="007662CE"/>
    <w:rsid w:val="0076669C"/>
    <w:rsid w:val="00766765"/>
    <w:rsid w:val="0077220F"/>
    <w:rsid w:val="0077289B"/>
    <w:rsid w:val="00774078"/>
    <w:rsid w:val="00774FE6"/>
    <w:rsid w:val="00775C7A"/>
    <w:rsid w:val="0077630F"/>
    <w:rsid w:val="00776434"/>
    <w:rsid w:val="00777222"/>
    <w:rsid w:val="007773D1"/>
    <w:rsid w:val="00780AA8"/>
    <w:rsid w:val="00781935"/>
    <w:rsid w:val="00782248"/>
    <w:rsid w:val="00782901"/>
    <w:rsid w:val="007843BB"/>
    <w:rsid w:val="00784693"/>
    <w:rsid w:val="007864CD"/>
    <w:rsid w:val="00787E80"/>
    <w:rsid w:val="0079003E"/>
    <w:rsid w:val="00790C2B"/>
    <w:rsid w:val="00791353"/>
    <w:rsid w:val="007924BE"/>
    <w:rsid w:val="00792B52"/>
    <w:rsid w:val="00792B91"/>
    <w:rsid w:val="007933A8"/>
    <w:rsid w:val="0079353C"/>
    <w:rsid w:val="00793B3B"/>
    <w:rsid w:val="007946B7"/>
    <w:rsid w:val="00794974"/>
    <w:rsid w:val="00795BDA"/>
    <w:rsid w:val="00795DD8"/>
    <w:rsid w:val="0079781D"/>
    <w:rsid w:val="007A037B"/>
    <w:rsid w:val="007A156F"/>
    <w:rsid w:val="007A1A5A"/>
    <w:rsid w:val="007A260A"/>
    <w:rsid w:val="007A2641"/>
    <w:rsid w:val="007A3325"/>
    <w:rsid w:val="007A33D8"/>
    <w:rsid w:val="007A33DA"/>
    <w:rsid w:val="007A4213"/>
    <w:rsid w:val="007A47EE"/>
    <w:rsid w:val="007A51C5"/>
    <w:rsid w:val="007A5C47"/>
    <w:rsid w:val="007A5D25"/>
    <w:rsid w:val="007A6CB5"/>
    <w:rsid w:val="007A6F74"/>
    <w:rsid w:val="007A72DC"/>
    <w:rsid w:val="007A7899"/>
    <w:rsid w:val="007AFD39"/>
    <w:rsid w:val="007B0A09"/>
    <w:rsid w:val="007B0C5F"/>
    <w:rsid w:val="007B134B"/>
    <w:rsid w:val="007B1991"/>
    <w:rsid w:val="007B1AF6"/>
    <w:rsid w:val="007B1F5B"/>
    <w:rsid w:val="007B2C27"/>
    <w:rsid w:val="007B2D15"/>
    <w:rsid w:val="007B521F"/>
    <w:rsid w:val="007B7F9D"/>
    <w:rsid w:val="007C0191"/>
    <w:rsid w:val="007C0634"/>
    <w:rsid w:val="007C11BD"/>
    <w:rsid w:val="007C16AC"/>
    <w:rsid w:val="007C1877"/>
    <w:rsid w:val="007C18FE"/>
    <w:rsid w:val="007C1B60"/>
    <w:rsid w:val="007C33B8"/>
    <w:rsid w:val="007C5A93"/>
    <w:rsid w:val="007C63C2"/>
    <w:rsid w:val="007C68DC"/>
    <w:rsid w:val="007C6CE4"/>
    <w:rsid w:val="007C6CF6"/>
    <w:rsid w:val="007C6F7D"/>
    <w:rsid w:val="007D02CB"/>
    <w:rsid w:val="007D0307"/>
    <w:rsid w:val="007D0B61"/>
    <w:rsid w:val="007D1A56"/>
    <w:rsid w:val="007D1D64"/>
    <w:rsid w:val="007D2C1C"/>
    <w:rsid w:val="007D315C"/>
    <w:rsid w:val="007D4B5A"/>
    <w:rsid w:val="007D58C7"/>
    <w:rsid w:val="007D6095"/>
    <w:rsid w:val="007D60A4"/>
    <w:rsid w:val="007D723C"/>
    <w:rsid w:val="007D7349"/>
    <w:rsid w:val="007E0908"/>
    <w:rsid w:val="007E0AE8"/>
    <w:rsid w:val="007E1220"/>
    <w:rsid w:val="007E1AE7"/>
    <w:rsid w:val="007E2919"/>
    <w:rsid w:val="007E2A26"/>
    <w:rsid w:val="007E3057"/>
    <w:rsid w:val="007E3B04"/>
    <w:rsid w:val="007E3F3C"/>
    <w:rsid w:val="007E4800"/>
    <w:rsid w:val="007E4F12"/>
    <w:rsid w:val="007E5035"/>
    <w:rsid w:val="007E5D63"/>
    <w:rsid w:val="007E5D8C"/>
    <w:rsid w:val="007E66DD"/>
    <w:rsid w:val="007E677F"/>
    <w:rsid w:val="007E6A42"/>
    <w:rsid w:val="007E758B"/>
    <w:rsid w:val="007E767C"/>
    <w:rsid w:val="007F0600"/>
    <w:rsid w:val="007F0C10"/>
    <w:rsid w:val="007F1013"/>
    <w:rsid w:val="007F1EF1"/>
    <w:rsid w:val="007F2085"/>
    <w:rsid w:val="007F5062"/>
    <w:rsid w:val="007F556A"/>
    <w:rsid w:val="007F566A"/>
    <w:rsid w:val="007F5BA6"/>
    <w:rsid w:val="007F5E9D"/>
    <w:rsid w:val="007F62EF"/>
    <w:rsid w:val="007F710D"/>
    <w:rsid w:val="007F7294"/>
    <w:rsid w:val="007F7A66"/>
    <w:rsid w:val="007F7C90"/>
    <w:rsid w:val="008028BC"/>
    <w:rsid w:val="00802F29"/>
    <w:rsid w:val="00802FB3"/>
    <w:rsid w:val="00803869"/>
    <w:rsid w:val="00805092"/>
    <w:rsid w:val="008066DB"/>
    <w:rsid w:val="00806702"/>
    <w:rsid w:val="008071BA"/>
    <w:rsid w:val="00807A14"/>
    <w:rsid w:val="00810216"/>
    <w:rsid w:val="008108F7"/>
    <w:rsid w:val="00810A63"/>
    <w:rsid w:val="00810B19"/>
    <w:rsid w:val="00810D7C"/>
    <w:rsid w:val="00811369"/>
    <w:rsid w:val="0081138C"/>
    <w:rsid w:val="00812885"/>
    <w:rsid w:val="00813A33"/>
    <w:rsid w:val="00814B50"/>
    <w:rsid w:val="00815503"/>
    <w:rsid w:val="00815C0F"/>
    <w:rsid w:val="008169E5"/>
    <w:rsid w:val="008169F3"/>
    <w:rsid w:val="00816A38"/>
    <w:rsid w:val="00816CF9"/>
    <w:rsid w:val="0081CE73"/>
    <w:rsid w:val="00821302"/>
    <w:rsid w:val="008216A7"/>
    <w:rsid w:val="00821ACB"/>
    <w:rsid w:val="00821C66"/>
    <w:rsid w:val="008225C8"/>
    <w:rsid w:val="008230AA"/>
    <w:rsid w:val="008240B8"/>
    <w:rsid w:val="00824755"/>
    <w:rsid w:val="00825A1E"/>
    <w:rsid w:val="008272DF"/>
    <w:rsid w:val="00827648"/>
    <w:rsid w:val="008277D4"/>
    <w:rsid w:val="00827BD4"/>
    <w:rsid w:val="00827E6C"/>
    <w:rsid w:val="00830AD2"/>
    <w:rsid w:val="00830C85"/>
    <w:rsid w:val="00830D08"/>
    <w:rsid w:val="00831C84"/>
    <w:rsid w:val="00831CCE"/>
    <w:rsid w:val="00833FA5"/>
    <w:rsid w:val="00834CBB"/>
    <w:rsid w:val="008350C9"/>
    <w:rsid w:val="00835218"/>
    <w:rsid w:val="00836534"/>
    <w:rsid w:val="00836CB9"/>
    <w:rsid w:val="00836D24"/>
    <w:rsid w:val="00837B0E"/>
    <w:rsid w:val="00837EA5"/>
    <w:rsid w:val="00841354"/>
    <w:rsid w:val="00841FEC"/>
    <w:rsid w:val="00842C58"/>
    <w:rsid w:val="00842CF4"/>
    <w:rsid w:val="00843192"/>
    <w:rsid w:val="0084350E"/>
    <w:rsid w:val="00843A9A"/>
    <w:rsid w:val="00844E1E"/>
    <w:rsid w:val="008458B4"/>
    <w:rsid w:val="00845CC6"/>
    <w:rsid w:val="008479FD"/>
    <w:rsid w:val="00847AE1"/>
    <w:rsid w:val="00847AE9"/>
    <w:rsid w:val="00850273"/>
    <w:rsid w:val="00851706"/>
    <w:rsid w:val="0085274B"/>
    <w:rsid w:val="008527C4"/>
    <w:rsid w:val="008543D2"/>
    <w:rsid w:val="0085449A"/>
    <w:rsid w:val="008545B6"/>
    <w:rsid w:val="008545EA"/>
    <w:rsid w:val="00854BC9"/>
    <w:rsid w:val="00855E57"/>
    <w:rsid w:val="00855F81"/>
    <w:rsid w:val="008570A6"/>
    <w:rsid w:val="008577E4"/>
    <w:rsid w:val="00857C56"/>
    <w:rsid w:val="0085A296"/>
    <w:rsid w:val="00861DB9"/>
    <w:rsid w:val="0086208E"/>
    <w:rsid w:val="00862A7D"/>
    <w:rsid w:val="00862B66"/>
    <w:rsid w:val="0086339A"/>
    <w:rsid w:val="008643A3"/>
    <w:rsid w:val="0086548F"/>
    <w:rsid w:val="00865B2F"/>
    <w:rsid w:val="00865B5A"/>
    <w:rsid w:val="00866556"/>
    <w:rsid w:val="00866741"/>
    <w:rsid w:val="00866C31"/>
    <w:rsid w:val="00866E36"/>
    <w:rsid w:val="008675F4"/>
    <w:rsid w:val="00870264"/>
    <w:rsid w:val="00870F02"/>
    <w:rsid w:val="00871893"/>
    <w:rsid w:val="00871E1D"/>
    <w:rsid w:val="00872F0F"/>
    <w:rsid w:val="00874D90"/>
    <w:rsid w:val="0087553B"/>
    <w:rsid w:val="0087584A"/>
    <w:rsid w:val="0087675F"/>
    <w:rsid w:val="00876BEE"/>
    <w:rsid w:val="00876F3E"/>
    <w:rsid w:val="00877FFA"/>
    <w:rsid w:val="00878C0D"/>
    <w:rsid w:val="0088123B"/>
    <w:rsid w:val="0088127F"/>
    <w:rsid w:val="00881D0D"/>
    <w:rsid w:val="00883543"/>
    <w:rsid w:val="00883A65"/>
    <w:rsid w:val="00883AF9"/>
    <w:rsid w:val="00883C08"/>
    <w:rsid w:val="00883E42"/>
    <w:rsid w:val="00884B73"/>
    <w:rsid w:val="008859B4"/>
    <w:rsid w:val="00885BB9"/>
    <w:rsid w:val="00887585"/>
    <w:rsid w:val="008904BA"/>
    <w:rsid w:val="00891595"/>
    <w:rsid w:val="008922CE"/>
    <w:rsid w:val="00894B1D"/>
    <w:rsid w:val="00895E56"/>
    <w:rsid w:val="0089618B"/>
    <w:rsid w:val="008A0425"/>
    <w:rsid w:val="008A07BD"/>
    <w:rsid w:val="008A0E8F"/>
    <w:rsid w:val="008A36F9"/>
    <w:rsid w:val="008A37E9"/>
    <w:rsid w:val="008A3D07"/>
    <w:rsid w:val="008A5557"/>
    <w:rsid w:val="008A65E1"/>
    <w:rsid w:val="008A66BA"/>
    <w:rsid w:val="008A6743"/>
    <w:rsid w:val="008A693A"/>
    <w:rsid w:val="008B0285"/>
    <w:rsid w:val="008B0999"/>
    <w:rsid w:val="008B1196"/>
    <w:rsid w:val="008B1C8E"/>
    <w:rsid w:val="008B1F1A"/>
    <w:rsid w:val="008B200A"/>
    <w:rsid w:val="008B22D3"/>
    <w:rsid w:val="008B2C4E"/>
    <w:rsid w:val="008B3EA3"/>
    <w:rsid w:val="008B5723"/>
    <w:rsid w:val="008B591C"/>
    <w:rsid w:val="008B5A86"/>
    <w:rsid w:val="008B65C1"/>
    <w:rsid w:val="008B7005"/>
    <w:rsid w:val="008B7095"/>
    <w:rsid w:val="008B74A4"/>
    <w:rsid w:val="008B7DE7"/>
    <w:rsid w:val="008C1833"/>
    <w:rsid w:val="008C3537"/>
    <w:rsid w:val="008C3A65"/>
    <w:rsid w:val="008C4181"/>
    <w:rsid w:val="008C5938"/>
    <w:rsid w:val="008C677E"/>
    <w:rsid w:val="008C6ABB"/>
    <w:rsid w:val="008C7142"/>
    <w:rsid w:val="008C7F0B"/>
    <w:rsid w:val="008C7F70"/>
    <w:rsid w:val="008D0703"/>
    <w:rsid w:val="008D3049"/>
    <w:rsid w:val="008D3190"/>
    <w:rsid w:val="008D3C67"/>
    <w:rsid w:val="008D4343"/>
    <w:rsid w:val="008D4786"/>
    <w:rsid w:val="008D4A2B"/>
    <w:rsid w:val="008D4AAE"/>
    <w:rsid w:val="008D6A13"/>
    <w:rsid w:val="008D7C44"/>
    <w:rsid w:val="008D7DC1"/>
    <w:rsid w:val="008D7DE9"/>
    <w:rsid w:val="008E075A"/>
    <w:rsid w:val="008E0CDC"/>
    <w:rsid w:val="008E2B99"/>
    <w:rsid w:val="008E3915"/>
    <w:rsid w:val="008E4B7B"/>
    <w:rsid w:val="008E515F"/>
    <w:rsid w:val="008E53B6"/>
    <w:rsid w:val="008E566E"/>
    <w:rsid w:val="008E625D"/>
    <w:rsid w:val="008E67E1"/>
    <w:rsid w:val="008F009D"/>
    <w:rsid w:val="008F0932"/>
    <w:rsid w:val="008F1899"/>
    <w:rsid w:val="008F24AA"/>
    <w:rsid w:val="008F2993"/>
    <w:rsid w:val="008F3152"/>
    <w:rsid w:val="008F56A7"/>
    <w:rsid w:val="008F57B0"/>
    <w:rsid w:val="008F6735"/>
    <w:rsid w:val="008F72C3"/>
    <w:rsid w:val="008F7364"/>
    <w:rsid w:val="008F7BFB"/>
    <w:rsid w:val="00900189"/>
    <w:rsid w:val="009005F0"/>
    <w:rsid w:val="009010A7"/>
    <w:rsid w:val="00901D74"/>
    <w:rsid w:val="0090225C"/>
    <w:rsid w:val="00902820"/>
    <w:rsid w:val="009037D1"/>
    <w:rsid w:val="00904360"/>
    <w:rsid w:val="00904916"/>
    <w:rsid w:val="00905202"/>
    <w:rsid w:val="009073FC"/>
    <w:rsid w:val="00910FCB"/>
    <w:rsid w:val="0091104A"/>
    <w:rsid w:val="00911AF5"/>
    <w:rsid w:val="0091409B"/>
    <w:rsid w:val="009149A0"/>
    <w:rsid w:val="009161BD"/>
    <w:rsid w:val="00916803"/>
    <w:rsid w:val="009170F6"/>
    <w:rsid w:val="009172A5"/>
    <w:rsid w:val="009173C8"/>
    <w:rsid w:val="00917467"/>
    <w:rsid w:val="00917E09"/>
    <w:rsid w:val="00920230"/>
    <w:rsid w:val="009205FE"/>
    <w:rsid w:val="00920D19"/>
    <w:rsid w:val="0092171E"/>
    <w:rsid w:val="009218DF"/>
    <w:rsid w:val="0092201A"/>
    <w:rsid w:val="009250B1"/>
    <w:rsid w:val="00926B11"/>
    <w:rsid w:val="00926C9B"/>
    <w:rsid w:val="009275A5"/>
    <w:rsid w:val="00927CBF"/>
    <w:rsid w:val="0093035A"/>
    <w:rsid w:val="00930BAA"/>
    <w:rsid w:val="00931362"/>
    <w:rsid w:val="009317B4"/>
    <w:rsid w:val="00931980"/>
    <w:rsid w:val="009319B0"/>
    <w:rsid w:val="00931EAE"/>
    <w:rsid w:val="00932508"/>
    <w:rsid w:val="00932939"/>
    <w:rsid w:val="009329E5"/>
    <w:rsid w:val="00933719"/>
    <w:rsid w:val="009344B4"/>
    <w:rsid w:val="00934B77"/>
    <w:rsid w:val="009351E1"/>
    <w:rsid w:val="009353F0"/>
    <w:rsid w:val="00935DBC"/>
    <w:rsid w:val="00940D10"/>
    <w:rsid w:val="00940E16"/>
    <w:rsid w:val="00942038"/>
    <w:rsid w:val="00942919"/>
    <w:rsid w:val="00942BF4"/>
    <w:rsid w:val="009431A1"/>
    <w:rsid w:val="0094380F"/>
    <w:rsid w:val="00943EF4"/>
    <w:rsid w:val="00945233"/>
    <w:rsid w:val="009455DC"/>
    <w:rsid w:val="00945A55"/>
    <w:rsid w:val="00945ABD"/>
    <w:rsid w:val="009463C9"/>
    <w:rsid w:val="00946764"/>
    <w:rsid w:val="009501E7"/>
    <w:rsid w:val="0095040B"/>
    <w:rsid w:val="00950DC3"/>
    <w:rsid w:val="00952066"/>
    <w:rsid w:val="00952070"/>
    <w:rsid w:val="00952B8C"/>
    <w:rsid w:val="00952D52"/>
    <w:rsid w:val="0095315D"/>
    <w:rsid w:val="0095327E"/>
    <w:rsid w:val="009532E3"/>
    <w:rsid w:val="009535FA"/>
    <w:rsid w:val="00953846"/>
    <w:rsid w:val="00953B25"/>
    <w:rsid w:val="00954804"/>
    <w:rsid w:val="0095662C"/>
    <w:rsid w:val="009567C6"/>
    <w:rsid w:val="00956CB0"/>
    <w:rsid w:val="00956FBD"/>
    <w:rsid w:val="00957A1C"/>
    <w:rsid w:val="0096205C"/>
    <w:rsid w:val="00962F19"/>
    <w:rsid w:val="0096387B"/>
    <w:rsid w:val="00963C49"/>
    <w:rsid w:val="00963D92"/>
    <w:rsid w:val="00964968"/>
    <w:rsid w:val="00964EE0"/>
    <w:rsid w:val="00964F41"/>
    <w:rsid w:val="00966221"/>
    <w:rsid w:val="00966597"/>
    <w:rsid w:val="009665BB"/>
    <w:rsid w:val="0096665E"/>
    <w:rsid w:val="00966935"/>
    <w:rsid w:val="00966F09"/>
    <w:rsid w:val="00967025"/>
    <w:rsid w:val="00967231"/>
    <w:rsid w:val="00970121"/>
    <w:rsid w:val="00970BF9"/>
    <w:rsid w:val="00971B4B"/>
    <w:rsid w:val="00971F9E"/>
    <w:rsid w:val="0097205F"/>
    <w:rsid w:val="009725CE"/>
    <w:rsid w:val="009744E4"/>
    <w:rsid w:val="00975DCB"/>
    <w:rsid w:val="0097645D"/>
    <w:rsid w:val="00976F59"/>
    <w:rsid w:val="00977507"/>
    <w:rsid w:val="00977664"/>
    <w:rsid w:val="00977D99"/>
    <w:rsid w:val="00980189"/>
    <w:rsid w:val="009805FB"/>
    <w:rsid w:val="00980883"/>
    <w:rsid w:val="009808DA"/>
    <w:rsid w:val="0098153F"/>
    <w:rsid w:val="00981C3F"/>
    <w:rsid w:val="00981E09"/>
    <w:rsid w:val="00982B98"/>
    <w:rsid w:val="00982C64"/>
    <w:rsid w:val="00983AFB"/>
    <w:rsid w:val="00984441"/>
    <w:rsid w:val="00984B73"/>
    <w:rsid w:val="00985EC7"/>
    <w:rsid w:val="00986F5E"/>
    <w:rsid w:val="009870D3"/>
    <w:rsid w:val="00987BB3"/>
    <w:rsid w:val="00990B7A"/>
    <w:rsid w:val="00991F1A"/>
    <w:rsid w:val="0099311A"/>
    <w:rsid w:val="00993CA0"/>
    <w:rsid w:val="00994098"/>
    <w:rsid w:val="00995F8D"/>
    <w:rsid w:val="009976A7"/>
    <w:rsid w:val="00997B29"/>
    <w:rsid w:val="009A0631"/>
    <w:rsid w:val="009A075D"/>
    <w:rsid w:val="009A07AE"/>
    <w:rsid w:val="009A19EB"/>
    <w:rsid w:val="009A19FC"/>
    <w:rsid w:val="009A2564"/>
    <w:rsid w:val="009A2822"/>
    <w:rsid w:val="009A2D88"/>
    <w:rsid w:val="009A3014"/>
    <w:rsid w:val="009A50BE"/>
    <w:rsid w:val="009A5B7B"/>
    <w:rsid w:val="009A5DC8"/>
    <w:rsid w:val="009A5EB7"/>
    <w:rsid w:val="009A6286"/>
    <w:rsid w:val="009A6F9F"/>
    <w:rsid w:val="009A79A4"/>
    <w:rsid w:val="009A7D7F"/>
    <w:rsid w:val="009B0296"/>
    <w:rsid w:val="009B1315"/>
    <w:rsid w:val="009B1904"/>
    <w:rsid w:val="009B1928"/>
    <w:rsid w:val="009B1BA8"/>
    <w:rsid w:val="009B29B5"/>
    <w:rsid w:val="009B3481"/>
    <w:rsid w:val="009B384B"/>
    <w:rsid w:val="009B4B6C"/>
    <w:rsid w:val="009B502E"/>
    <w:rsid w:val="009B5739"/>
    <w:rsid w:val="009B59C4"/>
    <w:rsid w:val="009B5A67"/>
    <w:rsid w:val="009B790D"/>
    <w:rsid w:val="009B7B62"/>
    <w:rsid w:val="009C4137"/>
    <w:rsid w:val="009C441A"/>
    <w:rsid w:val="009C6C36"/>
    <w:rsid w:val="009C7EC0"/>
    <w:rsid w:val="009D089C"/>
    <w:rsid w:val="009D0AFE"/>
    <w:rsid w:val="009D24BB"/>
    <w:rsid w:val="009D272E"/>
    <w:rsid w:val="009D2744"/>
    <w:rsid w:val="009D28E4"/>
    <w:rsid w:val="009D32C2"/>
    <w:rsid w:val="009D365E"/>
    <w:rsid w:val="009D3D25"/>
    <w:rsid w:val="009D42DE"/>
    <w:rsid w:val="009D49E8"/>
    <w:rsid w:val="009D5F5E"/>
    <w:rsid w:val="009D6172"/>
    <w:rsid w:val="009D64CB"/>
    <w:rsid w:val="009D66E4"/>
    <w:rsid w:val="009E0664"/>
    <w:rsid w:val="009E10BC"/>
    <w:rsid w:val="009E1E9F"/>
    <w:rsid w:val="009E1EAF"/>
    <w:rsid w:val="009E3F6E"/>
    <w:rsid w:val="009E489C"/>
    <w:rsid w:val="009E4A2D"/>
    <w:rsid w:val="009E520E"/>
    <w:rsid w:val="009E6166"/>
    <w:rsid w:val="009E689E"/>
    <w:rsid w:val="009F0285"/>
    <w:rsid w:val="009F0E6A"/>
    <w:rsid w:val="009F1240"/>
    <w:rsid w:val="009F23BC"/>
    <w:rsid w:val="009F24B4"/>
    <w:rsid w:val="009F2A4C"/>
    <w:rsid w:val="009F34F2"/>
    <w:rsid w:val="009F41E2"/>
    <w:rsid w:val="009F49F9"/>
    <w:rsid w:val="009F5F86"/>
    <w:rsid w:val="009F6241"/>
    <w:rsid w:val="009F651B"/>
    <w:rsid w:val="009F701C"/>
    <w:rsid w:val="009F70E1"/>
    <w:rsid w:val="00A003A4"/>
    <w:rsid w:val="00A0082B"/>
    <w:rsid w:val="00A008E7"/>
    <w:rsid w:val="00A00CAA"/>
    <w:rsid w:val="00A00F6B"/>
    <w:rsid w:val="00A01088"/>
    <w:rsid w:val="00A019C8"/>
    <w:rsid w:val="00A02453"/>
    <w:rsid w:val="00A030BE"/>
    <w:rsid w:val="00A03221"/>
    <w:rsid w:val="00A0342A"/>
    <w:rsid w:val="00A037CD"/>
    <w:rsid w:val="00A03986"/>
    <w:rsid w:val="00A03A13"/>
    <w:rsid w:val="00A04016"/>
    <w:rsid w:val="00A048C7"/>
    <w:rsid w:val="00A0745E"/>
    <w:rsid w:val="00A100A2"/>
    <w:rsid w:val="00A1024F"/>
    <w:rsid w:val="00A106CC"/>
    <w:rsid w:val="00A10BDB"/>
    <w:rsid w:val="00A11373"/>
    <w:rsid w:val="00A115A3"/>
    <w:rsid w:val="00A121B0"/>
    <w:rsid w:val="00A12520"/>
    <w:rsid w:val="00A12AAE"/>
    <w:rsid w:val="00A13132"/>
    <w:rsid w:val="00A14895"/>
    <w:rsid w:val="00A17EB2"/>
    <w:rsid w:val="00A21393"/>
    <w:rsid w:val="00A2265F"/>
    <w:rsid w:val="00A27DD6"/>
    <w:rsid w:val="00A303CD"/>
    <w:rsid w:val="00A31E03"/>
    <w:rsid w:val="00A32EAF"/>
    <w:rsid w:val="00A330C1"/>
    <w:rsid w:val="00A335DB"/>
    <w:rsid w:val="00A3396F"/>
    <w:rsid w:val="00A33A30"/>
    <w:rsid w:val="00A33D2C"/>
    <w:rsid w:val="00A34252"/>
    <w:rsid w:val="00A34CCE"/>
    <w:rsid w:val="00A35379"/>
    <w:rsid w:val="00A3593F"/>
    <w:rsid w:val="00A35F2A"/>
    <w:rsid w:val="00A36DBD"/>
    <w:rsid w:val="00A36FC1"/>
    <w:rsid w:val="00A4038D"/>
    <w:rsid w:val="00A40D96"/>
    <w:rsid w:val="00A41769"/>
    <w:rsid w:val="00A4227C"/>
    <w:rsid w:val="00A42FB0"/>
    <w:rsid w:val="00A44B86"/>
    <w:rsid w:val="00A44C2E"/>
    <w:rsid w:val="00A4527F"/>
    <w:rsid w:val="00A46762"/>
    <w:rsid w:val="00A47E07"/>
    <w:rsid w:val="00A5081B"/>
    <w:rsid w:val="00A50872"/>
    <w:rsid w:val="00A5180E"/>
    <w:rsid w:val="00A51E2A"/>
    <w:rsid w:val="00A52D8C"/>
    <w:rsid w:val="00A53F3A"/>
    <w:rsid w:val="00A55B9D"/>
    <w:rsid w:val="00A55E5F"/>
    <w:rsid w:val="00A56BB5"/>
    <w:rsid w:val="00A57AD4"/>
    <w:rsid w:val="00A60B69"/>
    <w:rsid w:val="00A61EA3"/>
    <w:rsid w:val="00A62CC5"/>
    <w:rsid w:val="00A62D44"/>
    <w:rsid w:val="00A62EED"/>
    <w:rsid w:val="00A63AEE"/>
    <w:rsid w:val="00A64444"/>
    <w:rsid w:val="00A644B6"/>
    <w:rsid w:val="00A658C8"/>
    <w:rsid w:val="00A65C0E"/>
    <w:rsid w:val="00A66060"/>
    <w:rsid w:val="00A66463"/>
    <w:rsid w:val="00A67175"/>
    <w:rsid w:val="00A67433"/>
    <w:rsid w:val="00A677A0"/>
    <w:rsid w:val="00A67E53"/>
    <w:rsid w:val="00A7027A"/>
    <w:rsid w:val="00A70B2D"/>
    <w:rsid w:val="00A70D52"/>
    <w:rsid w:val="00A7122A"/>
    <w:rsid w:val="00A712B0"/>
    <w:rsid w:val="00A726C1"/>
    <w:rsid w:val="00A7299D"/>
    <w:rsid w:val="00A731AA"/>
    <w:rsid w:val="00A747AB"/>
    <w:rsid w:val="00A74C94"/>
    <w:rsid w:val="00A75FE0"/>
    <w:rsid w:val="00A77681"/>
    <w:rsid w:val="00A77797"/>
    <w:rsid w:val="00A77E85"/>
    <w:rsid w:val="00A7EE70"/>
    <w:rsid w:val="00A82750"/>
    <w:rsid w:val="00A82752"/>
    <w:rsid w:val="00A82B13"/>
    <w:rsid w:val="00A82B36"/>
    <w:rsid w:val="00A82D81"/>
    <w:rsid w:val="00A82F75"/>
    <w:rsid w:val="00A8308C"/>
    <w:rsid w:val="00A83318"/>
    <w:rsid w:val="00A8383B"/>
    <w:rsid w:val="00A844C4"/>
    <w:rsid w:val="00A8526F"/>
    <w:rsid w:val="00A856C8"/>
    <w:rsid w:val="00A86616"/>
    <w:rsid w:val="00A8672C"/>
    <w:rsid w:val="00A86A83"/>
    <w:rsid w:val="00A8760C"/>
    <w:rsid w:val="00A878EF"/>
    <w:rsid w:val="00A906D0"/>
    <w:rsid w:val="00A90972"/>
    <w:rsid w:val="00A90AC6"/>
    <w:rsid w:val="00A91EB1"/>
    <w:rsid w:val="00A931F1"/>
    <w:rsid w:val="00A935DA"/>
    <w:rsid w:val="00A93B57"/>
    <w:rsid w:val="00A94E69"/>
    <w:rsid w:val="00A95055"/>
    <w:rsid w:val="00A951C5"/>
    <w:rsid w:val="00A95D0D"/>
    <w:rsid w:val="00A9679F"/>
    <w:rsid w:val="00A96ADA"/>
    <w:rsid w:val="00A96C7D"/>
    <w:rsid w:val="00A97156"/>
    <w:rsid w:val="00AA025F"/>
    <w:rsid w:val="00AA0327"/>
    <w:rsid w:val="00AA1958"/>
    <w:rsid w:val="00AA272C"/>
    <w:rsid w:val="00AA37E1"/>
    <w:rsid w:val="00AA45D6"/>
    <w:rsid w:val="00AA60DC"/>
    <w:rsid w:val="00AA62C6"/>
    <w:rsid w:val="00AA6404"/>
    <w:rsid w:val="00AA69D5"/>
    <w:rsid w:val="00AA6F9F"/>
    <w:rsid w:val="00AA718D"/>
    <w:rsid w:val="00AB10C2"/>
    <w:rsid w:val="00AB1454"/>
    <w:rsid w:val="00AB1ADB"/>
    <w:rsid w:val="00AB22EB"/>
    <w:rsid w:val="00AB2888"/>
    <w:rsid w:val="00AB2E18"/>
    <w:rsid w:val="00AB3F60"/>
    <w:rsid w:val="00AB4A0D"/>
    <w:rsid w:val="00AB4A44"/>
    <w:rsid w:val="00AB5E98"/>
    <w:rsid w:val="00AB5FE5"/>
    <w:rsid w:val="00AB677A"/>
    <w:rsid w:val="00AB6D58"/>
    <w:rsid w:val="00AB7143"/>
    <w:rsid w:val="00AC0355"/>
    <w:rsid w:val="00AC09E6"/>
    <w:rsid w:val="00AC10CC"/>
    <w:rsid w:val="00AC14A1"/>
    <w:rsid w:val="00AC1711"/>
    <w:rsid w:val="00AC1F57"/>
    <w:rsid w:val="00AC2571"/>
    <w:rsid w:val="00AC2CB2"/>
    <w:rsid w:val="00AC3DA2"/>
    <w:rsid w:val="00AC57C0"/>
    <w:rsid w:val="00AC58EE"/>
    <w:rsid w:val="00AC5CC9"/>
    <w:rsid w:val="00AC6478"/>
    <w:rsid w:val="00AC72EA"/>
    <w:rsid w:val="00AD03D2"/>
    <w:rsid w:val="00AD172B"/>
    <w:rsid w:val="00AD2B18"/>
    <w:rsid w:val="00AD3C72"/>
    <w:rsid w:val="00AD6268"/>
    <w:rsid w:val="00AD7148"/>
    <w:rsid w:val="00AE043E"/>
    <w:rsid w:val="00AE0A06"/>
    <w:rsid w:val="00AE1BA4"/>
    <w:rsid w:val="00AE1BAE"/>
    <w:rsid w:val="00AE253A"/>
    <w:rsid w:val="00AE2E40"/>
    <w:rsid w:val="00AE3603"/>
    <w:rsid w:val="00AE3FF6"/>
    <w:rsid w:val="00AE4670"/>
    <w:rsid w:val="00AE4F71"/>
    <w:rsid w:val="00AE4FF6"/>
    <w:rsid w:val="00AE671D"/>
    <w:rsid w:val="00AE6740"/>
    <w:rsid w:val="00AF127B"/>
    <w:rsid w:val="00AF17B6"/>
    <w:rsid w:val="00AF1FFA"/>
    <w:rsid w:val="00AF2C14"/>
    <w:rsid w:val="00AF38C2"/>
    <w:rsid w:val="00AF41B6"/>
    <w:rsid w:val="00AF4244"/>
    <w:rsid w:val="00AF5B81"/>
    <w:rsid w:val="00AF5E5A"/>
    <w:rsid w:val="00AF617D"/>
    <w:rsid w:val="00AF61E7"/>
    <w:rsid w:val="00AF65FD"/>
    <w:rsid w:val="00AF6933"/>
    <w:rsid w:val="00AF7BFB"/>
    <w:rsid w:val="00B00EE7"/>
    <w:rsid w:val="00B01AF8"/>
    <w:rsid w:val="00B01CAD"/>
    <w:rsid w:val="00B0389E"/>
    <w:rsid w:val="00B055B9"/>
    <w:rsid w:val="00B063C1"/>
    <w:rsid w:val="00B06671"/>
    <w:rsid w:val="00B07C40"/>
    <w:rsid w:val="00B107B0"/>
    <w:rsid w:val="00B124B6"/>
    <w:rsid w:val="00B12EA4"/>
    <w:rsid w:val="00B12EDB"/>
    <w:rsid w:val="00B132A7"/>
    <w:rsid w:val="00B14A76"/>
    <w:rsid w:val="00B15D08"/>
    <w:rsid w:val="00B16833"/>
    <w:rsid w:val="00B16F0B"/>
    <w:rsid w:val="00B173D9"/>
    <w:rsid w:val="00B20CE5"/>
    <w:rsid w:val="00B2133C"/>
    <w:rsid w:val="00B2233D"/>
    <w:rsid w:val="00B2429E"/>
    <w:rsid w:val="00B243B1"/>
    <w:rsid w:val="00B24AD4"/>
    <w:rsid w:val="00B26056"/>
    <w:rsid w:val="00B2607C"/>
    <w:rsid w:val="00B2607F"/>
    <w:rsid w:val="00B27BD4"/>
    <w:rsid w:val="00B27BDB"/>
    <w:rsid w:val="00B30BF8"/>
    <w:rsid w:val="00B313B2"/>
    <w:rsid w:val="00B31A88"/>
    <w:rsid w:val="00B31F95"/>
    <w:rsid w:val="00B32517"/>
    <w:rsid w:val="00B33332"/>
    <w:rsid w:val="00B33603"/>
    <w:rsid w:val="00B34B83"/>
    <w:rsid w:val="00B34EB5"/>
    <w:rsid w:val="00B35022"/>
    <w:rsid w:val="00B359C0"/>
    <w:rsid w:val="00B35C35"/>
    <w:rsid w:val="00B36D62"/>
    <w:rsid w:val="00B37BE0"/>
    <w:rsid w:val="00B40271"/>
    <w:rsid w:val="00B410CB"/>
    <w:rsid w:val="00B413AC"/>
    <w:rsid w:val="00B42465"/>
    <w:rsid w:val="00B43163"/>
    <w:rsid w:val="00B4467B"/>
    <w:rsid w:val="00B448EA"/>
    <w:rsid w:val="00B458B3"/>
    <w:rsid w:val="00B4590B"/>
    <w:rsid w:val="00B46007"/>
    <w:rsid w:val="00B4633D"/>
    <w:rsid w:val="00B46A21"/>
    <w:rsid w:val="00B478B4"/>
    <w:rsid w:val="00B50096"/>
    <w:rsid w:val="00B503AC"/>
    <w:rsid w:val="00B5154A"/>
    <w:rsid w:val="00B51E85"/>
    <w:rsid w:val="00B525E4"/>
    <w:rsid w:val="00B54154"/>
    <w:rsid w:val="00B5480D"/>
    <w:rsid w:val="00B56030"/>
    <w:rsid w:val="00B56413"/>
    <w:rsid w:val="00B56746"/>
    <w:rsid w:val="00B56ACC"/>
    <w:rsid w:val="00B57CF9"/>
    <w:rsid w:val="00B57FD0"/>
    <w:rsid w:val="00B60C14"/>
    <w:rsid w:val="00B61736"/>
    <w:rsid w:val="00B62E0A"/>
    <w:rsid w:val="00B63E5C"/>
    <w:rsid w:val="00B642B2"/>
    <w:rsid w:val="00B6528C"/>
    <w:rsid w:val="00B6603C"/>
    <w:rsid w:val="00B67DDD"/>
    <w:rsid w:val="00B70A38"/>
    <w:rsid w:val="00B70A5C"/>
    <w:rsid w:val="00B70BAC"/>
    <w:rsid w:val="00B71033"/>
    <w:rsid w:val="00B7116B"/>
    <w:rsid w:val="00B73103"/>
    <w:rsid w:val="00B73C5F"/>
    <w:rsid w:val="00B73DAC"/>
    <w:rsid w:val="00B74143"/>
    <w:rsid w:val="00B74FE6"/>
    <w:rsid w:val="00B75E65"/>
    <w:rsid w:val="00B75FD7"/>
    <w:rsid w:val="00B763DE"/>
    <w:rsid w:val="00B76D2A"/>
    <w:rsid w:val="00B770C1"/>
    <w:rsid w:val="00B77276"/>
    <w:rsid w:val="00B774CF"/>
    <w:rsid w:val="00B77E1A"/>
    <w:rsid w:val="00B80902"/>
    <w:rsid w:val="00B81543"/>
    <w:rsid w:val="00B8183F"/>
    <w:rsid w:val="00B81A05"/>
    <w:rsid w:val="00B81A26"/>
    <w:rsid w:val="00B827EB"/>
    <w:rsid w:val="00B846E5"/>
    <w:rsid w:val="00B84BBB"/>
    <w:rsid w:val="00B84E53"/>
    <w:rsid w:val="00B86D0F"/>
    <w:rsid w:val="00B87E2B"/>
    <w:rsid w:val="00B917AB"/>
    <w:rsid w:val="00B9294B"/>
    <w:rsid w:val="00B929AD"/>
    <w:rsid w:val="00B93564"/>
    <w:rsid w:val="00B93C90"/>
    <w:rsid w:val="00B94532"/>
    <w:rsid w:val="00B948C0"/>
    <w:rsid w:val="00B94E9D"/>
    <w:rsid w:val="00B9554E"/>
    <w:rsid w:val="00B95C37"/>
    <w:rsid w:val="00B97794"/>
    <w:rsid w:val="00BA042E"/>
    <w:rsid w:val="00BA05AF"/>
    <w:rsid w:val="00BA0665"/>
    <w:rsid w:val="00BA06C4"/>
    <w:rsid w:val="00BA1341"/>
    <w:rsid w:val="00BA248B"/>
    <w:rsid w:val="00BA3150"/>
    <w:rsid w:val="00BA398B"/>
    <w:rsid w:val="00BA3B2A"/>
    <w:rsid w:val="00BA3CAE"/>
    <w:rsid w:val="00BA3E88"/>
    <w:rsid w:val="00BA428B"/>
    <w:rsid w:val="00BA4ACB"/>
    <w:rsid w:val="00BA4ECC"/>
    <w:rsid w:val="00BA5151"/>
    <w:rsid w:val="00BA542A"/>
    <w:rsid w:val="00BA6B5E"/>
    <w:rsid w:val="00BACD41"/>
    <w:rsid w:val="00BB008B"/>
    <w:rsid w:val="00BB0B62"/>
    <w:rsid w:val="00BB16F0"/>
    <w:rsid w:val="00BB1AC7"/>
    <w:rsid w:val="00BB1B10"/>
    <w:rsid w:val="00BB24A3"/>
    <w:rsid w:val="00BB26D7"/>
    <w:rsid w:val="00BB2EC5"/>
    <w:rsid w:val="00BB3045"/>
    <w:rsid w:val="00BB328D"/>
    <w:rsid w:val="00BB34E0"/>
    <w:rsid w:val="00BB39E3"/>
    <w:rsid w:val="00BB44BD"/>
    <w:rsid w:val="00BB494C"/>
    <w:rsid w:val="00BB4FF2"/>
    <w:rsid w:val="00BB53D3"/>
    <w:rsid w:val="00BB5A76"/>
    <w:rsid w:val="00BB709F"/>
    <w:rsid w:val="00BB77A0"/>
    <w:rsid w:val="00BB7DAE"/>
    <w:rsid w:val="00BB889B"/>
    <w:rsid w:val="00BC079E"/>
    <w:rsid w:val="00BC0E80"/>
    <w:rsid w:val="00BC337D"/>
    <w:rsid w:val="00BC4A13"/>
    <w:rsid w:val="00BC4B4A"/>
    <w:rsid w:val="00BC4F3A"/>
    <w:rsid w:val="00BC570F"/>
    <w:rsid w:val="00BC5958"/>
    <w:rsid w:val="00BC5D4E"/>
    <w:rsid w:val="00BC695F"/>
    <w:rsid w:val="00BC6A3C"/>
    <w:rsid w:val="00BD01F8"/>
    <w:rsid w:val="00BD1471"/>
    <w:rsid w:val="00BD1481"/>
    <w:rsid w:val="00BD2A4A"/>
    <w:rsid w:val="00BD2BBA"/>
    <w:rsid w:val="00BD3921"/>
    <w:rsid w:val="00BD4550"/>
    <w:rsid w:val="00BD497B"/>
    <w:rsid w:val="00BD5178"/>
    <w:rsid w:val="00BD6405"/>
    <w:rsid w:val="00BD65CF"/>
    <w:rsid w:val="00BD7A6C"/>
    <w:rsid w:val="00BD7FF5"/>
    <w:rsid w:val="00BE0E7D"/>
    <w:rsid w:val="00BE2323"/>
    <w:rsid w:val="00BE244C"/>
    <w:rsid w:val="00BE31AE"/>
    <w:rsid w:val="00BE3555"/>
    <w:rsid w:val="00BE3C85"/>
    <w:rsid w:val="00BE3D64"/>
    <w:rsid w:val="00BE446A"/>
    <w:rsid w:val="00BE4AD1"/>
    <w:rsid w:val="00BE4BF4"/>
    <w:rsid w:val="00BE4CA3"/>
    <w:rsid w:val="00BE5371"/>
    <w:rsid w:val="00BE6508"/>
    <w:rsid w:val="00BE65E9"/>
    <w:rsid w:val="00BE6AA5"/>
    <w:rsid w:val="00BE77A2"/>
    <w:rsid w:val="00BE7B1D"/>
    <w:rsid w:val="00BE7B24"/>
    <w:rsid w:val="00BEE73C"/>
    <w:rsid w:val="00BF0A2F"/>
    <w:rsid w:val="00BF0CB1"/>
    <w:rsid w:val="00BF1820"/>
    <w:rsid w:val="00BF19E3"/>
    <w:rsid w:val="00BF1B01"/>
    <w:rsid w:val="00BF3649"/>
    <w:rsid w:val="00BF4BA3"/>
    <w:rsid w:val="00BF4D28"/>
    <w:rsid w:val="00BF4F1C"/>
    <w:rsid w:val="00BF5A99"/>
    <w:rsid w:val="00BF5C7A"/>
    <w:rsid w:val="00BF76E4"/>
    <w:rsid w:val="00BF7B14"/>
    <w:rsid w:val="00C0060B"/>
    <w:rsid w:val="00C0102B"/>
    <w:rsid w:val="00C02832"/>
    <w:rsid w:val="00C02966"/>
    <w:rsid w:val="00C02B8D"/>
    <w:rsid w:val="00C02FCA"/>
    <w:rsid w:val="00C032CC"/>
    <w:rsid w:val="00C0411E"/>
    <w:rsid w:val="00C06678"/>
    <w:rsid w:val="00C10DDD"/>
    <w:rsid w:val="00C11181"/>
    <w:rsid w:val="00C12D6E"/>
    <w:rsid w:val="00C14948"/>
    <w:rsid w:val="00C16605"/>
    <w:rsid w:val="00C175FD"/>
    <w:rsid w:val="00C20543"/>
    <w:rsid w:val="00C2073B"/>
    <w:rsid w:val="00C21E1A"/>
    <w:rsid w:val="00C22C27"/>
    <w:rsid w:val="00C23ECA"/>
    <w:rsid w:val="00C2415C"/>
    <w:rsid w:val="00C24C1F"/>
    <w:rsid w:val="00C25378"/>
    <w:rsid w:val="00C279F9"/>
    <w:rsid w:val="00C301FB"/>
    <w:rsid w:val="00C3036C"/>
    <w:rsid w:val="00C309C7"/>
    <w:rsid w:val="00C30A4F"/>
    <w:rsid w:val="00C314F1"/>
    <w:rsid w:val="00C31599"/>
    <w:rsid w:val="00C31C07"/>
    <w:rsid w:val="00C336FA"/>
    <w:rsid w:val="00C33962"/>
    <w:rsid w:val="00C340A0"/>
    <w:rsid w:val="00C34407"/>
    <w:rsid w:val="00C34AB4"/>
    <w:rsid w:val="00C34C60"/>
    <w:rsid w:val="00C36B23"/>
    <w:rsid w:val="00C36C66"/>
    <w:rsid w:val="00C37D59"/>
    <w:rsid w:val="00C37F3A"/>
    <w:rsid w:val="00C4090E"/>
    <w:rsid w:val="00C4199E"/>
    <w:rsid w:val="00C4359E"/>
    <w:rsid w:val="00C45B99"/>
    <w:rsid w:val="00C45EB6"/>
    <w:rsid w:val="00C463DF"/>
    <w:rsid w:val="00C46C93"/>
    <w:rsid w:val="00C46FCE"/>
    <w:rsid w:val="00C4743F"/>
    <w:rsid w:val="00C503E2"/>
    <w:rsid w:val="00C51020"/>
    <w:rsid w:val="00C51EB6"/>
    <w:rsid w:val="00C528B8"/>
    <w:rsid w:val="00C52F9C"/>
    <w:rsid w:val="00C53ACF"/>
    <w:rsid w:val="00C54643"/>
    <w:rsid w:val="00C54D2D"/>
    <w:rsid w:val="00C553A4"/>
    <w:rsid w:val="00C56186"/>
    <w:rsid w:val="00C571AA"/>
    <w:rsid w:val="00C578A6"/>
    <w:rsid w:val="00C57B12"/>
    <w:rsid w:val="00C57DD0"/>
    <w:rsid w:val="00C61A0F"/>
    <w:rsid w:val="00C6215F"/>
    <w:rsid w:val="00C62C12"/>
    <w:rsid w:val="00C639E6"/>
    <w:rsid w:val="00C651B1"/>
    <w:rsid w:val="00C662F5"/>
    <w:rsid w:val="00C662F6"/>
    <w:rsid w:val="00C675BB"/>
    <w:rsid w:val="00C67FEB"/>
    <w:rsid w:val="00C70B0C"/>
    <w:rsid w:val="00C70B4F"/>
    <w:rsid w:val="00C712C9"/>
    <w:rsid w:val="00C72D13"/>
    <w:rsid w:val="00C737CA"/>
    <w:rsid w:val="00C7391F"/>
    <w:rsid w:val="00C7571D"/>
    <w:rsid w:val="00C7651A"/>
    <w:rsid w:val="00C76E38"/>
    <w:rsid w:val="00C81062"/>
    <w:rsid w:val="00C832A9"/>
    <w:rsid w:val="00C83F64"/>
    <w:rsid w:val="00C840A2"/>
    <w:rsid w:val="00C84224"/>
    <w:rsid w:val="00C84969"/>
    <w:rsid w:val="00C85802"/>
    <w:rsid w:val="00C85C16"/>
    <w:rsid w:val="00C8637B"/>
    <w:rsid w:val="00C869C3"/>
    <w:rsid w:val="00C86D68"/>
    <w:rsid w:val="00C905B0"/>
    <w:rsid w:val="00C90943"/>
    <w:rsid w:val="00C90B87"/>
    <w:rsid w:val="00C90C80"/>
    <w:rsid w:val="00C915DA"/>
    <w:rsid w:val="00C92FD4"/>
    <w:rsid w:val="00C935B4"/>
    <w:rsid w:val="00C949ED"/>
    <w:rsid w:val="00C959C6"/>
    <w:rsid w:val="00C95F7F"/>
    <w:rsid w:val="00C96897"/>
    <w:rsid w:val="00C96A13"/>
    <w:rsid w:val="00C97111"/>
    <w:rsid w:val="00C979F4"/>
    <w:rsid w:val="00C97B18"/>
    <w:rsid w:val="00CA13C8"/>
    <w:rsid w:val="00CA21DE"/>
    <w:rsid w:val="00CA2AA0"/>
    <w:rsid w:val="00CA2ADE"/>
    <w:rsid w:val="00CA32DF"/>
    <w:rsid w:val="00CA53DE"/>
    <w:rsid w:val="00CA5BCB"/>
    <w:rsid w:val="00CA6048"/>
    <w:rsid w:val="00CA60BB"/>
    <w:rsid w:val="00CA6A23"/>
    <w:rsid w:val="00CA74F6"/>
    <w:rsid w:val="00CA7A8E"/>
    <w:rsid w:val="00CADA2D"/>
    <w:rsid w:val="00CB02E0"/>
    <w:rsid w:val="00CB1D3F"/>
    <w:rsid w:val="00CB25B8"/>
    <w:rsid w:val="00CB264D"/>
    <w:rsid w:val="00CB2873"/>
    <w:rsid w:val="00CB2EE1"/>
    <w:rsid w:val="00CB38A7"/>
    <w:rsid w:val="00CB3A95"/>
    <w:rsid w:val="00CB4690"/>
    <w:rsid w:val="00CB4ACE"/>
    <w:rsid w:val="00CB4D42"/>
    <w:rsid w:val="00CB4E89"/>
    <w:rsid w:val="00CB5DBC"/>
    <w:rsid w:val="00CB7B03"/>
    <w:rsid w:val="00CC0620"/>
    <w:rsid w:val="00CC1387"/>
    <w:rsid w:val="00CC1720"/>
    <w:rsid w:val="00CC195C"/>
    <w:rsid w:val="00CC1E0E"/>
    <w:rsid w:val="00CC1E46"/>
    <w:rsid w:val="00CC2234"/>
    <w:rsid w:val="00CC245A"/>
    <w:rsid w:val="00CC24BC"/>
    <w:rsid w:val="00CC4A4D"/>
    <w:rsid w:val="00CC555B"/>
    <w:rsid w:val="00CC5660"/>
    <w:rsid w:val="00CC649B"/>
    <w:rsid w:val="00CC686E"/>
    <w:rsid w:val="00CC7C33"/>
    <w:rsid w:val="00CD1BB6"/>
    <w:rsid w:val="00CD1CE9"/>
    <w:rsid w:val="00CD1D63"/>
    <w:rsid w:val="00CD1F47"/>
    <w:rsid w:val="00CD21E1"/>
    <w:rsid w:val="00CD3122"/>
    <w:rsid w:val="00CD5AB9"/>
    <w:rsid w:val="00CD5CE6"/>
    <w:rsid w:val="00CD69F3"/>
    <w:rsid w:val="00CD6DC6"/>
    <w:rsid w:val="00CD70B8"/>
    <w:rsid w:val="00CD76CF"/>
    <w:rsid w:val="00CE0FC2"/>
    <w:rsid w:val="00CE1466"/>
    <w:rsid w:val="00CE16B1"/>
    <w:rsid w:val="00CE1C67"/>
    <w:rsid w:val="00CE1CB1"/>
    <w:rsid w:val="00CE1EF4"/>
    <w:rsid w:val="00CE22E0"/>
    <w:rsid w:val="00CE285F"/>
    <w:rsid w:val="00CE3CA6"/>
    <w:rsid w:val="00CE4B48"/>
    <w:rsid w:val="00CE6A4C"/>
    <w:rsid w:val="00CE6B27"/>
    <w:rsid w:val="00CE717B"/>
    <w:rsid w:val="00CE7CC3"/>
    <w:rsid w:val="00CE7DFA"/>
    <w:rsid w:val="00CF09DB"/>
    <w:rsid w:val="00CF0AF5"/>
    <w:rsid w:val="00CF167C"/>
    <w:rsid w:val="00CF2784"/>
    <w:rsid w:val="00CF27C3"/>
    <w:rsid w:val="00CF2D01"/>
    <w:rsid w:val="00CF321A"/>
    <w:rsid w:val="00CF3E55"/>
    <w:rsid w:val="00CF3E6C"/>
    <w:rsid w:val="00CF609C"/>
    <w:rsid w:val="00CF69CA"/>
    <w:rsid w:val="00CF7E87"/>
    <w:rsid w:val="00CFCEFD"/>
    <w:rsid w:val="00D0024A"/>
    <w:rsid w:val="00D00456"/>
    <w:rsid w:val="00D012F9"/>
    <w:rsid w:val="00D01490"/>
    <w:rsid w:val="00D0183B"/>
    <w:rsid w:val="00D02820"/>
    <w:rsid w:val="00D02D0F"/>
    <w:rsid w:val="00D0302B"/>
    <w:rsid w:val="00D05D18"/>
    <w:rsid w:val="00D06A44"/>
    <w:rsid w:val="00D06D8A"/>
    <w:rsid w:val="00D06EF1"/>
    <w:rsid w:val="00D11474"/>
    <w:rsid w:val="00D12025"/>
    <w:rsid w:val="00D12F3B"/>
    <w:rsid w:val="00D13D15"/>
    <w:rsid w:val="00D1414E"/>
    <w:rsid w:val="00D1433B"/>
    <w:rsid w:val="00D146FD"/>
    <w:rsid w:val="00D1472F"/>
    <w:rsid w:val="00D14AA7"/>
    <w:rsid w:val="00D14E36"/>
    <w:rsid w:val="00D15696"/>
    <w:rsid w:val="00D160A9"/>
    <w:rsid w:val="00D1623E"/>
    <w:rsid w:val="00D16A3E"/>
    <w:rsid w:val="00D16B49"/>
    <w:rsid w:val="00D20559"/>
    <w:rsid w:val="00D2156D"/>
    <w:rsid w:val="00D22E8E"/>
    <w:rsid w:val="00D22E8F"/>
    <w:rsid w:val="00D230A5"/>
    <w:rsid w:val="00D24073"/>
    <w:rsid w:val="00D251ED"/>
    <w:rsid w:val="00D2584B"/>
    <w:rsid w:val="00D25B8E"/>
    <w:rsid w:val="00D25DE3"/>
    <w:rsid w:val="00D26452"/>
    <w:rsid w:val="00D266E5"/>
    <w:rsid w:val="00D2716D"/>
    <w:rsid w:val="00D302D7"/>
    <w:rsid w:val="00D319A4"/>
    <w:rsid w:val="00D31F64"/>
    <w:rsid w:val="00D32FFB"/>
    <w:rsid w:val="00D33016"/>
    <w:rsid w:val="00D35987"/>
    <w:rsid w:val="00D3653C"/>
    <w:rsid w:val="00D36EC1"/>
    <w:rsid w:val="00D4033E"/>
    <w:rsid w:val="00D404AC"/>
    <w:rsid w:val="00D405C9"/>
    <w:rsid w:val="00D41E47"/>
    <w:rsid w:val="00D41EF3"/>
    <w:rsid w:val="00D42B7C"/>
    <w:rsid w:val="00D43C64"/>
    <w:rsid w:val="00D4531A"/>
    <w:rsid w:val="00D45B62"/>
    <w:rsid w:val="00D510AF"/>
    <w:rsid w:val="00D51D65"/>
    <w:rsid w:val="00D52EE2"/>
    <w:rsid w:val="00D55357"/>
    <w:rsid w:val="00D55BBA"/>
    <w:rsid w:val="00D56069"/>
    <w:rsid w:val="00D56ED4"/>
    <w:rsid w:val="00D5770B"/>
    <w:rsid w:val="00D618F2"/>
    <w:rsid w:val="00D61F76"/>
    <w:rsid w:val="00D632E9"/>
    <w:rsid w:val="00D63829"/>
    <w:rsid w:val="00D63EAC"/>
    <w:rsid w:val="00D649ED"/>
    <w:rsid w:val="00D6559A"/>
    <w:rsid w:val="00D6573A"/>
    <w:rsid w:val="00D657ED"/>
    <w:rsid w:val="00D660E9"/>
    <w:rsid w:val="00D66602"/>
    <w:rsid w:val="00D66769"/>
    <w:rsid w:val="00D6687E"/>
    <w:rsid w:val="00D7084E"/>
    <w:rsid w:val="00D73C2E"/>
    <w:rsid w:val="00D73C4B"/>
    <w:rsid w:val="00D7442D"/>
    <w:rsid w:val="00D74C56"/>
    <w:rsid w:val="00D75E55"/>
    <w:rsid w:val="00D767AC"/>
    <w:rsid w:val="00D76EC1"/>
    <w:rsid w:val="00D77FA9"/>
    <w:rsid w:val="00D8033E"/>
    <w:rsid w:val="00D80C4E"/>
    <w:rsid w:val="00D80C6C"/>
    <w:rsid w:val="00D81844"/>
    <w:rsid w:val="00D82078"/>
    <w:rsid w:val="00D82DD4"/>
    <w:rsid w:val="00D83029"/>
    <w:rsid w:val="00D832DE"/>
    <w:rsid w:val="00D84B38"/>
    <w:rsid w:val="00D85AD8"/>
    <w:rsid w:val="00D85DD3"/>
    <w:rsid w:val="00D868A6"/>
    <w:rsid w:val="00D9009E"/>
    <w:rsid w:val="00D90240"/>
    <w:rsid w:val="00D90680"/>
    <w:rsid w:val="00D90E97"/>
    <w:rsid w:val="00D910DE"/>
    <w:rsid w:val="00D911C2"/>
    <w:rsid w:val="00D9120D"/>
    <w:rsid w:val="00D91A1B"/>
    <w:rsid w:val="00D91DAC"/>
    <w:rsid w:val="00D94E9B"/>
    <w:rsid w:val="00D95AD6"/>
    <w:rsid w:val="00D960E5"/>
    <w:rsid w:val="00D9666F"/>
    <w:rsid w:val="00D97386"/>
    <w:rsid w:val="00D975E5"/>
    <w:rsid w:val="00D97B21"/>
    <w:rsid w:val="00D97FD3"/>
    <w:rsid w:val="00DA0813"/>
    <w:rsid w:val="00DA17A9"/>
    <w:rsid w:val="00DA1B2F"/>
    <w:rsid w:val="00DA1CDD"/>
    <w:rsid w:val="00DA266E"/>
    <w:rsid w:val="00DA32E4"/>
    <w:rsid w:val="00DA3FFF"/>
    <w:rsid w:val="00DA41EA"/>
    <w:rsid w:val="00DA45B3"/>
    <w:rsid w:val="00DA4D3B"/>
    <w:rsid w:val="00DA4D5A"/>
    <w:rsid w:val="00DA5F99"/>
    <w:rsid w:val="00DA6B40"/>
    <w:rsid w:val="00DB12A2"/>
    <w:rsid w:val="00DB2618"/>
    <w:rsid w:val="00DB3527"/>
    <w:rsid w:val="00DB396E"/>
    <w:rsid w:val="00DB3A4F"/>
    <w:rsid w:val="00DB4033"/>
    <w:rsid w:val="00DB40D5"/>
    <w:rsid w:val="00DB418D"/>
    <w:rsid w:val="00DB5234"/>
    <w:rsid w:val="00DB58CD"/>
    <w:rsid w:val="00DB7546"/>
    <w:rsid w:val="00DB7DF7"/>
    <w:rsid w:val="00DC024B"/>
    <w:rsid w:val="00DC16A5"/>
    <w:rsid w:val="00DC1BDF"/>
    <w:rsid w:val="00DC26E9"/>
    <w:rsid w:val="00DC3F3C"/>
    <w:rsid w:val="00DC5F7A"/>
    <w:rsid w:val="00DC66C8"/>
    <w:rsid w:val="00DC6AA4"/>
    <w:rsid w:val="00DD04D4"/>
    <w:rsid w:val="00DD134B"/>
    <w:rsid w:val="00DD1477"/>
    <w:rsid w:val="00DD18B6"/>
    <w:rsid w:val="00DD234A"/>
    <w:rsid w:val="00DD4F73"/>
    <w:rsid w:val="00DD5B26"/>
    <w:rsid w:val="00DD5B9C"/>
    <w:rsid w:val="00DD73A1"/>
    <w:rsid w:val="00DE101F"/>
    <w:rsid w:val="00DE1BA5"/>
    <w:rsid w:val="00DE1BAC"/>
    <w:rsid w:val="00DE1BBA"/>
    <w:rsid w:val="00DE1EF0"/>
    <w:rsid w:val="00DE1F6C"/>
    <w:rsid w:val="00DE2DBD"/>
    <w:rsid w:val="00DE352C"/>
    <w:rsid w:val="00DE42B6"/>
    <w:rsid w:val="00DE46EB"/>
    <w:rsid w:val="00DE472B"/>
    <w:rsid w:val="00DE5D16"/>
    <w:rsid w:val="00DE6118"/>
    <w:rsid w:val="00DE6EE5"/>
    <w:rsid w:val="00DF096F"/>
    <w:rsid w:val="00DF0BB3"/>
    <w:rsid w:val="00DF28B9"/>
    <w:rsid w:val="00DF2C42"/>
    <w:rsid w:val="00DF3486"/>
    <w:rsid w:val="00DF3495"/>
    <w:rsid w:val="00DF4950"/>
    <w:rsid w:val="00DF4A46"/>
    <w:rsid w:val="00DF4CD4"/>
    <w:rsid w:val="00DF5449"/>
    <w:rsid w:val="00DF7318"/>
    <w:rsid w:val="00DF7330"/>
    <w:rsid w:val="00DF7365"/>
    <w:rsid w:val="00DF7608"/>
    <w:rsid w:val="00E002E2"/>
    <w:rsid w:val="00E00E05"/>
    <w:rsid w:val="00E00FCF"/>
    <w:rsid w:val="00E01826"/>
    <w:rsid w:val="00E02281"/>
    <w:rsid w:val="00E02368"/>
    <w:rsid w:val="00E02F12"/>
    <w:rsid w:val="00E036E9"/>
    <w:rsid w:val="00E0379B"/>
    <w:rsid w:val="00E03B9F"/>
    <w:rsid w:val="00E0425F"/>
    <w:rsid w:val="00E04953"/>
    <w:rsid w:val="00E052A2"/>
    <w:rsid w:val="00E06C83"/>
    <w:rsid w:val="00E07843"/>
    <w:rsid w:val="00E1025A"/>
    <w:rsid w:val="00E10F26"/>
    <w:rsid w:val="00E11358"/>
    <w:rsid w:val="00E114D3"/>
    <w:rsid w:val="00E1156F"/>
    <w:rsid w:val="00E11E59"/>
    <w:rsid w:val="00E120B8"/>
    <w:rsid w:val="00E121A3"/>
    <w:rsid w:val="00E13FE8"/>
    <w:rsid w:val="00E146C5"/>
    <w:rsid w:val="00E1571B"/>
    <w:rsid w:val="00E16370"/>
    <w:rsid w:val="00E16D84"/>
    <w:rsid w:val="00E21448"/>
    <w:rsid w:val="00E22F1A"/>
    <w:rsid w:val="00E22FEF"/>
    <w:rsid w:val="00E23811"/>
    <w:rsid w:val="00E2421A"/>
    <w:rsid w:val="00E24B0C"/>
    <w:rsid w:val="00E25325"/>
    <w:rsid w:val="00E25622"/>
    <w:rsid w:val="00E25DFB"/>
    <w:rsid w:val="00E26961"/>
    <w:rsid w:val="00E26EFF"/>
    <w:rsid w:val="00E30CFF"/>
    <w:rsid w:val="00E32073"/>
    <w:rsid w:val="00E3357A"/>
    <w:rsid w:val="00E33D04"/>
    <w:rsid w:val="00E33E1E"/>
    <w:rsid w:val="00E3497F"/>
    <w:rsid w:val="00E34AB2"/>
    <w:rsid w:val="00E34C04"/>
    <w:rsid w:val="00E35A72"/>
    <w:rsid w:val="00E35DD0"/>
    <w:rsid w:val="00E363EE"/>
    <w:rsid w:val="00E3702D"/>
    <w:rsid w:val="00E3722B"/>
    <w:rsid w:val="00E37963"/>
    <w:rsid w:val="00E37F33"/>
    <w:rsid w:val="00E41875"/>
    <w:rsid w:val="00E42368"/>
    <w:rsid w:val="00E43193"/>
    <w:rsid w:val="00E43CEF"/>
    <w:rsid w:val="00E44405"/>
    <w:rsid w:val="00E4495F"/>
    <w:rsid w:val="00E44B79"/>
    <w:rsid w:val="00E45143"/>
    <w:rsid w:val="00E454C1"/>
    <w:rsid w:val="00E45838"/>
    <w:rsid w:val="00E4635A"/>
    <w:rsid w:val="00E4661E"/>
    <w:rsid w:val="00E47DF7"/>
    <w:rsid w:val="00E50DB4"/>
    <w:rsid w:val="00E50EA6"/>
    <w:rsid w:val="00E515CB"/>
    <w:rsid w:val="00E52F06"/>
    <w:rsid w:val="00E53EEC"/>
    <w:rsid w:val="00E540C6"/>
    <w:rsid w:val="00E543CE"/>
    <w:rsid w:val="00E548D4"/>
    <w:rsid w:val="00E549BF"/>
    <w:rsid w:val="00E5537B"/>
    <w:rsid w:val="00E553D1"/>
    <w:rsid w:val="00E55BE4"/>
    <w:rsid w:val="00E55D3B"/>
    <w:rsid w:val="00E5615A"/>
    <w:rsid w:val="00E56AEF"/>
    <w:rsid w:val="00E5760D"/>
    <w:rsid w:val="00E57CCB"/>
    <w:rsid w:val="00E6044C"/>
    <w:rsid w:val="00E611F0"/>
    <w:rsid w:val="00E61B4A"/>
    <w:rsid w:val="00E61E91"/>
    <w:rsid w:val="00E6278A"/>
    <w:rsid w:val="00E64DD6"/>
    <w:rsid w:val="00E65202"/>
    <w:rsid w:val="00E65781"/>
    <w:rsid w:val="00E66E6D"/>
    <w:rsid w:val="00E677B6"/>
    <w:rsid w:val="00E710F1"/>
    <w:rsid w:val="00E7176D"/>
    <w:rsid w:val="00E717FA"/>
    <w:rsid w:val="00E71957"/>
    <w:rsid w:val="00E72412"/>
    <w:rsid w:val="00E72816"/>
    <w:rsid w:val="00E735D6"/>
    <w:rsid w:val="00E7467E"/>
    <w:rsid w:val="00E75DFA"/>
    <w:rsid w:val="00E76912"/>
    <w:rsid w:val="00E770B1"/>
    <w:rsid w:val="00E81FDB"/>
    <w:rsid w:val="00E82479"/>
    <w:rsid w:val="00E826D5"/>
    <w:rsid w:val="00E829C4"/>
    <w:rsid w:val="00E82E9D"/>
    <w:rsid w:val="00E83AD5"/>
    <w:rsid w:val="00E83C85"/>
    <w:rsid w:val="00E84DC4"/>
    <w:rsid w:val="00E859AE"/>
    <w:rsid w:val="00E85FFE"/>
    <w:rsid w:val="00E876D3"/>
    <w:rsid w:val="00E9090D"/>
    <w:rsid w:val="00E92070"/>
    <w:rsid w:val="00E92BD3"/>
    <w:rsid w:val="00E92FB4"/>
    <w:rsid w:val="00E93B87"/>
    <w:rsid w:val="00E93E93"/>
    <w:rsid w:val="00E946F9"/>
    <w:rsid w:val="00E95C0D"/>
    <w:rsid w:val="00E95EA6"/>
    <w:rsid w:val="00E95F32"/>
    <w:rsid w:val="00E973B7"/>
    <w:rsid w:val="00E977BC"/>
    <w:rsid w:val="00EA33C8"/>
    <w:rsid w:val="00EA60D6"/>
    <w:rsid w:val="00EA648E"/>
    <w:rsid w:val="00EA68CD"/>
    <w:rsid w:val="00EA70FE"/>
    <w:rsid w:val="00EB14A2"/>
    <w:rsid w:val="00EB2641"/>
    <w:rsid w:val="00EB2BC3"/>
    <w:rsid w:val="00EB310A"/>
    <w:rsid w:val="00EB3A52"/>
    <w:rsid w:val="00EB4A30"/>
    <w:rsid w:val="00EB4A49"/>
    <w:rsid w:val="00EB4D37"/>
    <w:rsid w:val="00EB5176"/>
    <w:rsid w:val="00EB53E9"/>
    <w:rsid w:val="00EB56B0"/>
    <w:rsid w:val="00EB57AD"/>
    <w:rsid w:val="00EB5A5E"/>
    <w:rsid w:val="00EB6149"/>
    <w:rsid w:val="00EB6B0E"/>
    <w:rsid w:val="00EB7C7D"/>
    <w:rsid w:val="00EB7EF2"/>
    <w:rsid w:val="00EC0824"/>
    <w:rsid w:val="00EC10CD"/>
    <w:rsid w:val="00EC1E4B"/>
    <w:rsid w:val="00EC2526"/>
    <w:rsid w:val="00EC2ED9"/>
    <w:rsid w:val="00EC4117"/>
    <w:rsid w:val="00EC58B4"/>
    <w:rsid w:val="00ED1D57"/>
    <w:rsid w:val="00ED2F58"/>
    <w:rsid w:val="00ED321A"/>
    <w:rsid w:val="00ED3857"/>
    <w:rsid w:val="00ED471B"/>
    <w:rsid w:val="00ED5402"/>
    <w:rsid w:val="00ED5702"/>
    <w:rsid w:val="00ED5FD4"/>
    <w:rsid w:val="00ED6730"/>
    <w:rsid w:val="00EE07AD"/>
    <w:rsid w:val="00EE19A6"/>
    <w:rsid w:val="00EE2C8B"/>
    <w:rsid w:val="00EE2CF9"/>
    <w:rsid w:val="00EE3815"/>
    <w:rsid w:val="00EE3CAF"/>
    <w:rsid w:val="00EE46B8"/>
    <w:rsid w:val="00EE48C3"/>
    <w:rsid w:val="00EE58E0"/>
    <w:rsid w:val="00EE6460"/>
    <w:rsid w:val="00EE6525"/>
    <w:rsid w:val="00EE6591"/>
    <w:rsid w:val="00EE7827"/>
    <w:rsid w:val="00EF0139"/>
    <w:rsid w:val="00EF036C"/>
    <w:rsid w:val="00EF2F5C"/>
    <w:rsid w:val="00EF3BA8"/>
    <w:rsid w:val="00EF5AF2"/>
    <w:rsid w:val="00EF6270"/>
    <w:rsid w:val="00EF6652"/>
    <w:rsid w:val="00EF6CB8"/>
    <w:rsid w:val="00F013F9"/>
    <w:rsid w:val="00F01806"/>
    <w:rsid w:val="00F01AA6"/>
    <w:rsid w:val="00F01F07"/>
    <w:rsid w:val="00F104A6"/>
    <w:rsid w:val="00F108CF"/>
    <w:rsid w:val="00F127B8"/>
    <w:rsid w:val="00F1392B"/>
    <w:rsid w:val="00F15B9F"/>
    <w:rsid w:val="00F16435"/>
    <w:rsid w:val="00F165EB"/>
    <w:rsid w:val="00F16661"/>
    <w:rsid w:val="00F2127D"/>
    <w:rsid w:val="00F21313"/>
    <w:rsid w:val="00F21AFA"/>
    <w:rsid w:val="00F22074"/>
    <w:rsid w:val="00F2222E"/>
    <w:rsid w:val="00F224C3"/>
    <w:rsid w:val="00F22A2E"/>
    <w:rsid w:val="00F22D40"/>
    <w:rsid w:val="00F22EB8"/>
    <w:rsid w:val="00F23037"/>
    <w:rsid w:val="00F233CB"/>
    <w:rsid w:val="00F23639"/>
    <w:rsid w:val="00F23D38"/>
    <w:rsid w:val="00F24864"/>
    <w:rsid w:val="00F263D1"/>
    <w:rsid w:val="00F30FCA"/>
    <w:rsid w:val="00F32C89"/>
    <w:rsid w:val="00F33287"/>
    <w:rsid w:val="00F33388"/>
    <w:rsid w:val="00F33B04"/>
    <w:rsid w:val="00F34065"/>
    <w:rsid w:val="00F3504E"/>
    <w:rsid w:val="00F36F5B"/>
    <w:rsid w:val="00F36F6C"/>
    <w:rsid w:val="00F37542"/>
    <w:rsid w:val="00F37F77"/>
    <w:rsid w:val="00F37F98"/>
    <w:rsid w:val="00F4094B"/>
    <w:rsid w:val="00F413C0"/>
    <w:rsid w:val="00F42024"/>
    <w:rsid w:val="00F42C19"/>
    <w:rsid w:val="00F42D2D"/>
    <w:rsid w:val="00F43C7C"/>
    <w:rsid w:val="00F443B7"/>
    <w:rsid w:val="00F44F76"/>
    <w:rsid w:val="00F45704"/>
    <w:rsid w:val="00F462DD"/>
    <w:rsid w:val="00F46F84"/>
    <w:rsid w:val="00F47C6C"/>
    <w:rsid w:val="00F51228"/>
    <w:rsid w:val="00F513C7"/>
    <w:rsid w:val="00F51442"/>
    <w:rsid w:val="00F51FEF"/>
    <w:rsid w:val="00F530DE"/>
    <w:rsid w:val="00F53CA7"/>
    <w:rsid w:val="00F5401A"/>
    <w:rsid w:val="00F54EE6"/>
    <w:rsid w:val="00F5568E"/>
    <w:rsid w:val="00F561D6"/>
    <w:rsid w:val="00F56696"/>
    <w:rsid w:val="00F5685E"/>
    <w:rsid w:val="00F57302"/>
    <w:rsid w:val="00F602C9"/>
    <w:rsid w:val="00F617A4"/>
    <w:rsid w:val="00F61A11"/>
    <w:rsid w:val="00F628B9"/>
    <w:rsid w:val="00F63EFA"/>
    <w:rsid w:val="00F63F12"/>
    <w:rsid w:val="00F644CB"/>
    <w:rsid w:val="00F6492C"/>
    <w:rsid w:val="00F6501B"/>
    <w:rsid w:val="00F658ED"/>
    <w:rsid w:val="00F71EA3"/>
    <w:rsid w:val="00F739A0"/>
    <w:rsid w:val="00F73D41"/>
    <w:rsid w:val="00F743BD"/>
    <w:rsid w:val="00F772D3"/>
    <w:rsid w:val="00F77401"/>
    <w:rsid w:val="00F77C0C"/>
    <w:rsid w:val="00F77CB9"/>
    <w:rsid w:val="00F80B09"/>
    <w:rsid w:val="00F80C73"/>
    <w:rsid w:val="00F8167C"/>
    <w:rsid w:val="00F820F5"/>
    <w:rsid w:val="00F820FC"/>
    <w:rsid w:val="00F82FC7"/>
    <w:rsid w:val="00F830D3"/>
    <w:rsid w:val="00F831BE"/>
    <w:rsid w:val="00F83369"/>
    <w:rsid w:val="00F833FF"/>
    <w:rsid w:val="00F83ACC"/>
    <w:rsid w:val="00F83E4C"/>
    <w:rsid w:val="00F85674"/>
    <w:rsid w:val="00F856FC"/>
    <w:rsid w:val="00F86029"/>
    <w:rsid w:val="00F86A20"/>
    <w:rsid w:val="00F87E6A"/>
    <w:rsid w:val="00F87FD2"/>
    <w:rsid w:val="00F9030D"/>
    <w:rsid w:val="00F9059C"/>
    <w:rsid w:val="00F90999"/>
    <w:rsid w:val="00F90DD1"/>
    <w:rsid w:val="00F913C9"/>
    <w:rsid w:val="00F916BE"/>
    <w:rsid w:val="00F91F84"/>
    <w:rsid w:val="00F927AD"/>
    <w:rsid w:val="00F92DC1"/>
    <w:rsid w:val="00F9532F"/>
    <w:rsid w:val="00F954D0"/>
    <w:rsid w:val="00F96D5D"/>
    <w:rsid w:val="00F97853"/>
    <w:rsid w:val="00F97F5D"/>
    <w:rsid w:val="00FA2E41"/>
    <w:rsid w:val="00FA3468"/>
    <w:rsid w:val="00FA3A4E"/>
    <w:rsid w:val="00FA44A9"/>
    <w:rsid w:val="00FA45E4"/>
    <w:rsid w:val="00FA4E14"/>
    <w:rsid w:val="00FA58C3"/>
    <w:rsid w:val="00FA5C1D"/>
    <w:rsid w:val="00FA6350"/>
    <w:rsid w:val="00FA674B"/>
    <w:rsid w:val="00FB0746"/>
    <w:rsid w:val="00FB0D50"/>
    <w:rsid w:val="00FB0DF6"/>
    <w:rsid w:val="00FB176F"/>
    <w:rsid w:val="00FB1AFA"/>
    <w:rsid w:val="00FB24D5"/>
    <w:rsid w:val="00FB366D"/>
    <w:rsid w:val="00FB38B3"/>
    <w:rsid w:val="00FB61B7"/>
    <w:rsid w:val="00FC0256"/>
    <w:rsid w:val="00FC08D0"/>
    <w:rsid w:val="00FC16A6"/>
    <w:rsid w:val="00FC1B83"/>
    <w:rsid w:val="00FC2889"/>
    <w:rsid w:val="00FC2E69"/>
    <w:rsid w:val="00FC304D"/>
    <w:rsid w:val="00FC36BA"/>
    <w:rsid w:val="00FC4656"/>
    <w:rsid w:val="00FC6517"/>
    <w:rsid w:val="00FC6752"/>
    <w:rsid w:val="00FC7AE2"/>
    <w:rsid w:val="00FC7C19"/>
    <w:rsid w:val="00FD058C"/>
    <w:rsid w:val="00FD1421"/>
    <w:rsid w:val="00FD250A"/>
    <w:rsid w:val="00FD259D"/>
    <w:rsid w:val="00FD2938"/>
    <w:rsid w:val="00FD2DAE"/>
    <w:rsid w:val="00FD2E3D"/>
    <w:rsid w:val="00FD3709"/>
    <w:rsid w:val="00FD4187"/>
    <w:rsid w:val="00FD7952"/>
    <w:rsid w:val="00FD7AA3"/>
    <w:rsid w:val="00FD7F57"/>
    <w:rsid w:val="00FE0193"/>
    <w:rsid w:val="00FE0B59"/>
    <w:rsid w:val="00FE0C63"/>
    <w:rsid w:val="00FE0F78"/>
    <w:rsid w:val="00FE1149"/>
    <w:rsid w:val="00FE1C76"/>
    <w:rsid w:val="00FE2105"/>
    <w:rsid w:val="00FE22B8"/>
    <w:rsid w:val="00FE22C9"/>
    <w:rsid w:val="00FE23A6"/>
    <w:rsid w:val="00FE33AB"/>
    <w:rsid w:val="00FE42A5"/>
    <w:rsid w:val="00FE51E1"/>
    <w:rsid w:val="00FE6280"/>
    <w:rsid w:val="00FE74E7"/>
    <w:rsid w:val="00FE7814"/>
    <w:rsid w:val="00FF2769"/>
    <w:rsid w:val="00FF35A0"/>
    <w:rsid w:val="00FF438C"/>
    <w:rsid w:val="00FF4638"/>
    <w:rsid w:val="00FF471B"/>
    <w:rsid w:val="00FF49D0"/>
    <w:rsid w:val="00FF4CA0"/>
    <w:rsid w:val="00FF504F"/>
    <w:rsid w:val="00FF5637"/>
    <w:rsid w:val="00FF5E98"/>
    <w:rsid w:val="00FF5F1C"/>
    <w:rsid w:val="00FF61A4"/>
    <w:rsid w:val="00FF6EFC"/>
    <w:rsid w:val="00FF794C"/>
    <w:rsid w:val="00FF796D"/>
    <w:rsid w:val="010CB349"/>
    <w:rsid w:val="011117E3"/>
    <w:rsid w:val="01124F8E"/>
    <w:rsid w:val="0128CEDB"/>
    <w:rsid w:val="0128D62A"/>
    <w:rsid w:val="012A280D"/>
    <w:rsid w:val="013C67DC"/>
    <w:rsid w:val="013ED2A1"/>
    <w:rsid w:val="0140E730"/>
    <w:rsid w:val="014AA07D"/>
    <w:rsid w:val="014EBD4F"/>
    <w:rsid w:val="014F213D"/>
    <w:rsid w:val="0153AFCB"/>
    <w:rsid w:val="0162975E"/>
    <w:rsid w:val="0169A947"/>
    <w:rsid w:val="016B19FC"/>
    <w:rsid w:val="016E7A31"/>
    <w:rsid w:val="016E9945"/>
    <w:rsid w:val="017C5206"/>
    <w:rsid w:val="0182E79D"/>
    <w:rsid w:val="0184F08C"/>
    <w:rsid w:val="0185ECFB"/>
    <w:rsid w:val="01866EF2"/>
    <w:rsid w:val="0187BC41"/>
    <w:rsid w:val="01899998"/>
    <w:rsid w:val="019C88A6"/>
    <w:rsid w:val="01A256BE"/>
    <w:rsid w:val="01A4E538"/>
    <w:rsid w:val="01A66183"/>
    <w:rsid w:val="01ADB897"/>
    <w:rsid w:val="01B51AB3"/>
    <w:rsid w:val="01C41C0F"/>
    <w:rsid w:val="01C90D4C"/>
    <w:rsid w:val="01D29A3D"/>
    <w:rsid w:val="01E2C9E3"/>
    <w:rsid w:val="01E4F424"/>
    <w:rsid w:val="01E7294D"/>
    <w:rsid w:val="01E9E02A"/>
    <w:rsid w:val="01EE47FB"/>
    <w:rsid w:val="01EE6C5A"/>
    <w:rsid w:val="01EEFC82"/>
    <w:rsid w:val="01F52975"/>
    <w:rsid w:val="02041F54"/>
    <w:rsid w:val="020C9180"/>
    <w:rsid w:val="02153355"/>
    <w:rsid w:val="021CE7CE"/>
    <w:rsid w:val="022152E1"/>
    <w:rsid w:val="0225CFBD"/>
    <w:rsid w:val="02297597"/>
    <w:rsid w:val="022B0708"/>
    <w:rsid w:val="0231CF84"/>
    <w:rsid w:val="02339B98"/>
    <w:rsid w:val="02435C5D"/>
    <w:rsid w:val="0245478B"/>
    <w:rsid w:val="0248895B"/>
    <w:rsid w:val="024991A8"/>
    <w:rsid w:val="0250B1DA"/>
    <w:rsid w:val="025BCB5C"/>
    <w:rsid w:val="025E657F"/>
    <w:rsid w:val="026B0197"/>
    <w:rsid w:val="027362A4"/>
    <w:rsid w:val="02757AF7"/>
    <w:rsid w:val="0277088C"/>
    <w:rsid w:val="02780006"/>
    <w:rsid w:val="027CA7A4"/>
    <w:rsid w:val="0282B8EC"/>
    <w:rsid w:val="0289DEEE"/>
    <w:rsid w:val="028C7870"/>
    <w:rsid w:val="02A16B91"/>
    <w:rsid w:val="02A1D682"/>
    <w:rsid w:val="02A22B75"/>
    <w:rsid w:val="02A758ED"/>
    <w:rsid w:val="02ABD17E"/>
    <w:rsid w:val="02B760D3"/>
    <w:rsid w:val="02BD3E2D"/>
    <w:rsid w:val="02BDA0B2"/>
    <w:rsid w:val="02C96388"/>
    <w:rsid w:val="02CEC285"/>
    <w:rsid w:val="02D4D160"/>
    <w:rsid w:val="02D66705"/>
    <w:rsid w:val="02DDC282"/>
    <w:rsid w:val="02DE9B2E"/>
    <w:rsid w:val="02E89784"/>
    <w:rsid w:val="02EC4288"/>
    <w:rsid w:val="02EC9663"/>
    <w:rsid w:val="02F6EEE2"/>
    <w:rsid w:val="02F9610A"/>
    <w:rsid w:val="03006601"/>
    <w:rsid w:val="0304EEF4"/>
    <w:rsid w:val="03075AEF"/>
    <w:rsid w:val="0309CA09"/>
    <w:rsid w:val="031E0242"/>
    <w:rsid w:val="0321EA98"/>
    <w:rsid w:val="032F7F1C"/>
    <w:rsid w:val="03321CA3"/>
    <w:rsid w:val="033F415A"/>
    <w:rsid w:val="035384F7"/>
    <w:rsid w:val="035C78C6"/>
    <w:rsid w:val="035DE89F"/>
    <w:rsid w:val="036920B6"/>
    <w:rsid w:val="036EC53B"/>
    <w:rsid w:val="037389EC"/>
    <w:rsid w:val="037590A7"/>
    <w:rsid w:val="037F4E59"/>
    <w:rsid w:val="0385DE9E"/>
    <w:rsid w:val="038ABF06"/>
    <w:rsid w:val="03954018"/>
    <w:rsid w:val="0397532E"/>
    <w:rsid w:val="039D1827"/>
    <w:rsid w:val="03A7226D"/>
    <w:rsid w:val="03B05E88"/>
    <w:rsid w:val="03B09457"/>
    <w:rsid w:val="03B6AF02"/>
    <w:rsid w:val="03B80094"/>
    <w:rsid w:val="03C9E1DB"/>
    <w:rsid w:val="03E62401"/>
    <w:rsid w:val="03ECD62B"/>
    <w:rsid w:val="03EDC7D8"/>
    <w:rsid w:val="0406C269"/>
    <w:rsid w:val="0414C3B6"/>
    <w:rsid w:val="0418846D"/>
    <w:rsid w:val="041B1377"/>
    <w:rsid w:val="041B299C"/>
    <w:rsid w:val="041B6648"/>
    <w:rsid w:val="041F9F89"/>
    <w:rsid w:val="0422897C"/>
    <w:rsid w:val="0427FEA7"/>
    <w:rsid w:val="04603350"/>
    <w:rsid w:val="0471CF62"/>
    <w:rsid w:val="0472F77D"/>
    <w:rsid w:val="0480A840"/>
    <w:rsid w:val="0480D9D5"/>
    <w:rsid w:val="0483E4DF"/>
    <w:rsid w:val="0487D0D1"/>
    <w:rsid w:val="0489660E"/>
    <w:rsid w:val="048DA0DA"/>
    <w:rsid w:val="048DD1DB"/>
    <w:rsid w:val="048F97F6"/>
    <w:rsid w:val="049B66D1"/>
    <w:rsid w:val="04A9C6F1"/>
    <w:rsid w:val="04AD31D1"/>
    <w:rsid w:val="04B5A685"/>
    <w:rsid w:val="04B80347"/>
    <w:rsid w:val="04C177E6"/>
    <w:rsid w:val="04C5771F"/>
    <w:rsid w:val="04CB55EB"/>
    <w:rsid w:val="04DF67C0"/>
    <w:rsid w:val="04E31D8F"/>
    <w:rsid w:val="04E414F9"/>
    <w:rsid w:val="04E85C05"/>
    <w:rsid w:val="04F907E6"/>
    <w:rsid w:val="04FC3A11"/>
    <w:rsid w:val="0502E492"/>
    <w:rsid w:val="050536E0"/>
    <w:rsid w:val="0505CA2F"/>
    <w:rsid w:val="050722A5"/>
    <w:rsid w:val="050DA5CF"/>
    <w:rsid w:val="05159D77"/>
    <w:rsid w:val="051892CD"/>
    <w:rsid w:val="0518D30C"/>
    <w:rsid w:val="05444B78"/>
    <w:rsid w:val="054873DB"/>
    <w:rsid w:val="054FC457"/>
    <w:rsid w:val="0558922E"/>
    <w:rsid w:val="055A5101"/>
    <w:rsid w:val="0562A0EE"/>
    <w:rsid w:val="05669101"/>
    <w:rsid w:val="05703435"/>
    <w:rsid w:val="0576A882"/>
    <w:rsid w:val="05780803"/>
    <w:rsid w:val="057ACA8A"/>
    <w:rsid w:val="0585BAD7"/>
    <w:rsid w:val="05868608"/>
    <w:rsid w:val="05898CC7"/>
    <w:rsid w:val="058B9FBF"/>
    <w:rsid w:val="058EDB88"/>
    <w:rsid w:val="05956D2A"/>
    <w:rsid w:val="05985962"/>
    <w:rsid w:val="059A8B46"/>
    <w:rsid w:val="05A4929B"/>
    <w:rsid w:val="05B23924"/>
    <w:rsid w:val="05B467B1"/>
    <w:rsid w:val="05B8DF5D"/>
    <w:rsid w:val="05BA90D3"/>
    <w:rsid w:val="05BE67A7"/>
    <w:rsid w:val="05BEBFAE"/>
    <w:rsid w:val="05C4CC85"/>
    <w:rsid w:val="05C8AAD3"/>
    <w:rsid w:val="05D909AD"/>
    <w:rsid w:val="05DB4C24"/>
    <w:rsid w:val="05DC0D67"/>
    <w:rsid w:val="05DC70BE"/>
    <w:rsid w:val="05EC5AE8"/>
    <w:rsid w:val="05EECB3F"/>
    <w:rsid w:val="05F548A1"/>
    <w:rsid w:val="05F7195E"/>
    <w:rsid w:val="05F7783A"/>
    <w:rsid w:val="05F8FA4B"/>
    <w:rsid w:val="05F96A09"/>
    <w:rsid w:val="0601DA53"/>
    <w:rsid w:val="060289A5"/>
    <w:rsid w:val="0614EFAA"/>
    <w:rsid w:val="061AB085"/>
    <w:rsid w:val="061F2061"/>
    <w:rsid w:val="06229755"/>
    <w:rsid w:val="0626E109"/>
    <w:rsid w:val="0627BBBA"/>
    <w:rsid w:val="063280AD"/>
    <w:rsid w:val="06339083"/>
    <w:rsid w:val="06383BE1"/>
    <w:rsid w:val="06384B07"/>
    <w:rsid w:val="0638DBD9"/>
    <w:rsid w:val="064637DF"/>
    <w:rsid w:val="06487F6C"/>
    <w:rsid w:val="0649C980"/>
    <w:rsid w:val="064C49DC"/>
    <w:rsid w:val="0665FFE9"/>
    <w:rsid w:val="066C0459"/>
    <w:rsid w:val="066DB3FC"/>
    <w:rsid w:val="0670186D"/>
    <w:rsid w:val="0670A933"/>
    <w:rsid w:val="06719F3A"/>
    <w:rsid w:val="0675C2EC"/>
    <w:rsid w:val="067DFE2B"/>
    <w:rsid w:val="0680DD2F"/>
    <w:rsid w:val="068E9F29"/>
    <w:rsid w:val="06964424"/>
    <w:rsid w:val="069ABFF3"/>
    <w:rsid w:val="06ABF1E5"/>
    <w:rsid w:val="06AE0676"/>
    <w:rsid w:val="06AEECD7"/>
    <w:rsid w:val="06B21952"/>
    <w:rsid w:val="06C05AEF"/>
    <w:rsid w:val="06C927D5"/>
    <w:rsid w:val="06C9CE4C"/>
    <w:rsid w:val="06D150E3"/>
    <w:rsid w:val="06D88DA1"/>
    <w:rsid w:val="06DB5CBB"/>
    <w:rsid w:val="06E098C9"/>
    <w:rsid w:val="06EBD533"/>
    <w:rsid w:val="06F07751"/>
    <w:rsid w:val="06F51AC9"/>
    <w:rsid w:val="06FD3747"/>
    <w:rsid w:val="070511A1"/>
    <w:rsid w:val="070E59A4"/>
    <w:rsid w:val="0711DEAF"/>
    <w:rsid w:val="07153CAF"/>
    <w:rsid w:val="0715A052"/>
    <w:rsid w:val="07226B78"/>
    <w:rsid w:val="072831B3"/>
    <w:rsid w:val="0729E448"/>
    <w:rsid w:val="073F29DB"/>
    <w:rsid w:val="074005C0"/>
    <w:rsid w:val="07466940"/>
    <w:rsid w:val="0746B5CA"/>
    <w:rsid w:val="07585D1D"/>
    <w:rsid w:val="075EEF1E"/>
    <w:rsid w:val="0760BA42"/>
    <w:rsid w:val="07661854"/>
    <w:rsid w:val="076690A2"/>
    <w:rsid w:val="076C21AE"/>
    <w:rsid w:val="076E73B2"/>
    <w:rsid w:val="077D93BA"/>
    <w:rsid w:val="07848EF3"/>
    <w:rsid w:val="079B4EA4"/>
    <w:rsid w:val="07A2FE40"/>
    <w:rsid w:val="07AE9E79"/>
    <w:rsid w:val="07AF1209"/>
    <w:rsid w:val="07AFF667"/>
    <w:rsid w:val="07B3CED7"/>
    <w:rsid w:val="07BA7B78"/>
    <w:rsid w:val="07BE5F37"/>
    <w:rsid w:val="07C2548E"/>
    <w:rsid w:val="07D21758"/>
    <w:rsid w:val="07D7C0B4"/>
    <w:rsid w:val="07DC2FE3"/>
    <w:rsid w:val="07E33CB3"/>
    <w:rsid w:val="07ECD9E3"/>
    <w:rsid w:val="07F90366"/>
    <w:rsid w:val="08013B47"/>
    <w:rsid w:val="08099AC2"/>
    <w:rsid w:val="080E200A"/>
    <w:rsid w:val="080F523B"/>
    <w:rsid w:val="08336FF6"/>
    <w:rsid w:val="08466DFF"/>
    <w:rsid w:val="0849F6FD"/>
    <w:rsid w:val="084BC545"/>
    <w:rsid w:val="085502BE"/>
    <w:rsid w:val="085C06D2"/>
    <w:rsid w:val="08700A23"/>
    <w:rsid w:val="0876426D"/>
    <w:rsid w:val="0887654B"/>
    <w:rsid w:val="088EFB76"/>
    <w:rsid w:val="0897DC34"/>
    <w:rsid w:val="089A7E42"/>
    <w:rsid w:val="089FB9FF"/>
    <w:rsid w:val="08B078CD"/>
    <w:rsid w:val="08B4BA1B"/>
    <w:rsid w:val="08B87380"/>
    <w:rsid w:val="08BCC4FA"/>
    <w:rsid w:val="08C34213"/>
    <w:rsid w:val="08C55149"/>
    <w:rsid w:val="08D12490"/>
    <w:rsid w:val="08DC1AD1"/>
    <w:rsid w:val="08E72181"/>
    <w:rsid w:val="08E82A5B"/>
    <w:rsid w:val="08E8CA48"/>
    <w:rsid w:val="08EFB2A8"/>
    <w:rsid w:val="08FAA937"/>
    <w:rsid w:val="08FCEBF0"/>
    <w:rsid w:val="08FF15F5"/>
    <w:rsid w:val="090BFE3B"/>
    <w:rsid w:val="091EBCA9"/>
    <w:rsid w:val="091ECE22"/>
    <w:rsid w:val="092D3072"/>
    <w:rsid w:val="092D4070"/>
    <w:rsid w:val="0934B46D"/>
    <w:rsid w:val="093C1E14"/>
    <w:rsid w:val="093E0F7A"/>
    <w:rsid w:val="094B1B7D"/>
    <w:rsid w:val="0953442F"/>
    <w:rsid w:val="09535747"/>
    <w:rsid w:val="09652751"/>
    <w:rsid w:val="09665086"/>
    <w:rsid w:val="096CAC40"/>
    <w:rsid w:val="096DE59A"/>
    <w:rsid w:val="096F0433"/>
    <w:rsid w:val="097B044F"/>
    <w:rsid w:val="097E7E4F"/>
    <w:rsid w:val="097ED74A"/>
    <w:rsid w:val="09916A7C"/>
    <w:rsid w:val="099A98EE"/>
    <w:rsid w:val="099E6136"/>
    <w:rsid w:val="09A7FDD8"/>
    <w:rsid w:val="09AA4570"/>
    <w:rsid w:val="09B80531"/>
    <w:rsid w:val="09BD73CE"/>
    <w:rsid w:val="09C106A4"/>
    <w:rsid w:val="09C2E91B"/>
    <w:rsid w:val="09D13288"/>
    <w:rsid w:val="09E6756D"/>
    <w:rsid w:val="09EB76EC"/>
    <w:rsid w:val="09F058FE"/>
    <w:rsid w:val="09F577EC"/>
    <w:rsid w:val="0A0530F7"/>
    <w:rsid w:val="0A07F53C"/>
    <w:rsid w:val="0A0815CE"/>
    <w:rsid w:val="0A13D7DA"/>
    <w:rsid w:val="0A17E801"/>
    <w:rsid w:val="0A299D9D"/>
    <w:rsid w:val="0A2AC6F3"/>
    <w:rsid w:val="0A32A947"/>
    <w:rsid w:val="0A349C07"/>
    <w:rsid w:val="0A35FA30"/>
    <w:rsid w:val="0A3BA1CC"/>
    <w:rsid w:val="0A419AE8"/>
    <w:rsid w:val="0A41CF1E"/>
    <w:rsid w:val="0A4D7B8F"/>
    <w:rsid w:val="0A4E8F08"/>
    <w:rsid w:val="0A4FD932"/>
    <w:rsid w:val="0A50C58D"/>
    <w:rsid w:val="0A527C31"/>
    <w:rsid w:val="0A53069E"/>
    <w:rsid w:val="0A56F2AE"/>
    <w:rsid w:val="0A5C46BF"/>
    <w:rsid w:val="0A621E5A"/>
    <w:rsid w:val="0A6BBE55"/>
    <w:rsid w:val="0A719D17"/>
    <w:rsid w:val="0A73AE4B"/>
    <w:rsid w:val="0A7FFC9C"/>
    <w:rsid w:val="0A880E19"/>
    <w:rsid w:val="0A8F75C8"/>
    <w:rsid w:val="0A9DE3CF"/>
    <w:rsid w:val="0AA1F8BE"/>
    <w:rsid w:val="0AAC2807"/>
    <w:rsid w:val="0AB33F84"/>
    <w:rsid w:val="0AB5417A"/>
    <w:rsid w:val="0ABA3379"/>
    <w:rsid w:val="0ABAD5DD"/>
    <w:rsid w:val="0ABCCA62"/>
    <w:rsid w:val="0ABF8B7B"/>
    <w:rsid w:val="0AC9584E"/>
    <w:rsid w:val="0ACB522F"/>
    <w:rsid w:val="0ACB63B3"/>
    <w:rsid w:val="0AD105A6"/>
    <w:rsid w:val="0ADDE4E3"/>
    <w:rsid w:val="0ADEB094"/>
    <w:rsid w:val="0AE6EBDE"/>
    <w:rsid w:val="0AF15064"/>
    <w:rsid w:val="0AF6A8EA"/>
    <w:rsid w:val="0AFECD4E"/>
    <w:rsid w:val="0B017625"/>
    <w:rsid w:val="0B03827E"/>
    <w:rsid w:val="0B0B8D2E"/>
    <w:rsid w:val="0B1A4EB0"/>
    <w:rsid w:val="0B253A35"/>
    <w:rsid w:val="0B2BF8F3"/>
    <w:rsid w:val="0B32F4D7"/>
    <w:rsid w:val="0B3679B2"/>
    <w:rsid w:val="0B36AF19"/>
    <w:rsid w:val="0B3B6A4F"/>
    <w:rsid w:val="0B4D29C4"/>
    <w:rsid w:val="0B50118F"/>
    <w:rsid w:val="0B505AE4"/>
    <w:rsid w:val="0B5975C5"/>
    <w:rsid w:val="0B5F7F66"/>
    <w:rsid w:val="0B6036EB"/>
    <w:rsid w:val="0B671169"/>
    <w:rsid w:val="0B6A188B"/>
    <w:rsid w:val="0B6DB297"/>
    <w:rsid w:val="0B799500"/>
    <w:rsid w:val="0B7BC80B"/>
    <w:rsid w:val="0B7E3F75"/>
    <w:rsid w:val="0B7EB2F9"/>
    <w:rsid w:val="0B80531A"/>
    <w:rsid w:val="0B84C019"/>
    <w:rsid w:val="0B875F42"/>
    <w:rsid w:val="0B967415"/>
    <w:rsid w:val="0B98623C"/>
    <w:rsid w:val="0B986BEB"/>
    <w:rsid w:val="0B9A4B69"/>
    <w:rsid w:val="0B9F042C"/>
    <w:rsid w:val="0BA42FB9"/>
    <w:rsid w:val="0BB2C282"/>
    <w:rsid w:val="0BB7B7E2"/>
    <w:rsid w:val="0BC7AF6B"/>
    <w:rsid w:val="0BC932F4"/>
    <w:rsid w:val="0BCBE73C"/>
    <w:rsid w:val="0BCC61FB"/>
    <w:rsid w:val="0BCD5346"/>
    <w:rsid w:val="0BD59EF8"/>
    <w:rsid w:val="0BD8553D"/>
    <w:rsid w:val="0BDB5D83"/>
    <w:rsid w:val="0BDCB7D8"/>
    <w:rsid w:val="0BE33F00"/>
    <w:rsid w:val="0BE41858"/>
    <w:rsid w:val="0BE7A58C"/>
    <w:rsid w:val="0BE800F6"/>
    <w:rsid w:val="0BEC299E"/>
    <w:rsid w:val="0BEE5504"/>
    <w:rsid w:val="0BF48C3B"/>
    <w:rsid w:val="0C098DA3"/>
    <w:rsid w:val="0C099DC7"/>
    <w:rsid w:val="0C0C5DAB"/>
    <w:rsid w:val="0C0C6BC2"/>
    <w:rsid w:val="0C0E1D11"/>
    <w:rsid w:val="0C1DC5AB"/>
    <w:rsid w:val="0C1E2F4C"/>
    <w:rsid w:val="0C311C81"/>
    <w:rsid w:val="0C348DED"/>
    <w:rsid w:val="0C3A9CA0"/>
    <w:rsid w:val="0C420C41"/>
    <w:rsid w:val="0C48BC98"/>
    <w:rsid w:val="0C4A728E"/>
    <w:rsid w:val="0C516C7A"/>
    <w:rsid w:val="0C5C0667"/>
    <w:rsid w:val="0C5C1165"/>
    <w:rsid w:val="0C67BA11"/>
    <w:rsid w:val="0C76108F"/>
    <w:rsid w:val="0C76C6B2"/>
    <w:rsid w:val="0C7B2E66"/>
    <w:rsid w:val="0C811285"/>
    <w:rsid w:val="0C93B2C1"/>
    <w:rsid w:val="0C9609F8"/>
    <w:rsid w:val="0C9F8213"/>
    <w:rsid w:val="0CA100DB"/>
    <w:rsid w:val="0CA51F4F"/>
    <w:rsid w:val="0CAD6D6E"/>
    <w:rsid w:val="0CB1E2A0"/>
    <w:rsid w:val="0CB21025"/>
    <w:rsid w:val="0CB64384"/>
    <w:rsid w:val="0CB88B19"/>
    <w:rsid w:val="0CBAEA7A"/>
    <w:rsid w:val="0CBB382B"/>
    <w:rsid w:val="0CBC568F"/>
    <w:rsid w:val="0CBE02AB"/>
    <w:rsid w:val="0CC5CF81"/>
    <w:rsid w:val="0CCEC053"/>
    <w:rsid w:val="0CD31670"/>
    <w:rsid w:val="0CDAB83C"/>
    <w:rsid w:val="0CDCD341"/>
    <w:rsid w:val="0CE05B74"/>
    <w:rsid w:val="0CE7AB5A"/>
    <w:rsid w:val="0D11AC2E"/>
    <w:rsid w:val="0D124524"/>
    <w:rsid w:val="0D1537E3"/>
    <w:rsid w:val="0D16D9A0"/>
    <w:rsid w:val="0D210F69"/>
    <w:rsid w:val="0D244584"/>
    <w:rsid w:val="0D2C548B"/>
    <w:rsid w:val="0D3793EA"/>
    <w:rsid w:val="0D3AF133"/>
    <w:rsid w:val="0D3F2E2F"/>
    <w:rsid w:val="0D42E99C"/>
    <w:rsid w:val="0D4641DE"/>
    <w:rsid w:val="0D56F9F6"/>
    <w:rsid w:val="0D5807F2"/>
    <w:rsid w:val="0D5CD124"/>
    <w:rsid w:val="0D68162A"/>
    <w:rsid w:val="0D6B7D18"/>
    <w:rsid w:val="0D6F0D8A"/>
    <w:rsid w:val="0D75548E"/>
    <w:rsid w:val="0D75D061"/>
    <w:rsid w:val="0D77777D"/>
    <w:rsid w:val="0D7B0E5D"/>
    <w:rsid w:val="0D8B82F0"/>
    <w:rsid w:val="0D968A66"/>
    <w:rsid w:val="0D9F1AAC"/>
    <w:rsid w:val="0D9F5B55"/>
    <w:rsid w:val="0DA02738"/>
    <w:rsid w:val="0DA615F0"/>
    <w:rsid w:val="0DBE66EF"/>
    <w:rsid w:val="0DC6A31E"/>
    <w:rsid w:val="0DC75439"/>
    <w:rsid w:val="0DCB6A81"/>
    <w:rsid w:val="0DCDBBF6"/>
    <w:rsid w:val="0DD6FEAF"/>
    <w:rsid w:val="0DE33D87"/>
    <w:rsid w:val="0DEC137A"/>
    <w:rsid w:val="0DEC40D1"/>
    <w:rsid w:val="0DEF3FA2"/>
    <w:rsid w:val="0E08DF34"/>
    <w:rsid w:val="0E101B1D"/>
    <w:rsid w:val="0E2EFC63"/>
    <w:rsid w:val="0E2F1075"/>
    <w:rsid w:val="0E300187"/>
    <w:rsid w:val="0E3A2059"/>
    <w:rsid w:val="0E3CA170"/>
    <w:rsid w:val="0E3DD1A8"/>
    <w:rsid w:val="0E427AB0"/>
    <w:rsid w:val="0E4B7B85"/>
    <w:rsid w:val="0E4B8B1D"/>
    <w:rsid w:val="0E66907C"/>
    <w:rsid w:val="0E6F61A7"/>
    <w:rsid w:val="0E8B4356"/>
    <w:rsid w:val="0E9165E3"/>
    <w:rsid w:val="0E967459"/>
    <w:rsid w:val="0E97DA3A"/>
    <w:rsid w:val="0EA2D5C4"/>
    <w:rsid w:val="0EA6A52A"/>
    <w:rsid w:val="0EA80386"/>
    <w:rsid w:val="0EABE0B2"/>
    <w:rsid w:val="0EAD5F27"/>
    <w:rsid w:val="0EAE1585"/>
    <w:rsid w:val="0EB4F501"/>
    <w:rsid w:val="0EB739C2"/>
    <w:rsid w:val="0EB936D3"/>
    <w:rsid w:val="0EBAADA8"/>
    <w:rsid w:val="0EBB43BA"/>
    <w:rsid w:val="0EC4266E"/>
    <w:rsid w:val="0ECB33E3"/>
    <w:rsid w:val="0ED2DAA5"/>
    <w:rsid w:val="0ED4676F"/>
    <w:rsid w:val="0ED4FA8C"/>
    <w:rsid w:val="0ED51CDD"/>
    <w:rsid w:val="0EE3A431"/>
    <w:rsid w:val="0EE81A90"/>
    <w:rsid w:val="0EEDC0A7"/>
    <w:rsid w:val="0EF8C7AE"/>
    <w:rsid w:val="0EF91C38"/>
    <w:rsid w:val="0F059218"/>
    <w:rsid w:val="0F0ABF6C"/>
    <w:rsid w:val="0F0D0DD8"/>
    <w:rsid w:val="0F116F38"/>
    <w:rsid w:val="0F231989"/>
    <w:rsid w:val="0F2468B5"/>
    <w:rsid w:val="0F25AAE8"/>
    <w:rsid w:val="0F2F4419"/>
    <w:rsid w:val="0F32257E"/>
    <w:rsid w:val="0F375943"/>
    <w:rsid w:val="0F3E86E4"/>
    <w:rsid w:val="0F3F91A7"/>
    <w:rsid w:val="0F43BD33"/>
    <w:rsid w:val="0F46EB21"/>
    <w:rsid w:val="0F4A97F2"/>
    <w:rsid w:val="0F4CCBE7"/>
    <w:rsid w:val="0F4D8C48"/>
    <w:rsid w:val="0F560E84"/>
    <w:rsid w:val="0F604B17"/>
    <w:rsid w:val="0F61A9AA"/>
    <w:rsid w:val="0F64015E"/>
    <w:rsid w:val="0F655829"/>
    <w:rsid w:val="0F6F7FB1"/>
    <w:rsid w:val="0F7417B1"/>
    <w:rsid w:val="0F758EEB"/>
    <w:rsid w:val="0F7B4891"/>
    <w:rsid w:val="0F91F414"/>
    <w:rsid w:val="0FA3AC70"/>
    <w:rsid w:val="0FA83113"/>
    <w:rsid w:val="0FAC9764"/>
    <w:rsid w:val="0FAEBC26"/>
    <w:rsid w:val="0FAEBFA9"/>
    <w:rsid w:val="0FBCF222"/>
    <w:rsid w:val="0FC33399"/>
    <w:rsid w:val="0FCC1BE2"/>
    <w:rsid w:val="0FD02D1D"/>
    <w:rsid w:val="0FDA0FB6"/>
    <w:rsid w:val="0FFB0FF9"/>
    <w:rsid w:val="0FFCCBB2"/>
    <w:rsid w:val="0FFFD77C"/>
    <w:rsid w:val="100F04B0"/>
    <w:rsid w:val="100F9D5A"/>
    <w:rsid w:val="101079F2"/>
    <w:rsid w:val="10168156"/>
    <w:rsid w:val="102719D1"/>
    <w:rsid w:val="1029A29A"/>
    <w:rsid w:val="10327242"/>
    <w:rsid w:val="10356255"/>
    <w:rsid w:val="103941AB"/>
    <w:rsid w:val="103B060A"/>
    <w:rsid w:val="1041A500"/>
    <w:rsid w:val="104E0F49"/>
    <w:rsid w:val="104FD34B"/>
    <w:rsid w:val="10697EF6"/>
    <w:rsid w:val="1069F34E"/>
    <w:rsid w:val="106B47C4"/>
    <w:rsid w:val="10803CBF"/>
    <w:rsid w:val="1081CA32"/>
    <w:rsid w:val="10910049"/>
    <w:rsid w:val="109F76E0"/>
    <w:rsid w:val="10A06ACA"/>
    <w:rsid w:val="10A16279"/>
    <w:rsid w:val="10BA4BA8"/>
    <w:rsid w:val="10C1757C"/>
    <w:rsid w:val="10C1DDE7"/>
    <w:rsid w:val="10C935F1"/>
    <w:rsid w:val="10D2B5F1"/>
    <w:rsid w:val="10D4CC84"/>
    <w:rsid w:val="10D64D54"/>
    <w:rsid w:val="10DDFD10"/>
    <w:rsid w:val="10E464C6"/>
    <w:rsid w:val="10EBB6EF"/>
    <w:rsid w:val="10F28E66"/>
    <w:rsid w:val="10F576D0"/>
    <w:rsid w:val="1108E06E"/>
    <w:rsid w:val="1125337E"/>
    <w:rsid w:val="112BE6EA"/>
    <w:rsid w:val="11315EB4"/>
    <w:rsid w:val="113470B4"/>
    <w:rsid w:val="113F8147"/>
    <w:rsid w:val="1141C896"/>
    <w:rsid w:val="11535B0C"/>
    <w:rsid w:val="115B019E"/>
    <w:rsid w:val="1160F52D"/>
    <w:rsid w:val="11615294"/>
    <w:rsid w:val="1175CC50"/>
    <w:rsid w:val="1186CE57"/>
    <w:rsid w:val="118B65FD"/>
    <w:rsid w:val="118DE041"/>
    <w:rsid w:val="119D9151"/>
    <w:rsid w:val="119FDA49"/>
    <w:rsid w:val="11A77413"/>
    <w:rsid w:val="11A8A332"/>
    <w:rsid w:val="11ABAC49"/>
    <w:rsid w:val="11AC0B5E"/>
    <w:rsid w:val="11BDE407"/>
    <w:rsid w:val="11C35493"/>
    <w:rsid w:val="11C5B923"/>
    <w:rsid w:val="11C66C35"/>
    <w:rsid w:val="11D68509"/>
    <w:rsid w:val="11DF82B9"/>
    <w:rsid w:val="11E48A70"/>
    <w:rsid w:val="11EBB74C"/>
    <w:rsid w:val="11F44CA0"/>
    <w:rsid w:val="11FC6086"/>
    <w:rsid w:val="12021FB8"/>
    <w:rsid w:val="1210C335"/>
    <w:rsid w:val="121531E4"/>
    <w:rsid w:val="12205822"/>
    <w:rsid w:val="122481BB"/>
    <w:rsid w:val="1233B40A"/>
    <w:rsid w:val="1237FBE8"/>
    <w:rsid w:val="12492B7F"/>
    <w:rsid w:val="1249AFAB"/>
    <w:rsid w:val="124C8777"/>
    <w:rsid w:val="124D07B5"/>
    <w:rsid w:val="12589FC2"/>
    <w:rsid w:val="1259C5DE"/>
    <w:rsid w:val="1269F041"/>
    <w:rsid w:val="126CABAF"/>
    <w:rsid w:val="1270389F"/>
    <w:rsid w:val="1270B5AB"/>
    <w:rsid w:val="12799B72"/>
    <w:rsid w:val="127C2EEB"/>
    <w:rsid w:val="127CD137"/>
    <w:rsid w:val="12840AAA"/>
    <w:rsid w:val="12949411"/>
    <w:rsid w:val="12A0C547"/>
    <w:rsid w:val="12A38808"/>
    <w:rsid w:val="12A8E813"/>
    <w:rsid w:val="12AE7072"/>
    <w:rsid w:val="12AFD090"/>
    <w:rsid w:val="12B63E85"/>
    <w:rsid w:val="12B90056"/>
    <w:rsid w:val="12B991AA"/>
    <w:rsid w:val="12CB3BF6"/>
    <w:rsid w:val="12DB8F0F"/>
    <w:rsid w:val="12DE6940"/>
    <w:rsid w:val="12E09B3E"/>
    <w:rsid w:val="12EBBDB5"/>
    <w:rsid w:val="12ED419C"/>
    <w:rsid w:val="12EEB26F"/>
    <w:rsid w:val="12F016AE"/>
    <w:rsid w:val="12F2EC37"/>
    <w:rsid w:val="130033AE"/>
    <w:rsid w:val="130B058D"/>
    <w:rsid w:val="130F2760"/>
    <w:rsid w:val="131800A0"/>
    <w:rsid w:val="13211A9C"/>
    <w:rsid w:val="13256095"/>
    <w:rsid w:val="132772AB"/>
    <w:rsid w:val="132BE0A5"/>
    <w:rsid w:val="132DB108"/>
    <w:rsid w:val="13370807"/>
    <w:rsid w:val="133BE896"/>
    <w:rsid w:val="1350D389"/>
    <w:rsid w:val="1356A48B"/>
    <w:rsid w:val="1357192F"/>
    <w:rsid w:val="135A843A"/>
    <w:rsid w:val="135FA264"/>
    <w:rsid w:val="13644885"/>
    <w:rsid w:val="13758D58"/>
    <w:rsid w:val="137A8989"/>
    <w:rsid w:val="137DBD11"/>
    <w:rsid w:val="139DEB18"/>
    <w:rsid w:val="13A1905F"/>
    <w:rsid w:val="13A8E817"/>
    <w:rsid w:val="13AC65A8"/>
    <w:rsid w:val="13B2939E"/>
    <w:rsid w:val="13B480F7"/>
    <w:rsid w:val="13B69250"/>
    <w:rsid w:val="13BC3488"/>
    <w:rsid w:val="13BD4F66"/>
    <w:rsid w:val="13CB7289"/>
    <w:rsid w:val="13CB9A38"/>
    <w:rsid w:val="13DEBCC0"/>
    <w:rsid w:val="13E04DA8"/>
    <w:rsid w:val="13E2DB17"/>
    <w:rsid w:val="13EE2C8A"/>
    <w:rsid w:val="13EF65BE"/>
    <w:rsid w:val="13F9BD90"/>
    <w:rsid w:val="140092C8"/>
    <w:rsid w:val="1408EEE5"/>
    <w:rsid w:val="140B94F5"/>
    <w:rsid w:val="14124FDF"/>
    <w:rsid w:val="1412C286"/>
    <w:rsid w:val="1415505D"/>
    <w:rsid w:val="1418D6BE"/>
    <w:rsid w:val="142AF567"/>
    <w:rsid w:val="1431C365"/>
    <w:rsid w:val="1435FA89"/>
    <w:rsid w:val="144302F3"/>
    <w:rsid w:val="144821E6"/>
    <w:rsid w:val="145128DD"/>
    <w:rsid w:val="1457A1F6"/>
    <w:rsid w:val="145BE376"/>
    <w:rsid w:val="146334D0"/>
    <w:rsid w:val="1463B247"/>
    <w:rsid w:val="147FD5E3"/>
    <w:rsid w:val="148094B8"/>
    <w:rsid w:val="14830EC4"/>
    <w:rsid w:val="14836EBF"/>
    <w:rsid w:val="148531F4"/>
    <w:rsid w:val="1486820A"/>
    <w:rsid w:val="1486EDBE"/>
    <w:rsid w:val="148B5B4C"/>
    <w:rsid w:val="148FF561"/>
    <w:rsid w:val="14918ECB"/>
    <w:rsid w:val="149A4234"/>
    <w:rsid w:val="149E653A"/>
    <w:rsid w:val="14A961DD"/>
    <w:rsid w:val="14AC8E29"/>
    <w:rsid w:val="14ADCBB0"/>
    <w:rsid w:val="14B021F6"/>
    <w:rsid w:val="14B68E5C"/>
    <w:rsid w:val="14B6D653"/>
    <w:rsid w:val="14B839EE"/>
    <w:rsid w:val="14B92AC5"/>
    <w:rsid w:val="14CF9E14"/>
    <w:rsid w:val="14D77919"/>
    <w:rsid w:val="14D9D1B5"/>
    <w:rsid w:val="14DB0C4C"/>
    <w:rsid w:val="14E04699"/>
    <w:rsid w:val="14F5284C"/>
    <w:rsid w:val="1509E682"/>
    <w:rsid w:val="15213DB5"/>
    <w:rsid w:val="15236FC9"/>
    <w:rsid w:val="15363EF6"/>
    <w:rsid w:val="153874E2"/>
    <w:rsid w:val="1539A019"/>
    <w:rsid w:val="153AF104"/>
    <w:rsid w:val="15432E83"/>
    <w:rsid w:val="154963F5"/>
    <w:rsid w:val="1552076F"/>
    <w:rsid w:val="15535A25"/>
    <w:rsid w:val="1556272C"/>
    <w:rsid w:val="155729E1"/>
    <w:rsid w:val="155774D9"/>
    <w:rsid w:val="155D1EBE"/>
    <w:rsid w:val="1564E1A8"/>
    <w:rsid w:val="1568A9CE"/>
    <w:rsid w:val="1569D077"/>
    <w:rsid w:val="1575F4F7"/>
    <w:rsid w:val="15865F7E"/>
    <w:rsid w:val="158D5355"/>
    <w:rsid w:val="1593092F"/>
    <w:rsid w:val="159F08A2"/>
    <w:rsid w:val="15A4E844"/>
    <w:rsid w:val="15A9DDEE"/>
    <w:rsid w:val="15B17C36"/>
    <w:rsid w:val="15BA88D1"/>
    <w:rsid w:val="15CCBA9E"/>
    <w:rsid w:val="15DEFF71"/>
    <w:rsid w:val="15E1E1FB"/>
    <w:rsid w:val="15F0A734"/>
    <w:rsid w:val="15FE9CEA"/>
    <w:rsid w:val="16096215"/>
    <w:rsid w:val="161E9404"/>
    <w:rsid w:val="16287706"/>
    <w:rsid w:val="162CD98E"/>
    <w:rsid w:val="16303301"/>
    <w:rsid w:val="1630FFCE"/>
    <w:rsid w:val="16363461"/>
    <w:rsid w:val="163D233E"/>
    <w:rsid w:val="165A9614"/>
    <w:rsid w:val="165CC95D"/>
    <w:rsid w:val="166300D3"/>
    <w:rsid w:val="16649AC8"/>
    <w:rsid w:val="1667AD5B"/>
    <w:rsid w:val="1669889B"/>
    <w:rsid w:val="166F3AA6"/>
    <w:rsid w:val="167243B3"/>
    <w:rsid w:val="16770A66"/>
    <w:rsid w:val="167733F1"/>
    <w:rsid w:val="167EA9EF"/>
    <w:rsid w:val="1680D318"/>
    <w:rsid w:val="16873B0D"/>
    <w:rsid w:val="168F086A"/>
    <w:rsid w:val="16971E99"/>
    <w:rsid w:val="169834E5"/>
    <w:rsid w:val="169B079D"/>
    <w:rsid w:val="169B9E63"/>
    <w:rsid w:val="169BD215"/>
    <w:rsid w:val="169C69B4"/>
    <w:rsid w:val="169F3B48"/>
    <w:rsid w:val="16A37C10"/>
    <w:rsid w:val="16A5132E"/>
    <w:rsid w:val="16A97331"/>
    <w:rsid w:val="16AC7E82"/>
    <w:rsid w:val="16C9D920"/>
    <w:rsid w:val="16CDFA12"/>
    <w:rsid w:val="16E01626"/>
    <w:rsid w:val="16E46080"/>
    <w:rsid w:val="16E85343"/>
    <w:rsid w:val="16EF97C7"/>
    <w:rsid w:val="16F3B10D"/>
    <w:rsid w:val="16F626A3"/>
    <w:rsid w:val="1702AFF8"/>
    <w:rsid w:val="1707DFBC"/>
    <w:rsid w:val="170D58E2"/>
    <w:rsid w:val="170E5164"/>
    <w:rsid w:val="170FF32D"/>
    <w:rsid w:val="171A1963"/>
    <w:rsid w:val="171BB58E"/>
    <w:rsid w:val="1726395C"/>
    <w:rsid w:val="172C99DD"/>
    <w:rsid w:val="1732A3B4"/>
    <w:rsid w:val="174C6E3F"/>
    <w:rsid w:val="17533072"/>
    <w:rsid w:val="17547D25"/>
    <w:rsid w:val="17620490"/>
    <w:rsid w:val="17642BCC"/>
    <w:rsid w:val="1766AC4A"/>
    <w:rsid w:val="1767379F"/>
    <w:rsid w:val="1768CEF1"/>
    <w:rsid w:val="176E39BA"/>
    <w:rsid w:val="1781CD63"/>
    <w:rsid w:val="1792377B"/>
    <w:rsid w:val="17A0D268"/>
    <w:rsid w:val="17A1D425"/>
    <w:rsid w:val="17A249DB"/>
    <w:rsid w:val="17A8DEB1"/>
    <w:rsid w:val="17A9121B"/>
    <w:rsid w:val="17AAC6BA"/>
    <w:rsid w:val="17B0DCCE"/>
    <w:rsid w:val="17B4526C"/>
    <w:rsid w:val="17B51185"/>
    <w:rsid w:val="17B57B84"/>
    <w:rsid w:val="17B5E658"/>
    <w:rsid w:val="17CF79E6"/>
    <w:rsid w:val="17DC6F51"/>
    <w:rsid w:val="17F2C7F8"/>
    <w:rsid w:val="17F483DD"/>
    <w:rsid w:val="17FA96DE"/>
    <w:rsid w:val="17FD016A"/>
    <w:rsid w:val="1803D870"/>
    <w:rsid w:val="1807F9B5"/>
    <w:rsid w:val="1811FDE7"/>
    <w:rsid w:val="1814C582"/>
    <w:rsid w:val="182379EE"/>
    <w:rsid w:val="182537C2"/>
    <w:rsid w:val="1825F2EE"/>
    <w:rsid w:val="1829EE2F"/>
    <w:rsid w:val="183273BF"/>
    <w:rsid w:val="1833A8FD"/>
    <w:rsid w:val="1841B3A3"/>
    <w:rsid w:val="18462D92"/>
    <w:rsid w:val="184B5796"/>
    <w:rsid w:val="184FA9C5"/>
    <w:rsid w:val="18507100"/>
    <w:rsid w:val="185803A0"/>
    <w:rsid w:val="1859F8F2"/>
    <w:rsid w:val="185D69EF"/>
    <w:rsid w:val="18600756"/>
    <w:rsid w:val="186EA3FB"/>
    <w:rsid w:val="1876E6D6"/>
    <w:rsid w:val="1883DAE8"/>
    <w:rsid w:val="188571B4"/>
    <w:rsid w:val="18898160"/>
    <w:rsid w:val="188AD113"/>
    <w:rsid w:val="18915705"/>
    <w:rsid w:val="189264EA"/>
    <w:rsid w:val="1892DC2F"/>
    <w:rsid w:val="18975E66"/>
    <w:rsid w:val="189ECA9E"/>
    <w:rsid w:val="18A7B8FB"/>
    <w:rsid w:val="18B43483"/>
    <w:rsid w:val="18BB72F3"/>
    <w:rsid w:val="18BDE10D"/>
    <w:rsid w:val="18C57243"/>
    <w:rsid w:val="18D7FD77"/>
    <w:rsid w:val="18DD0F96"/>
    <w:rsid w:val="18FFA4EC"/>
    <w:rsid w:val="1901108B"/>
    <w:rsid w:val="19048F1B"/>
    <w:rsid w:val="1904BEF3"/>
    <w:rsid w:val="19138B79"/>
    <w:rsid w:val="191E34A6"/>
    <w:rsid w:val="19241210"/>
    <w:rsid w:val="19345DA6"/>
    <w:rsid w:val="193F6D28"/>
    <w:rsid w:val="19412953"/>
    <w:rsid w:val="1946E6F3"/>
    <w:rsid w:val="1949B1CA"/>
    <w:rsid w:val="19548EF8"/>
    <w:rsid w:val="1965A449"/>
    <w:rsid w:val="1970E6C8"/>
    <w:rsid w:val="19716F51"/>
    <w:rsid w:val="1972386B"/>
    <w:rsid w:val="1975205A"/>
    <w:rsid w:val="19755482"/>
    <w:rsid w:val="198430B3"/>
    <w:rsid w:val="1985F01B"/>
    <w:rsid w:val="1988C984"/>
    <w:rsid w:val="198B5AA1"/>
    <w:rsid w:val="199BA664"/>
    <w:rsid w:val="199EE3DA"/>
    <w:rsid w:val="19A0BC45"/>
    <w:rsid w:val="19ABAB39"/>
    <w:rsid w:val="19B17207"/>
    <w:rsid w:val="19C135CB"/>
    <w:rsid w:val="19C3EC56"/>
    <w:rsid w:val="19D2DD9F"/>
    <w:rsid w:val="19DCC8E9"/>
    <w:rsid w:val="19E9C19B"/>
    <w:rsid w:val="19EE3691"/>
    <w:rsid w:val="19EEF620"/>
    <w:rsid w:val="19F30315"/>
    <w:rsid w:val="19F427CD"/>
    <w:rsid w:val="1A06E76C"/>
    <w:rsid w:val="1A0781A2"/>
    <w:rsid w:val="1A11A0AA"/>
    <w:rsid w:val="1A210181"/>
    <w:rsid w:val="1A247791"/>
    <w:rsid w:val="1A2B2B47"/>
    <w:rsid w:val="1A2DA573"/>
    <w:rsid w:val="1A3E6FA9"/>
    <w:rsid w:val="1A5002C7"/>
    <w:rsid w:val="1A597FD9"/>
    <w:rsid w:val="1A644EC8"/>
    <w:rsid w:val="1A68DBAB"/>
    <w:rsid w:val="1A6D858A"/>
    <w:rsid w:val="1A731168"/>
    <w:rsid w:val="1A74C94B"/>
    <w:rsid w:val="1A759A4E"/>
    <w:rsid w:val="1A76D0C2"/>
    <w:rsid w:val="1A799FCB"/>
    <w:rsid w:val="1A7DA54F"/>
    <w:rsid w:val="1A84F6BE"/>
    <w:rsid w:val="1A86D5A8"/>
    <w:rsid w:val="1A873200"/>
    <w:rsid w:val="1A8C6B75"/>
    <w:rsid w:val="1A9B41C2"/>
    <w:rsid w:val="1AAC5B39"/>
    <w:rsid w:val="1AAE7830"/>
    <w:rsid w:val="1AB08859"/>
    <w:rsid w:val="1AB17659"/>
    <w:rsid w:val="1AB626C7"/>
    <w:rsid w:val="1ACA1548"/>
    <w:rsid w:val="1ACC494A"/>
    <w:rsid w:val="1AD5C708"/>
    <w:rsid w:val="1AD62D6A"/>
    <w:rsid w:val="1AE1AC48"/>
    <w:rsid w:val="1AE1BD81"/>
    <w:rsid w:val="1AE434C0"/>
    <w:rsid w:val="1AEE73EE"/>
    <w:rsid w:val="1AFF9D30"/>
    <w:rsid w:val="1B1457BE"/>
    <w:rsid w:val="1B2046D3"/>
    <w:rsid w:val="1B208454"/>
    <w:rsid w:val="1B2578AF"/>
    <w:rsid w:val="1B276E29"/>
    <w:rsid w:val="1B2AD886"/>
    <w:rsid w:val="1B2FECA1"/>
    <w:rsid w:val="1B30CC0D"/>
    <w:rsid w:val="1B386000"/>
    <w:rsid w:val="1B3EB3FD"/>
    <w:rsid w:val="1B45FD81"/>
    <w:rsid w:val="1B4DC15B"/>
    <w:rsid w:val="1B54129C"/>
    <w:rsid w:val="1B659C02"/>
    <w:rsid w:val="1B73C4B9"/>
    <w:rsid w:val="1B7880B9"/>
    <w:rsid w:val="1B78C418"/>
    <w:rsid w:val="1B8833F4"/>
    <w:rsid w:val="1B92E884"/>
    <w:rsid w:val="1B97EE5A"/>
    <w:rsid w:val="1B98F962"/>
    <w:rsid w:val="1B9BB2C0"/>
    <w:rsid w:val="1B9EBE31"/>
    <w:rsid w:val="1BA16EC0"/>
    <w:rsid w:val="1BA7274F"/>
    <w:rsid w:val="1BB276A5"/>
    <w:rsid w:val="1BB2A739"/>
    <w:rsid w:val="1BB35FED"/>
    <w:rsid w:val="1BB7FA7F"/>
    <w:rsid w:val="1BD1C62C"/>
    <w:rsid w:val="1BD33213"/>
    <w:rsid w:val="1BDBB55E"/>
    <w:rsid w:val="1BDF97CD"/>
    <w:rsid w:val="1BE082B1"/>
    <w:rsid w:val="1BE82153"/>
    <w:rsid w:val="1BEE1010"/>
    <w:rsid w:val="1BF0A7A2"/>
    <w:rsid w:val="1BF3713C"/>
    <w:rsid w:val="1BFA0CC4"/>
    <w:rsid w:val="1C06BD4F"/>
    <w:rsid w:val="1C0B9349"/>
    <w:rsid w:val="1C12BC37"/>
    <w:rsid w:val="1C192547"/>
    <w:rsid w:val="1C1A9578"/>
    <w:rsid w:val="1C1E2A89"/>
    <w:rsid w:val="1C1E5404"/>
    <w:rsid w:val="1C2A2F6C"/>
    <w:rsid w:val="1C3184E1"/>
    <w:rsid w:val="1C32E4F1"/>
    <w:rsid w:val="1C3A0438"/>
    <w:rsid w:val="1C3CD54A"/>
    <w:rsid w:val="1C4020DD"/>
    <w:rsid w:val="1C42484C"/>
    <w:rsid w:val="1C430A9D"/>
    <w:rsid w:val="1C528185"/>
    <w:rsid w:val="1C58D3E8"/>
    <w:rsid w:val="1C5C637B"/>
    <w:rsid w:val="1C5C9479"/>
    <w:rsid w:val="1C7007F3"/>
    <w:rsid w:val="1C746E0A"/>
    <w:rsid w:val="1C80DE78"/>
    <w:rsid w:val="1C86B5C6"/>
    <w:rsid w:val="1C8B6697"/>
    <w:rsid w:val="1C95BF5C"/>
    <w:rsid w:val="1C982640"/>
    <w:rsid w:val="1C99BD51"/>
    <w:rsid w:val="1CA00773"/>
    <w:rsid w:val="1CA3608F"/>
    <w:rsid w:val="1CA3D08D"/>
    <w:rsid w:val="1CA4497F"/>
    <w:rsid w:val="1CA607A7"/>
    <w:rsid w:val="1CA6A39E"/>
    <w:rsid w:val="1CB2B3BC"/>
    <w:rsid w:val="1CB96C3B"/>
    <w:rsid w:val="1CBBB6C3"/>
    <w:rsid w:val="1CBD5D51"/>
    <w:rsid w:val="1CC3D08A"/>
    <w:rsid w:val="1CDE9ACE"/>
    <w:rsid w:val="1CDFB9AA"/>
    <w:rsid w:val="1CE12832"/>
    <w:rsid w:val="1CED6FD1"/>
    <w:rsid w:val="1CF80C44"/>
    <w:rsid w:val="1D0F9718"/>
    <w:rsid w:val="1D111ACB"/>
    <w:rsid w:val="1D1A26A3"/>
    <w:rsid w:val="1D1CFED6"/>
    <w:rsid w:val="1D2963D0"/>
    <w:rsid w:val="1D2EEB93"/>
    <w:rsid w:val="1D387B96"/>
    <w:rsid w:val="1D3B1DB1"/>
    <w:rsid w:val="1D3E3C44"/>
    <w:rsid w:val="1D41864D"/>
    <w:rsid w:val="1D4A6C25"/>
    <w:rsid w:val="1D5A1108"/>
    <w:rsid w:val="1D5A238D"/>
    <w:rsid w:val="1D5CF5B2"/>
    <w:rsid w:val="1D5CFFFF"/>
    <w:rsid w:val="1D6A8279"/>
    <w:rsid w:val="1D6CE88E"/>
    <w:rsid w:val="1D6E3CE4"/>
    <w:rsid w:val="1D6EFD7E"/>
    <w:rsid w:val="1D790B02"/>
    <w:rsid w:val="1D7B8B6E"/>
    <w:rsid w:val="1D8C768E"/>
    <w:rsid w:val="1D91543B"/>
    <w:rsid w:val="1D96B807"/>
    <w:rsid w:val="1DA07BE7"/>
    <w:rsid w:val="1DA1DE2E"/>
    <w:rsid w:val="1DB51BDB"/>
    <w:rsid w:val="1DB9FEEE"/>
    <w:rsid w:val="1DBB3814"/>
    <w:rsid w:val="1DC687FC"/>
    <w:rsid w:val="1DC6F6C4"/>
    <w:rsid w:val="1DC8E53D"/>
    <w:rsid w:val="1DC8FCD8"/>
    <w:rsid w:val="1DD1244D"/>
    <w:rsid w:val="1DD1D324"/>
    <w:rsid w:val="1DD8FA5F"/>
    <w:rsid w:val="1DDE63BE"/>
    <w:rsid w:val="1DE08EF9"/>
    <w:rsid w:val="1DE536D8"/>
    <w:rsid w:val="1DE94C2B"/>
    <w:rsid w:val="1DEB8495"/>
    <w:rsid w:val="1DF0BB45"/>
    <w:rsid w:val="1E18BE30"/>
    <w:rsid w:val="1E1AA18B"/>
    <w:rsid w:val="1E1FA551"/>
    <w:rsid w:val="1E1FF875"/>
    <w:rsid w:val="1E2A8F4A"/>
    <w:rsid w:val="1E30E7D6"/>
    <w:rsid w:val="1E36C0A8"/>
    <w:rsid w:val="1E401750"/>
    <w:rsid w:val="1E418D6F"/>
    <w:rsid w:val="1E4D8EE3"/>
    <w:rsid w:val="1E62A745"/>
    <w:rsid w:val="1E66C09B"/>
    <w:rsid w:val="1E71022F"/>
    <w:rsid w:val="1E7464BF"/>
    <w:rsid w:val="1E75ECFF"/>
    <w:rsid w:val="1E80FF31"/>
    <w:rsid w:val="1E83E327"/>
    <w:rsid w:val="1E8CBBB6"/>
    <w:rsid w:val="1E8FABF8"/>
    <w:rsid w:val="1E9736C9"/>
    <w:rsid w:val="1E99F3B6"/>
    <w:rsid w:val="1EA87A3E"/>
    <w:rsid w:val="1EAEE9F4"/>
    <w:rsid w:val="1EB2742F"/>
    <w:rsid w:val="1EB2A9DC"/>
    <w:rsid w:val="1EB400AF"/>
    <w:rsid w:val="1EB6CE83"/>
    <w:rsid w:val="1ECDE810"/>
    <w:rsid w:val="1ED6A496"/>
    <w:rsid w:val="1ED98AF8"/>
    <w:rsid w:val="1EDEA890"/>
    <w:rsid w:val="1EEE37D9"/>
    <w:rsid w:val="1EEE4123"/>
    <w:rsid w:val="1F19E1E0"/>
    <w:rsid w:val="1F1B5273"/>
    <w:rsid w:val="1F1D0A0E"/>
    <w:rsid w:val="1F22DE2D"/>
    <w:rsid w:val="1F32938D"/>
    <w:rsid w:val="1F39BE98"/>
    <w:rsid w:val="1F40189C"/>
    <w:rsid w:val="1F420F7F"/>
    <w:rsid w:val="1F44E0D4"/>
    <w:rsid w:val="1F45DCC3"/>
    <w:rsid w:val="1F46C27A"/>
    <w:rsid w:val="1F622DF0"/>
    <w:rsid w:val="1F675991"/>
    <w:rsid w:val="1F6E6E9E"/>
    <w:rsid w:val="1F6F7D24"/>
    <w:rsid w:val="1F7413D4"/>
    <w:rsid w:val="1F79AED0"/>
    <w:rsid w:val="1F7AC11D"/>
    <w:rsid w:val="1F922ACE"/>
    <w:rsid w:val="1F9841C4"/>
    <w:rsid w:val="1F9DEF05"/>
    <w:rsid w:val="1F9FF8E3"/>
    <w:rsid w:val="1FB04751"/>
    <w:rsid w:val="1FB7321E"/>
    <w:rsid w:val="1FC0A87D"/>
    <w:rsid w:val="1FCD2F2D"/>
    <w:rsid w:val="1FEDB6F9"/>
    <w:rsid w:val="1FF5F047"/>
    <w:rsid w:val="1FF8320E"/>
    <w:rsid w:val="1FFC3FEA"/>
    <w:rsid w:val="1FFE5BEA"/>
    <w:rsid w:val="20049F88"/>
    <w:rsid w:val="2006C1C4"/>
    <w:rsid w:val="2007BAC8"/>
    <w:rsid w:val="200A1CD7"/>
    <w:rsid w:val="20107C41"/>
    <w:rsid w:val="201738CC"/>
    <w:rsid w:val="20294478"/>
    <w:rsid w:val="2039449F"/>
    <w:rsid w:val="203B3B64"/>
    <w:rsid w:val="203DE22F"/>
    <w:rsid w:val="204160F0"/>
    <w:rsid w:val="2041D0C4"/>
    <w:rsid w:val="2041E4F0"/>
    <w:rsid w:val="20433959"/>
    <w:rsid w:val="2044874F"/>
    <w:rsid w:val="2044C884"/>
    <w:rsid w:val="2058FEB9"/>
    <w:rsid w:val="2061E537"/>
    <w:rsid w:val="20627C1B"/>
    <w:rsid w:val="20629CE9"/>
    <w:rsid w:val="20727FD6"/>
    <w:rsid w:val="2072AFD4"/>
    <w:rsid w:val="2079EEA8"/>
    <w:rsid w:val="207B246D"/>
    <w:rsid w:val="207E0A0E"/>
    <w:rsid w:val="2083A63E"/>
    <w:rsid w:val="2087E68D"/>
    <w:rsid w:val="208CF319"/>
    <w:rsid w:val="20978F18"/>
    <w:rsid w:val="209B918A"/>
    <w:rsid w:val="20A10AA1"/>
    <w:rsid w:val="20A1C761"/>
    <w:rsid w:val="20A2ADAE"/>
    <w:rsid w:val="20AD9699"/>
    <w:rsid w:val="20AE45BB"/>
    <w:rsid w:val="20B0DBD6"/>
    <w:rsid w:val="20BFD711"/>
    <w:rsid w:val="20CB5BCE"/>
    <w:rsid w:val="20CFEB41"/>
    <w:rsid w:val="20D6632F"/>
    <w:rsid w:val="20D72110"/>
    <w:rsid w:val="20E74086"/>
    <w:rsid w:val="20EA3C7C"/>
    <w:rsid w:val="20EC554E"/>
    <w:rsid w:val="20ED989B"/>
    <w:rsid w:val="20EDF7C2"/>
    <w:rsid w:val="20F75F16"/>
    <w:rsid w:val="20FA9472"/>
    <w:rsid w:val="20FDA08F"/>
    <w:rsid w:val="20FE7844"/>
    <w:rsid w:val="2101C9CC"/>
    <w:rsid w:val="21048646"/>
    <w:rsid w:val="2104EF44"/>
    <w:rsid w:val="2104FD91"/>
    <w:rsid w:val="2114740E"/>
    <w:rsid w:val="211CF2B5"/>
    <w:rsid w:val="211ED062"/>
    <w:rsid w:val="2129D453"/>
    <w:rsid w:val="213A97C6"/>
    <w:rsid w:val="213FECFF"/>
    <w:rsid w:val="214346A1"/>
    <w:rsid w:val="2144D193"/>
    <w:rsid w:val="2147441E"/>
    <w:rsid w:val="214DE710"/>
    <w:rsid w:val="2156DD44"/>
    <w:rsid w:val="2156E0D2"/>
    <w:rsid w:val="215943C1"/>
    <w:rsid w:val="215B4B67"/>
    <w:rsid w:val="216D5D2E"/>
    <w:rsid w:val="21971C75"/>
    <w:rsid w:val="2199F80B"/>
    <w:rsid w:val="219B42F0"/>
    <w:rsid w:val="21A4352B"/>
    <w:rsid w:val="21A7A184"/>
    <w:rsid w:val="21AFFA62"/>
    <w:rsid w:val="21B6B3CD"/>
    <w:rsid w:val="21BE2688"/>
    <w:rsid w:val="21C2C6EC"/>
    <w:rsid w:val="21C2CB09"/>
    <w:rsid w:val="21CB57CF"/>
    <w:rsid w:val="21D324F6"/>
    <w:rsid w:val="21D8C014"/>
    <w:rsid w:val="21DD8990"/>
    <w:rsid w:val="21DDB321"/>
    <w:rsid w:val="21F3A06A"/>
    <w:rsid w:val="21F98D8C"/>
    <w:rsid w:val="21FE421E"/>
    <w:rsid w:val="2214D454"/>
    <w:rsid w:val="22224553"/>
    <w:rsid w:val="22231BC7"/>
    <w:rsid w:val="222824F4"/>
    <w:rsid w:val="223EB534"/>
    <w:rsid w:val="2243FDD1"/>
    <w:rsid w:val="2265D767"/>
    <w:rsid w:val="226F715C"/>
    <w:rsid w:val="227A62ED"/>
    <w:rsid w:val="22921A99"/>
    <w:rsid w:val="22963F63"/>
    <w:rsid w:val="2296904F"/>
    <w:rsid w:val="2296FCF2"/>
    <w:rsid w:val="229D7108"/>
    <w:rsid w:val="22A7EA2C"/>
    <w:rsid w:val="22AC16CE"/>
    <w:rsid w:val="22AE8D90"/>
    <w:rsid w:val="22B11A08"/>
    <w:rsid w:val="22B2BFF1"/>
    <w:rsid w:val="22B360FE"/>
    <w:rsid w:val="22BD4834"/>
    <w:rsid w:val="22BFEBB5"/>
    <w:rsid w:val="22C03E04"/>
    <w:rsid w:val="22C0BC9A"/>
    <w:rsid w:val="22D51E22"/>
    <w:rsid w:val="22F53625"/>
    <w:rsid w:val="22F8B8FD"/>
    <w:rsid w:val="22FEE097"/>
    <w:rsid w:val="22FF7CF6"/>
    <w:rsid w:val="230682E1"/>
    <w:rsid w:val="23089A35"/>
    <w:rsid w:val="2309A46E"/>
    <w:rsid w:val="23100F13"/>
    <w:rsid w:val="2319DBAF"/>
    <w:rsid w:val="231D66A3"/>
    <w:rsid w:val="231F6FF8"/>
    <w:rsid w:val="232AA796"/>
    <w:rsid w:val="232D5E2F"/>
    <w:rsid w:val="232F14BA"/>
    <w:rsid w:val="233034AE"/>
    <w:rsid w:val="2334480D"/>
    <w:rsid w:val="233C8265"/>
    <w:rsid w:val="233D6ACB"/>
    <w:rsid w:val="234371E5"/>
    <w:rsid w:val="235CB4CA"/>
    <w:rsid w:val="236A5922"/>
    <w:rsid w:val="238D110F"/>
    <w:rsid w:val="239673A1"/>
    <w:rsid w:val="239B06F9"/>
    <w:rsid w:val="239B956E"/>
    <w:rsid w:val="239D403A"/>
    <w:rsid w:val="23A2A05C"/>
    <w:rsid w:val="23A8EA00"/>
    <w:rsid w:val="23AB0971"/>
    <w:rsid w:val="23AC1BAF"/>
    <w:rsid w:val="23ACC02A"/>
    <w:rsid w:val="23B2F514"/>
    <w:rsid w:val="23BA6544"/>
    <w:rsid w:val="23BEECC7"/>
    <w:rsid w:val="23C2184B"/>
    <w:rsid w:val="23CA3D58"/>
    <w:rsid w:val="23D07D28"/>
    <w:rsid w:val="23D35377"/>
    <w:rsid w:val="23DB8C68"/>
    <w:rsid w:val="23E20B37"/>
    <w:rsid w:val="23E27C5D"/>
    <w:rsid w:val="23F5CFAE"/>
    <w:rsid w:val="23F76E97"/>
    <w:rsid w:val="2401CF6C"/>
    <w:rsid w:val="2402FDAB"/>
    <w:rsid w:val="2411DAE5"/>
    <w:rsid w:val="24220389"/>
    <w:rsid w:val="24260BA2"/>
    <w:rsid w:val="242DBA70"/>
    <w:rsid w:val="24317BDA"/>
    <w:rsid w:val="24360C4D"/>
    <w:rsid w:val="24445D15"/>
    <w:rsid w:val="244A1C1A"/>
    <w:rsid w:val="2453EAEB"/>
    <w:rsid w:val="245E98D3"/>
    <w:rsid w:val="246C6E8F"/>
    <w:rsid w:val="2470EE83"/>
    <w:rsid w:val="24758D09"/>
    <w:rsid w:val="2476ED5B"/>
    <w:rsid w:val="248C10EB"/>
    <w:rsid w:val="249D09FB"/>
    <w:rsid w:val="249D8C02"/>
    <w:rsid w:val="24A1631D"/>
    <w:rsid w:val="24B39789"/>
    <w:rsid w:val="24C314E9"/>
    <w:rsid w:val="24C97D8B"/>
    <w:rsid w:val="24D39949"/>
    <w:rsid w:val="24E08097"/>
    <w:rsid w:val="24E454C0"/>
    <w:rsid w:val="24ED05A0"/>
    <w:rsid w:val="24FF82AD"/>
    <w:rsid w:val="250C0DAD"/>
    <w:rsid w:val="2510F773"/>
    <w:rsid w:val="251295E8"/>
    <w:rsid w:val="2521A89D"/>
    <w:rsid w:val="2522FB85"/>
    <w:rsid w:val="25249CCA"/>
    <w:rsid w:val="252C6885"/>
    <w:rsid w:val="253ABE14"/>
    <w:rsid w:val="2564F511"/>
    <w:rsid w:val="25664DF7"/>
    <w:rsid w:val="257150E3"/>
    <w:rsid w:val="258ACED6"/>
    <w:rsid w:val="2590A13B"/>
    <w:rsid w:val="25922D04"/>
    <w:rsid w:val="25976D94"/>
    <w:rsid w:val="259AF6B6"/>
    <w:rsid w:val="259EC10D"/>
    <w:rsid w:val="25A4D102"/>
    <w:rsid w:val="25ACFF0D"/>
    <w:rsid w:val="25B5A623"/>
    <w:rsid w:val="25B83C61"/>
    <w:rsid w:val="25BC0A87"/>
    <w:rsid w:val="25CFB204"/>
    <w:rsid w:val="25D111B2"/>
    <w:rsid w:val="25DAD583"/>
    <w:rsid w:val="25DDE83C"/>
    <w:rsid w:val="25F0B51E"/>
    <w:rsid w:val="25F0C7F9"/>
    <w:rsid w:val="25F45563"/>
    <w:rsid w:val="25F991D8"/>
    <w:rsid w:val="25FF5E90"/>
    <w:rsid w:val="260FBF17"/>
    <w:rsid w:val="2610B11F"/>
    <w:rsid w:val="26176C07"/>
    <w:rsid w:val="2618BD3B"/>
    <w:rsid w:val="2620E467"/>
    <w:rsid w:val="2638FCCD"/>
    <w:rsid w:val="263AE740"/>
    <w:rsid w:val="263DEA49"/>
    <w:rsid w:val="26600DE9"/>
    <w:rsid w:val="267EE127"/>
    <w:rsid w:val="26820305"/>
    <w:rsid w:val="26898914"/>
    <w:rsid w:val="268D34F1"/>
    <w:rsid w:val="269FD835"/>
    <w:rsid w:val="26A80248"/>
    <w:rsid w:val="26AAD310"/>
    <w:rsid w:val="26B80412"/>
    <w:rsid w:val="26BA0FBB"/>
    <w:rsid w:val="26BA72F8"/>
    <w:rsid w:val="26BE45B8"/>
    <w:rsid w:val="26BECBCC"/>
    <w:rsid w:val="26C2B529"/>
    <w:rsid w:val="26CA3C5E"/>
    <w:rsid w:val="26E6582C"/>
    <w:rsid w:val="26FEC175"/>
    <w:rsid w:val="26FEDC40"/>
    <w:rsid w:val="26FF821C"/>
    <w:rsid w:val="2700374A"/>
    <w:rsid w:val="27022353"/>
    <w:rsid w:val="27065F1C"/>
    <w:rsid w:val="2714003D"/>
    <w:rsid w:val="271408E4"/>
    <w:rsid w:val="271D0515"/>
    <w:rsid w:val="271E5827"/>
    <w:rsid w:val="27203837"/>
    <w:rsid w:val="272295AA"/>
    <w:rsid w:val="272993D0"/>
    <w:rsid w:val="2732F6C3"/>
    <w:rsid w:val="2735252B"/>
    <w:rsid w:val="273749B1"/>
    <w:rsid w:val="273C9A11"/>
    <w:rsid w:val="275225AF"/>
    <w:rsid w:val="275A112E"/>
    <w:rsid w:val="275D85EE"/>
    <w:rsid w:val="2765D5F8"/>
    <w:rsid w:val="2776A212"/>
    <w:rsid w:val="2778D51D"/>
    <w:rsid w:val="277DE445"/>
    <w:rsid w:val="2781D295"/>
    <w:rsid w:val="27826FDE"/>
    <w:rsid w:val="2782FBE2"/>
    <w:rsid w:val="2786EC5D"/>
    <w:rsid w:val="27884935"/>
    <w:rsid w:val="27A4AF95"/>
    <w:rsid w:val="27AA0597"/>
    <w:rsid w:val="27B453C5"/>
    <w:rsid w:val="27B5FF80"/>
    <w:rsid w:val="27C98D18"/>
    <w:rsid w:val="27CC13A3"/>
    <w:rsid w:val="27CCC231"/>
    <w:rsid w:val="27D0AECB"/>
    <w:rsid w:val="27D2F3E8"/>
    <w:rsid w:val="27DB7C15"/>
    <w:rsid w:val="27DC9D5A"/>
    <w:rsid w:val="27DE1A42"/>
    <w:rsid w:val="27DF2188"/>
    <w:rsid w:val="27EFFAF3"/>
    <w:rsid w:val="27F08F7C"/>
    <w:rsid w:val="27F0BE98"/>
    <w:rsid w:val="27F2F8D7"/>
    <w:rsid w:val="27F4E6F7"/>
    <w:rsid w:val="27F5325D"/>
    <w:rsid w:val="27F70287"/>
    <w:rsid w:val="27FAE158"/>
    <w:rsid w:val="27FC855A"/>
    <w:rsid w:val="27FEC23B"/>
    <w:rsid w:val="2802F81C"/>
    <w:rsid w:val="28159E70"/>
    <w:rsid w:val="281D5BED"/>
    <w:rsid w:val="281F53F9"/>
    <w:rsid w:val="2823A5D7"/>
    <w:rsid w:val="2826582C"/>
    <w:rsid w:val="282F1F34"/>
    <w:rsid w:val="2837F41A"/>
    <w:rsid w:val="283C8569"/>
    <w:rsid w:val="283E58B1"/>
    <w:rsid w:val="28402726"/>
    <w:rsid w:val="2853193F"/>
    <w:rsid w:val="2853AC3D"/>
    <w:rsid w:val="28584684"/>
    <w:rsid w:val="2858817E"/>
    <w:rsid w:val="285A776D"/>
    <w:rsid w:val="285C1A2E"/>
    <w:rsid w:val="285F7940"/>
    <w:rsid w:val="2867660E"/>
    <w:rsid w:val="286B48E6"/>
    <w:rsid w:val="28762483"/>
    <w:rsid w:val="287BD2E8"/>
    <w:rsid w:val="2887F9C7"/>
    <w:rsid w:val="2888ED38"/>
    <w:rsid w:val="28898C55"/>
    <w:rsid w:val="28951634"/>
    <w:rsid w:val="2898FC7B"/>
    <w:rsid w:val="289A38FE"/>
    <w:rsid w:val="289AEAA7"/>
    <w:rsid w:val="289C2D74"/>
    <w:rsid w:val="289D99E3"/>
    <w:rsid w:val="289FFC07"/>
    <w:rsid w:val="28A3582A"/>
    <w:rsid w:val="28AC0353"/>
    <w:rsid w:val="28B364D7"/>
    <w:rsid w:val="28BB2625"/>
    <w:rsid w:val="28C3225A"/>
    <w:rsid w:val="28CB9D4F"/>
    <w:rsid w:val="28D86DE3"/>
    <w:rsid w:val="28E630EF"/>
    <w:rsid w:val="28EB4822"/>
    <w:rsid w:val="28FBB445"/>
    <w:rsid w:val="2902B158"/>
    <w:rsid w:val="29070AC5"/>
    <w:rsid w:val="290CC994"/>
    <w:rsid w:val="2913A785"/>
    <w:rsid w:val="29145B04"/>
    <w:rsid w:val="291E166A"/>
    <w:rsid w:val="29219701"/>
    <w:rsid w:val="292810E4"/>
    <w:rsid w:val="292F7FD2"/>
    <w:rsid w:val="293701CC"/>
    <w:rsid w:val="293E52BA"/>
    <w:rsid w:val="2946266C"/>
    <w:rsid w:val="294BD199"/>
    <w:rsid w:val="2952B2FD"/>
    <w:rsid w:val="29532ADF"/>
    <w:rsid w:val="296E9CD7"/>
    <w:rsid w:val="2978892D"/>
    <w:rsid w:val="29844A45"/>
    <w:rsid w:val="29873D16"/>
    <w:rsid w:val="298E970E"/>
    <w:rsid w:val="29923517"/>
    <w:rsid w:val="2996A1A9"/>
    <w:rsid w:val="299B9EBD"/>
    <w:rsid w:val="299CD5B9"/>
    <w:rsid w:val="29B7BB22"/>
    <w:rsid w:val="29BD0D8D"/>
    <w:rsid w:val="29BD966C"/>
    <w:rsid w:val="29C13573"/>
    <w:rsid w:val="29C194D4"/>
    <w:rsid w:val="29D172E5"/>
    <w:rsid w:val="29D1A4D0"/>
    <w:rsid w:val="29DB2064"/>
    <w:rsid w:val="29F20AE3"/>
    <w:rsid w:val="29F519C0"/>
    <w:rsid w:val="29FF4715"/>
    <w:rsid w:val="29FFF8C3"/>
    <w:rsid w:val="2A027069"/>
    <w:rsid w:val="2A057C87"/>
    <w:rsid w:val="2A14D6ED"/>
    <w:rsid w:val="2A1D47A5"/>
    <w:rsid w:val="2A22DDAD"/>
    <w:rsid w:val="2A25FFBC"/>
    <w:rsid w:val="2A2D417B"/>
    <w:rsid w:val="2A30D100"/>
    <w:rsid w:val="2A42376F"/>
    <w:rsid w:val="2A4487C4"/>
    <w:rsid w:val="2A4537E7"/>
    <w:rsid w:val="2A4B804F"/>
    <w:rsid w:val="2A5138C9"/>
    <w:rsid w:val="2A696D92"/>
    <w:rsid w:val="2A7232A0"/>
    <w:rsid w:val="2A7BF0F7"/>
    <w:rsid w:val="2A8CB079"/>
    <w:rsid w:val="2A8F7F09"/>
    <w:rsid w:val="2A947893"/>
    <w:rsid w:val="2A9A595A"/>
    <w:rsid w:val="2AB2DE28"/>
    <w:rsid w:val="2AB9AE35"/>
    <w:rsid w:val="2ABD2FC6"/>
    <w:rsid w:val="2ABD47AB"/>
    <w:rsid w:val="2AC4FA93"/>
    <w:rsid w:val="2ADAB442"/>
    <w:rsid w:val="2AEA31F5"/>
    <w:rsid w:val="2AEABC6C"/>
    <w:rsid w:val="2AECDDEA"/>
    <w:rsid w:val="2AF01F05"/>
    <w:rsid w:val="2AF1E552"/>
    <w:rsid w:val="2AFD9FF5"/>
    <w:rsid w:val="2AFFE0EB"/>
    <w:rsid w:val="2B033214"/>
    <w:rsid w:val="2B0696AC"/>
    <w:rsid w:val="2B073473"/>
    <w:rsid w:val="2B08FBA1"/>
    <w:rsid w:val="2B1C5226"/>
    <w:rsid w:val="2B232F35"/>
    <w:rsid w:val="2B2D8A03"/>
    <w:rsid w:val="2B3107DB"/>
    <w:rsid w:val="2B3726A8"/>
    <w:rsid w:val="2B3F38AB"/>
    <w:rsid w:val="2B5EEA04"/>
    <w:rsid w:val="2B6614B8"/>
    <w:rsid w:val="2B912076"/>
    <w:rsid w:val="2B937C13"/>
    <w:rsid w:val="2B99634B"/>
    <w:rsid w:val="2BA20243"/>
    <w:rsid w:val="2BB173D8"/>
    <w:rsid w:val="2BBFDC61"/>
    <w:rsid w:val="2BC309D2"/>
    <w:rsid w:val="2BC7666F"/>
    <w:rsid w:val="2BD0E800"/>
    <w:rsid w:val="2BD8DC10"/>
    <w:rsid w:val="2BDA5C99"/>
    <w:rsid w:val="2BDCC821"/>
    <w:rsid w:val="2BE6BA4F"/>
    <w:rsid w:val="2BE7C320"/>
    <w:rsid w:val="2BFEDE47"/>
    <w:rsid w:val="2C01E128"/>
    <w:rsid w:val="2C04374B"/>
    <w:rsid w:val="2C0E7BF2"/>
    <w:rsid w:val="2C1C4D60"/>
    <w:rsid w:val="2C2242B7"/>
    <w:rsid w:val="2C23E79A"/>
    <w:rsid w:val="2C2D7FB8"/>
    <w:rsid w:val="2C320466"/>
    <w:rsid w:val="2C321BDC"/>
    <w:rsid w:val="2C3390BA"/>
    <w:rsid w:val="2C344EC3"/>
    <w:rsid w:val="2C3512D2"/>
    <w:rsid w:val="2C3D7777"/>
    <w:rsid w:val="2C40F465"/>
    <w:rsid w:val="2C4F9945"/>
    <w:rsid w:val="2C525C83"/>
    <w:rsid w:val="2C57ECBA"/>
    <w:rsid w:val="2C599521"/>
    <w:rsid w:val="2C5A7922"/>
    <w:rsid w:val="2C5E65FF"/>
    <w:rsid w:val="2C6AEBD8"/>
    <w:rsid w:val="2C6B631B"/>
    <w:rsid w:val="2C7D6378"/>
    <w:rsid w:val="2C849CAB"/>
    <w:rsid w:val="2C84A60C"/>
    <w:rsid w:val="2C8D2FED"/>
    <w:rsid w:val="2C910924"/>
    <w:rsid w:val="2C92373F"/>
    <w:rsid w:val="2CA17177"/>
    <w:rsid w:val="2CAD9C09"/>
    <w:rsid w:val="2CB86B60"/>
    <w:rsid w:val="2CC638C2"/>
    <w:rsid w:val="2CC9C954"/>
    <w:rsid w:val="2CD233FC"/>
    <w:rsid w:val="2CD87E24"/>
    <w:rsid w:val="2CDFC4A8"/>
    <w:rsid w:val="2CE4C085"/>
    <w:rsid w:val="2CE917E8"/>
    <w:rsid w:val="2CF01F78"/>
    <w:rsid w:val="2CF7BB70"/>
    <w:rsid w:val="2CF7EC54"/>
    <w:rsid w:val="2D0320BF"/>
    <w:rsid w:val="2D039AB7"/>
    <w:rsid w:val="2D0894A1"/>
    <w:rsid w:val="2D08BB65"/>
    <w:rsid w:val="2D115CAF"/>
    <w:rsid w:val="2D212960"/>
    <w:rsid w:val="2D275DDC"/>
    <w:rsid w:val="2D2CBA82"/>
    <w:rsid w:val="2D2CF90E"/>
    <w:rsid w:val="2D2F633C"/>
    <w:rsid w:val="2D3144DA"/>
    <w:rsid w:val="2D348735"/>
    <w:rsid w:val="2D399E15"/>
    <w:rsid w:val="2D55BDD2"/>
    <w:rsid w:val="2D5C635C"/>
    <w:rsid w:val="2D5E3BB1"/>
    <w:rsid w:val="2D5FE363"/>
    <w:rsid w:val="2D61565F"/>
    <w:rsid w:val="2D66C02A"/>
    <w:rsid w:val="2D7685F8"/>
    <w:rsid w:val="2D77B4E8"/>
    <w:rsid w:val="2D806DC3"/>
    <w:rsid w:val="2D838576"/>
    <w:rsid w:val="2D90B794"/>
    <w:rsid w:val="2D92CFC1"/>
    <w:rsid w:val="2D9AF2B3"/>
    <w:rsid w:val="2DA68866"/>
    <w:rsid w:val="2DA71C0B"/>
    <w:rsid w:val="2DA842B5"/>
    <w:rsid w:val="2DB0906C"/>
    <w:rsid w:val="2DB16BED"/>
    <w:rsid w:val="2DB855EF"/>
    <w:rsid w:val="2DBBA8C5"/>
    <w:rsid w:val="2DBC8A79"/>
    <w:rsid w:val="2DC068EF"/>
    <w:rsid w:val="2DC8EAB8"/>
    <w:rsid w:val="2DCA5146"/>
    <w:rsid w:val="2DCE4B55"/>
    <w:rsid w:val="2DD7098C"/>
    <w:rsid w:val="2DDA7298"/>
    <w:rsid w:val="2DDA823E"/>
    <w:rsid w:val="2DE1B026"/>
    <w:rsid w:val="2DE761BB"/>
    <w:rsid w:val="2DED4064"/>
    <w:rsid w:val="2DF563F3"/>
    <w:rsid w:val="2DF965C9"/>
    <w:rsid w:val="2DFDDBFD"/>
    <w:rsid w:val="2E09F1DC"/>
    <w:rsid w:val="2E0A8724"/>
    <w:rsid w:val="2E0F764B"/>
    <w:rsid w:val="2E1B9F09"/>
    <w:rsid w:val="2E1E8D71"/>
    <w:rsid w:val="2E2AB0DA"/>
    <w:rsid w:val="2E38600D"/>
    <w:rsid w:val="2E3BF3D0"/>
    <w:rsid w:val="2E490409"/>
    <w:rsid w:val="2E534CD4"/>
    <w:rsid w:val="2E5E37FA"/>
    <w:rsid w:val="2E5FAB42"/>
    <w:rsid w:val="2E61ED0C"/>
    <w:rsid w:val="2E62525F"/>
    <w:rsid w:val="2E644BE6"/>
    <w:rsid w:val="2E765D66"/>
    <w:rsid w:val="2E809514"/>
    <w:rsid w:val="2E8125BC"/>
    <w:rsid w:val="2E88AA54"/>
    <w:rsid w:val="2E95E07A"/>
    <w:rsid w:val="2E9D49AE"/>
    <w:rsid w:val="2EA07463"/>
    <w:rsid w:val="2EC5C2B2"/>
    <w:rsid w:val="2EC6266E"/>
    <w:rsid w:val="2EDC45DF"/>
    <w:rsid w:val="2EE73ABD"/>
    <w:rsid w:val="2EED3F1E"/>
    <w:rsid w:val="2EEE6B60"/>
    <w:rsid w:val="2EF23FFE"/>
    <w:rsid w:val="2EF7BB28"/>
    <w:rsid w:val="2EFD7766"/>
    <w:rsid w:val="2F0DC302"/>
    <w:rsid w:val="2F186987"/>
    <w:rsid w:val="2F1BFF3F"/>
    <w:rsid w:val="2F1E38D1"/>
    <w:rsid w:val="2F213C15"/>
    <w:rsid w:val="2F2439FA"/>
    <w:rsid w:val="2F2C8EDE"/>
    <w:rsid w:val="2F2DED46"/>
    <w:rsid w:val="2F2E15B7"/>
    <w:rsid w:val="2F3F1981"/>
    <w:rsid w:val="2F42FC29"/>
    <w:rsid w:val="2F525F4C"/>
    <w:rsid w:val="2F5AD91D"/>
    <w:rsid w:val="2F62FCAB"/>
    <w:rsid w:val="2F79E5E6"/>
    <w:rsid w:val="2F8C129E"/>
    <w:rsid w:val="2F90D004"/>
    <w:rsid w:val="2F920296"/>
    <w:rsid w:val="2F998B23"/>
    <w:rsid w:val="2FA16947"/>
    <w:rsid w:val="2FA17B4C"/>
    <w:rsid w:val="2FA4C461"/>
    <w:rsid w:val="2FAA95D8"/>
    <w:rsid w:val="2FAB0AD6"/>
    <w:rsid w:val="2FB3D14D"/>
    <w:rsid w:val="2FBDBE4F"/>
    <w:rsid w:val="2FC768C0"/>
    <w:rsid w:val="2FEC9807"/>
    <w:rsid w:val="3006633F"/>
    <w:rsid w:val="301421B7"/>
    <w:rsid w:val="30193D0A"/>
    <w:rsid w:val="3023B844"/>
    <w:rsid w:val="30261804"/>
    <w:rsid w:val="3032D965"/>
    <w:rsid w:val="303493B1"/>
    <w:rsid w:val="303515C4"/>
    <w:rsid w:val="30374D49"/>
    <w:rsid w:val="303A28AA"/>
    <w:rsid w:val="304AA193"/>
    <w:rsid w:val="304D0DBB"/>
    <w:rsid w:val="304D24C6"/>
    <w:rsid w:val="305E33DA"/>
    <w:rsid w:val="3064F7B5"/>
    <w:rsid w:val="306D2652"/>
    <w:rsid w:val="30763411"/>
    <w:rsid w:val="3079155D"/>
    <w:rsid w:val="3080A266"/>
    <w:rsid w:val="308C0147"/>
    <w:rsid w:val="3090B18A"/>
    <w:rsid w:val="30977B49"/>
    <w:rsid w:val="309831DC"/>
    <w:rsid w:val="30A5FBA3"/>
    <w:rsid w:val="30AC999C"/>
    <w:rsid w:val="30AE8CB8"/>
    <w:rsid w:val="30B69289"/>
    <w:rsid w:val="30B8256A"/>
    <w:rsid w:val="30CBE4DE"/>
    <w:rsid w:val="30D47E2F"/>
    <w:rsid w:val="30D5154B"/>
    <w:rsid w:val="30D583C4"/>
    <w:rsid w:val="30D84951"/>
    <w:rsid w:val="30D93EBB"/>
    <w:rsid w:val="30E4539E"/>
    <w:rsid w:val="30E4C2D9"/>
    <w:rsid w:val="30E992BF"/>
    <w:rsid w:val="30EC1330"/>
    <w:rsid w:val="30ED20E2"/>
    <w:rsid w:val="30F55022"/>
    <w:rsid w:val="310372A8"/>
    <w:rsid w:val="3104397F"/>
    <w:rsid w:val="310DAC3E"/>
    <w:rsid w:val="3114D311"/>
    <w:rsid w:val="3117E8A8"/>
    <w:rsid w:val="3127BD1D"/>
    <w:rsid w:val="312905ED"/>
    <w:rsid w:val="312D3609"/>
    <w:rsid w:val="312EE715"/>
    <w:rsid w:val="31341433"/>
    <w:rsid w:val="3135C02C"/>
    <w:rsid w:val="3135EED9"/>
    <w:rsid w:val="3154ACC8"/>
    <w:rsid w:val="315955F7"/>
    <w:rsid w:val="3166B715"/>
    <w:rsid w:val="316DE9A8"/>
    <w:rsid w:val="317730CA"/>
    <w:rsid w:val="31821C25"/>
    <w:rsid w:val="31879D65"/>
    <w:rsid w:val="318CD737"/>
    <w:rsid w:val="3191FF41"/>
    <w:rsid w:val="3197EA0C"/>
    <w:rsid w:val="319AC35C"/>
    <w:rsid w:val="31A42E8F"/>
    <w:rsid w:val="31AA29EE"/>
    <w:rsid w:val="31AA9728"/>
    <w:rsid w:val="31ADB76B"/>
    <w:rsid w:val="31B17097"/>
    <w:rsid w:val="31B22B8E"/>
    <w:rsid w:val="31B5803D"/>
    <w:rsid w:val="31BCA3C4"/>
    <w:rsid w:val="31BD2EA3"/>
    <w:rsid w:val="31D335F4"/>
    <w:rsid w:val="31D33BB1"/>
    <w:rsid w:val="31D3DBD1"/>
    <w:rsid w:val="31D78E33"/>
    <w:rsid w:val="31E8AD24"/>
    <w:rsid w:val="3200471C"/>
    <w:rsid w:val="3205463E"/>
    <w:rsid w:val="3213BD1A"/>
    <w:rsid w:val="3213D00A"/>
    <w:rsid w:val="3216C715"/>
    <w:rsid w:val="322471F5"/>
    <w:rsid w:val="3226014F"/>
    <w:rsid w:val="322CEB34"/>
    <w:rsid w:val="323BC6AA"/>
    <w:rsid w:val="323D77A0"/>
    <w:rsid w:val="3242225C"/>
    <w:rsid w:val="324573C4"/>
    <w:rsid w:val="32540188"/>
    <w:rsid w:val="325D3580"/>
    <w:rsid w:val="3262009E"/>
    <w:rsid w:val="32641F12"/>
    <w:rsid w:val="32747B10"/>
    <w:rsid w:val="327FEBBB"/>
    <w:rsid w:val="3285CD66"/>
    <w:rsid w:val="3297E8B1"/>
    <w:rsid w:val="32A46E3F"/>
    <w:rsid w:val="32ABBE75"/>
    <w:rsid w:val="32AF7690"/>
    <w:rsid w:val="32B043A7"/>
    <w:rsid w:val="32B298DD"/>
    <w:rsid w:val="32B5BD6A"/>
    <w:rsid w:val="32B78240"/>
    <w:rsid w:val="32C4277D"/>
    <w:rsid w:val="32C45395"/>
    <w:rsid w:val="32C87CA0"/>
    <w:rsid w:val="32CC9821"/>
    <w:rsid w:val="32CE6151"/>
    <w:rsid w:val="32DB5695"/>
    <w:rsid w:val="32E33E6D"/>
    <w:rsid w:val="32ED4A7A"/>
    <w:rsid w:val="32EE7527"/>
    <w:rsid w:val="32FBFB33"/>
    <w:rsid w:val="32FFA173"/>
    <w:rsid w:val="33114932"/>
    <w:rsid w:val="3311D8BC"/>
    <w:rsid w:val="3315558C"/>
    <w:rsid w:val="33155DC8"/>
    <w:rsid w:val="3330BAF4"/>
    <w:rsid w:val="3335A13E"/>
    <w:rsid w:val="33487BD1"/>
    <w:rsid w:val="334A3E5A"/>
    <w:rsid w:val="336EAEAC"/>
    <w:rsid w:val="337D0162"/>
    <w:rsid w:val="3381FEB4"/>
    <w:rsid w:val="33839BDE"/>
    <w:rsid w:val="33879122"/>
    <w:rsid w:val="339B70DC"/>
    <w:rsid w:val="339E9E0B"/>
    <w:rsid w:val="339F58B0"/>
    <w:rsid w:val="33ADA743"/>
    <w:rsid w:val="33C03FED"/>
    <w:rsid w:val="33C237E0"/>
    <w:rsid w:val="33C25E91"/>
    <w:rsid w:val="33CB18DA"/>
    <w:rsid w:val="33E77E99"/>
    <w:rsid w:val="33FE7F57"/>
    <w:rsid w:val="34034763"/>
    <w:rsid w:val="3411933D"/>
    <w:rsid w:val="341DA8F9"/>
    <w:rsid w:val="342B8D1A"/>
    <w:rsid w:val="343323C7"/>
    <w:rsid w:val="34439A97"/>
    <w:rsid w:val="344A7BCF"/>
    <w:rsid w:val="344C48C0"/>
    <w:rsid w:val="344D5DDC"/>
    <w:rsid w:val="3457AC07"/>
    <w:rsid w:val="3460316B"/>
    <w:rsid w:val="346594CE"/>
    <w:rsid w:val="34734B96"/>
    <w:rsid w:val="347459CD"/>
    <w:rsid w:val="34745AD2"/>
    <w:rsid w:val="348790A4"/>
    <w:rsid w:val="348A8E2D"/>
    <w:rsid w:val="34987AB6"/>
    <w:rsid w:val="3498E3E6"/>
    <w:rsid w:val="34A0B7DB"/>
    <w:rsid w:val="34A3F399"/>
    <w:rsid w:val="34A99E6C"/>
    <w:rsid w:val="34AC150A"/>
    <w:rsid w:val="34B879FD"/>
    <w:rsid w:val="34C6A38D"/>
    <w:rsid w:val="34D891E2"/>
    <w:rsid w:val="34DC7614"/>
    <w:rsid w:val="34E0D17B"/>
    <w:rsid w:val="34F34991"/>
    <w:rsid w:val="34F4367C"/>
    <w:rsid w:val="34F87448"/>
    <w:rsid w:val="34FB13A4"/>
    <w:rsid w:val="34FB9415"/>
    <w:rsid w:val="350848A3"/>
    <w:rsid w:val="3509892A"/>
    <w:rsid w:val="350A9057"/>
    <w:rsid w:val="3518722C"/>
    <w:rsid w:val="351AD6A0"/>
    <w:rsid w:val="351CD591"/>
    <w:rsid w:val="351DB9CF"/>
    <w:rsid w:val="351DCDA6"/>
    <w:rsid w:val="35251A10"/>
    <w:rsid w:val="3527D928"/>
    <w:rsid w:val="35484516"/>
    <w:rsid w:val="3554E8AA"/>
    <w:rsid w:val="3557C0BF"/>
    <w:rsid w:val="355BB28B"/>
    <w:rsid w:val="3569908B"/>
    <w:rsid w:val="357759B5"/>
    <w:rsid w:val="35798F9F"/>
    <w:rsid w:val="357FA535"/>
    <w:rsid w:val="358FB154"/>
    <w:rsid w:val="3593A815"/>
    <w:rsid w:val="359A60EA"/>
    <w:rsid w:val="35B04407"/>
    <w:rsid w:val="35BE2E3F"/>
    <w:rsid w:val="35DB770B"/>
    <w:rsid w:val="35DD6D2A"/>
    <w:rsid w:val="35E0A82C"/>
    <w:rsid w:val="35E1E15F"/>
    <w:rsid w:val="35E77065"/>
    <w:rsid w:val="35F008F9"/>
    <w:rsid w:val="35F65820"/>
    <w:rsid w:val="35FEDB58"/>
    <w:rsid w:val="3601C8E0"/>
    <w:rsid w:val="36040F09"/>
    <w:rsid w:val="3604FA8B"/>
    <w:rsid w:val="36062A00"/>
    <w:rsid w:val="3608C899"/>
    <w:rsid w:val="3613BC82"/>
    <w:rsid w:val="3617D823"/>
    <w:rsid w:val="3619B34A"/>
    <w:rsid w:val="3624B244"/>
    <w:rsid w:val="36257DF1"/>
    <w:rsid w:val="362B883D"/>
    <w:rsid w:val="362C774E"/>
    <w:rsid w:val="3643EEEE"/>
    <w:rsid w:val="36468D45"/>
    <w:rsid w:val="364D3C8E"/>
    <w:rsid w:val="36503683"/>
    <w:rsid w:val="36560127"/>
    <w:rsid w:val="365FDFEE"/>
    <w:rsid w:val="36696CD2"/>
    <w:rsid w:val="3682E481"/>
    <w:rsid w:val="3683931A"/>
    <w:rsid w:val="368EB517"/>
    <w:rsid w:val="36933A84"/>
    <w:rsid w:val="36B1B86B"/>
    <w:rsid w:val="36B54E50"/>
    <w:rsid w:val="36B5A5F2"/>
    <w:rsid w:val="36B9417E"/>
    <w:rsid w:val="36C3D290"/>
    <w:rsid w:val="36D63AC0"/>
    <w:rsid w:val="36DD0490"/>
    <w:rsid w:val="36DFB181"/>
    <w:rsid w:val="36E4A2E5"/>
    <w:rsid w:val="36E68E44"/>
    <w:rsid w:val="36F4DD89"/>
    <w:rsid w:val="36FD3E90"/>
    <w:rsid w:val="37037241"/>
    <w:rsid w:val="370BB64B"/>
    <w:rsid w:val="370BBA0F"/>
    <w:rsid w:val="371D8A9E"/>
    <w:rsid w:val="371F097F"/>
    <w:rsid w:val="3721AEE5"/>
    <w:rsid w:val="37222359"/>
    <w:rsid w:val="372599F7"/>
    <w:rsid w:val="372FA38F"/>
    <w:rsid w:val="373986AF"/>
    <w:rsid w:val="373D7798"/>
    <w:rsid w:val="373EC868"/>
    <w:rsid w:val="376E2C3F"/>
    <w:rsid w:val="376FA21B"/>
    <w:rsid w:val="3770213C"/>
    <w:rsid w:val="37749DA9"/>
    <w:rsid w:val="3776D7B4"/>
    <w:rsid w:val="3782192B"/>
    <w:rsid w:val="37898351"/>
    <w:rsid w:val="378AF363"/>
    <w:rsid w:val="378FA8CE"/>
    <w:rsid w:val="37926BEA"/>
    <w:rsid w:val="3795A851"/>
    <w:rsid w:val="379956A0"/>
    <w:rsid w:val="3799AD09"/>
    <w:rsid w:val="379A631D"/>
    <w:rsid w:val="379AD0CC"/>
    <w:rsid w:val="37A5ACA9"/>
    <w:rsid w:val="37AC6041"/>
    <w:rsid w:val="37BAD915"/>
    <w:rsid w:val="37BB4EE3"/>
    <w:rsid w:val="37C0157D"/>
    <w:rsid w:val="37C662A8"/>
    <w:rsid w:val="37CD1458"/>
    <w:rsid w:val="37CDDE61"/>
    <w:rsid w:val="37CEDFA1"/>
    <w:rsid w:val="37D159B9"/>
    <w:rsid w:val="37D5F9A9"/>
    <w:rsid w:val="37D60CF7"/>
    <w:rsid w:val="37DC615A"/>
    <w:rsid w:val="37DDB8AF"/>
    <w:rsid w:val="37DE37AE"/>
    <w:rsid w:val="380D0297"/>
    <w:rsid w:val="380FD8A8"/>
    <w:rsid w:val="38168EAB"/>
    <w:rsid w:val="3819D1AB"/>
    <w:rsid w:val="3824CB57"/>
    <w:rsid w:val="3827F3BE"/>
    <w:rsid w:val="3828DD0F"/>
    <w:rsid w:val="38301008"/>
    <w:rsid w:val="3836FC1A"/>
    <w:rsid w:val="383C521C"/>
    <w:rsid w:val="38426A7B"/>
    <w:rsid w:val="38427F82"/>
    <w:rsid w:val="3846C834"/>
    <w:rsid w:val="385069AF"/>
    <w:rsid w:val="3850D16A"/>
    <w:rsid w:val="3855862E"/>
    <w:rsid w:val="3856B9E4"/>
    <w:rsid w:val="3867C920"/>
    <w:rsid w:val="38697C32"/>
    <w:rsid w:val="38778443"/>
    <w:rsid w:val="387BCAA9"/>
    <w:rsid w:val="387DB93C"/>
    <w:rsid w:val="38898AA5"/>
    <w:rsid w:val="389781E6"/>
    <w:rsid w:val="389854FA"/>
    <w:rsid w:val="38A42E04"/>
    <w:rsid w:val="38A8BD4A"/>
    <w:rsid w:val="38B7FE73"/>
    <w:rsid w:val="38BA9A6A"/>
    <w:rsid w:val="38BFF44D"/>
    <w:rsid w:val="38C0E30D"/>
    <w:rsid w:val="38C20897"/>
    <w:rsid w:val="38C6A3F6"/>
    <w:rsid w:val="38D33A53"/>
    <w:rsid w:val="38D5651B"/>
    <w:rsid w:val="38D6CB45"/>
    <w:rsid w:val="38DD64A4"/>
    <w:rsid w:val="38DFD60A"/>
    <w:rsid w:val="38E2AE77"/>
    <w:rsid w:val="38E3DE07"/>
    <w:rsid w:val="38FDE725"/>
    <w:rsid w:val="39047D9E"/>
    <w:rsid w:val="390BE8BB"/>
    <w:rsid w:val="3914D592"/>
    <w:rsid w:val="391AE270"/>
    <w:rsid w:val="391E6DD9"/>
    <w:rsid w:val="3926C3C4"/>
    <w:rsid w:val="3936C930"/>
    <w:rsid w:val="39375B01"/>
    <w:rsid w:val="393969A2"/>
    <w:rsid w:val="393AD12E"/>
    <w:rsid w:val="393C407A"/>
    <w:rsid w:val="39643CD1"/>
    <w:rsid w:val="396A4356"/>
    <w:rsid w:val="39797D83"/>
    <w:rsid w:val="397D207A"/>
    <w:rsid w:val="398B4F8B"/>
    <w:rsid w:val="3994AF45"/>
    <w:rsid w:val="39978244"/>
    <w:rsid w:val="39A16C12"/>
    <w:rsid w:val="39A4A370"/>
    <w:rsid w:val="39AB48D9"/>
    <w:rsid w:val="39ADA179"/>
    <w:rsid w:val="39BBBBD4"/>
    <w:rsid w:val="39BCD0E1"/>
    <w:rsid w:val="39BDEEC4"/>
    <w:rsid w:val="39C45FC8"/>
    <w:rsid w:val="39C7BB4A"/>
    <w:rsid w:val="39CBDA1C"/>
    <w:rsid w:val="39D0F9D9"/>
    <w:rsid w:val="39D7013E"/>
    <w:rsid w:val="39DDF7FB"/>
    <w:rsid w:val="39ECDF6D"/>
    <w:rsid w:val="3A00826A"/>
    <w:rsid w:val="3A03E651"/>
    <w:rsid w:val="3A0B17F1"/>
    <w:rsid w:val="3A0B94B5"/>
    <w:rsid w:val="3A0DE10D"/>
    <w:rsid w:val="3A108E36"/>
    <w:rsid w:val="3A1CDC26"/>
    <w:rsid w:val="3A21A7A8"/>
    <w:rsid w:val="3A221014"/>
    <w:rsid w:val="3A3A230C"/>
    <w:rsid w:val="3A3FA1A7"/>
    <w:rsid w:val="3A427DE4"/>
    <w:rsid w:val="3A4CC94E"/>
    <w:rsid w:val="3A4D3ED6"/>
    <w:rsid w:val="3A4F1CD2"/>
    <w:rsid w:val="3A68E832"/>
    <w:rsid w:val="3A6ED35F"/>
    <w:rsid w:val="3A700EF7"/>
    <w:rsid w:val="3A8494AF"/>
    <w:rsid w:val="3A889337"/>
    <w:rsid w:val="3A8AF60C"/>
    <w:rsid w:val="3A8DDD21"/>
    <w:rsid w:val="3A936E0A"/>
    <w:rsid w:val="3A9B0D74"/>
    <w:rsid w:val="3A9BA56D"/>
    <w:rsid w:val="3AA1E64D"/>
    <w:rsid w:val="3AA2AC35"/>
    <w:rsid w:val="3AA96BC8"/>
    <w:rsid w:val="3AA97400"/>
    <w:rsid w:val="3AAD7F44"/>
    <w:rsid w:val="3AB03FE2"/>
    <w:rsid w:val="3AB2D560"/>
    <w:rsid w:val="3ACA7989"/>
    <w:rsid w:val="3ACF1724"/>
    <w:rsid w:val="3AD893E1"/>
    <w:rsid w:val="3ADAECC8"/>
    <w:rsid w:val="3ADB0851"/>
    <w:rsid w:val="3ADEA03F"/>
    <w:rsid w:val="3AE52033"/>
    <w:rsid w:val="3AF85438"/>
    <w:rsid w:val="3AFB93C6"/>
    <w:rsid w:val="3B01CF03"/>
    <w:rsid w:val="3B03FC82"/>
    <w:rsid w:val="3B0B9642"/>
    <w:rsid w:val="3B0D065D"/>
    <w:rsid w:val="3B3AE8B3"/>
    <w:rsid w:val="3B4434EE"/>
    <w:rsid w:val="3B47D1D6"/>
    <w:rsid w:val="3B4EE910"/>
    <w:rsid w:val="3B506437"/>
    <w:rsid w:val="3B58AFCB"/>
    <w:rsid w:val="3B65C805"/>
    <w:rsid w:val="3B672BBE"/>
    <w:rsid w:val="3B675892"/>
    <w:rsid w:val="3B6F410B"/>
    <w:rsid w:val="3B721A07"/>
    <w:rsid w:val="3B844659"/>
    <w:rsid w:val="3B89E3BA"/>
    <w:rsid w:val="3BA11FD8"/>
    <w:rsid w:val="3BA602F1"/>
    <w:rsid w:val="3BB977BB"/>
    <w:rsid w:val="3BBECF45"/>
    <w:rsid w:val="3BD57E14"/>
    <w:rsid w:val="3BEBE212"/>
    <w:rsid w:val="3BF3F1D6"/>
    <w:rsid w:val="3BF8AC80"/>
    <w:rsid w:val="3BFE99FC"/>
    <w:rsid w:val="3BFF2193"/>
    <w:rsid w:val="3C159E5F"/>
    <w:rsid w:val="3C240F13"/>
    <w:rsid w:val="3C29F24E"/>
    <w:rsid w:val="3C2BFD07"/>
    <w:rsid w:val="3C2ED6D6"/>
    <w:rsid w:val="3C34A82E"/>
    <w:rsid w:val="3C438CEE"/>
    <w:rsid w:val="3C45B1CD"/>
    <w:rsid w:val="3C4FDA82"/>
    <w:rsid w:val="3C4FE885"/>
    <w:rsid w:val="3C527309"/>
    <w:rsid w:val="3C5777E0"/>
    <w:rsid w:val="3C5A9640"/>
    <w:rsid w:val="3C644CD1"/>
    <w:rsid w:val="3C64657F"/>
    <w:rsid w:val="3C7CDD08"/>
    <w:rsid w:val="3C81A881"/>
    <w:rsid w:val="3C84E569"/>
    <w:rsid w:val="3C86E4AC"/>
    <w:rsid w:val="3C88DDF0"/>
    <w:rsid w:val="3CAFAB57"/>
    <w:rsid w:val="3CCAACF1"/>
    <w:rsid w:val="3CDFEFF6"/>
    <w:rsid w:val="3CE9DA36"/>
    <w:rsid w:val="3D03CEF8"/>
    <w:rsid w:val="3D049EEB"/>
    <w:rsid w:val="3D072602"/>
    <w:rsid w:val="3D0B5B44"/>
    <w:rsid w:val="3D0BE50E"/>
    <w:rsid w:val="3D10447C"/>
    <w:rsid w:val="3D1BFA43"/>
    <w:rsid w:val="3D1F8CA7"/>
    <w:rsid w:val="3D2E32B7"/>
    <w:rsid w:val="3D400B65"/>
    <w:rsid w:val="3D440E2D"/>
    <w:rsid w:val="3D45191C"/>
    <w:rsid w:val="3D4B9507"/>
    <w:rsid w:val="3D4EBE7F"/>
    <w:rsid w:val="3D56EF7E"/>
    <w:rsid w:val="3D57B937"/>
    <w:rsid w:val="3D686179"/>
    <w:rsid w:val="3D6B04E1"/>
    <w:rsid w:val="3D6CE0D1"/>
    <w:rsid w:val="3D6E024A"/>
    <w:rsid w:val="3D6E0A54"/>
    <w:rsid w:val="3D6EFE6D"/>
    <w:rsid w:val="3D758430"/>
    <w:rsid w:val="3D7850E0"/>
    <w:rsid w:val="3D8C3005"/>
    <w:rsid w:val="3D90C45F"/>
    <w:rsid w:val="3D9221EB"/>
    <w:rsid w:val="3D980879"/>
    <w:rsid w:val="3DA258E8"/>
    <w:rsid w:val="3DAD60C1"/>
    <w:rsid w:val="3DADCEC5"/>
    <w:rsid w:val="3DB6E6FA"/>
    <w:rsid w:val="3DBCD7DB"/>
    <w:rsid w:val="3DC4DF97"/>
    <w:rsid w:val="3DC96231"/>
    <w:rsid w:val="3DDACF27"/>
    <w:rsid w:val="3DDF2A74"/>
    <w:rsid w:val="3DE69DD8"/>
    <w:rsid w:val="3DE8C53D"/>
    <w:rsid w:val="3DF4442F"/>
    <w:rsid w:val="3DFB0122"/>
    <w:rsid w:val="3DFDD125"/>
    <w:rsid w:val="3E03CE1C"/>
    <w:rsid w:val="3E09985E"/>
    <w:rsid w:val="3E263694"/>
    <w:rsid w:val="3E28D4B4"/>
    <w:rsid w:val="3E295D64"/>
    <w:rsid w:val="3E2F31DE"/>
    <w:rsid w:val="3E2F6007"/>
    <w:rsid w:val="3E31269F"/>
    <w:rsid w:val="3E353850"/>
    <w:rsid w:val="3E428D22"/>
    <w:rsid w:val="3E45F207"/>
    <w:rsid w:val="3E4C2574"/>
    <w:rsid w:val="3E51A20B"/>
    <w:rsid w:val="3E527CDF"/>
    <w:rsid w:val="3E58C030"/>
    <w:rsid w:val="3E648ADF"/>
    <w:rsid w:val="3E7420A3"/>
    <w:rsid w:val="3E7E4C21"/>
    <w:rsid w:val="3E85E8BF"/>
    <w:rsid w:val="3E8BBDD4"/>
    <w:rsid w:val="3E938972"/>
    <w:rsid w:val="3E96020F"/>
    <w:rsid w:val="3E9C29B1"/>
    <w:rsid w:val="3E9CB4EE"/>
    <w:rsid w:val="3EAB3412"/>
    <w:rsid w:val="3EB06537"/>
    <w:rsid w:val="3EBB4224"/>
    <w:rsid w:val="3EBBB6E2"/>
    <w:rsid w:val="3EC19F09"/>
    <w:rsid w:val="3EC2BF31"/>
    <w:rsid w:val="3EC70A25"/>
    <w:rsid w:val="3ED45BD7"/>
    <w:rsid w:val="3ED8EB00"/>
    <w:rsid w:val="3EDAA704"/>
    <w:rsid w:val="3EE18838"/>
    <w:rsid w:val="3EE2699C"/>
    <w:rsid w:val="3EE4A956"/>
    <w:rsid w:val="3EF1A5DC"/>
    <w:rsid w:val="3EF20B29"/>
    <w:rsid w:val="3EFCF037"/>
    <w:rsid w:val="3EFD1254"/>
    <w:rsid w:val="3F1368BA"/>
    <w:rsid w:val="3F354559"/>
    <w:rsid w:val="3F39BCA0"/>
    <w:rsid w:val="3F40DADD"/>
    <w:rsid w:val="3F4CE3AE"/>
    <w:rsid w:val="3F4E310A"/>
    <w:rsid w:val="3F504EBA"/>
    <w:rsid w:val="3F546B26"/>
    <w:rsid w:val="3F6498A4"/>
    <w:rsid w:val="3F6AA10D"/>
    <w:rsid w:val="3F6CD0A8"/>
    <w:rsid w:val="3F8339CA"/>
    <w:rsid w:val="3F84C627"/>
    <w:rsid w:val="3F8A84A8"/>
    <w:rsid w:val="3F8C18A6"/>
    <w:rsid w:val="3F919297"/>
    <w:rsid w:val="3F9AA50A"/>
    <w:rsid w:val="3FA9091E"/>
    <w:rsid w:val="3FAB195F"/>
    <w:rsid w:val="3FACBA65"/>
    <w:rsid w:val="3FBA7751"/>
    <w:rsid w:val="3FBF8E02"/>
    <w:rsid w:val="3FC2D17A"/>
    <w:rsid w:val="3FC3D7AA"/>
    <w:rsid w:val="3FC9E85B"/>
    <w:rsid w:val="3FCCF700"/>
    <w:rsid w:val="3FD69FB3"/>
    <w:rsid w:val="3FE7503F"/>
    <w:rsid w:val="3FE9E773"/>
    <w:rsid w:val="3FEF2109"/>
    <w:rsid w:val="3FF135FF"/>
    <w:rsid w:val="4002AB24"/>
    <w:rsid w:val="40058C63"/>
    <w:rsid w:val="40065A04"/>
    <w:rsid w:val="4010F135"/>
    <w:rsid w:val="4015B311"/>
    <w:rsid w:val="4018BB2D"/>
    <w:rsid w:val="401DD834"/>
    <w:rsid w:val="402D4241"/>
    <w:rsid w:val="402E2524"/>
    <w:rsid w:val="403C336A"/>
    <w:rsid w:val="404BEC2C"/>
    <w:rsid w:val="404CF7B0"/>
    <w:rsid w:val="40572E5E"/>
    <w:rsid w:val="4057DDBD"/>
    <w:rsid w:val="405B3EFF"/>
    <w:rsid w:val="4073ACA2"/>
    <w:rsid w:val="4088C2C7"/>
    <w:rsid w:val="4098E0A1"/>
    <w:rsid w:val="409FB7FA"/>
    <w:rsid w:val="40A0A05A"/>
    <w:rsid w:val="40AE49B4"/>
    <w:rsid w:val="40AFE4CB"/>
    <w:rsid w:val="40CE288C"/>
    <w:rsid w:val="40D3A878"/>
    <w:rsid w:val="40E7F3CF"/>
    <w:rsid w:val="40ED5FA5"/>
    <w:rsid w:val="40EDBCA9"/>
    <w:rsid w:val="40FA3DC0"/>
    <w:rsid w:val="40FA75EF"/>
    <w:rsid w:val="410380F7"/>
    <w:rsid w:val="410490ED"/>
    <w:rsid w:val="410627A5"/>
    <w:rsid w:val="410AD593"/>
    <w:rsid w:val="4111CBC8"/>
    <w:rsid w:val="41134561"/>
    <w:rsid w:val="41151592"/>
    <w:rsid w:val="4120B458"/>
    <w:rsid w:val="4125AF1D"/>
    <w:rsid w:val="4131A13A"/>
    <w:rsid w:val="4149A28E"/>
    <w:rsid w:val="414B653B"/>
    <w:rsid w:val="414F9D9E"/>
    <w:rsid w:val="4154A5EB"/>
    <w:rsid w:val="415519A4"/>
    <w:rsid w:val="4156EE49"/>
    <w:rsid w:val="415A20DB"/>
    <w:rsid w:val="4167571C"/>
    <w:rsid w:val="416B2C89"/>
    <w:rsid w:val="416C27E1"/>
    <w:rsid w:val="41744855"/>
    <w:rsid w:val="4176254D"/>
    <w:rsid w:val="41943411"/>
    <w:rsid w:val="419926F4"/>
    <w:rsid w:val="419B0786"/>
    <w:rsid w:val="41C24B8E"/>
    <w:rsid w:val="41C4B699"/>
    <w:rsid w:val="41C93EEB"/>
    <w:rsid w:val="41CDF402"/>
    <w:rsid w:val="41CEC14B"/>
    <w:rsid w:val="41E1A09A"/>
    <w:rsid w:val="41E3FD2F"/>
    <w:rsid w:val="41EDE5BC"/>
    <w:rsid w:val="41F66F56"/>
    <w:rsid w:val="41F87675"/>
    <w:rsid w:val="42031633"/>
    <w:rsid w:val="4203563F"/>
    <w:rsid w:val="4220CCFC"/>
    <w:rsid w:val="422E195D"/>
    <w:rsid w:val="422FC79F"/>
    <w:rsid w:val="4231E3DB"/>
    <w:rsid w:val="4234CB6F"/>
    <w:rsid w:val="423CD017"/>
    <w:rsid w:val="4243068E"/>
    <w:rsid w:val="4247AD05"/>
    <w:rsid w:val="424CC719"/>
    <w:rsid w:val="424E7D69"/>
    <w:rsid w:val="425F5C61"/>
    <w:rsid w:val="4264AE42"/>
    <w:rsid w:val="4268E8CD"/>
    <w:rsid w:val="4269A05E"/>
    <w:rsid w:val="426AE995"/>
    <w:rsid w:val="426BEA9F"/>
    <w:rsid w:val="427965A5"/>
    <w:rsid w:val="427CECDE"/>
    <w:rsid w:val="42832981"/>
    <w:rsid w:val="42842D22"/>
    <w:rsid w:val="428C7BCD"/>
    <w:rsid w:val="42944E07"/>
    <w:rsid w:val="42A40741"/>
    <w:rsid w:val="42AD0CD9"/>
    <w:rsid w:val="42BBD382"/>
    <w:rsid w:val="42C27CE5"/>
    <w:rsid w:val="42C9C5A8"/>
    <w:rsid w:val="42CE9CDF"/>
    <w:rsid w:val="42D62A66"/>
    <w:rsid w:val="42DFB836"/>
    <w:rsid w:val="42E006E1"/>
    <w:rsid w:val="42E92C5A"/>
    <w:rsid w:val="42F21592"/>
    <w:rsid w:val="42F337EE"/>
    <w:rsid w:val="430A7627"/>
    <w:rsid w:val="43150D0C"/>
    <w:rsid w:val="43166682"/>
    <w:rsid w:val="431AABBB"/>
    <w:rsid w:val="43268888"/>
    <w:rsid w:val="432F841A"/>
    <w:rsid w:val="43311CE4"/>
    <w:rsid w:val="433A476E"/>
    <w:rsid w:val="433AAEB2"/>
    <w:rsid w:val="4345BDBB"/>
    <w:rsid w:val="434E7403"/>
    <w:rsid w:val="436891F3"/>
    <w:rsid w:val="436D85AA"/>
    <w:rsid w:val="436E5E31"/>
    <w:rsid w:val="43727D0D"/>
    <w:rsid w:val="437973C4"/>
    <w:rsid w:val="437E0217"/>
    <w:rsid w:val="4396CCC4"/>
    <w:rsid w:val="439735C3"/>
    <w:rsid w:val="43B8F848"/>
    <w:rsid w:val="43BD344D"/>
    <w:rsid w:val="43CD3AB7"/>
    <w:rsid w:val="43E44028"/>
    <w:rsid w:val="43EA34D0"/>
    <w:rsid w:val="43EC6090"/>
    <w:rsid w:val="43FD19FD"/>
    <w:rsid w:val="43FF70F5"/>
    <w:rsid w:val="440467CA"/>
    <w:rsid w:val="440B7C6B"/>
    <w:rsid w:val="440B93B1"/>
    <w:rsid w:val="44193BEE"/>
    <w:rsid w:val="442299B9"/>
    <w:rsid w:val="44250CEB"/>
    <w:rsid w:val="442A587D"/>
    <w:rsid w:val="443B5C0E"/>
    <w:rsid w:val="4455A6F6"/>
    <w:rsid w:val="44567206"/>
    <w:rsid w:val="44604A0F"/>
    <w:rsid w:val="4473C006"/>
    <w:rsid w:val="447BC424"/>
    <w:rsid w:val="447E6535"/>
    <w:rsid w:val="44806BCE"/>
    <w:rsid w:val="44886D50"/>
    <w:rsid w:val="448933B9"/>
    <w:rsid w:val="44991AA1"/>
    <w:rsid w:val="449AD988"/>
    <w:rsid w:val="44A03DC0"/>
    <w:rsid w:val="44A12D3A"/>
    <w:rsid w:val="44A26601"/>
    <w:rsid w:val="44AA7E1F"/>
    <w:rsid w:val="44B079E5"/>
    <w:rsid w:val="44B1EEA8"/>
    <w:rsid w:val="44BE276C"/>
    <w:rsid w:val="44C5F032"/>
    <w:rsid w:val="44D54D66"/>
    <w:rsid w:val="44D7A2A9"/>
    <w:rsid w:val="44D93230"/>
    <w:rsid w:val="44DB1246"/>
    <w:rsid w:val="44E5CCD9"/>
    <w:rsid w:val="44E8E017"/>
    <w:rsid w:val="44EC50EA"/>
    <w:rsid w:val="44F4D845"/>
    <w:rsid w:val="44F80DD8"/>
    <w:rsid w:val="44F94BD2"/>
    <w:rsid w:val="450DE3F4"/>
    <w:rsid w:val="45105551"/>
    <w:rsid w:val="451470D2"/>
    <w:rsid w:val="451DCC9F"/>
    <w:rsid w:val="4527B423"/>
    <w:rsid w:val="453D911B"/>
    <w:rsid w:val="45412C48"/>
    <w:rsid w:val="4542B91F"/>
    <w:rsid w:val="4546703C"/>
    <w:rsid w:val="454F6021"/>
    <w:rsid w:val="4556C654"/>
    <w:rsid w:val="456CBC73"/>
    <w:rsid w:val="456D5D71"/>
    <w:rsid w:val="456F4F44"/>
    <w:rsid w:val="45717088"/>
    <w:rsid w:val="45760925"/>
    <w:rsid w:val="457798FE"/>
    <w:rsid w:val="457A3495"/>
    <w:rsid w:val="45901D6B"/>
    <w:rsid w:val="4590F751"/>
    <w:rsid w:val="4591E269"/>
    <w:rsid w:val="459DE4DE"/>
    <w:rsid w:val="459EC7E0"/>
    <w:rsid w:val="45A61D9F"/>
    <w:rsid w:val="45A7D718"/>
    <w:rsid w:val="45B0BA09"/>
    <w:rsid w:val="45B2B5C2"/>
    <w:rsid w:val="45B9AB9D"/>
    <w:rsid w:val="45C24644"/>
    <w:rsid w:val="45C4491C"/>
    <w:rsid w:val="45C5FFFC"/>
    <w:rsid w:val="45C8B745"/>
    <w:rsid w:val="45C9B857"/>
    <w:rsid w:val="45CBA14D"/>
    <w:rsid w:val="45E9972F"/>
    <w:rsid w:val="45F14203"/>
    <w:rsid w:val="45F3D031"/>
    <w:rsid w:val="46056D40"/>
    <w:rsid w:val="461B011A"/>
    <w:rsid w:val="461D0238"/>
    <w:rsid w:val="461D0875"/>
    <w:rsid w:val="4620D86D"/>
    <w:rsid w:val="462102C9"/>
    <w:rsid w:val="4623DDB1"/>
    <w:rsid w:val="46269F06"/>
    <w:rsid w:val="4627A0B4"/>
    <w:rsid w:val="4629A6F6"/>
    <w:rsid w:val="46367DC3"/>
    <w:rsid w:val="463AD490"/>
    <w:rsid w:val="46407877"/>
    <w:rsid w:val="464806D6"/>
    <w:rsid w:val="464C6FF1"/>
    <w:rsid w:val="464C9F86"/>
    <w:rsid w:val="4667ABEA"/>
    <w:rsid w:val="467F5191"/>
    <w:rsid w:val="468101BA"/>
    <w:rsid w:val="468ED08C"/>
    <w:rsid w:val="468EFAFF"/>
    <w:rsid w:val="469D28F3"/>
    <w:rsid w:val="469F809B"/>
    <w:rsid w:val="46A2A1E8"/>
    <w:rsid w:val="46A563F7"/>
    <w:rsid w:val="46A6CD50"/>
    <w:rsid w:val="46BA89C8"/>
    <w:rsid w:val="46C4C95D"/>
    <w:rsid w:val="46CDF08E"/>
    <w:rsid w:val="46D47B2F"/>
    <w:rsid w:val="46D643B5"/>
    <w:rsid w:val="46DAE83C"/>
    <w:rsid w:val="46E03B00"/>
    <w:rsid w:val="46E0F4CD"/>
    <w:rsid w:val="46F1EBEB"/>
    <w:rsid w:val="46F6421F"/>
    <w:rsid w:val="46FABA7A"/>
    <w:rsid w:val="46FC9783"/>
    <w:rsid w:val="4709A6D1"/>
    <w:rsid w:val="470A33F7"/>
    <w:rsid w:val="470C5E0B"/>
    <w:rsid w:val="470D5828"/>
    <w:rsid w:val="470DC7B7"/>
    <w:rsid w:val="4711901B"/>
    <w:rsid w:val="47317387"/>
    <w:rsid w:val="473B8387"/>
    <w:rsid w:val="473D4371"/>
    <w:rsid w:val="473F2DC2"/>
    <w:rsid w:val="474C5AC4"/>
    <w:rsid w:val="475A8CDF"/>
    <w:rsid w:val="475C2967"/>
    <w:rsid w:val="47659100"/>
    <w:rsid w:val="4768B110"/>
    <w:rsid w:val="476CDDB8"/>
    <w:rsid w:val="4771ECA7"/>
    <w:rsid w:val="477F8BFF"/>
    <w:rsid w:val="4783D7CE"/>
    <w:rsid w:val="4786636F"/>
    <w:rsid w:val="479724C4"/>
    <w:rsid w:val="479CF15E"/>
    <w:rsid w:val="47A44F3C"/>
    <w:rsid w:val="47AE53F9"/>
    <w:rsid w:val="47AF4F7C"/>
    <w:rsid w:val="47C2B077"/>
    <w:rsid w:val="47CC8B0D"/>
    <w:rsid w:val="47CF1218"/>
    <w:rsid w:val="47D427BD"/>
    <w:rsid w:val="47D7BBCF"/>
    <w:rsid w:val="47DCA5DB"/>
    <w:rsid w:val="47DE85A4"/>
    <w:rsid w:val="47DEE51A"/>
    <w:rsid w:val="47E45007"/>
    <w:rsid w:val="47ED14AD"/>
    <w:rsid w:val="4804E36A"/>
    <w:rsid w:val="480964D5"/>
    <w:rsid w:val="480D18AD"/>
    <w:rsid w:val="4813A111"/>
    <w:rsid w:val="48187DE7"/>
    <w:rsid w:val="481DA8C7"/>
    <w:rsid w:val="481DCE21"/>
    <w:rsid w:val="4821D3B2"/>
    <w:rsid w:val="4830AF89"/>
    <w:rsid w:val="48350A24"/>
    <w:rsid w:val="48372C22"/>
    <w:rsid w:val="483D5499"/>
    <w:rsid w:val="4843685B"/>
    <w:rsid w:val="4848F150"/>
    <w:rsid w:val="484E9215"/>
    <w:rsid w:val="484F1C18"/>
    <w:rsid w:val="48501688"/>
    <w:rsid w:val="4857C3EE"/>
    <w:rsid w:val="485A8775"/>
    <w:rsid w:val="485E65FB"/>
    <w:rsid w:val="48613CAE"/>
    <w:rsid w:val="4873CA78"/>
    <w:rsid w:val="4877F612"/>
    <w:rsid w:val="488FF846"/>
    <w:rsid w:val="4891A435"/>
    <w:rsid w:val="489D1841"/>
    <w:rsid w:val="48A261C0"/>
    <w:rsid w:val="48A2DA69"/>
    <w:rsid w:val="48A84005"/>
    <w:rsid w:val="48B397BD"/>
    <w:rsid w:val="48C713E3"/>
    <w:rsid w:val="48CB624A"/>
    <w:rsid w:val="48D55747"/>
    <w:rsid w:val="48DB95BA"/>
    <w:rsid w:val="48DCF4FF"/>
    <w:rsid w:val="48DD28A9"/>
    <w:rsid w:val="48E61B73"/>
    <w:rsid w:val="48F1337A"/>
    <w:rsid w:val="48FAD82C"/>
    <w:rsid w:val="49049988"/>
    <w:rsid w:val="4907E32C"/>
    <w:rsid w:val="4909C884"/>
    <w:rsid w:val="4920575E"/>
    <w:rsid w:val="49289576"/>
    <w:rsid w:val="492BA4D4"/>
    <w:rsid w:val="492E6BA6"/>
    <w:rsid w:val="4930470D"/>
    <w:rsid w:val="4936697E"/>
    <w:rsid w:val="49367343"/>
    <w:rsid w:val="493A2312"/>
    <w:rsid w:val="4942C7CB"/>
    <w:rsid w:val="494B9FBB"/>
    <w:rsid w:val="4952224E"/>
    <w:rsid w:val="495E7EA0"/>
    <w:rsid w:val="49697D3E"/>
    <w:rsid w:val="497186DF"/>
    <w:rsid w:val="4973B520"/>
    <w:rsid w:val="4974C556"/>
    <w:rsid w:val="49754F93"/>
    <w:rsid w:val="4975A844"/>
    <w:rsid w:val="49789139"/>
    <w:rsid w:val="4985D934"/>
    <w:rsid w:val="4986DE42"/>
    <w:rsid w:val="4987029D"/>
    <w:rsid w:val="49893918"/>
    <w:rsid w:val="498F1FC5"/>
    <w:rsid w:val="498FAC5A"/>
    <w:rsid w:val="49935532"/>
    <w:rsid w:val="4993696F"/>
    <w:rsid w:val="49956904"/>
    <w:rsid w:val="4995F45E"/>
    <w:rsid w:val="49BBAD7E"/>
    <w:rsid w:val="49C00376"/>
    <w:rsid w:val="49C02E7A"/>
    <w:rsid w:val="49C3E3FB"/>
    <w:rsid w:val="49CAC397"/>
    <w:rsid w:val="49CADE00"/>
    <w:rsid w:val="49D0216D"/>
    <w:rsid w:val="49E446AA"/>
    <w:rsid w:val="49E59F6C"/>
    <w:rsid w:val="49E71D06"/>
    <w:rsid w:val="49E7861E"/>
    <w:rsid w:val="49F1FEC3"/>
    <w:rsid w:val="49F5CFC6"/>
    <w:rsid w:val="4A080CDC"/>
    <w:rsid w:val="4A0F661B"/>
    <w:rsid w:val="4A109E0C"/>
    <w:rsid w:val="4A130968"/>
    <w:rsid w:val="4A17BB37"/>
    <w:rsid w:val="4A1D6521"/>
    <w:rsid w:val="4A3760DA"/>
    <w:rsid w:val="4A3ABE95"/>
    <w:rsid w:val="4A3F2814"/>
    <w:rsid w:val="4A405A57"/>
    <w:rsid w:val="4A4240A7"/>
    <w:rsid w:val="4A44BACA"/>
    <w:rsid w:val="4A45B645"/>
    <w:rsid w:val="4A4617B2"/>
    <w:rsid w:val="4A480FE8"/>
    <w:rsid w:val="4A4C915D"/>
    <w:rsid w:val="4A51FE78"/>
    <w:rsid w:val="4A54B88D"/>
    <w:rsid w:val="4A5C1FC9"/>
    <w:rsid w:val="4A63A4E6"/>
    <w:rsid w:val="4A6651F2"/>
    <w:rsid w:val="4A6A9E7F"/>
    <w:rsid w:val="4A6FC6D2"/>
    <w:rsid w:val="4A6FDA09"/>
    <w:rsid w:val="4A72CAD9"/>
    <w:rsid w:val="4A7A4247"/>
    <w:rsid w:val="4A7D03A3"/>
    <w:rsid w:val="4A82A899"/>
    <w:rsid w:val="4A8A38B7"/>
    <w:rsid w:val="4A9A3A0B"/>
    <w:rsid w:val="4A9EF9D3"/>
    <w:rsid w:val="4AA05367"/>
    <w:rsid w:val="4AA51E10"/>
    <w:rsid w:val="4AA6CFF8"/>
    <w:rsid w:val="4AA83F17"/>
    <w:rsid w:val="4AA9103A"/>
    <w:rsid w:val="4AA9C9CA"/>
    <w:rsid w:val="4AAEDCF7"/>
    <w:rsid w:val="4AAF71D8"/>
    <w:rsid w:val="4AB7E7E4"/>
    <w:rsid w:val="4ADAB421"/>
    <w:rsid w:val="4ADBEAF1"/>
    <w:rsid w:val="4AE41ED8"/>
    <w:rsid w:val="4AF4399D"/>
    <w:rsid w:val="4AF5915E"/>
    <w:rsid w:val="4B0104FB"/>
    <w:rsid w:val="4B031001"/>
    <w:rsid w:val="4B04DDC5"/>
    <w:rsid w:val="4B07BB8D"/>
    <w:rsid w:val="4B155363"/>
    <w:rsid w:val="4B157517"/>
    <w:rsid w:val="4B455C44"/>
    <w:rsid w:val="4B4A2267"/>
    <w:rsid w:val="4B564D8C"/>
    <w:rsid w:val="4B579362"/>
    <w:rsid w:val="4B57C469"/>
    <w:rsid w:val="4B584F8C"/>
    <w:rsid w:val="4B5C741D"/>
    <w:rsid w:val="4B5F6F49"/>
    <w:rsid w:val="4B746EA4"/>
    <w:rsid w:val="4B75A0B0"/>
    <w:rsid w:val="4B78C283"/>
    <w:rsid w:val="4B831D40"/>
    <w:rsid w:val="4B86969A"/>
    <w:rsid w:val="4B9DB9ED"/>
    <w:rsid w:val="4BA0668C"/>
    <w:rsid w:val="4BABC870"/>
    <w:rsid w:val="4BACD006"/>
    <w:rsid w:val="4BBAF9CF"/>
    <w:rsid w:val="4BC0699F"/>
    <w:rsid w:val="4BC594B2"/>
    <w:rsid w:val="4BE7E299"/>
    <w:rsid w:val="4BEB1D74"/>
    <w:rsid w:val="4BF4DB60"/>
    <w:rsid w:val="4BFFF75A"/>
    <w:rsid w:val="4C00718B"/>
    <w:rsid w:val="4C02CED5"/>
    <w:rsid w:val="4C0AD4BF"/>
    <w:rsid w:val="4C119DF5"/>
    <w:rsid w:val="4C1CBC5F"/>
    <w:rsid w:val="4C220B4C"/>
    <w:rsid w:val="4C3F20CF"/>
    <w:rsid w:val="4C534105"/>
    <w:rsid w:val="4C5E774B"/>
    <w:rsid w:val="4C616201"/>
    <w:rsid w:val="4C67E578"/>
    <w:rsid w:val="4C6FDBC1"/>
    <w:rsid w:val="4C705B33"/>
    <w:rsid w:val="4C70CCF9"/>
    <w:rsid w:val="4C725380"/>
    <w:rsid w:val="4C91227D"/>
    <w:rsid w:val="4C962433"/>
    <w:rsid w:val="4C9C99C3"/>
    <w:rsid w:val="4CA1DF9E"/>
    <w:rsid w:val="4CAA0D37"/>
    <w:rsid w:val="4CAAC6B5"/>
    <w:rsid w:val="4CBD8BF3"/>
    <w:rsid w:val="4CCC3D0F"/>
    <w:rsid w:val="4CDB3611"/>
    <w:rsid w:val="4CE8889B"/>
    <w:rsid w:val="4CEBA2FF"/>
    <w:rsid w:val="4D09BA7E"/>
    <w:rsid w:val="4D0B9004"/>
    <w:rsid w:val="4D20772B"/>
    <w:rsid w:val="4D20CB78"/>
    <w:rsid w:val="4D2C9AD6"/>
    <w:rsid w:val="4D312EE2"/>
    <w:rsid w:val="4D32BBE7"/>
    <w:rsid w:val="4D3DF360"/>
    <w:rsid w:val="4D45F2EF"/>
    <w:rsid w:val="4D4965A9"/>
    <w:rsid w:val="4D4D72BF"/>
    <w:rsid w:val="4D51BFA8"/>
    <w:rsid w:val="4D51C2F7"/>
    <w:rsid w:val="4D650CA1"/>
    <w:rsid w:val="4D6B87CE"/>
    <w:rsid w:val="4D7208DB"/>
    <w:rsid w:val="4D7D68D4"/>
    <w:rsid w:val="4D7E73D1"/>
    <w:rsid w:val="4D85DC8D"/>
    <w:rsid w:val="4D9022AD"/>
    <w:rsid w:val="4D90C369"/>
    <w:rsid w:val="4DB672EA"/>
    <w:rsid w:val="4DB8FB17"/>
    <w:rsid w:val="4DD679CE"/>
    <w:rsid w:val="4DE1ABC8"/>
    <w:rsid w:val="4DE4F570"/>
    <w:rsid w:val="4DE97AC8"/>
    <w:rsid w:val="4DF26E1B"/>
    <w:rsid w:val="4DF5657C"/>
    <w:rsid w:val="4DFF423D"/>
    <w:rsid w:val="4E003B49"/>
    <w:rsid w:val="4E0F5DB2"/>
    <w:rsid w:val="4E1AAEA3"/>
    <w:rsid w:val="4E1B472D"/>
    <w:rsid w:val="4E28A792"/>
    <w:rsid w:val="4E39AD5F"/>
    <w:rsid w:val="4E400F7E"/>
    <w:rsid w:val="4E628CCF"/>
    <w:rsid w:val="4E6F024D"/>
    <w:rsid w:val="4E712CA0"/>
    <w:rsid w:val="4E764B60"/>
    <w:rsid w:val="4E76F798"/>
    <w:rsid w:val="4E7751EA"/>
    <w:rsid w:val="4E8847AD"/>
    <w:rsid w:val="4E901965"/>
    <w:rsid w:val="4E95A290"/>
    <w:rsid w:val="4E98BD17"/>
    <w:rsid w:val="4E9B0502"/>
    <w:rsid w:val="4E9D664E"/>
    <w:rsid w:val="4E9E3F2D"/>
    <w:rsid w:val="4EB0B5F4"/>
    <w:rsid w:val="4EB894B6"/>
    <w:rsid w:val="4EBCE17C"/>
    <w:rsid w:val="4EC3E3B7"/>
    <w:rsid w:val="4ECA0DE7"/>
    <w:rsid w:val="4EE6A97F"/>
    <w:rsid w:val="4EE9DC63"/>
    <w:rsid w:val="4EEE9262"/>
    <w:rsid w:val="4EEF3C15"/>
    <w:rsid w:val="4F00E44D"/>
    <w:rsid w:val="4F011091"/>
    <w:rsid w:val="4F149248"/>
    <w:rsid w:val="4F154C1D"/>
    <w:rsid w:val="4F210DFD"/>
    <w:rsid w:val="4F35C964"/>
    <w:rsid w:val="4F3E4E76"/>
    <w:rsid w:val="4F49B66C"/>
    <w:rsid w:val="4F548868"/>
    <w:rsid w:val="4F578AD9"/>
    <w:rsid w:val="4F5B62F4"/>
    <w:rsid w:val="4F66D492"/>
    <w:rsid w:val="4F68C6C6"/>
    <w:rsid w:val="4F6A6B19"/>
    <w:rsid w:val="4F6D0A61"/>
    <w:rsid w:val="4F7092D7"/>
    <w:rsid w:val="4F70F24F"/>
    <w:rsid w:val="4F737BD7"/>
    <w:rsid w:val="4F763EFA"/>
    <w:rsid w:val="4F7B2458"/>
    <w:rsid w:val="4F86AFE7"/>
    <w:rsid w:val="4F87EDE7"/>
    <w:rsid w:val="4F9937DA"/>
    <w:rsid w:val="4F9B2D1D"/>
    <w:rsid w:val="4F9B9D10"/>
    <w:rsid w:val="4FA15D52"/>
    <w:rsid w:val="4FAA4B34"/>
    <w:rsid w:val="4FAA67B5"/>
    <w:rsid w:val="4FAD6CEF"/>
    <w:rsid w:val="4FAF460C"/>
    <w:rsid w:val="4FB88590"/>
    <w:rsid w:val="4FBDF37B"/>
    <w:rsid w:val="4FC525C5"/>
    <w:rsid w:val="4FCFE829"/>
    <w:rsid w:val="4FD9CC21"/>
    <w:rsid w:val="4FE60634"/>
    <w:rsid w:val="4FE65F7B"/>
    <w:rsid w:val="4FEC95B9"/>
    <w:rsid w:val="4FECF4FE"/>
    <w:rsid w:val="4FEFA747"/>
    <w:rsid w:val="4FF18D83"/>
    <w:rsid w:val="4FFCC593"/>
    <w:rsid w:val="5002BFBE"/>
    <w:rsid w:val="500401F8"/>
    <w:rsid w:val="500D95E0"/>
    <w:rsid w:val="50103C70"/>
    <w:rsid w:val="5012EE06"/>
    <w:rsid w:val="501ECBB8"/>
    <w:rsid w:val="501EE92D"/>
    <w:rsid w:val="5025A749"/>
    <w:rsid w:val="50336E36"/>
    <w:rsid w:val="503A073F"/>
    <w:rsid w:val="5045032E"/>
    <w:rsid w:val="50456CDB"/>
    <w:rsid w:val="504D748F"/>
    <w:rsid w:val="504F2586"/>
    <w:rsid w:val="50504E0B"/>
    <w:rsid w:val="50561910"/>
    <w:rsid w:val="505C0BB4"/>
    <w:rsid w:val="505E9CB5"/>
    <w:rsid w:val="506BA947"/>
    <w:rsid w:val="506C3F92"/>
    <w:rsid w:val="506CDF09"/>
    <w:rsid w:val="50804129"/>
    <w:rsid w:val="5084AB9C"/>
    <w:rsid w:val="5089AD40"/>
    <w:rsid w:val="508F6B9D"/>
    <w:rsid w:val="5094507D"/>
    <w:rsid w:val="509A71C3"/>
    <w:rsid w:val="50BB7A7F"/>
    <w:rsid w:val="50C31D3F"/>
    <w:rsid w:val="50D19B1B"/>
    <w:rsid w:val="50D78F9D"/>
    <w:rsid w:val="50DDC6C0"/>
    <w:rsid w:val="50DF126B"/>
    <w:rsid w:val="50E28125"/>
    <w:rsid w:val="50E554DF"/>
    <w:rsid w:val="50E97780"/>
    <w:rsid w:val="50EB9E77"/>
    <w:rsid w:val="50FB4577"/>
    <w:rsid w:val="5104A354"/>
    <w:rsid w:val="51122D72"/>
    <w:rsid w:val="5125C8E6"/>
    <w:rsid w:val="5130D63C"/>
    <w:rsid w:val="51340857"/>
    <w:rsid w:val="51348061"/>
    <w:rsid w:val="5139B5D1"/>
    <w:rsid w:val="513B02A0"/>
    <w:rsid w:val="513B8E0A"/>
    <w:rsid w:val="513CA368"/>
    <w:rsid w:val="514117B5"/>
    <w:rsid w:val="5146FE05"/>
    <w:rsid w:val="514AF8FA"/>
    <w:rsid w:val="5156272F"/>
    <w:rsid w:val="515FAE17"/>
    <w:rsid w:val="51620E08"/>
    <w:rsid w:val="5166ED14"/>
    <w:rsid w:val="516FD013"/>
    <w:rsid w:val="517537F2"/>
    <w:rsid w:val="5176C38C"/>
    <w:rsid w:val="5177FA93"/>
    <w:rsid w:val="5199184B"/>
    <w:rsid w:val="519B81F8"/>
    <w:rsid w:val="51A2F1BA"/>
    <w:rsid w:val="51A355CD"/>
    <w:rsid w:val="51A4F5EA"/>
    <w:rsid w:val="51AB8D35"/>
    <w:rsid w:val="51B20B73"/>
    <w:rsid w:val="51B5A3AB"/>
    <w:rsid w:val="51C39CDC"/>
    <w:rsid w:val="51C79515"/>
    <w:rsid w:val="51CDAC44"/>
    <w:rsid w:val="51D47C9F"/>
    <w:rsid w:val="51D9F531"/>
    <w:rsid w:val="51DAA76B"/>
    <w:rsid w:val="51E885D9"/>
    <w:rsid w:val="51E94D54"/>
    <w:rsid w:val="51EB8814"/>
    <w:rsid w:val="51F2DE8A"/>
    <w:rsid w:val="51F416CD"/>
    <w:rsid w:val="51F53C8E"/>
    <w:rsid w:val="52034F31"/>
    <w:rsid w:val="5209CD04"/>
    <w:rsid w:val="520B3D73"/>
    <w:rsid w:val="520BCA34"/>
    <w:rsid w:val="5211B017"/>
    <w:rsid w:val="5215B906"/>
    <w:rsid w:val="52198124"/>
    <w:rsid w:val="521B02AD"/>
    <w:rsid w:val="521C118A"/>
    <w:rsid w:val="521DBA01"/>
    <w:rsid w:val="522854A0"/>
    <w:rsid w:val="522B3D45"/>
    <w:rsid w:val="522D1162"/>
    <w:rsid w:val="522F2DBE"/>
    <w:rsid w:val="5232BE8E"/>
    <w:rsid w:val="5233F99B"/>
    <w:rsid w:val="523D30A7"/>
    <w:rsid w:val="5241EE69"/>
    <w:rsid w:val="52448654"/>
    <w:rsid w:val="525FF094"/>
    <w:rsid w:val="5261B609"/>
    <w:rsid w:val="5269F3E3"/>
    <w:rsid w:val="527E2E01"/>
    <w:rsid w:val="52829D4D"/>
    <w:rsid w:val="5287FB5C"/>
    <w:rsid w:val="5291FEE3"/>
    <w:rsid w:val="52924E4F"/>
    <w:rsid w:val="5295B76A"/>
    <w:rsid w:val="5299ABB1"/>
    <w:rsid w:val="529BC9E6"/>
    <w:rsid w:val="52A71E04"/>
    <w:rsid w:val="52AB8820"/>
    <w:rsid w:val="52AE4820"/>
    <w:rsid w:val="52B0F85E"/>
    <w:rsid w:val="52BA6B44"/>
    <w:rsid w:val="52BE4FA4"/>
    <w:rsid w:val="52C563A1"/>
    <w:rsid w:val="52CDB533"/>
    <w:rsid w:val="52CF7224"/>
    <w:rsid w:val="52D6D8C8"/>
    <w:rsid w:val="52D9B75B"/>
    <w:rsid w:val="52DDBAA5"/>
    <w:rsid w:val="52E27D0D"/>
    <w:rsid w:val="52F09770"/>
    <w:rsid w:val="52F3012B"/>
    <w:rsid w:val="52F4629B"/>
    <w:rsid w:val="52FB7E78"/>
    <w:rsid w:val="52FEB805"/>
    <w:rsid w:val="5308FE97"/>
    <w:rsid w:val="530AD326"/>
    <w:rsid w:val="5315E48F"/>
    <w:rsid w:val="531BDB60"/>
    <w:rsid w:val="5320F836"/>
    <w:rsid w:val="53225B12"/>
    <w:rsid w:val="532657F9"/>
    <w:rsid w:val="53294C33"/>
    <w:rsid w:val="532E814E"/>
    <w:rsid w:val="533FB23B"/>
    <w:rsid w:val="533FBAA8"/>
    <w:rsid w:val="53437CEC"/>
    <w:rsid w:val="5348B8A8"/>
    <w:rsid w:val="535703AD"/>
    <w:rsid w:val="53572EB2"/>
    <w:rsid w:val="536102C9"/>
    <w:rsid w:val="53706E5A"/>
    <w:rsid w:val="5374A363"/>
    <w:rsid w:val="5385AA01"/>
    <w:rsid w:val="5387A436"/>
    <w:rsid w:val="5387DEDC"/>
    <w:rsid w:val="53891773"/>
    <w:rsid w:val="53919BCF"/>
    <w:rsid w:val="5395991E"/>
    <w:rsid w:val="53B31D07"/>
    <w:rsid w:val="53C5EC8E"/>
    <w:rsid w:val="53C63A97"/>
    <w:rsid w:val="53CA45E5"/>
    <w:rsid w:val="53D03579"/>
    <w:rsid w:val="53D763C6"/>
    <w:rsid w:val="53D8E712"/>
    <w:rsid w:val="53D9827D"/>
    <w:rsid w:val="53E28094"/>
    <w:rsid w:val="53F43781"/>
    <w:rsid w:val="53F8410C"/>
    <w:rsid w:val="53F8B311"/>
    <w:rsid w:val="53FFDCEC"/>
    <w:rsid w:val="540FAB3B"/>
    <w:rsid w:val="541892D1"/>
    <w:rsid w:val="5420BF7C"/>
    <w:rsid w:val="542AA724"/>
    <w:rsid w:val="5430F458"/>
    <w:rsid w:val="543491CF"/>
    <w:rsid w:val="5437A7B9"/>
    <w:rsid w:val="5439FCDA"/>
    <w:rsid w:val="54470A76"/>
    <w:rsid w:val="5451BB5A"/>
    <w:rsid w:val="5451F9CB"/>
    <w:rsid w:val="54589C87"/>
    <w:rsid w:val="545B7EE2"/>
    <w:rsid w:val="547067C5"/>
    <w:rsid w:val="5471E4C3"/>
    <w:rsid w:val="547A1D98"/>
    <w:rsid w:val="548BFA8C"/>
    <w:rsid w:val="548CE86A"/>
    <w:rsid w:val="54910B79"/>
    <w:rsid w:val="54943A8B"/>
    <w:rsid w:val="5498F8AF"/>
    <w:rsid w:val="549C51BD"/>
    <w:rsid w:val="54A581B3"/>
    <w:rsid w:val="54A6C3EA"/>
    <w:rsid w:val="54ABB53A"/>
    <w:rsid w:val="54B9F22B"/>
    <w:rsid w:val="54BF20A4"/>
    <w:rsid w:val="54CDE73A"/>
    <w:rsid w:val="54CF9467"/>
    <w:rsid w:val="54D55467"/>
    <w:rsid w:val="54E2B3ED"/>
    <w:rsid w:val="54E5E319"/>
    <w:rsid w:val="54EB9FA8"/>
    <w:rsid w:val="550401CB"/>
    <w:rsid w:val="550CBAB7"/>
    <w:rsid w:val="55105EBE"/>
    <w:rsid w:val="551A137D"/>
    <w:rsid w:val="552083DF"/>
    <w:rsid w:val="5524FB17"/>
    <w:rsid w:val="553B0325"/>
    <w:rsid w:val="554D4AD8"/>
    <w:rsid w:val="554E2887"/>
    <w:rsid w:val="5571AE3F"/>
    <w:rsid w:val="5572C0F5"/>
    <w:rsid w:val="55756A93"/>
    <w:rsid w:val="55756D9D"/>
    <w:rsid w:val="558782E4"/>
    <w:rsid w:val="55892681"/>
    <w:rsid w:val="55897BD3"/>
    <w:rsid w:val="55BAE519"/>
    <w:rsid w:val="55BB033E"/>
    <w:rsid w:val="55D3B924"/>
    <w:rsid w:val="55D7DEC4"/>
    <w:rsid w:val="55D9232C"/>
    <w:rsid w:val="55EAA729"/>
    <w:rsid w:val="55F74F43"/>
    <w:rsid w:val="56003487"/>
    <w:rsid w:val="5605B9C3"/>
    <w:rsid w:val="56068F7A"/>
    <w:rsid w:val="560859D7"/>
    <w:rsid w:val="560F1722"/>
    <w:rsid w:val="5611682C"/>
    <w:rsid w:val="5620B75B"/>
    <w:rsid w:val="5630C0ED"/>
    <w:rsid w:val="563581EA"/>
    <w:rsid w:val="563775E4"/>
    <w:rsid w:val="563AA989"/>
    <w:rsid w:val="563E95D4"/>
    <w:rsid w:val="56414D62"/>
    <w:rsid w:val="56482D32"/>
    <w:rsid w:val="56571327"/>
    <w:rsid w:val="565C7737"/>
    <w:rsid w:val="565DB22C"/>
    <w:rsid w:val="566239D4"/>
    <w:rsid w:val="56638A34"/>
    <w:rsid w:val="566B3B34"/>
    <w:rsid w:val="566BD4B9"/>
    <w:rsid w:val="5674473C"/>
    <w:rsid w:val="56766A4F"/>
    <w:rsid w:val="567822F4"/>
    <w:rsid w:val="567B81A1"/>
    <w:rsid w:val="568CEE01"/>
    <w:rsid w:val="569BC0EE"/>
    <w:rsid w:val="56A6DF6F"/>
    <w:rsid w:val="56A88170"/>
    <w:rsid w:val="56AB5D6E"/>
    <w:rsid w:val="56AED76E"/>
    <w:rsid w:val="56B7E9FD"/>
    <w:rsid w:val="56CA7DF1"/>
    <w:rsid w:val="56D7F4AD"/>
    <w:rsid w:val="56E50A42"/>
    <w:rsid w:val="56EF21CC"/>
    <w:rsid w:val="56F16C27"/>
    <w:rsid w:val="56F46AC1"/>
    <w:rsid w:val="5700A600"/>
    <w:rsid w:val="57036A83"/>
    <w:rsid w:val="57060A98"/>
    <w:rsid w:val="5709C57C"/>
    <w:rsid w:val="570A3FDF"/>
    <w:rsid w:val="57143D2B"/>
    <w:rsid w:val="57195B0D"/>
    <w:rsid w:val="57214AA5"/>
    <w:rsid w:val="5721FF66"/>
    <w:rsid w:val="572621BC"/>
    <w:rsid w:val="572F9842"/>
    <w:rsid w:val="5739B74A"/>
    <w:rsid w:val="573FDC89"/>
    <w:rsid w:val="5741E6B3"/>
    <w:rsid w:val="5745A8CF"/>
    <w:rsid w:val="5745AC4C"/>
    <w:rsid w:val="5747EA4F"/>
    <w:rsid w:val="574BCA28"/>
    <w:rsid w:val="57546C1D"/>
    <w:rsid w:val="575BB8F1"/>
    <w:rsid w:val="5760FD71"/>
    <w:rsid w:val="5769270F"/>
    <w:rsid w:val="576D270B"/>
    <w:rsid w:val="576E153E"/>
    <w:rsid w:val="57738875"/>
    <w:rsid w:val="577776A2"/>
    <w:rsid w:val="577E284C"/>
    <w:rsid w:val="577E73D5"/>
    <w:rsid w:val="57833A16"/>
    <w:rsid w:val="578F4203"/>
    <w:rsid w:val="57999280"/>
    <w:rsid w:val="579D66A2"/>
    <w:rsid w:val="57AC6CBD"/>
    <w:rsid w:val="57AD591C"/>
    <w:rsid w:val="57B09211"/>
    <w:rsid w:val="57B74879"/>
    <w:rsid w:val="57BA301E"/>
    <w:rsid w:val="57C0EAC6"/>
    <w:rsid w:val="57C9ADFE"/>
    <w:rsid w:val="57D30907"/>
    <w:rsid w:val="57DAFB98"/>
    <w:rsid w:val="57E27429"/>
    <w:rsid w:val="57E39A86"/>
    <w:rsid w:val="57F1D3F7"/>
    <w:rsid w:val="57FAA95B"/>
    <w:rsid w:val="580331FC"/>
    <w:rsid w:val="5812B480"/>
    <w:rsid w:val="58136C86"/>
    <w:rsid w:val="581B6425"/>
    <w:rsid w:val="58241210"/>
    <w:rsid w:val="5824F1FD"/>
    <w:rsid w:val="582DAEB5"/>
    <w:rsid w:val="5840F624"/>
    <w:rsid w:val="58456CAE"/>
    <w:rsid w:val="584D7D9F"/>
    <w:rsid w:val="58570504"/>
    <w:rsid w:val="585C2717"/>
    <w:rsid w:val="58708012"/>
    <w:rsid w:val="5871B1D2"/>
    <w:rsid w:val="5872B331"/>
    <w:rsid w:val="588B530E"/>
    <w:rsid w:val="588F5E4B"/>
    <w:rsid w:val="5890C55E"/>
    <w:rsid w:val="589EE7FA"/>
    <w:rsid w:val="58A15500"/>
    <w:rsid w:val="58A5717D"/>
    <w:rsid w:val="58A8427A"/>
    <w:rsid w:val="58A9CD11"/>
    <w:rsid w:val="58ABD160"/>
    <w:rsid w:val="58ADAAA1"/>
    <w:rsid w:val="58B9AB05"/>
    <w:rsid w:val="58BE2DD5"/>
    <w:rsid w:val="58C6532F"/>
    <w:rsid w:val="58C6E7B0"/>
    <w:rsid w:val="58D763EA"/>
    <w:rsid w:val="58DB322B"/>
    <w:rsid w:val="58EAAC4F"/>
    <w:rsid w:val="58EE8E4D"/>
    <w:rsid w:val="58F14A48"/>
    <w:rsid w:val="58F6431A"/>
    <w:rsid w:val="58F77E1B"/>
    <w:rsid w:val="5901508D"/>
    <w:rsid w:val="59039E4E"/>
    <w:rsid w:val="59072824"/>
    <w:rsid w:val="590C782C"/>
    <w:rsid w:val="59158BDD"/>
    <w:rsid w:val="59161AB3"/>
    <w:rsid w:val="5922C95A"/>
    <w:rsid w:val="5924A887"/>
    <w:rsid w:val="59280C9F"/>
    <w:rsid w:val="592DF80F"/>
    <w:rsid w:val="59320F08"/>
    <w:rsid w:val="5941C0BD"/>
    <w:rsid w:val="59420AED"/>
    <w:rsid w:val="5944032B"/>
    <w:rsid w:val="5957674E"/>
    <w:rsid w:val="595D71ED"/>
    <w:rsid w:val="596236BB"/>
    <w:rsid w:val="5964CDA8"/>
    <w:rsid w:val="596B225D"/>
    <w:rsid w:val="59736221"/>
    <w:rsid w:val="5976692B"/>
    <w:rsid w:val="597E3CD9"/>
    <w:rsid w:val="59983E5E"/>
    <w:rsid w:val="599B89B3"/>
    <w:rsid w:val="59A4FF97"/>
    <w:rsid w:val="59A6EA1E"/>
    <w:rsid w:val="59A8CF0C"/>
    <w:rsid w:val="59CC334B"/>
    <w:rsid w:val="59CDCFE7"/>
    <w:rsid w:val="59D1C1D5"/>
    <w:rsid w:val="59D59B02"/>
    <w:rsid w:val="59E3EA78"/>
    <w:rsid w:val="59EDB5C4"/>
    <w:rsid w:val="59F8060F"/>
    <w:rsid w:val="5A0F0862"/>
    <w:rsid w:val="5A10973E"/>
    <w:rsid w:val="5A110D13"/>
    <w:rsid w:val="5A12798E"/>
    <w:rsid w:val="5A136AAD"/>
    <w:rsid w:val="5A226EEF"/>
    <w:rsid w:val="5A266C59"/>
    <w:rsid w:val="5A2897B2"/>
    <w:rsid w:val="5A291BBD"/>
    <w:rsid w:val="5A3EC849"/>
    <w:rsid w:val="5A3F8E14"/>
    <w:rsid w:val="5A44379C"/>
    <w:rsid w:val="5A4B7882"/>
    <w:rsid w:val="5A591AE5"/>
    <w:rsid w:val="5A5A41BF"/>
    <w:rsid w:val="5A5C80FE"/>
    <w:rsid w:val="5A60B2B3"/>
    <w:rsid w:val="5A72290E"/>
    <w:rsid w:val="5A7467BF"/>
    <w:rsid w:val="5A7D3ED0"/>
    <w:rsid w:val="5A8AC974"/>
    <w:rsid w:val="5A8B182B"/>
    <w:rsid w:val="5A8D65ED"/>
    <w:rsid w:val="5A8D8444"/>
    <w:rsid w:val="5A8F5C8E"/>
    <w:rsid w:val="5A994FBB"/>
    <w:rsid w:val="5A9C597E"/>
    <w:rsid w:val="5AA3BC5A"/>
    <w:rsid w:val="5AA7F347"/>
    <w:rsid w:val="5AC5CCD3"/>
    <w:rsid w:val="5ADEB3D2"/>
    <w:rsid w:val="5AE8F3AE"/>
    <w:rsid w:val="5AF2A5F9"/>
    <w:rsid w:val="5AF843C4"/>
    <w:rsid w:val="5AFB74AB"/>
    <w:rsid w:val="5B050F60"/>
    <w:rsid w:val="5B08255A"/>
    <w:rsid w:val="5B0A9EF2"/>
    <w:rsid w:val="5B0C703A"/>
    <w:rsid w:val="5B10FCAA"/>
    <w:rsid w:val="5B134853"/>
    <w:rsid w:val="5B1C96E1"/>
    <w:rsid w:val="5B1EFD3F"/>
    <w:rsid w:val="5B20188D"/>
    <w:rsid w:val="5B2AACB7"/>
    <w:rsid w:val="5B3E9FFA"/>
    <w:rsid w:val="5B4FB16B"/>
    <w:rsid w:val="5B5AB4C6"/>
    <w:rsid w:val="5B61187C"/>
    <w:rsid w:val="5B69F289"/>
    <w:rsid w:val="5B93342A"/>
    <w:rsid w:val="5B94197A"/>
    <w:rsid w:val="5BA0AE8B"/>
    <w:rsid w:val="5BA764D8"/>
    <w:rsid w:val="5BAA555A"/>
    <w:rsid w:val="5BAE4B64"/>
    <w:rsid w:val="5BAF2AC9"/>
    <w:rsid w:val="5BB4D134"/>
    <w:rsid w:val="5BB54096"/>
    <w:rsid w:val="5BB55645"/>
    <w:rsid w:val="5BC631A4"/>
    <w:rsid w:val="5BC7F38D"/>
    <w:rsid w:val="5BCC133C"/>
    <w:rsid w:val="5BDEDD15"/>
    <w:rsid w:val="5BE0BC09"/>
    <w:rsid w:val="5BF26C02"/>
    <w:rsid w:val="5BF2FAF2"/>
    <w:rsid w:val="5C077747"/>
    <w:rsid w:val="5C091F2E"/>
    <w:rsid w:val="5C0BC6E2"/>
    <w:rsid w:val="5C0E0154"/>
    <w:rsid w:val="5C0FB516"/>
    <w:rsid w:val="5C1FA76E"/>
    <w:rsid w:val="5C203AB1"/>
    <w:rsid w:val="5C2AEF0C"/>
    <w:rsid w:val="5C2CD578"/>
    <w:rsid w:val="5C36BF22"/>
    <w:rsid w:val="5C3FE673"/>
    <w:rsid w:val="5C403595"/>
    <w:rsid w:val="5C453C74"/>
    <w:rsid w:val="5C4E0520"/>
    <w:rsid w:val="5C4ED2BA"/>
    <w:rsid w:val="5C54AA4D"/>
    <w:rsid w:val="5C5B136C"/>
    <w:rsid w:val="5C6594A8"/>
    <w:rsid w:val="5C65FF1A"/>
    <w:rsid w:val="5C689C13"/>
    <w:rsid w:val="5C6BDD1F"/>
    <w:rsid w:val="5C7B8DC2"/>
    <w:rsid w:val="5C8B76F8"/>
    <w:rsid w:val="5C8CF4B7"/>
    <w:rsid w:val="5C8D5C6E"/>
    <w:rsid w:val="5C8DFA7F"/>
    <w:rsid w:val="5C9786C8"/>
    <w:rsid w:val="5CA78E71"/>
    <w:rsid w:val="5CABB78A"/>
    <w:rsid w:val="5CB41A47"/>
    <w:rsid w:val="5CD23197"/>
    <w:rsid w:val="5CD50874"/>
    <w:rsid w:val="5CD88C2D"/>
    <w:rsid w:val="5CD8F06A"/>
    <w:rsid w:val="5CDC88D3"/>
    <w:rsid w:val="5CDFEEF1"/>
    <w:rsid w:val="5CE3412C"/>
    <w:rsid w:val="5CE6545F"/>
    <w:rsid w:val="5CE6703B"/>
    <w:rsid w:val="5CE7666C"/>
    <w:rsid w:val="5CEB54BD"/>
    <w:rsid w:val="5CF3962F"/>
    <w:rsid w:val="5CF42052"/>
    <w:rsid w:val="5CF76394"/>
    <w:rsid w:val="5CFF6C55"/>
    <w:rsid w:val="5D00405D"/>
    <w:rsid w:val="5D09581B"/>
    <w:rsid w:val="5D09A6F5"/>
    <w:rsid w:val="5D126D05"/>
    <w:rsid w:val="5D12C68D"/>
    <w:rsid w:val="5D152CDE"/>
    <w:rsid w:val="5D16295F"/>
    <w:rsid w:val="5D1CE6DF"/>
    <w:rsid w:val="5D23D552"/>
    <w:rsid w:val="5D35811A"/>
    <w:rsid w:val="5D3632DA"/>
    <w:rsid w:val="5D3C89C2"/>
    <w:rsid w:val="5D3EAAE7"/>
    <w:rsid w:val="5D445E8A"/>
    <w:rsid w:val="5D4AD525"/>
    <w:rsid w:val="5D598AFE"/>
    <w:rsid w:val="5D5B79E3"/>
    <w:rsid w:val="5D5D187A"/>
    <w:rsid w:val="5D6E3982"/>
    <w:rsid w:val="5D79490D"/>
    <w:rsid w:val="5D814F45"/>
    <w:rsid w:val="5D893F65"/>
    <w:rsid w:val="5D8B4460"/>
    <w:rsid w:val="5D8D26A8"/>
    <w:rsid w:val="5D8E7884"/>
    <w:rsid w:val="5D93191D"/>
    <w:rsid w:val="5D97703D"/>
    <w:rsid w:val="5D992133"/>
    <w:rsid w:val="5DB008F3"/>
    <w:rsid w:val="5DB6D921"/>
    <w:rsid w:val="5DB81DE1"/>
    <w:rsid w:val="5DBAF191"/>
    <w:rsid w:val="5DBDE8FB"/>
    <w:rsid w:val="5DC2958D"/>
    <w:rsid w:val="5DC50AF0"/>
    <w:rsid w:val="5DCFBFD2"/>
    <w:rsid w:val="5DE715A8"/>
    <w:rsid w:val="5E02DA1F"/>
    <w:rsid w:val="5E067733"/>
    <w:rsid w:val="5E0B6476"/>
    <w:rsid w:val="5E0C04DE"/>
    <w:rsid w:val="5E0FC52C"/>
    <w:rsid w:val="5E127644"/>
    <w:rsid w:val="5E245647"/>
    <w:rsid w:val="5E3331F5"/>
    <w:rsid w:val="5E348C87"/>
    <w:rsid w:val="5E3B8458"/>
    <w:rsid w:val="5E3C33D6"/>
    <w:rsid w:val="5E3E311F"/>
    <w:rsid w:val="5E3FC825"/>
    <w:rsid w:val="5E5BAA73"/>
    <w:rsid w:val="5E5DAE6A"/>
    <w:rsid w:val="5E6802BD"/>
    <w:rsid w:val="5E688EDC"/>
    <w:rsid w:val="5E6B4BD0"/>
    <w:rsid w:val="5E6D6654"/>
    <w:rsid w:val="5E728344"/>
    <w:rsid w:val="5E765FE5"/>
    <w:rsid w:val="5E7915FB"/>
    <w:rsid w:val="5E799AB3"/>
    <w:rsid w:val="5E7FDFB9"/>
    <w:rsid w:val="5E831B94"/>
    <w:rsid w:val="5E8D399B"/>
    <w:rsid w:val="5E95EBE4"/>
    <w:rsid w:val="5E9E4567"/>
    <w:rsid w:val="5EA31FBE"/>
    <w:rsid w:val="5EAB1115"/>
    <w:rsid w:val="5EAE0B8D"/>
    <w:rsid w:val="5EB0FD3F"/>
    <w:rsid w:val="5EB54F75"/>
    <w:rsid w:val="5EC4612A"/>
    <w:rsid w:val="5EC59FEE"/>
    <w:rsid w:val="5ECBE0EB"/>
    <w:rsid w:val="5ECC7D9B"/>
    <w:rsid w:val="5ECE1AFF"/>
    <w:rsid w:val="5ECF77D8"/>
    <w:rsid w:val="5ED83598"/>
    <w:rsid w:val="5EE47EDC"/>
    <w:rsid w:val="5EFF66EA"/>
    <w:rsid w:val="5F012B97"/>
    <w:rsid w:val="5F032331"/>
    <w:rsid w:val="5F0A7D19"/>
    <w:rsid w:val="5F184036"/>
    <w:rsid w:val="5F2338BD"/>
    <w:rsid w:val="5F248B32"/>
    <w:rsid w:val="5F248CD1"/>
    <w:rsid w:val="5F2FEF76"/>
    <w:rsid w:val="5F35C089"/>
    <w:rsid w:val="5F388BFE"/>
    <w:rsid w:val="5F4FE69C"/>
    <w:rsid w:val="5F61DDFD"/>
    <w:rsid w:val="5F633D85"/>
    <w:rsid w:val="5F66CEF8"/>
    <w:rsid w:val="5F6974B8"/>
    <w:rsid w:val="5F6D062B"/>
    <w:rsid w:val="5F6DF706"/>
    <w:rsid w:val="5F71656D"/>
    <w:rsid w:val="5F74296E"/>
    <w:rsid w:val="5F7F9D4E"/>
    <w:rsid w:val="5F8752A2"/>
    <w:rsid w:val="5F909FED"/>
    <w:rsid w:val="5F988628"/>
    <w:rsid w:val="5F9EE927"/>
    <w:rsid w:val="5F9FDD5E"/>
    <w:rsid w:val="5FA0D24D"/>
    <w:rsid w:val="5FB05052"/>
    <w:rsid w:val="5FB111AD"/>
    <w:rsid w:val="5FB2974F"/>
    <w:rsid w:val="5FB359C4"/>
    <w:rsid w:val="5FBC4810"/>
    <w:rsid w:val="5FC38D27"/>
    <w:rsid w:val="5FC5EC00"/>
    <w:rsid w:val="5FCAA8E5"/>
    <w:rsid w:val="5FCCAFC8"/>
    <w:rsid w:val="5FCFAA36"/>
    <w:rsid w:val="5FD4242C"/>
    <w:rsid w:val="5FEF8477"/>
    <w:rsid w:val="5FF14B32"/>
    <w:rsid w:val="5FF647D6"/>
    <w:rsid w:val="5FFB5EB5"/>
    <w:rsid w:val="6000A4D8"/>
    <w:rsid w:val="6004FFB3"/>
    <w:rsid w:val="6007A8FA"/>
    <w:rsid w:val="600A5A18"/>
    <w:rsid w:val="6010B4CD"/>
    <w:rsid w:val="60123046"/>
    <w:rsid w:val="6017A1F4"/>
    <w:rsid w:val="6017D6F5"/>
    <w:rsid w:val="601F9A34"/>
    <w:rsid w:val="60223225"/>
    <w:rsid w:val="6028FDEA"/>
    <w:rsid w:val="602A7A13"/>
    <w:rsid w:val="603D04D3"/>
    <w:rsid w:val="60422ABB"/>
    <w:rsid w:val="604968F3"/>
    <w:rsid w:val="605B877F"/>
    <w:rsid w:val="605CBA15"/>
    <w:rsid w:val="6065F5FD"/>
    <w:rsid w:val="606C2E1A"/>
    <w:rsid w:val="606D4E7A"/>
    <w:rsid w:val="607A8BB3"/>
    <w:rsid w:val="6080517A"/>
    <w:rsid w:val="6082C56C"/>
    <w:rsid w:val="60830D90"/>
    <w:rsid w:val="608BDB6F"/>
    <w:rsid w:val="609664F3"/>
    <w:rsid w:val="609AB5E8"/>
    <w:rsid w:val="60A25A0A"/>
    <w:rsid w:val="60A50DC3"/>
    <w:rsid w:val="60A5782F"/>
    <w:rsid w:val="60B4BB1A"/>
    <w:rsid w:val="60E9ED72"/>
    <w:rsid w:val="60F69275"/>
    <w:rsid w:val="60FC1672"/>
    <w:rsid w:val="60FCFA52"/>
    <w:rsid w:val="61033446"/>
    <w:rsid w:val="6110FFCB"/>
    <w:rsid w:val="611B7FE4"/>
    <w:rsid w:val="611C937B"/>
    <w:rsid w:val="611DABFC"/>
    <w:rsid w:val="611E198F"/>
    <w:rsid w:val="613D0905"/>
    <w:rsid w:val="6151C47F"/>
    <w:rsid w:val="6163DDD6"/>
    <w:rsid w:val="6163F72C"/>
    <w:rsid w:val="6167F727"/>
    <w:rsid w:val="616AC03F"/>
    <w:rsid w:val="6170C898"/>
    <w:rsid w:val="61803EF3"/>
    <w:rsid w:val="6183BF79"/>
    <w:rsid w:val="6195F835"/>
    <w:rsid w:val="61968E29"/>
    <w:rsid w:val="6198080E"/>
    <w:rsid w:val="61A5E666"/>
    <w:rsid w:val="61AAC319"/>
    <w:rsid w:val="61B1FE5C"/>
    <w:rsid w:val="61CE319E"/>
    <w:rsid w:val="61D819AE"/>
    <w:rsid w:val="61DF6F44"/>
    <w:rsid w:val="61E4589C"/>
    <w:rsid w:val="61E70824"/>
    <w:rsid w:val="61E89E01"/>
    <w:rsid w:val="61E93229"/>
    <w:rsid w:val="61F1FFCD"/>
    <w:rsid w:val="61F23511"/>
    <w:rsid w:val="61F68A0E"/>
    <w:rsid w:val="61FA4194"/>
    <w:rsid w:val="620D52AC"/>
    <w:rsid w:val="620E5B35"/>
    <w:rsid w:val="620EE5C1"/>
    <w:rsid w:val="6214CA8F"/>
    <w:rsid w:val="6220DBDB"/>
    <w:rsid w:val="6239FB75"/>
    <w:rsid w:val="624491B2"/>
    <w:rsid w:val="62466878"/>
    <w:rsid w:val="624B584A"/>
    <w:rsid w:val="624DF110"/>
    <w:rsid w:val="62559C98"/>
    <w:rsid w:val="6261A74E"/>
    <w:rsid w:val="6271CC34"/>
    <w:rsid w:val="6272E958"/>
    <w:rsid w:val="627E8CF9"/>
    <w:rsid w:val="62816F45"/>
    <w:rsid w:val="628297B9"/>
    <w:rsid w:val="6283E165"/>
    <w:rsid w:val="628CC236"/>
    <w:rsid w:val="62A8C27B"/>
    <w:rsid w:val="62AC7BDF"/>
    <w:rsid w:val="62DB4FF3"/>
    <w:rsid w:val="62DE4BDE"/>
    <w:rsid w:val="62DE8E5E"/>
    <w:rsid w:val="62DF1055"/>
    <w:rsid w:val="62F9E4B8"/>
    <w:rsid w:val="6303F5E3"/>
    <w:rsid w:val="6305E31F"/>
    <w:rsid w:val="63137CDE"/>
    <w:rsid w:val="6313DE21"/>
    <w:rsid w:val="63181756"/>
    <w:rsid w:val="631DB659"/>
    <w:rsid w:val="6325D988"/>
    <w:rsid w:val="632A7BB3"/>
    <w:rsid w:val="63348777"/>
    <w:rsid w:val="6344D98C"/>
    <w:rsid w:val="634B162D"/>
    <w:rsid w:val="63507D63"/>
    <w:rsid w:val="635080E1"/>
    <w:rsid w:val="635918D0"/>
    <w:rsid w:val="635E44EE"/>
    <w:rsid w:val="6360F3D8"/>
    <w:rsid w:val="6364C1AD"/>
    <w:rsid w:val="636847BC"/>
    <w:rsid w:val="636BFC29"/>
    <w:rsid w:val="636E8B7E"/>
    <w:rsid w:val="636ECF24"/>
    <w:rsid w:val="6371B899"/>
    <w:rsid w:val="637310E2"/>
    <w:rsid w:val="6378A651"/>
    <w:rsid w:val="6379454A"/>
    <w:rsid w:val="637E08F7"/>
    <w:rsid w:val="63846E62"/>
    <w:rsid w:val="6387A456"/>
    <w:rsid w:val="6388646F"/>
    <w:rsid w:val="6394E115"/>
    <w:rsid w:val="6395934C"/>
    <w:rsid w:val="63985099"/>
    <w:rsid w:val="6398E1ED"/>
    <w:rsid w:val="639912B6"/>
    <w:rsid w:val="639AB3B3"/>
    <w:rsid w:val="639DE96B"/>
    <w:rsid w:val="639F4F41"/>
    <w:rsid w:val="63A1630B"/>
    <w:rsid w:val="63BF2E2E"/>
    <w:rsid w:val="63C1F6BC"/>
    <w:rsid w:val="63C2998E"/>
    <w:rsid w:val="63CC94F2"/>
    <w:rsid w:val="63D1B581"/>
    <w:rsid w:val="63E82E23"/>
    <w:rsid w:val="63E8AE35"/>
    <w:rsid w:val="63EDFC5D"/>
    <w:rsid w:val="64019192"/>
    <w:rsid w:val="641870F6"/>
    <w:rsid w:val="641FB422"/>
    <w:rsid w:val="642160B7"/>
    <w:rsid w:val="642418AB"/>
    <w:rsid w:val="64255D55"/>
    <w:rsid w:val="64364881"/>
    <w:rsid w:val="64379A1A"/>
    <w:rsid w:val="6438A726"/>
    <w:rsid w:val="6442D2D8"/>
    <w:rsid w:val="645033EA"/>
    <w:rsid w:val="6469DF5B"/>
    <w:rsid w:val="6473FE45"/>
    <w:rsid w:val="64748151"/>
    <w:rsid w:val="647780C7"/>
    <w:rsid w:val="6478F784"/>
    <w:rsid w:val="6484FB14"/>
    <w:rsid w:val="648E7D81"/>
    <w:rsid w:val="6497D6AF"/>
    <w:rsid w:val="6498D160"/>
    <w:rsid w:val="649926EA"/>
    <w:rsid w:val="649BA48A"/>
    <w:rsid w:val="64A6C2DB"/>
    <w:rsid w:val="64B71A60"/>
    <w:rsid w:val="64B7C739"/>
    <w:rsid w:val="64C26B27"/>
    <w:rsid w:val="64C58225"/>
    <w:rsid w:val="64CEF98D"/>
    <w:rsid w:val="64D780AB"/>
    <w:rsid w:val="64DDF1AC"/>
    <w:rsid w:val="64DDFBC6"/>
    <w:rsid w:val="64EF8B70"/>
    <w:rsid w:val="64EFA69E"/>
    <w:rsid w:val="64F09043"/>
    <w:rsid w:val="64F12DF2"/>
    <w:rsid w:val="64F43120"/>
    <w:rsid w:val="64F85AE2"/>
    <w:rsid w:val="64FBDB19"/>
    <w:rsid w:val="64FF4507"/>
    <w:rsid w:val="6503CEFF"/>
    <w:rsid w:val="65139644"/>
    <w:rsid w:val="652000E2"/>
    <w:rsid w:val="652221C3"/>
    <w:rsid w:val="652F2484"/>
    <w:rsid w:val="6532627D"/>
    <w:rsid w:val="653EB527"/>
    <w:rsid w:val="654339EF"/>
    <w:rsid w:val="65477B79"/>
    <w:rsid w:val="654C10D0"/>
    <w:rsid w:val="654C67F3"/>
    <w:rsid w:val="655413F4"/>
    <w:rsid w:val="655990F8"/>
    <w:rsid w:val="655D3F12"/>
    <w:rsid w:val="65659EF5"/>
    <w:rsid w:val="65672CB8"/>
    <w:rsid w:val="656FF9FF"/>
    <w:rsid w:val="65736EE4"/>
    <w:rsid w:val="658F1FEB"/>
    <w:rsid w:val="65994810"/>
    <w:rsid w:val="6599F675"/>
    <w:rsid w:val="659AC7FE"/>
    <w:rsid w:val="659B053C"/>
    <w:rsid w:val="659D292D"/>
    <w:rsid w:val="659E2DC7"/>
    <w:rsid w:val="65A28B17"/>
    <w:rsid w:val="65A50758"/>
    <w:rsid w:val="65A78298"/>
    <w:rsid w:val="65B85886"/>
    <w:rsid w:val="65CC639A"/>
    <w:rsid w:val="65D0AE44"/>
    <w:rsid w:val="65D860DE"/>
    <w:rsid w:val="65D9D3B1"/>
    <w:rsid w:val="65DFBCE9"/>
    <w:rsid w:val="65E6B90D"/>
    <w:rsid w:val="65EEEBD9"/>
    <w:rsid w:val="65FE3F8C"/>
    <w:rsid w:val="6605C505"/>
    <w:rsid w:val="660CDAF2"/>
    <w:rsid w:val="661C2D02"/>
    <w:rsid w:val="6622E05E"/>
    <w:rsid w:val="662AF012"/>
    <w:rsid w:val="664A485C"/>
    <w:rsid w:val="664C9812"/>
    <w:rsid w:val="664F9149"/>
    <w:rsid w:val="66586A80"/>
    <w:rsid w:val="6659EC2E"/>
    <w:rsid w:val="665AF6BC"/>
    <w:rsid w:val="6661FC0E"/>
    <w:rsid w:val="667C32DC"/>
    <w:rsid w:val="668196B6"/>
    <w:rsid w:val="668A15FB"/>
    <w:rsid w:val="668AFA00"/>
    <w:rsid w:val="669A4142"/>
    <w:rsid w:val="669AA59C"/>
    <w:rsid w:val="669CEADE"/>
    <w:rsid w:val="66B47098"/>
    <w:rsid w:val="66B63C90"/>
    <w:rsid w:val="66B6DDC7"/>
    <w:rsid w:val="66C212E0"/>
    <w:rsid w:val="66C3452D"/>
    <w:rsid w:val="66C7D7E5"/>
    <w:rsid w:val="66CF785E"/>
    <w:rsid w:val="66D5D221"/>
    <w:rsid w:val="66DE0CC5"/>
    <w:rsid w:val="66E6E330"/>
    <w:rsid w:val="66E76C8F"/>
    <w:rsid w:val="66F7A381"/>
    <w:rsid w:val="66FC238C"/>
    <w:rsid w:val="66FE01ED"/>
    <w:rsid w:val="6704B044"/>
    <w:rsid w:val="670C1D40"/>
    <w:rsid w:val="670C48CA"/>
    <w:rsid w:val="670D2D89"/>
    <w:rsid w:val="670EAB40"/>
    <w:rsid w:val="671660DF"/>
    <w:rsid w:val="671C72D0"/>
    <w:rsid w:val="672919A1"/>
    <w:rsid w:val="673768A6"/>
    <w:rsid w:val="673A74C0"/>
    <w:rsid w:val="674469E6"/>
    <w:rsid w:val="674BE2C7"/>
    <w:rsid w:val="67542B1B"/>
    <w:rsid w:val="675571E7"/>
    <w:rsid w:val="675D22BD"/>
    <w:rsid w:val="676313CF"/>
    <w:rsid w:val="67648949"/>
    <w:rsid w:val="67676E2E"/>
    <w:rsid w:val="676C4D54"/>
    <w:rsid w:val="67789049"/>
    <w:rsid w:val="677F92F0"/>
    <w:rsid w:val="67806434"/>
    <w:rsid w:val="6791F348"/>
    <w:rsid w:val="67991609"/>
    <w:rsid w:val="679EE767"/>
    <w:rsid w:val="67B6C706"/>
    <w:rsid w:val="67BA5B51"/>
    <w:rsid w:val="67BD29A8"/>
    <w:rsid w:val="67C65A69"/>
    <w:rsid w:val="67C72BE8"/>
    <w:rsid w:val="67C7A130"/>
    <w:rsid w:val="67CED038"/>
    <w:rsid w:val="67E9A483"/>
    <w:rsid w:val="67F3B61E"/>
    <w:rsid w:val="6814D95D"/>
    <w:rsid w:val="68234698"/>
    <w:rsid w:val="6837506A"/>
    <w:rsid w:val="683A96AA"/>
    <w:rsid w:val="683ACBF8"/>
    <w:rsid w:val="68465584"/>
    <w:rsid w:val="684C1A62"/>
    <w:rsid w:val="6855EE49"/>
    <w:rsid w:val="6856E3D3"/>
    <w:rsid w:val="6865EECA"/>
    <w:rsid w:val="686E27A0"/>
    <w:rsid w:val="68803DCC"/>
    <w:rsid w:val="688F2A11"/>
    <w:rsid w:val="689F0F17"/>
    <w:rsid w:val="68A10039"/>
    <w:rsid w:val="68A66A93"/>
    <w:rsid w:val="68B509B5"/>
    <w:rsid w:val="68BFADFB"/>
    <w:rsid w:val="68CC828D"/>
    <w:rsid w:val="68DC5163"/>
    <w:rsid w:val="68DE5E6C"/>
    <w:rsid w:val="68E0E63C"/>
    <w:rsid w:val="68E7C21D"/>
    <w:rsid w:val="68EEF4E1"/>
    <w:rsid w:val="68F0110F"/>
    <w:rsid w:val="68F715F7"/>
    <w:rsid w:val="69030B56"/>
    <w:rsid w:val="6906463E"/>
    <w:rsid w:val="6906F911"/>
    <w:rsid w:val="690814DC"/>
    <w:rsid w:val="690AD4E6"/>
    <w:rsid w:val="690B29EA"/>
    <w:rsid w:val="692ABFED"/>
    <w:rsid w:val="693A27DE"/>
    <w:rsid w:val="69455B59"/>
    <w:rsid w:val="6951DB77"/>
    <w:rsid w:val="69583C77"/>
    <w:rsid w:val="695D6112"/>
    <w:rsid w:val="695D7D10"/>
    <w:rsid w:val="695EEF20"/>
    <w:rsid w:val="697AAD1F"/>
    <w:rsid w:val="697B93E2"/>
    <w:rsid w:val="69844925"/>
    <w:rsid w:val="69960D17"/>
    <w:rsid w:val="6999AC30"/>
    <w:rsid w:val="69A41205"/>
    <w:rsid w:val="69A5AA7E"/>
    <w:rsid w:val="69A78D09"/>
    <w:rsid w:val="69AAE086"/>
    <w:rsid w:val="69B32904"/>
    <w:rsid w:val="69B5E5A9"/>
    <w:rsid w:val="69B6695D"/>
    <w:rsid w:val="69BC59C7"/>
    <w:rsid w:val="69C258AE"/>
    <w:rsid w:val="69C52D9B"/>
    <w:rsid w:val="69D09DEE"/>
    <w:rsid w:val="69D1BA4B"/>
    <w:rsid w:val="69D2139C"/>
    <w:rsid w:val="69DF294C"/>
    <w:rsid w:val="69E0CB71"/>
    <w:rsid w:val="69E0CEF5"/>
    <w:rsid w:val="69E9D0A8"/>
    <w:rsid w:val="69EAA53B"/>
    <w:rsid w:val="69ED5220"/>
    <w:rsid w:val="69ED722D"/>
    <w:rsid w:val="69EF7188"/>
    <w:rsid w:val="69F147C6"/>
    <w:rsid w:val="69F83C76"/>
    <w:rsid w:val="6A00BA20"/>
    <w:rsid w:val="6A0C96F6"/>
    <w:rsid w:val="6A1417F9"/>
    <w:rsid w:val="6A14E009"/>
    <w:rsid w:val="6A165A67"/>
    <w:rsid w:val="6A16AB08"/>
    <w:rsid w:val="6A1DA3CB"/>
    <w:rsid w:val="6A204122"/>
    <w:rsid w:val="6A2E485C"/>
    <w:rsid w:val="6A384BE5"/>
    <w:rsid w:val="6A3CA4E4"/>
    <w:rsid w:val="6A3E3443"/>
    <w:rsid w:val="6A55F5BC"/>
    <w:rsid w:val="6A613BB2"/>
    <w:rsid w:val="6A617485"/>
    <w:rsid w:val="6A64372B"/>
    <w:rsid w:val="6A6483B0"/>
    <w:rsid w:val="6A6BC9A7"/>
    <w:rsid w:val="6A70B2A2"/>
    <w:rsid w:val="6A73C4F3"/>
    <w:rsid w:val="6A7C6219"/>
    <w:rsid w:val="6A891AB0"/>
    <w:rsid w:val="6A8DDCE7"/>
    <w:rsid w:val="6A97F1DB"/>
    <w:rsid w:val="6A98707D"/>
    <w:rsid w:val="6A98A31E"/>
    <w:rsid w:val="6A98CFD2"/>
    <w:rsid w:val="6AA2754F"/>
    <w:rsid w:val="6AA5B195"/>
    <w:rsid w:val="6AA6D41E"/>
    <w:rsid w:val="6AAB8683"/>
    <w:rsid w:val="6AABF63A"/>
    <w:rsid w:val="6AAE04BA"/>
    <w:rsid w:val="6AAE1E10"/>
    <w:rsid w:val="6AB05A09"/>
    <w:rsid w:val="6AB291FE"/>
    <w:rsid w:val="6AB98522"/>
    <w:rsid w:val="6AC36C4A"/>
    <w:rsid w:val="6AC54116"/>
    <w:rsid w:val="6AC74742"/>
    <w:rsid w:val="6AC92C71"/>
    <w:rsid w:val="6ACAEEBA"/>
    <w:rsid w:val="6AD6C0E7"/>
    <w:rsid w:val="6AD8D563"/>
    <w:rsid w:val="6AE07F8D"/>
    <w:rsid w:val="6B1708A7"/>
    <w:rsid w:val="6B186EEF"/>
    <w:rsid w:val="6B1FD520"/>
    <w:rsid w:val="6B22F121"/>
    <w:rsid w:val="6B26B74D"/>
    <w:rsid w:val="6B288EC7"/>
    <w:rsid w:val="6B28DCC3"/>
    <w:rsid w:val="6B29438D"/>
    <w:rsid w:val="6B2968DD"/>
    <w:rsid w:val="6B29DAB7"/>
    <w:rsid w:val="6B2EE482"/>
    <w:rsid w:val="6B3A4A58"/>
    <w:rsid w:val="6B52D2D0"/>
    <w:rsid w:val="6B542AA6"/>
    <w:rsid w:val="6B562EFF"/>
    <w:rsid w:val="6B60FDFC"/>
    <w:rsid w:val="6B66566A"/>
    <w:rsid w:val="6B67818A"/>
    <w:rsid w:val="6B7150CF"/>
    <w:rsid w:val="6B7531CF"/>
    <w:rsid w:val="6B87CC5C"/>
    <w:rsid w:val="6B87E9A2"/>
    <w:rsid w:val="6B883019"/>
    <w:rsid w:val="6B8AE150"/>
    <w:rsid w:val="6B8D2E24"/>
    <w:rsid w:val="6B95E7F5"/>
    <w:rsid w:val="6B95E960"/>
    <w:rsid w:val="6B993597"/>
    <w:rsid w:val="6BAE682B"/>
    <w:rsid w:val="6BB4B636"/>
    <w:rsid w:val="6BBD78E8"/>
    <w:rsid w:val="6BC0275C"/>
    <w:rsid w:val="6BC75AE9"/>
    <w:rsid w:val="6BC802E0"/>
    <w:rsid w:val="6BD1C67A"/>
    <w:rsid w:val="6BDF6085"/>
    <w:rsid w:val="6BFF55D6"/>
    <w:rsid w:val="6C09952D"/>
    <w:rsid w:val="6C111F62"/>
    <w:rsid w:val="6C117F5C"/>
    <w:rsid w:val="6C1B622D"/>
    <w:rsid w:val="6C23C61F"/>
    <w:rsid w:val="6C248EAA"/>
    <w:rsid w:val="6C2E2CA5"/>
    <w:rsid w:val="6C34E393"/>
    <w:rsid w:val="6C367792"/>
    <w:rsid w:val="6C36DA46"/>
    <w:rsid w:val="6C3B06F5"/>
    <w:rsid w:val="6C3D5B3B"/>
    <w:rsid w:val="6C3E6E82"/>
    <w:rsid w:val="6C417634"/>
    <w:rsid w:val="6C4DE5E4"/>
    <w:rsid w:val="6C54C072"/>
    <w:rsid w:val="6C554A08"/>
    <w:rsid w:val="6C5A0A43"/>
    <w:rsid w:val="6C61291A"/>
    <w:rsid w:val="6C639080"/>
    <w:rsid w:val="6C6BF8B3"/>
    <w:rsid w:val="6C6EBA91"/>
    <w:rsid w:val="6C74EB5F"/>
    <w:rsid w:val="6C78EA65"/>
    <w:rsid w:val="6C7DDE08"/>
    <w:rsid w:val="6C822C0A"/>
    <w:rsid w:val="6C82CC48"/>
    <w:rsid w:val="6C868A8A"/>
    <w:rsid w:val="6C87FF75"/>
    <w:rsid w:val="6C8EA2F4"/>
    <w:rsid w:val="6C9BA444"/>
    <w:rsid w:val="6CAF24B4"/>
    <w:rsid w:val="6CB3B5F6"/>
    <w:rsid w:val="6CBCA188"/>
    <w:rsid w:val="6CC19A16"/>
    <w:rsid w:val="6CC37B78"/>
    <w:rsid w:val="6CC5F4CF"/>
    <w:rsid w:val="6CCD3EAB"/>
    <w:rsid w:val="6CDE700F"/>
    <w:rsid w:val="6CDEF454"/>
    <w:rsid w:val="6CEAE9E9"/>
    <w:rsid w:val="6CF0CCCA"/>
    <w:rsid w:val="6CF76D2F"/>
    <w:rsid w:val="6CF797FA"/>
    <w:rsid w:val="6CFCCE5D"/>
    <w:rsid w:val="6CFE5690"/>
    <w:rsid w:val="6D090E54"/>
    <w:rsid w:val="6D0A119E"/>
    <w:rsid w:val="6D0BC890"/>
    <w:rsid w:val="6D10FCC3"/>
    <w:rsid w:val="6D13B21A"/>
    <w:rsid w:val="6D172E69"/>
    <w:rsid w:val="6D2A8273"/>
    <w:rsid w:val="6D2F8157"/>
    <w:rsid w:val="6D3A4582"/>
    <w:rsid w:val="6D3FEF1D"/>
    <w:rsid w:val="6D4BAD96"/>
    <w:rsid w:val="6D579A9E"/>
    <w:rsid w:val="6D6068A0"/>
    <w:rsid w:val="6D6726BD"/>
    <w:rsid w:val="6D6E3352"/>
    <w:rsid w:val="6D6EAE4D"/>
    <w:rsid w:val="6D6FC7DF"/>
    <w:rsid w:val="6D701DCB"/>
    <w:rsid w:val="6D7653A4"/>
    <w:rsid w:val="6D7FF475"/>
    <w:rsid w:val="6D8237E5"/>
    <w:rsid w:val="6D89887D"/>
    <w:rsid w:val="6D931880"/>
    <w:rsid w:val="6D965713"/>
    <w:rsid w:val="6D98ECCD"/>
    <w:rsid w:val="6D9D12C6"/>
    <w:rsid w:val="6DA43537"/>
    <w:rsid w:val="6DA69BFB"/>
    <w:rsid w:val="6DA861DA"/>
    <w:rsid w:val="6DBEB5A6"/>
    <w:rsid w:val="6DC527AD"/>
    <w:rsid w:val="6DC7D507"/>
    <w:rsid w:val="6DC8D91A"/>
    <w:rsid w:val="6DD055FF"/>
    <w:rsid w:val="6DD9763C"/>
    <w:rsid w:val="6DF34B61"/>
    <w:rsid w:val="6DF54681"/>
    <w:rsid w:val="6DF9C838"/>
    <w:rsid w:val="6DFBDFD1"/>
    <w:rsid w:val="6E0109BF"/>
    <w:rsid w:val="6E051A3C"/>
    <w:rsid w:val="6E0F649F"/>
    <w:rsid w:val="6E20167F"/>
    <w:rsid w:val="6E227598"/>
    <w:rsid w:val="6E3241CA"/>
    <w:rsid w:val="6E387025"/>
    <w:rsid w:val="6E38EEAB"/>
    <w:rsid w:val="6E42392D"/>
    <w:rsid w:val="6E48C880"/>
    <w:rsid w:val="6E4A0636"/>
    <w:rsid w:val="6E4B0656"/>
    <w:rsid w:val="6E57D55E"/>
    <w:rsid w:val="6E5A38F6"/>
    <w:rsid w:val="6E5DBB1E"/>
    <w:rsid w:val="6E674643"/>
    <w:rsid w:val="6E6B2C3F"/>
    <w:rsid w:val="6E6D95A0"/>
    <w:rsid w:val="6E70423D"/>
    <w:rsid w:val="6E70C9EF"/>
    <w:rsid w:val="6E84075C"/>
    <w:rsid w:val="6E84E49B"/>
    <w:rsid w:val="6E88153D"/>
    <w:rsid w:val="6E904AEB"/>
    <w:rsid w:val="6E95B453"/>
    <w:rsid w:val="6EA20ACF"/>
    <w:rsid w:val="6EAFD8C8"/>
    <w:rsid w:val="6EC80B2C"/>
    <w:rsid w:val="6ECD6C6B"/>
    <w:rsid w:val="6ED9A55C"/>
    <w:rsid w:val="6EE11B14"/>
    <w:rsid w:val="6EE8E34D"/>
    <w:rsid w:val="6F04A18D"/>
    <w:rsid w:val="6F0A892C"/>
    <w:rsid w:val="6F0AE248"/>
    <w:rsid w:val="6F111DF0"/>
    <w:rsid w:val="6F18C511"/>
    <w:rsid w:val="6F20E215"/>
    <w:rsid w:val="6F2618CD"/>
    <w:rsid w:val="6F269776"/>
    <w:rsid w:val="6F271BD5"/>
    <w:rsid w:val="6F347001"/>
    <w:rsid w:val="6F4396A3"/>
    <w:rsid w:val="6F44EB63"/>
    <w:rsid w:val="6F5C902D"/>
    <w:rsid w:val="6F5E36F1"/>
    <w:rsid w:val="6F5EA0B8"/>
    <w:rsid w:val="6F63D312"/>
    <w:rsid w:val="6F6D19EF"/>
    <w:rsid w:val="6F7EDB0D"/>
    <w:rsid w:val="6F873097"/>
    <w:rsid w:val="6F988544"/>
    <w:rsid w:val="6F9AEC03"/>
    <w:rsid w:val="6F9BB5B7"/>
    <w:rsid w:val="6FA962A3"/>
    <w:rsid w:val="6FB389EB"/>
    <w:rsid w:val="6FB40355"/>
    <w:rsid w:val="6FC3284A"/>
    <w:rsid w:val="6FC3906F"/>
    <w:rsid w:val="6FC55B15"/>
    <w:rsid w:val="6FD095E9"/>
    <w:rsid w:val="6FD5A05D"/>
    <w:rsid w:val="6FD990C3"/>
    <w:rsid w:val="6FDAD38E"/>
    <w:rsid w:val="6FDDE468"/>
    <w:rsid w:val="6FE0BE4E"/>
    <w:rsid w:val="6FE944F6"/>
    <w:rsid w:val="6FEDA70B"/>
    <w:rsid w:val="6FEF8018"/>
    <w:rsid w:val="6FF06E38"/>
    <w:rsid w:val="6FF7EE5B"/>
    <w:rsid w:val="700809B0"/>
    <w:rsid w:val="7012E916"/>
    <w:rsid w:val="701B5DB7"/>
    <w:rsid w:val="701E3BF0"/>
    <w:rsid w:val="7022B533"/>
    <w:rsid w:val="70264E0E"/>
    <w:rsid w:val="702A3F52"/>
    <w:rsid w:val="703627C5"/>
    <w:rsid w:val="703EBB1C"/>
    <w:rsid w:val="7040AD0B"/>
    <w:rsid w:val="70449D08"/>
    <w:rsid w:val="70556C0A"/>
    <w:rsid w:val="7065A992"/>
    <w:rsid w:val="706A7A43"/>
    <w:rsid w:val="7070576C"/>
    <w:rsid w:val="7075C317"/>
    <w:rsid w:val="707FABD7"/>
    <w:rsid w:val="7086DEB2"/>
    <w:rsid w:val="70923EDB"/>
    <w:rsid w:val="7098D2B0"/>
    <w:rsid w:val="70A01DC4"/>
    <w:rsid w:val="70A0521C"/>
    <w:rsid w:val="70A12B2B"/>
    <w:rsid w:val="70B30691"/>
    <w:rsid w:val="70C03A6A"/>
    <w:rsid w:val="70C1E92E"/>
    <w:rsid w:val="70C57DAF"/>
    <w:rsid w:val="70C76AB3"/>
    <w:rsid w:val="70DB3413"/>
    <w:rsid w:val="70E39264"/>
    <w:rsid w:val="70ECC34D"/>
    <w:rsid w:val="70F3946A"/>
    <w:rsid w:val="70F6C29E"/>
    <w:rsid w:val="70FA6672"/>
    <w:rsid w:val="70FACAEC"/>
    <w:rsid w:val="7103D232"/>
    <w:rsid w:val="7103F516"/>
    <w:rsid w:val="710B269A"/>
    <w:rsid w:val="7111A6ED"/>
    <w:rsid w:val="71177B6C"/>
    <w:rsid w:val="711967E7"/>
    <w:rsid w:val="711C059A"/>
    <w:rsid w:val="7124D06B"/>
    <w:rsid w:val="7127EA51"/>
    <w:rsid w:val="712878C3"/>
    <w:rsid w:val="712B72CC"/>
    <w:rsid w:val="71504890"/>
    <w:rsid w:val="7153C3CC"/>
    <w:rsid w:val="715B8F71"/>
    <w:rsid w:val="715C0241"/>
    <w:rsid w:val="715D2F60"/>
    <w:rsid w:val="715DB348"/>
    <w:rsid w:val="7167F358"/>
    <w:rsid w:val="716EC974"/>
    <w:rsid w:val="71761002"/>
    <w:rsid w:val="717DA681"/>
    <w:rsid w:val="718B8448"/>
    <w:rsid w:val="7198C31C"/>
    <w:rsid w:val="71990239"/>
    <w:rsid w:val="719B512A"/>
    <w:rsid w:val="71A6685E"/>
    <w:rsid w:val="71A83936"/>
    <w:rsid w:val="71B5A2CD"/>
    <w:rsid w:val="71BCCBC2"/>
    <w:rsid w:val="71BCD193"/>
    <w:rsid w:val="71C1F536"/>
    <w:rsid w:val="71C33E98"/>
    <w:rsid w:val="71C48668"/>
    <w:rsid w:val="71C4C367"/>
    <w:rsid w:val="71C8F40B"/>
    <w:rsid w:val="71E77F95"/>
    <w:rsid w:val="71F79463"/>
    <w:rsid w:val="71F86783"/>
    <w:rsid w:val="71FE2A70"/>
    <w:rsid w:val="72000B2E"/>
    <w:rsid w:val="72023FE1"/>
    <w:rsid w:val="7213AE32"/>
    <w:rsid w:val="7215EFC7"/>
    <w:rsid w:val="721B9671"/>
    <w:rsid w:val="721CDEEB"/>
    <w:rsid w:val="721E6FC4"/>
    <w:rsid w:val="72258698"/>
    <w:rsid w:val="7227FB55"/>
    <w:rsid w:val="7232ED1F"/>
    <w:rsid w:val="7234C68E"/>
    <w:rsid w:val="72376083"/>
    <w:rsid w:val="72506E34"/>
    <w:rsid w:val="7252DCB8"/>
    <w:rsid w:val="7259951C"/>
    <w:rsid w:val="7264ACC7"/>
    <w:rsid w:val="72655FD7"/>
    <w:rsid w:val="726EF8E9"/>
    <w:rsid w:val="727977E2"/>
    <w:rsid w:val="72874AA3"/>
    <w:rsid w:val="72908DB0"/>
    <w:rsid w:val="72923B5B"/>
    <w:rsid w:val="72953028"/>
    <w:rsid w:val="7297FF67"/>
    <w:rsid w:val="72A39F5B"/>
    <w:rsid w:val="72A63BB2"/>
    <w:rsid w:val="72B11093"/>
    <w:rsid w:val="72B61FE3"/>
    <w:rsid w:val="72B74307"/>
    <w:rsid w:val="72B82B5A"/>
    <w:rsid w:val="72CC3AAC"/>
    <w:rsid w:val="72CD8B87"/>
    <w:rsid w:val="72D8587D"/>
    <w:rsid w:val="72E39CE4"/>
    <w:rsid w:val="72E8EB6F"/>
    <w:rsid w:val="72EAAFF6"/>
    <w:rsid w:val="72EF2C9C"/>
    <w:rsid w:val="72FCA17B"/>
    <w:rsid w:val="73066ADB"/>
    <w:rsid w:val="7311015A"/>
    <w:rsid w:val="731AE443"/>
    <w:rsid w:val="731D0EF3"/>
    <w:rsid w:val="7333A2A4"/>
    <w:rsid w:val="7339AE7E"/>
    <w:rsid w:val="733CD087"/>
    <w:rsid w:val="733D2C28"/>
    <w:rsid w:val="73487019"/>
    <w:rsid w:val="7355778B"/>
    <w:rsid w:val="73634AA1"/>
    <w:rsid w:val="736868F0"/>
    <w:rsid w:val="7369B8A3"/>
    <w:rsid w:val="7379D229"/>
    <w:rsid w:val="737AB689"/>
    <w:rsid w:val="737AEA09"/>
    <w:rsid w:val="737E9380"/>
    <w:rsid w:val="73842770"/>
    <w:rsid w:val="738E71AE"/>
    <w:rsid w:val="73968901"/>
    <w:rsid w:val="73B312FD"/>
    <w:rsid w:val="73BC5ED4"/>
    <w:rsid w:val="73CDBDCB"/>
    <w:rsid w:val="73D7AB55"/>
    <w:rsid w:val="73DA5541"/>
    <w:rsid w:val="73E2653F"/>
    <w:rsid w:val="73E97693"/>
    <w:rsid w:val="73F29A7A"/>
    <w:rsid w:val="73FC5BD0"/>
    <w:rsid w:val="73FE3E53"/>
    <w:rsid w:val="73FF840D"/>
    <w:rsid w:val="73FFC7CB"/>
    <w:rsid w:val="740C32EE"/>
    <w:rsid w:val="740E7AF5"/>
    <w:rsid w:val="741062DF"/>
    <w:rsid w:val="7423762C"/>
    <w:rsid w:val="7429B23A"/>
    <w:rsid w:val="7433E5F4"/>
    <w:rsid w:val="743730A2"/>
    <w:rsid w:val="743A4116"/>
    <w:rsid w:val="7441F802"/>
    <w:rsid w:val="74464EC2"/>
    <w:rsid w:val="74507BDA"/>
    <w:rsid w:val="74539B9F"/>
    <w:rsid w:val="745F8A9E"/>
    <w:rsid w:val="7460CE8F"/>
    <w:rsid w:val="74689ADA"/>
    <w:rsid w:val="7479D011"/>
    <w:rsid w:val="747B677D"/>
    <w:rsid w:val="7480A183"/>
    <w:rsid w:val="7483BA46"/>
    <w:rsid w:val="748F42BF"/>
    <w:rsid w:val="749DDF2F"/>
    <w:rsid w:val="74A458BD"/>
    <w:rsid w:val="74A51AF6"/>
    <w:rsid w:val="74A6BAA2"/>
    <w:rsid w:val="74A72191"/>
    <w:rsid w:val="74ABC226"/>
    <w:rsid w:val="74BFB51E"/>
    <w:rsid w:val="74CB8BA8"/>
    <w:rsid w:val="74D342B0"/>
    <w:rsid w:val="74D7716C"/>
    <w:rsid w:val="74DAE95D"/>
    <w:rsid w:val="74DCD0BC"/>
    <w:rsid w:val="74E0623C"/>
    <w:rsid w:val="74EF153F"/>
    <w:rsid w:val="74FB5AC6"/>
    <w:rsid w:val="750B672A"/>
    <w:rsid w:val="750C8D24"/>
    <w:rsid w:val="751343BE"/>
    <w:rsid w:val="75144C93"/>
    <w:rsid w:val="751E5CA0"/>
    <w:rsid w:val="75259114"/>
    <w:rsid w:val="7526616F"/>
    <w:rsid w:val="752A7E05"/>
    <w:rsid w:val="752C93B9"/>
    <w:rsid w:val="75344CBB"/>
    <w:rsid w:val="75345449"/>
    <w:rsid w:val="75380A42"/>
    <w:rsid w:val="754D947F"/>
    <w:rsid w:val="75537D9E"/>
    <w:rsid w:val="7555C643"/>
    <w:rsid w:val="756620B3"/>
    <w:rsid w:val="7568708D"/>
    <w:rsid w:val="756B663D"/>
    <w:rsid w:val="756C9F24"/>
    <w:rsid w:val="756E5B17"/>
    <w:rsid w:val="756FF9F5"/>
    <w:rsid w:val="757539F0"/>
    <w:rsid w:val="757B7397"/>
    <w:rsid w:val="757D084E"/>
    <w:rsid w:val="7580896E"/>
    <w:rsid w:val="75828535"/>
    <w:rsid w:val="75839E5F"/>
    <w:rsid w:val="758546F4"/>
    <w:rsid w:val="758B112B"/>
    <w:rsid w:val="758DB895"/>
    <w:rsid w:val="758E1771"/>
    <w:rsid w:val="758EA8F4"/>
    <w:rsid w:val="75913FC9"/>
    <w:rsid w:val="7594DD1C"/>
    <w:rsid w:val="7598E191"/>
    <w:rsid w:val="759CBC70"/>
    <w:rsid w:val="759ED0FB"/>
    <w:rsid w:val="759F6FA2"/>
    <w:rsid w:val="75A2511D"/>
    <w:rsid w:val="75A59054"/>
    <w:rsid w:val="75AC89D0"/>
    <w:rsid w:val="75AE73A0"/>
    <w:rsid w:val="75B75960"/>
    <w:rsid w:val="75BB86D8"/>
    <w:rsid w:val="75BF0FC4"/>
    <w:rsid w:val="75C84BE5"/>
    <w:rsid w:val="75C92AD4"/>
    <w:rsid w:val="75CED73B"/>
    <w:rsid w:val="75D65FC9"/>
    <w:rsid w:val="75E0ECDD"/>
    <w:rsid w:val="75E135D6"/>
    <w:rsid w:val="75E6B7FD"/>
    <w:rsid w:val="75E7D93D"/>
    <w:rsid w:val="75EAB12B"/>
    <w:rsid w:val="75F52C49"/>
    <w:rsid w:val="75FA20F8"/>
    <w:rsid w:val="75FA93ED"/>
    <w:rsid w:val="75FB76A7"/>
    <w:rsid w:val="75FBBDF5"/>
    <w:rsid w:val="75FD146F"/>
    <w:rsid w:val="760F270B"/>
    <w:rsid w:val="761CC976"/>
    <w:rsid w:val="762C89C6"/>
    <w:rsid w:val="762D0349"/>
    <w:rsid w:val="76340809"/>
    <w:rsid w:val="76370840"/>
    <w:rsid w:val="76373FB0"/>
    <w:rsid w:val="76412D4B"/>
    <w:rsid w:val="76463775"/>
    <w:rsid w:val="76483587"/>
    <w:rsid w:val="764BCCB2"/>
    <w:rsid w:val="765388FB"/>
    <w:rsid w:val="76611F45"/>
    <w:rsid w:val="7662531E"/>
    <w:rsid w:val="7667BC36"/>
    <w:rsid w:val="7667DD79"/>
    <w:rsid w:val="76680761"/>
    <w:rsid w:val="766BE274"/>
    <w:rsid w:val="767BAA59"/>
    <w:rsid w:val="767E029A"/>
    <w:rsid w:val="767F1C73"/>
    <w:rsid w:val="76866328"/>
    <w:rsid w:val="768EA0E3"/>
    <w:rsid w:val="768F6B38"/>
    <w:rsid w:val="76BF58F4"/>
    <w:rsid w:val="76D2E229"/>
    <w:rsid w:val="76D6EACF"/>
    <w:rsid w:val="76E3A648"/>
    <w:rsid w:val="76F0D7F5"/>
    <w:rsid w:val="76F1EF8D"/>
    <w:rsid w:val="770F61C2"/>
    <w:rsid w:val="771C9582"/>
    <w:rsid w:val="771F2F4E"/>
    <w:rsid w:val="77285932"/>
    <w:rsid w:val="7734124F"/>
    <w:rsid w:val="773FAEFE"/>
    <w:rsid w:val="7749DB12"/>
    <w:rsid w:val="774B07CA"/>
    <w:rsid w:val="775184B5"/>
    <w:rsid w:val="775450D5"/>
    <w:rsid w:val="77556D3C"/>
    <w:rsid w:val="7756DF32"/>
    <w:rsid w:val="77640154"/>
    <w:rsid w:val="776A8C26"/>
    <w:rsid w:val="776B72ED"/>
    <w:rsid w:val="776BB9B3"/>
    <w:rsid w:val="77711493"/>
    <w:rsid w:val="7772E2AB"/>
    <w:rsid w:val="777E2663"/>
    <w:rsid w:val="77819D91"/>
    <w:rsid w:val="7784F270"/>
    <w:rsid w:val="778621AE"/>
    <w:rsid w:val="778D5DB8"/>
    <w:rsid w:val="778F7EF3"/>
    <w:rsid w:val="779036B8"/>
    <w:rsid w:val="7790D0D7"/>
    <w:rsid w:val="7791BCA1"/>
    <w:rsid w:val="77929C70"/>
    <w:rsid w:val="7797847A"/>
    <w:rsid w:val="77A0BE4E"/>
    <w:rsid w:val="77B4869F"/>
    <w:rsid w:val="77C5A83B"/>
    <w:rsid w:val="77C69356"/>
    <w:rsid w:val="77C9014E"/>
    <w:rsid w:val="77CB2038"/>
    <w:rsid w:val="77D9E027"/>
    <w:rsid w:val="77E943D4"/>
    <w:rsid w:val="77EDE202"/>
    <w:rsid w:val="77FE525D"/>
    <w:rsid w:val="78193ECE"/>
    <w:rsid w:val="781DA0B8"/>
    <w:rsid w:val="78274112"/>
    <w:rsid w:val="7829DFDC"/>
    <w:rsid w:val="782E14BC"/>
    <w:rsid w:val="782FCF82"/>
    <w:rsid w:val="78351475"/>
    <w:rsid w:val="78379B3B"/>
    <w:rsid w:val="78421E5D"/>
    <w:rsid w:val="78446D6D"/>
    <w:rsid w:val="7849A67F"/>
    <w:rsid w:val="784DBE73"/>
    <w:rsid w:val="784DEC8D"/>
    <w:rsid w:val="785984C7"/>
    <w:rsid w:val="78671055"/>
    <w:rsid w:val="786B173C"/>
    <w:rsid w:val="786E0F7A"/>
    <w:rsid w:val="786F8635"/>
    <w:rsid w:val="78764F9B"/>
    <w:rsid w:val="78793AEA"/>
    <w:rsid w:val="787B468F"/>
    <w:rsid w:val="787D8588"/>
    <w:rsid w:val="787DCF80"/>
    <w:rsid w:val="787F2F14"/>
    <w:rsid w:val="78A4EAC2"/>
    <w:rsid w:val="78A7BBFB"/>
    <w:rsid w:val="78A8F10F"/>
    <w:rsid w:val="78AB3223"/>
    <w:rsid w:val="78AC2F7F"/>
    <w:rsid w:val="78AF0968"/>
    <w:rsid w:val="78C5EE95"/>
    <w:rsid w:val="78C7EB04"/>
    <w:rsid w:val="78CBD108"/>
    <w:rsid w:val="78DF06C8"/>
    <w:rsid w:val="78EFE23D"/>
    <w:rsid w:val="79026422"/>
    <w:rsid w:val="7906F26B"/>
    <w:rsid w:val="793AAB28"/>
    <w:rsid w:val="793AEEBE"/>
    <w:rsid w:val="793F77C2"/>
    <w:rsid w:val="7948FDA6"/>
    <w:rsid w:val="794D9BC5"/>
    <w:rsid w:val="795134BC"/>
    <w:rsid w:val="7958F7E0"/>
    <w:rsid w:val="795B1616"/>
    <w:rsid w:val="795DF8E7"/>
    <w:rsid w:val="7963769A"/>
    <w:rsid w:val="7973EA7F"/>
    <w:rsid w:val="7991E20A"/>
    <w:rsid w:val="7998C377"/>
    <w:rsid w:val="799B490F"/>
    <w:rsid w:val="799EB44D"/>
    <w:rsid w:val="79AF0A49"/>
    <w:rsid w:val="79BC37BA"/>
    <w:rsid w:val="79BEA616"/>
    <w:rsid w:val="79C1BD91"/>
    <w:rsid w:val="79C6AF2B"/>
    <w:rsid w:val="79C94CB2"/>
    <w:rsid w:val="79D28B41"/>
    <w:rsid w:val="79D54DCB"/>
    <w:rsid w:val="79D5701A"/>
    <w:rsid w:val="79DB96D2"/>
    <w:rsid w:val="79EADCF6"/>
    <w:rsid w:val="79F331F3"/>
    <w:rsid w:val="79F79E83"/>
    <w:rsid w:val="79FADEB3"/>
    <w:rsid w:val="7A04EF03"/>
    <w:rsid w:val="7A08061A"/>
    <w:rsid w:val="7A0B68AF"/>
    <w:rsid w:val="7A111CD2"/>
    <w:rsid w:val="7A12FB79"/>
    <w:rsid w:val="7A1894A0"/>
    <w:rsid w:val="7A1EDA53"/>
    <w:rsid w:val="7A21581C"/>
    <w:rsid w:val="7A2333CB"/>
    <w:rsid w:val="7A2A9F9C"/>
    <w:rsid w:val="7A3416C5"/>
    <w:rsid w:val="7A49B766"/>
    <w:rsid w:val="7A51DB32"/>
    <w:rsid w:val="7A78D2FD"/>
    <w:rsid w:val="7A7D91F3"/>
    <w:rsid w:val="7A846ECC"/>
    <w:rsid w:val="7A89278D"/>
    <w:rsid w:val="7A8BBFDA"/>
    <w:rsid w:val="7A963AA9"/>
    <w:rsid w:val="7AA57D49"/>
    <w:rsid w:val="7AAAA54A"/>
    <w:rsid w:val="7ACC2F5B"/>
    <w:rsid w:val="7ACE7A3F"/>
    <w:rsid w:val="7ACF54F0"/>
    <w:rsid w:val="7AE963C9"/>
    <w:rsid w:val="7AF5D90A"/>
    <w:rsid w:val="7AFBC069"/>
    <w:rsid w:val="7AFC37F3"/>
    <w:rsid w:val="7B1269EF"/>
    <w:rsid w:val="7B12BC85"/>
    <w:rsid w:val="7B15ADAC"/>
    <w:rsid w:val="7B15CE8E"/>
    <w:rsid w:val="7B1CD99A"/>
    <w:rsid w:val="7B21EAFF"/>
    <w:rsid w:val="7B2A499C"/>
    <w:rsid w:val="7B302519"/>
    <w:rsid w:val="7B32B436"/>
    <w:rsid w:val="7B340F61"/>
    <w:rsid w:val="7B39B242"/>
    <w:rsid w:val="7B433F30"/>
    <w:rsid w:val="7B47E86C"/>
    <w:rsid w:val="7B4EDDC0"/>
    <w:rsid w:val="7B59D2EE"/>
    <w:rsid w:val="7B5CC699"/>
    <w:rsid w:val="7B60397E"/>
    <w:rsid w:val="7B609FB2"/>
    <w:rsid w:val="7B60F29D"/>
    <w:rsid w:val="7B6B0F4D"/>
    <w:rsid w:val="7B748A78"/>
    <w:rsid w:val="7B7B4C41"/>
    <w:rsid w:val="7B97FCD2"/>
    <w:rsid w:val="7BA04E8A"/>
    <w:rsid w:val="7BB54B2E"/>
    <w:rsid w:val="7BC418B6"/>
    <w:rsid w:val="7BDD139C"/>
    <w:rsid w:val="7BE2935D"/>
    <w:rsid w:val="7BE8E302"/>
    <w:rsid w:val="7BEB1D6F"/>
    <w:rsid w:val="7BFFEC3D"/>
    <w:rsid w:val="7C04959B"/>
    <w:rsid w:val="7C054946"/>
    <w:rsid w:val="7C060F82"/>
    <w:rsid w:val="7C0EF82F"/>
    <w:rsid w:val="7C117DE2"/>
    <w:rsid w:val="7C12E6DF"/>
    <w:rsid w:val="7C1A043C"/>
    <w:rsid w:val="7C1CB132"/>
    <w:rsid w:val="7C1F6EC4"/>
    <w:rsid w:val="7C24BA6E"/>
    <w:rsid w:val="7C284B0B"/>
    <w:rsid w:val="7C29DD87"/>
    <w:rsid w:val="7C33CDAA"/>
    <w:rsid w:val="7C3C2365"/>
    <w:rsid w:val="7C401877"/>
    <w:rsid w:val="7C40C191"/>
    <w:rsid w:val="7C5A9DF3"/>
    <w:rsid w:val="7C64B78E"/>
    <w:rsid w:val="7C76D645"/>
    <w:rsid w:val="7C78C4DE"/>
    <w:rsid w:val="7C78E0FE"/>
    <w:rsid w:val="7C7B5AD0"/>
    <w:rsid w:val="7C8629C4"/>
    <w:rsid w:val="7C869E48"/>
    <w:rsid w:val="7C8FAB48"/>
    <w:rsid w:val="7C991F9D"/>
    <w:rsid w:val="7C9B2300"/>
    <w:rsid w:val="7C9B9A19"/>
    <w:rsid w:val="7C9C379A"/>
    <w:rsid w:val="7CA383D0"/>
    <w:rsid w:val="7CA71B4E"/>
    <w:rsid w:val="7CB5AE02"/>
    <w:rsid w:val="7CB787FC"/>
    <w:rsid w:val="7CC707F1"/>
    <w:rsid w:val="7CCB106A"/>
    <w:rsid w:val="7CCB47D1"/>
    <w:rsid w:val="7CD02F34"/>
    <w:rsid w:val="7CD196FC"/>
    <w:rsid w:val="7CDC1379"/>
    <w:rsid w:val="7CED3C2F"/>
    <w:rsid w:val="7D050A87"/>
    <w:rsid w:val="7D0C0116"/>
    <w:rsid w:val="7D19E403"/>
    <w:rsid w:val="7D224ABB"/>
    <w:rsid w:val="7D2AA404"/>
    <w:rsid w:val="7D32EF21"/>
    <w:rsid w:val="7D3B71B4"/>
    <w:rsid w:val="7D407878"/>
    <w:rsid w:val="7D5E5560"/>
    <w:rsid w:val="7D605E94"/>
    <w:rsid w:val="7D715A5C"/>
    <w:rsid w:val="7D72EA6A"/>
    <w:rsid w:val="7D73EC54"/>
    <w:rsid w:val="7D80D52E"/>
    <w:rsid w:val="7D8162BA"/>
    <w:rsid w:val="7D8FDFD9"/>
    <w:rsid w:val="7D91F49F"/>
    <w:rsid w:val="7D961F92"/>
    <w:rsid w:val="7D9C1E81"/>
    <w:rsid w:val="7DA10F82"/>
    <w:rsid w:val="7DA35145"/>
    <w:rsid w:val="7DA367CF"/>
    <w:rsid w:val="7DAA098B"/>
    <w:rsid w:val="7DADC4BD"/>
    <w:rsid w:val="7DB518AD"/>
    <w:rsid w:val="7DB58A82"/>
    <w:rsid w:val="7DC7DA95"/>
    <w:rsid w:val="7DCB7D43"/>
    <w:rsid w:val="7DD2CFC7"/>
    <w:rsid w:val="7DD38F36"/>
    <w:rsid w:val="7DD65B63"/>
    <w:rsid w:val="7DDE7538"/>
    <w:rsid w:val="7DE66376"/>
    <w:rsid w:val="7DF3AE06"/>
    <w:rsid w:val="7DF6BC58"/>
    <w:rsid w:val="7DFF99D4"/>
    <w:rsid w:val="7E11CCFD"/>
    <w:rsid w:val="7E12A3E5"/>
    <w:rsid w:val="7E16B805"/>
    <w:rsid w:val="7E23F09D"/>
    <w:rsid w:val="7E27B5C4"/>
    <w:rsid w:val="7E282F2F"/>
    <w:rsid w:val="7E2D0F62"/>
    <w:rsid w:val="7E3607E2"/>
    <w:rsid w:val="7E395761"/>
    <w:rsid w:val="7E398292"/>
    <w:rsid w:val="7E39AD3A"/>
    <w:rsid w:val="7E3C0804"/>
    <w:rsid w:val="7E45A31D"/>
    <w:rsid w:val="7E548AB4"/>
    <w:rsid w:val="7E559615"/>
    <w:rsid w:val="7E664EE7"/>
    <w:rsid w:val="7E8D1F91"/>
    <w:rsid w:val="7E8E1D04"/>
    <w:rsid w:val="7E95043B"/>
    <w:rsid w:val="7E990238"/>
    <w:rsid w:val="7E9938FB"/>
    <w:rsid w:val="7EA4963F"/>
    <w:rsid w:val="7EA757DF"/>
    <w:rsid w:val="7EA8D1B2"/>
    <w:rsid w:val="7EAC45DC"/>
    <w:rsid w:val="7ECE0D1F"/>
    <w:rsid w:val="7EE39649"/>
    <w:rsid w:val="7EF6A165"/>
    <w:rsid w:val="7EFC899D"/>
    <w:rsid w:val="7EFF92B0"/>
    <w:rsid w:val="7F0107EE"/>
    <w:rsid w:val="7F02DA3B"/>
    <w:rsid w:val="7F049BD6"/>
    <w:rsid w:val="7F0F6ACA"/>
    <w:rsid w:val="7F118426"/>
    <w:rsid w:val="7F1317D8"/>
    <w:rsid w:val="7F1D0495"/>
    <w:rsid w:val="7F1D858D"/>
    <w:rsid w:val="7F285EF0"/>
    <w:rsid w:val="7F2A82F2"/>
    <w:rsid w:val="7F55B98B"/>
    <w:rsid w:val="7F6CCD6C"/>
    <w:rsid w:val="7F6CD91C"/>
    <w:rsid w:val="7F7B5EFE"/>
    <w:rsid w:val="7F7E6529"/>
    <w:rsid w:val="7F85BA79"/>
    <w:rsid w:val="7F8ADDB1"/>
    <w:rsid w:val="7F8D00F3"/>
    <w:rsid w:val="7F977744"/>
    <w:rsid w:val="7F9E98B5"/>
    <w:rsid w:val="7FA50A02"/>
    <w:rsid w:val="7FAE6452"/>
    <w:rsid w:val="7FB4E60F"/>
    <w:rsid w:val="7FB881CC"/>
    <w:rsid w:val="7FBD11A2"/>
    <w:rsid w:val="7FC4BA81"/>
    <w:rsid w:val="7FCD0EF6"/>
    <w:rsid w:val="7FD5D40B"/>
    <w:rsid w:val="7FD7656C"/>
    <w:rsid w:val="7FDC1F99"/>
    <w:rsid w:val="7FDF23BD"/>
    <w:rsid w:val="7FE4342E"/>
    <w:rsid w:val="7FED76C3"/>
    <w:rsid w:val="7FF03502"/>
    <w:rsid w:val="7FF8052C"/>
    <w:rsid w:val="7FFC72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48CA"/>
  <w15:docId w15:val="{1E7F2FCF-0DB9-45E4-9A0D-77A8E3F5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222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B14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D222C"/>
    <w:pPr>
      <w:spacing w:before="240"/>
      <w:outlineLvl w:val="1"/>
    </w:pPr>
    <w:rPr>
      <w:b/>
      <w:i/>
      <w:kern w:val="28"/>
      <w:sz w:val="28"/>
      <w:szCs w:val="28"/>
    </w:rPr>
  </w:style>
  <w:style w:type="paragraph" w:styleId="Heading3">
    <w:name w:val="heading 3"/>
    <w:basedOn w:val="Normal"/>
    <w:next w:val="Normal"/>
    <w:link w:val="Heading3Char"/>
    <w:uiPriority w:val="9"/>
    <w:unhideWhenUsed/>
    <w:qFormat/>
    <w:rsid w:val="0095384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2C"/>
    <w:rPr>
      <w:rFonts w:ascii="Segoe UI" w:hAnsi="Segoe UI" w:cs="Segoe UI"/>
      <w:sz w:val="18"/>
      <w:szCs w:val="18"/>
    </w:rPr>
  </w:style>
  <w:style w:type="character" w:customStyle="1" w:styleId="Heading2Char">
    <w:name w:val="Heading 2 Char"/>
    <w:basedOn w:val="DefaultParagraphFont"/>
    <w:link w:val="Heading2"/>
    <w:rsid w:val="003D222C"/>
    <w:rPr>
      <w:rFonts w:ascii="Arial" w:eastAsia="Times New Roman" w:hAnsi="Arial" w:cs="Times New Roman"/>
      <w:b/>
      <w:i/>
      <w:kern w:val="28"/>
      <w:sz w:val="28"/>
      <w:szCs w:val="28"/>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ist Paragraph2,L"/>
    <w:basedOn w:val="Normal"/>
    <w:link w:val="ListParagraphChar"/>
    <w:uiPriority w:val="34"/>
    <w:qFormat/>
    <w:rsid w:val="003D222C"/>
    <w:pPr>
      <w:spacing w:after="240"/>
      <w:ind w:left="720"/>
      <w:contextualSpacing/>
    </w:pPr>
    <w:rPr>
      <w:szCs w:val="20"/>
      <w:lang w:eastAsia="en-GB"/>
    </w:rPr>
  </w:style>
  <w:style w:type="character" w:customStyle="1" w:styleId="ListParagraphChar">
    <w:name w:val="List Paragraph Char"/>
    <w:aliases w:val="Recommendatio Char,Párrafo de lista Char,Recommendation Char,OBC Bullet Char,Dot pt Char,F5 List Paragraph Char,List Paragraph1 Char,No Spacing1 Char,List Paragraph Char Char Char Char,Indicator Text Char,Numbered Para 1 Char,L Char"/>
    <w:basedOn w:val="DefaultParagraphFont"/>
    <w:link w:val="ListParagraph"/>
    <w:uiPriority w:val="34"/>
    <w:qFormat/>
    <w:locked/>
    <w:rsid w:val="003D222C"/>
    <w:rPr>
      <w:rFonts w:ascii="Arial" w:eastAsia="Times New Roman" w:hAnsi="Arial" w:cs="Times New Roman"/>
      <w:sz w:val="24"/>
      <w:szCs w:val="20"/>
      <w:lang w:eastAsia="en-GB"/>
    </w:rPr>
  </w:style>
  <w:style w:type="table" w:styleId="TableGrid">
    <w:name w:val="Table Grid"/>
    <w:basedOn w:val="TableNormal"/>
    <w:rsid w:val="003D22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22C"/>
    <w:rPr>
      <w:color w:val="0563C1" w:themeColor="hyperlink"/>
      <w:u w:val="single"/>
    </w:rPr>
  </w:style>
  <w:style w:type="paragraph" w:styleId="Header">
    <w:name w:val="header"/>
    <w:basedOn w:val="Normal"/>
    <w:link w:val="HeaderChar"/>
    <w:uiPriority w:val="99"/>
    <w:unhideWhenUsed/>
    <w:rsid w:val="003D222C"/>
    <w:pPr>
      <w:tabs>
        <w:tab w:val="center" w:pos="4513"/>
        <w:tab w:val="right" w:pos="9026"/>
      </w:tabs>
    </w:pPr>
  </w:style>
  <w:style w:type="character" w:customStyle="1" w:styleId="HeaderChar">
    <w:name w:val="Header Char"/>
    <w:basedOn w:val="DefaultParagraphFont"/>
    <w:link w:val="Header"/>
    <w:uiPriority w:val="99"/>
    <w:rsid w:val="003D222C"/>
    <w:rPr>
      <w:rFonts w:ascii="Arial" w:eastAsia="Times New Roman" w:hAnsi="Arial" w:cs="Times New Roman"/>
      <w:sz w:val="24"/>
      <w:szCs w:val="24"/>
    </w:rPr>
  </w:style>
  <w:style w:type="paragraph" w:styleId="Footer">
    <w:name w:val="footer"/>
    <w:basedOn w:val="Normal"/>
    <w:link w:val="FooterChar"/>
    <w:uiPriority w:val="99"/>
    <w:unhideWhenUsed/>
    <w:rsid w:val="001A4AA4"/>
    <w:pPr>
      <w:tabs>
        <w:tab w:val="center" w:pos="4513"/>
        <w:tab w:val="right" w:pos="9026"/>
      </w:tabs>
    </w:pPr>
  </w:style>
  <w:style w:type="character" w:customStyle="1" w:styleId="FooterChar">
    <w:name w:val="Footer Char"/>
    <w:basedOn w:val="DefaultParagraphFont"/>
    <w:link w:val="Footer"/>
    <w:uiPriority w:val="99"/>
    <w:rsid w:val="001A4AA4"/>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386DFC"/>
    <w:rPr>
      <w:color w:val="605E5C"/>
      <w:shd w:val="clear" w:color="auto" w:fill="E1DFDD"/>
    </w:rPr>
  </w:style>
  <w:style w:type="character" w:styleId="FollowedHyperlink">
    <w:name w:val="FollowedHyperlink"/>
    <w:basedOn w:val="DefaultParagraphFont"/>
    <w:uiPriority w:val="99"/>
    <w:semiHidden/>
    <w:unhideWhenUsed/>
    <w:rsid w:val="001356EA"/>
    <w:rPr>
      <w:color w:val="954F72" w:themeColor="followedHyperlink"/>
      <w:u w:val="single"/>
    </w:rPr>
  </w:style>
  <w:style w:type="paragraph" w:styleId="Revision">
    <w:name w:val="Revision"/>
    <w:hidden/>
    <w:uiPriority w:val="99"/>
    <w:semiHidden/>
    <w:rsid w:val="00FE0B59"/>
    <w:pPr>
      <w:spacing w:after="0" w:line="240" w:lineRule="auto"/>
    </w:pPr>
    <w:rPr>
      <w:rFonts w:ascii="Arial" w:eastAsia="Times New Roman" w:hAnsi="Arial" w:cs="Times New Roman"/>
      <w:sz w:val="24"/>
      <w:szCs w:val="24"/>
    </w:rPr>
  </w:style>
  <w:style w:type="paragraph" w:customStyle="1" w:styleId="BEISTitle">
    <w:name w:val="BEIS Title"/>
    <w:basedOn w:val="Normal"/>
    <w:next w:val="Normal"/>
    <w:rsid w:val="00885BB9"/>
    <w:pPr>
      <w:spacing w:after="240" w:line="320" w:lineRule="atLeast"/>
    </w:pPr>
    <w:rPr>
      <w:rFonts w:eastAsiaTheme="minorHAnsi" w:cstheme="minorBidi"/>
      <w:color w:val="041E42"/>
      <w:sz w:val="76"/>
      <w:szCs w:val="22"/>
    </w:rPr>
  </w:style>
  <w:style w:type="paragraph" w:customStyle="1" w:styleId="BEISDate">
    <w:name w:val="BEIS Date"/>
    <w:basedOn w:val="Normal"/>
    <w:rsid w:val="00090217"/>
    <w:pPr>
      <w:spacing w:line="320" w:lineRule="atLeast"/>
    </w:pPr>
    <w:rPr>
      <w:rFonts w:eastAsiaTheme="minorHAnsi" w:cstheme="minorBidi"/>
      <w:color w:val="868686"/>
      <w:sz w:val="28"/>
      <w:szCs w:val="22"/>
    </w:rPr>
  </w:style>
  <w:style w:type="character" w:customStyle="1" w:styleId="Heading1Char">
    <w:name w:val="Heading 1 Char"/>
    <w:basedOn w:val="DefaultParagraphFont"/>
    <w:link w:val="Heading1"/>
    <w:uiPriority w:val="9"/>
    <w:rsid w:val="001B14B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14BA"/>
    <w:pPr>
      <w:spacing w:line="259" w:lineRule="auto"/>
      <w:outlineLvl w:val="9"/>
    </w:pPr>
    <w:rPr>
      <w:lang w:val="en-US"/>
    </w:rPr>
  </w:style>
  <w:style w:type="paragraph" w:styleId="TOC2">
    <w:name w:val="toc 2"/>
    <w:basedOn w:val="Normal"/>
    <w:next w:val="Normal"/>
    <w:autoRedefine/>
    <w:uiPriority w:val="39"/>
    <w:unhideWhenUsed/>
    <w:rsid w:val="006246DD"/>
    <w:pPr>
      <w:tabs>
        <w:tab w:val="right" w:leader="dot" w:pos="9016"/>
      </w:tabs>
      <w:spacing w:after="100"/>
      <w:ind w:left="240"/>
    </w:pPr>
  </w:style>
  <w:style w:type="paragraph" w:styleId="TOC1">
    <w:name w:val="toc 1"/>
    <w:basedOn w:val="Normal"/>
    <w:next w:val="Normal"/>
    <w:autoRedefine/>
    <w:uiPriority w:val="39"/>
    <w:unhideWhenUsed/>
    <w:rsid w:val="006C516E"/>
    <w:pPr>
      <w:spacing w:after="100"/>
    </w:pPr>
  </w:style>
  <w:style w:type="character" w:customStyle="1" w:styleId="Heading3Char">
    <w:name w:val="Heading 3 Char"/>
    <w:basedOn w:val="DefaultParagraphFont"/>
    <w:link w:val="Heading3"/>
    <w:uiPriority w:val="9"/>
    <w:rsid w:val="00953846"/>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53846"/>
    <w:pPr>
      <w:spacing w:after="100"/>
      <w:ind w:left="480"/>
    </w:pPr>
  </w:style>
  <w:style w:type="character" w:customStyle="1" w:styleId="normaltextrun">
    <w:name w:val="normaltextrun"/>
    <w:basedOn w:val="DefaultParagraphFont"/>
    <w:rsid w:val="00842CF4"/>
  </w:style>
  <w:style w:type="character" w:customStyle="1" w:styleId="eop">
    <w:name w:val="eop"/>
    <w:basedOn w:val="DefaultParagraphFont"/>
    <w:rsid w:val="002D0ED7"/>
  </w:style>
  <w:style w:type="paragraph" w:customStyle="1" w:styleId="paragraph">
    <w:name w:val="paragraph"/>
    <w:basedOn w:val="Normal"/>
    <w:rsid w:val="00AE3FF6"/>
    <w:pPr>
      <w:spacing w:before="100" w:beforeAutospacing="1" w:after="100" w:afterAutospacing="1"/>
    </w:pPr>
    <w:rPr>
      <w:rFonts w:ascii="Times New Roman" w:hAnsi="Times New Roman"/>
      <w:lang w:eastAsia="en-GB"/>
    </w:rPr>
  </w:style>
  <w:style w:type="character" w:customStyle="1" w:styleId="superscript">
    <w:name w:val="superscript"/>
    <w:basedOn w:val="DefaultParagraphFont"/>
    <w:rsid w:val="00AE3FF6"/>
  </w:style>
  <w:style w:type="character" w:styleId="CommentReference">
    <w:name w:val="annotation reference"/>
    <w:basedOn w:val="DefaultParagraphFont"/>
    <w:uiPriority w:val="99"/>
    <w:semiHidden/>
    <w:unhideWhenUsed/>
    <w:rsid w:val="0061581F"/>
    <w:rPr>
      <w:sz w:val="16"/>
      <w:szCs w:val="16"/>
    </w:rPr>
  </w:style>
  <w:style w:type="paragraph" w:styleId="CommentText">
    <w:name w:val="annotation text"/>
    <w:basedOn w:val="Normal"/>
    <w:link w:val="CommentTextChar"/>
    <w:uiPriority w:val="99"/>
    <w:unhideWhenUsed/>
    <w:rsid w:val="0061581F"/>
    <w:rPr>
      <w:sz w:val="20"/>
      <w:szCs w:val="20"/>
    </w:rPr>
  </w:style>
  <w:style w:type="character" w:customStyle="1" w:styleId="CommentTextChar">
    <w:name w:val="Comment Text Char"/>
    <w:basedOn w:val="DefaultParagraphFont"/>
    <w:link w:val="CommentText"/>
    <w:uiPriority w:val="99"/>
    <w:rsid w:val="006158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1581F"/>
    <w:rPr>
      <w:b/>
      <w:bCs/>
    </w:rPr>
  </w:style>
  <w:style w:type="character" w:customStyle="1" w:styleId="CommentSubjectChar">
    <w:name w:val="Comment Subject Char"/>
    <w:basedOn w:val="CommentTextChar"/>
    <w:link w:val="CommentSubject"/>
    <w:uiPriority w:val="99"/>
    <w:semiHidden/>
    <w:rsid w:val="0061581F"/>
    <w:rPr>
      <w:rFonts w:ascii="Arial" w:eastAsia="Times New Roman" w:hAnsi="Arial" w:cs="Times New Roman"/>
      <w:b/>
      <w:bCs/>
      <w:sz w:val="20"/>
      <w:szCs w:val="20"/>
    </w:rPr>
  </w:style>
  <w:style w:type="character" w:styleId="Mention">
    <w:name w:val="Mention"/>
    <w:basedOn w:val="DefaultParagraphFont"/>
    <w:uiPriority w:val="99"/>
    <w:unhideWhenUsed/>
    <w:rsid w:val="00426668"/>
    <w:rPr>
      <w:color w:val="2B579A"/>
      <w:shd w:val="clear" w:color="auto" w:fill="E6E6E6"/>
    </w:rPr>
  </w:style>
  <w:style w:type="character" w:customStyle="1" w:styleId="findhit">
    <w:name w:val="findhit"/>
    <w:basedOn w:val="DefaultParagraphFont"/>
    <w:rsid w:val="0092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4555">
      <w:bodyDiv w:val="1"/>
      <w:marLeft w:val="0"/>
      <w:marRight w:val="0"/>
      <w:marTop w:val="0"/>
      <w:marBottom w:val="0"/>
      <w:divBdr>
        <w:top w:val="none" w:sz="0" w:space="0" w:color="auto"/>
        <w:left w:val="none" w:sz="0" w:space="0" w:color="auto"/>
        <w:bottom w:val="none" w:sz="0" w:space="0" w:color="auto"/>
        <w:right w:val="none" w:sz="0" w:space="0" w:color="auto"/>
      </w:divBdr>
    </w:div>
    <w:div w:id="90856586">
      <w:bodyDiv w:val="1"/>
      <w:marLeft w:val="0"/>
      <w:marRight w:val="0"/>
      <w:marTop w:val="0"/>
      <w:marBottom w:val="0"/>
      <w:divBdr>
        <w:top w:val="none" w:sz="0" w:space="0" w:color="auto"/>
        <w:left w:val="none" w:sz="0" w:space="0" w:color="auto"/>
        <w:bottom w:val="none" w:sz="0" w:space="0" w:color="auto"/>
        <w:right w:val="none" w:sz="0" w:space="0" w:color="auto"/>
      </w:divBdr>
      <w:divsChild>
        <w:div w:id="821851904">
          <w:marLeft w:val="0"/>
          <w:marRight w:val="0"/>
          <w:marTop w:val="0"/>
          <w:marBottom w:val="0"/>
          <w:divBdr>
            <w:top w:val="none" w:sz="0" w:space="0" w:color="auto"/>
            <w:left w:val="none" w:sz="0" w:space="0" w:color="auto"/>
            <w:bottom w:val="none" w:sz="0" w:space="0" w:color="auto"/>
            <w:right w:val="none" w:sz="0" w:space="0" w:color="auto"/>
          </w:divBdr>
        </w:div>
        <w:div w:id="1160734211">
          <w:marLeft w:val="0"/>
          <w:marRight w:val="0"/>
          <w:marTop w:val="0"/>
          <w:marBottom w:val="0"/>
          <w:divBdr>
            <w:top w:val="none" w:sz="0" w:space="0" w:color="auto"/>
            <w:left w:val="none" w:sz="0" w:space="0" w:color="auto"/>
            <w:bottom w:val="none" w:sz="0" w:space="0" w:color="auto"/>
            <w:right w:val="none" w:sz="0" w:space="0" w:color="auto"/>
          </w:divBdr>
        </w:div>
        <w:div w:id="1449542597">
          <w:marLeft w:val="0"/>
          <w:marRight w:val="0"/>
          <w:marTop w:val="0"/>
          <w:marBottom w:val="0"/>
          <w:divBdr>
            <w:top w:val="none" w:sz="0" w:space="0" w:color="auto"/>
            <w:left w:val="none" w:sz="0" w:space="0" w:color="auto"/>
            <w:bottom w:val="none" w:sz="0" w:space="0" w:color="auto"/>
            <w:right w:val="none" w:sz="0" w:space="0" w:color="auto"/>
          </w:divBdr>
        </w:div>
      </w:divsChild>
    </w:div>
    <w:div w:id="220412799">
      <w:bodyDiv w:val="1"/>
      <w:marLeft w:val="0"/>
      <w:marRight w:val="0"/>
      <w:marTop w:val="0"/>
      <w:marBottom w:val="0"/>
      <w:divBdr>
        <w:top w:val="none" w:sz="0" w:space="0" w:color="auto"/>
        <w:left w:val="none" w:sz="0" w:space="0" w:color="auto"/>
        <w:bottom w:val="none" w:sz="0" w:space="0" w:color="auto"/>
        <w:right w:val="none" w:sz="0" w:space="0" w:color="auto"/>
      </w:divBdr>
      <w:divsChild>
        <w:div w:id="2085030329">
          <w:marLeft w:val="0"/>
          <w:marRight w:val="0"/>
          <w:marTop w:val="0"/>
          <w:marBottom w:val="0"/>
          <w:divBdr>
            <w:top w:val="none" w:sz="0" w:space="0" w:color="auto"/>
            <w:left w:val="none" w:sz="0" w:space="0" w:color="auto"/>
            <w:bottom w:val="none" w:sz="0" w:space="0" w:color="auto"/>
            <w:right w:val="none" w:sz="0" w:space="0" w:color="auto"/>
          </w:divBdr>
        </w:div>
      </w:divsChild>
    </w:div>
    <w:div w:id="247889578">
      <w:bodyDiv w:val="1"/>
      <w:marLeft w:val="0"/>
      <w:marRight w:val="0"/>
      <w:marTop w:val="0"/>
      <w:marBottom w:val="0"/>
      <w:divBdr>
        <w:top w:val="none" w:sz="0" w:space="0" w:color="auto"/>
        <w:left w:val="none" w:sz="0" w:space="0" w:color="auto"/>
        <w:bottom w:val="none" w:sz="0" w:space="0" w:color="auto"/>
        <w:right w:val="none" w:sz="0" w:space="0" w:color="auto"/>
      </w:divBdr>
    </w:div>
    <w:div w:id="259338843">
      <w:bodyDiv w:val="1"/>
      <w:marLeft w:val="0"/>
      <w:marRight w:val="0"/>
      <w:marTop w:val="0"/>
      <w:marBottom w:val="0"/>
      <w:divBdr>
        <w:top w:val="none" w:sz="0" w:space="0" w:color="auto"/>
        <w:left w:val="none" w:sz="0" w:space="0" w:color="auto"/>
        <w:bottom w:val="none" w:sz="0" w:space="0" w:color="auto"/>
        <w:right w:val="none" w:sz="0" w:space="0" w:color="auto"/>
      </w:divBdr>
      <w:divsChild>
        <w:div w:id="39475970">
          <w:marLeft w:val="0"/>
          <w:marRight w:val="0"/>
          <w:marTop w:val="0"/>
          <w:marBottom w:val="0"/>
          <w:divBdr>
            <w:top w:val="none" w:sz="0" w:space="0" w:color="auto"/>
            <w:left w:val="none" w:sz="0" w:space="0" w:color="auto"/>
            <w:bottom w:val="none" w:sz="0" w:space="0" w:color="auto"/>
            <w:right w:val="none" w:sz="0" w:space="0" w:color="auto"/>
          </w:divBdr>
        </w:div>
        <w:div w:id="168567630">
          <w:marLeft w:val="0"/>
          <w:marRight w:val="0"/>
          <w:marTop w:val="0"/>
          <w:marBottom w:val="0"/>
          <w:divBdr>
            <w:top w:val="none" w:sz="0" w:space="0" w:color="auto"/>
            <w:left w:val="none" w:sz="0" w:space="0" w:color="auto"/>
            <w:bottom w:val="none" w:sz="0" w:space="0" w:color="auto"/>
            <w:right w:val="none" w:sz="0" w:space="0" w:color="auto"/>
          </w:divBdr>
        </w:div>
        <w:div w:id="234702573">
          <w:marLeft w:val="0"/>
          <w:marRight w:val="0"/>
          <w:marTop w:val="0"/>
          <w:marBottom w:val="0"/>
          <w:divBdr>
            <w:top w:val="none" w:sz="0" w:space="0" w:color="auto"/>
            <w:left w:val="none" w:sz="0" w:space="0" w:color="auto"/>
            <w:bottom w:val="none" w:sz="0" w:space="0" w:color="auto"/>
            <w:right w:val="none" w:sz="0" w:space="0" w:color="auto"/>
          </w:divBdr>
        </w:div>
      </w:divsChild>
    </w:div>
    <w:div w:id="446824940">
      <w:bodyDiv w:val="1"/>
      <w:marLeft w:val="0"/>
      <w:marRight w:val="0"/>
      <w:marTop w:val="0"/>
      <w:marBottom w:val="0"/>
      <w:divBdr>
        <w:top w:val="none" w:sz="0" w:space="0" w:color="auto"/>
        <w:left w:val="none" w:sz="0" w:space="0" w:color="auto"/>
        <w:bottom w:val="none" w:sz="0" w:space="0" w:color="auto"/>
        <w:right w:val="none" w:sz="0" w:space="0" w:color="auto"/>
      </w:divBdr>
      <w:divsChild>
        <w:div w:id="241530377">
          <w:marLeft w:val="0"/>
          <w:marRight w:val="0"/>
          <w:marTop w:val="0"/>
          <w:marBottom w:val="0"/>
          <w:divBdr>
            <w:top w:val="none" w:sz="0" w:space="0" w:color="auto"/>
            <w:left w:val="none" w:sz="0" w:space="0" w:color="auto"/>
            <w:bottom w:val="none" w:sz="0" w:space="0" w:color="auto"/>
            <w:right w:val="none" w:sz="0" w:space="0" w:color="auto"/>
          </w:divBdr>
        </w:div>
        <w:div w:id="314843631">
          <w:marLeft w:val="0"/>
          <w:marRight w:val="0"/>
          <w:marTop w:val="0"/>
          <w:marBottom w:val="0"/>
          <w:divBdr>
            <w:top w:val="none" w:sz="0" w:space="0" w:color="auto"/>
            <w:left w:val="none" w:sz="0" w:space="0" w:color="auto"/>
            <w:bottom w:val="none" w:sz="0" w:space="0" w:color="auto"/>
            <w:right w:val="none" w:sz="0" w:space="0" w:color="auto"/>
          </w:divBdr>
        </w:div>
        <w:div w:id="332800393">
          <w:marLeft w:val="0"/>
          <w:marRight w:val="0"/>
          <w:marTop w:val="0"/>
          <w:marBottom w:val="0"/>
          <w:divBdr>
            <w:top w:val="none" w:sz="0" w:space="0" w:color="auto"/>
            <w:left w:val="none" w:sz="0" w:space="0" w:color="auto"/>
            <w:bottom w:val="none" w:sz="0" w:space="0" w:color="auto"/>
            <w:right w:val="none" w:sz="0" w:space="0" w:color="auto"/>
          </w:divBdr>
        </w:div>
        <w:div w:id="701906105">
          <w:marLeft w:val="0"/>
          <w:marRight w:val="0"/>
          <w:marTop w:val="0"/>
          <w:marBottom w:val="0"/>
          <w:divBdr>
            <w:top w:val="none" w:sz="0" w:space="0" w:color="auto"/>
            <w:left w:val="none" w:sz="0" w:space="0" w:color="auto"/>
            <w:bottom w:val="none" w:sz="0" w:space="0" w:color="auto"/>
            <w:right w:val="none" w:sz="0" w:space="0" w:color="auto"/>
          </w:divBdr>
        </w:div>
        <w:div w:id="1311519319">
          <w:marLeft w:val="0"/>
          <w:marRight w:val="0"/>
          <w:marTop w:val="0"/>
          <w:marBottom w:val="0"/>
          <w:divBdr>
            <w:top w:val="none" w:sz="0" w:space="0" w:color="auto"/>
            <w:left w:val="none" w:sz="0" w:space="0" w:color="auto"/>
            <w:bottom w:val="none" w:sz="0" w:space="0" w:color="auto"/>
            <w:right w:val="none" w:sz="0" w:space="0" w:color="auto"/>
          </w:divBdr>
        </w:div>
        <w:div w:id="1421633958">
          <w:marLeft w:val="0"/>
          <w:marRight w:val="0"/>
          <w:marTop w:val="0"/>
          <w:marBottom w:val="0"/>
          <w:divBdr>
            <w:top w:val="none" w:sz="0" w:space="0" w:color="auto"/>
            <w:left w:val="none" w:sz="0" w:space="0" w:color="auto"/>
            <w:bottom w:val="none" w:sz="0" w:space="0" w:color="auto"/>
            <w:right w:val="none" w:sz="0" w:space="0" w:color="auto"/>
          </w:divBdr>
        </w:div>
        <w:div w:id="1456145368">
          <w:marLeft w:val="0"/>
          <w:marRight w:val="0"/>
          <w:marTop w:val="0"/>
          <w:marBottom w:val="0"/>
          <w:divBdr>
            <w:top w:val="none" w:sz="0" w:space="0" w:color="auto"/>
            <w:left w:val="none" w:sz="0" w:space="0" w:color="auto"/>
            <w:bottom w:val="none" w:sz="0" w:space="0" w:color="auto"/>
            <w:right w:val="none" w:sz="0" w:space="0" w:color="auto"/>
          </w:divBdr>
        </w:div>
        <w:div w:id="1629774060">
          <w:marLeft w:val="0"/>
          <w:marRight w:val="0"/>
          <w:marTop w:val="0"/>
          <w:marBottom w:val="0"/>
          <w:divBdr>
            <w:top w:val="none" w:sz="0" w:space="0" w:color="auto"/>
            <w:left w:val="none" w:sz="0" w:space="0" w:color="auto"/>
            <w:bottom w:val="none" w:sz="0" w:space="0" w:color="auto"/>
            <w:right w:val="none" w:sz="0" w:space="0" w:color="auto"/>
          </w:divBdr>
        </w:div>
        <w:div w:id="1718897118">
          <w:marLeft w:val="0"/>
          <w:marRight w:val="0"/>
          <w:marTop w:val="0"/>
          <w:marBottom w:val="0"/>
          <w:divBdr>
            <w:top w:val="none" w:sz="0" w:space="0" w:color="auto"/>
            <w:left w:val="none" w:sz="0" w:space="0" w:color="auto"/>
            <w:bottom w:val="none" w:sz="0" w:space="0" w:color="auto"/>
            <w:right w:val="none" w:sz="0" w:space="0" w:color="auto"/>
          </w:divBdr>
        </w:div>
        <w:div w:id="1818523208">
          <w:marLeft w:val="0"/>
          <w:marRight w:val="0"/>
          <w:marTop w:val="0"/>
          <w:marBottom w:val="0"/>
          <w:divBdr>
            <w:top w:val="none" w:sz="0" w:space="0" w:color="auto"/>
            <w:left w:val="none" w:sz="0" w:space="0" w:color="auto"/>
            <w:bottom w:val="none" w:sz="0" w:space="0" w:color="auto"/>
            <w:right w:val="none" w:sz="0" w:space="0" w:color="auto"/>
          </w:divBdr>
        </w:div>
        <w:div w:id="1941177829">
          <w:marLeft w:val="0"/>
          <w:marRight w:val="0"/>
          <w:marTop w:val="0"/>
          <w:marBottom w:val="0"/>
          <w:divBdr>
            <w:top w:val="none" w:sz="0" w:space="0" w:color="auto"/>
            <w:left w:val="none" w:sz="0" w:space="0" w:color="auto"/>
            <w:bottom w:val="none" w:sz="0" w:space="0" w:color="auto"/>
            <w:right w:val="none" w:sz="0" w:space="0" w:color="auto"/>
          </w:divBdr>
        </w:div>
      </w:divsChild>
    </w:div>
    <w:div w:id="450057436">
      <w:bodyDiv w:val="1"/>
      <w:marLeft w:val="0"/>
      <w:marRight w:val="0"/>
      <w:marTop w:val="0"/>
      <w:marBottom w:val="0"/>
      <w:divBdr>
        <w:top w:val="none" w:sz="0" w:space="0" w:color="auto"/>
        <w:left w:val="none" w:sz="0" w:space="0" w:color="auto"/>
        <w:bottom w:val="none" w:sz="0" w:space="0" w:color="auto"/>
        <w:right w:val="none" w:sz="0" w:space="0" w:color="auto"/>
      </w:divBdr>
      <w:divsChild>
        <w:div w:id="972715998">
          <w:marLeft w:val="0"/>
          <w:marRight w:val="0"/>
          <w:marTop w:val="0"/>
          <w:marBottom w:val="0"/>
          <w:divBdr>
            <w:top w:val="none" w:sz="0" w:space="0" w:color="auto"/>
            <w:left w:val="none" w:sz="0" w:space="0" w:color="auto"/>
            <w:bottom w:val="none" w:sz="0" w:space="0" w:color="auto"/>
            <w:right w:val="none" w:sz="0" w:space="0" w:color="auto"/>
          </w:divBdr>
        </w:div>
      </w:divsChild>
    </w:div>
    <w:div w:id="518131188">
      <w:bodyDiv w:val="1"/>
      <w:marLeft w:val="0"/>
      <w:marRight w:val="0"/>
      <w:marTop w:val="0"/>
      <w:marBottom w:val="0"/>
      <w:divBdr>
        <w:top w:val="none" w:sz="0" w:space="0" w:color="auto"/>
        <w:left w:val="none" w:sz="0" w:space="0" w:color="auto"/>
        <w:bottom w:val="none" w:sz="0" w:space="0" w:color="auto"/>
        <w:right w:val="none" w:sz="0" w:space="0" w:color="auto"/>
      </w:divBdr>
      <w:divsChild>
        <w:div w:id="775171791">
          <w:marLeft w:val="0"/>
          <w:marRight w:val="0"/>
          <w:marTop w:val="0"/>
          <w:marBottom w:val="0"/>
          <w:divBdr>
            <w:top w:val="none" w:sz="0" w:space="0" w:color="auto"/>
            <w:left w:val="none" w:sz="0" w:space="0" w:color="auto"/>
            <w:bottom w:val="none" w:sz="0" w:space="0" w:color="auto"/>
            <w:right w:val="none" w:sz="0" w:space="0" w:color="auto"/>
          </w:divBdr>
        </w:div>
        <w:div w:id="1546285206">
          <w:marLeft w:val="0"/>
          <w:marRight w:val="0"/>
          <w:marTop w:val="0"/>
          <w:marBottom w:val="0"/>
          <w:divBdr>
            <w:top w:val="none" w:sz="0" w:space="0" w:color="auto"/>
            <w:left w:val="none" w:sz="0" w:space="0" w:color="auto"/>
            <w:bottom w:val="none" w:sz="0" w:space="0" w:color="auto"/>
            <w:right w:val="none" w:sz="0" w:space="0" w:color="auto"/>
          </w:divBdr>
        </w:div>
        <w:div w:id="1629236738">
          <w:marLeft w:val="0"/>
          <w:marRight w:val="0"/>
          <w:marTop w:val="0"/>
          <w:marBottom w:val="0"/>
          <w:divBdr>
            <w:top w:val="none" w:sz="0" w:space="0" w:color="auto"/>
            <w:left w:val="none" w:sz="0" w:space="0" w:color="auto"/>
            <w:bottom w:val="none" w:sz="0" w:space="0" w:color="auto"/>
            <w:right w:val="none" w:sz="0" w:space="0" w:color="auto"/>
          </w:divBdr>
        </w:div>
      </w:divsChild>
    </w:div>
    <w:div w:id="536894166">
      <w:bodyDiv w:val="1"/>
      <w:marLeft w:val="0"/>
      <w:marRight w:val="0"/>
      <w:marTop w:val="0"/>
      <w:marBottom w:val="0"/>
      <w:divBdr>
        <w:top w:val="none" w:sz="0" w:space="0" w:color="auto"/>
        <w:left w:val="none" w:sz="0" w:space="0" w:color="auto"/>
        <w:bottom w:val="none" w:sz="0" w:space="0" w:color="auto"/>
        <w:right w:val="none" w:sz="0" w:space="0" w:color="auto"/>
      </w:divBdr>
      <w:divsChild>
        <w:div w:id="10450353">
          <w:marLeft w:val="0"/>
          <w:marRight w:val="0"/>
          <w:marTop w:val="0"/>
          <w:marBottom w:val="0"/>
          <w:divBdr>
            <w:top w:val="none" w:sz="0" w:space="0" w:color="auto"/>
            <w:left w:val="none" w:sz="0" w:space="0" w:color="auto"/>
            <w:bottom w:val="none" w:sz="0" w:space="0" w:color="auto"/>
            <w:right w:val="none" w:sz="0" w:space="0" w:color="auto"/>
          </w:divBdr>
          <w:divsChild>
            <w:div w:id="1599632766">
              <w:marLeft w:val="0"/>
              <w:marRight w:val="0"/>
              <w:marTop w:val="0"/>
              <w:marBottom w:val="0"/>
              <w:divBdr>
                <w:top w:val="none" w:sz="0" w:space="0" w:color="auto"/>
                <w:left w:val="none" w:sz="0" w:space="0" w:color="auto"/>
                <w:bottom w:val="none" w:sz="0" w:space="0" w:color="auto"/>
                <w:right w:val="none" w:sz="0" w:space="0" w:color="auto"/>
              </w:divBdr>
            </w:div>
          </w:divsChild>
        </w:div>
        <w:div w:id="326785884">
          <w:marLeft w:val="0"/>
          <w:marRight w:val="0"/>
          <w:marTop w:val="0"/>
          <w:marBottom w:val="0"/>
          <w:divBdr>
            <w:top w:val="none" w:sz="0" w:space="0" w:color="auto"/>
            <w:left w:val="none" w:sz="0" w:space="0" w:color="auto"/>
            <w:bottom w:val="none" w:sz="0" w:space="0" w:color="auto"/>
            <w:right w:val="none" w:sz="0" w:space="0" w:color="auto"/>
          </w:divBdr>
          <w:divsChild>
            <w:div w:id="617761764">
              <w:marLeft w:val="0"/>
              <w:marRight w:val="0"/>
              <w:marTop w:val="0"/>
              <w:marBottom w:val="0"/>
              <w:divBdr>
                <w:top w:val="none" w:sz="0" w:space="0" w:color="auto"/>
                <w:left w:val="none" w:sz="0" w:space="0" w:color="auto"/>
                <w:bottom w:val="none" w:sz="0" w:space="0" w:color="auto"/>
                <w:right w:val="none" w:sz="0" w:space="0" w:color="auto"/>
              </w:divBdr>
            </w:div>
          </w:divsChild>
        </w:div>
        <w:div w:id="467093447">
          <w:marLeft w:val="0"/>
          <w:marRight w:val="0"/>
          <w:marTop w:val="0"/>
          <w:marBottom w:val="0"/>
          <w:divBdr>
            <w:top w:val="none" w:sz="0" w:space="0" w:color="auto"/>
            <w:left w:val="none" w:sz="0" w:space="0" w:color="auto"/>
            <w:bottom w:val="none" w:sz="0" w:space="0" w:color="auto"/>
            <w:right w:val="none" w:sz="0" w:space="0" w:color="auto"/>
          </w:divBdr>
          <w:divsChild>
            <w:div w:id="74058947">
              <w:marLeft w:val="0"/>
              <w:marRight w:val="0"/>
              <w:marTop w:val="0"/>
              <w:marBottom w:val="0"/>
              <w:divBdr>
                <w:top w:val="none" w:sz="0" w:space="0" w:color="auto"/>
                <w:left w:val="none" w:sz="0" w:space="0" w:color="auto"/>
                <w:bottom w:val="none" w:sz="0" w:space="0" w:color="auto"/>
                <w:right w:val="none" w:sz="0" w:space="0" w:color="auto"/>
              </w:divBdr>
            </w:div>
            <w:div w:id="478426737">
              <w:marLeft w:val="0"/>
              <w:marRight w:val="0"/>
              <w:marTop w:val="0"/>
              <w:marBottom w:val="0"/>
              <w:divBdr>
                <w:top w:val="none" w:sz="0" w:space="0" w:color="auto"/>
                <w:left w:val="none" w:sz="0" w:space="0" w:color="auto"/>
                <w:bottom w:val="none" w:sz="0" w:space="0" w:color="auto"/>
                <w:right w:val="none" w:sz="0" w:space="0" w:color="auto"/>
              </w:divBdr>
            </w:div>
            <w:div w:id="849948673">
              <w:marLeft w:val="0"/>
              <w:marRight w:val="0"/>
              <w:marTop w:val="0"/>
              <w:marBottom w:val="0"/>
              <w:divBdr>
                <w:top w:val="none" w:sz="0" w:space="0" w:color="auto"/>
                <w:left w:val="none" w:sz="0" w:space="0" w:color="auto"/>
                <w:bottom w:val="none" w:sz="0" w:space="0" w:color="auto"/>
                <w:right w:val="none" w:sz="0" w:space="0" w:color="auto"/>
              </w:divBdr>
            </w:div>
          </w:divsChild>
        </w:div>
        <w:div w:id="485130109">
          <w:marLeft w:val="0"/>
          <w:marRight w:val="0"/>
          <w:marTop w:val="0"/>
          <w:marBottom w:val="0"/>
          <w:divBdr>
            <w:top w:val="none" w:sz="0" w:space="0" w:color="auto"/>
            <w:left w:val="none" w:sz="0" w:space="0" w:color="auto"/>
            <w:bottom w:val="none" w:sz="0" w:space="0" w:color="auto"/>
            <w:right w:val="none" w:sz="0" w:space="0" w:color="auto"/>
          </w:divBdr>
          <w:divsChild>
            <w:div w:id="682976404">
              <w:marLeft w:val="0"/>
              <w:marRight w:val="0"/>
              <w:marTop w:val="0"/>
              <w:marBottom w:val="0"/>
              <w:divBdr>
                <w:top w:val="none" w:sz="0" w:space="0" w:color="auto"/>
                <w:left w:val="none" w:sz="0" w:space="0" w:color="auto"/>
                <w:bottom w:val="none" w:sz="0" w:space="0" w:color="auto"/>
                <w:right w:val="none" w:sz="0" w:space="0" w:color="auto"/>
              </w:divBdr>
            </w:div>
          </w:divsChild>
        </w:div>
        <w:div w:id="501972176">
          <w:marLeft w:val="0"/>
          <w:marRight w:val="0"/>
          <w:marTop w:val="0"/>
          <w:marBottom w:val="0"/>
          <w:divBdr>
            <w:top w:val="none" w:sz="0" w:space="0" w:color="auto"/>
            <w:left w:val="none" w:sz="0" w:space="0" w:color="auto"/>
            <w:bottom w:val="none" w:sz="0" w:space="0" w:color="auto"/>
            <w:right w:val="none" w:sz="0" w:space="0" w:color="auto"/>
          </w:divBdr>
          <w:divsChild>
            <w:div w:id="1462309049">
              <w:marLeft w:val="0"/>
              <w:marRight w:val="0"/>
              <w:marTop w:val="0"/>
              <w:marBottom w:val="0"/>
              <w:divBdr>
                <w:top w:val="none" w:sz="0" w:space="0" w:color="auto"/>
                <w:left w:val="none" w:sz="0" w:space="0" w:color="auto"/>
                <w:bottom w:val="none" w:sz="0" w:space="0" w:color="auto"/>
                <w:right w:val="none" w:sz="0" w:space="0" w:color="auto"/>
              </w:divBdr>
            </w:div>
          </w:divsChild>
        </w:div>
        <w:div w:id="595476513">
          <w:marLeft w:val="0"/>
          <w:marRight w:val="0"/>
          <w:marTop w:val="0"/>
          <w:marBottom w:val="0"/>
          <w:divBdr>
            <w:top w:val="none" w:sz="0" w:space="0" w:color="auto"/>
            <w:left w:val="none" w:sz="0" w:space="0" w:color="auto"/>
            <w:bottom w:val="none" w:sz="0" w:space="0" w:color="auto"/>
            <w:right w:val="none" w:sz="0" w:space="0" w:color="auto"/>
          </w:divBdr>
          <w:divsChild>
            <w:div w:id="1668745698">
              <w:marLeft w:val="0"/>
              <w:marRight w:val="0"/>
              <w:marTop w:val="0"/>
              <w:marBottom w:val="0"/>
              <w:divBdr>
                <w:top w:val="none" w:sz="0" w:space="0" w:color="auto"/>
                <w:left w:val="none" w:sz="0" w:space="0" w:color="auto"/>
                <w:bottom w:val="none" w:sz="0" w:space="0" w:color="auto"/>
                <w:right w:val="none" w:sz="0" w:space="0" w:color="auto"/>
              </w:divBdr>
            </w:div>
          </w:divsChild>
        </w:div>
        <w:div w:id="608661006">
          <w:marLeft w:val="0"/>
          <w:marRight w:val="0"/>
          <w:marTop w:val="0"/>
          <w:marBottom w:val="0"/>
          <w:divBdr>
            <w:top w:val="none" w:sz="0" w:space="0" w:color="auto"/>
            <w:left w:val="none" w:sz="0" w:space="0" w:color="auto"/>
            <w:bottom w:val="none" w:sz="0" w:space="0" w:color="auto"/>
            <w:right w:val="none" w:sz="0" w:space="0" w:color="auto"/>
          </w:divBdr>
          <w:divsChild>
            <w:div w:id="11954538">
              <w:marLeft w:val="0"/>
              <w:marRight w:val="0"/>
              <w:marTop w:val="0"/>
              <w:marBottom w:val="0"/>
              <w:divBdr>
                <w:top w:val="none" w:sz="0" w:space="0" w:color="auto"/>
                <w:left w:val="none" w:sz="0" w:space="0" w:color="auto"/>
                <w:bottom w:val="none" w:sz="0" w:space="0" w:color="auto"/>
                <w:right w:val="none" w:sz="0" w:space="0" w:color="auto"/>
              </w:divBdr>
            </w:div>
          </w:divsChild>
        </w:div>
        <w:div w:id="727456606">
          <w:marLeft w:val="0"/>
          <w:marRight w:val="0"/>
          <w:marTop w:val="0"/>
          <w:marBottom w:val="0"/>
          <w:divBdr>
            <w:top w:val="none" w:sz="0" w:space="0" w:color="auto"/>
            <w:left w:val="none" w:sz="0" w:space="0" w:color="auto"/>
            <w:bottom w:val="none" w:sz="0" w:space="0" w:color="auto"/>
            <w:right w:val="none" w:sz="0" w:space="0" w:color="auto"/>
          </w:divBdr>
          <w:divsChild>
            <w:div w:id="892274009">
              <w:marLeft w:val="0"/>
              <w:marRight w:val="0"/>
              <w:marTop w:val="0"/>
              <w:marBottom w:val="0"/>
              <w:divBdr>
                <w:top w:val="none" w:sz="0" w:space="0" w:color="auto"/>
                <w:left w:val="none" w:sz="0" w:space="0" w:color="auto"/>
                <w:bottom w:val="none" w:sz="0" w:space="0" w:color="auto"/>
                <w:right w:val="none" w:sz="0" w:space="0" w:color="auto"/>
              </w:divBdr>
            </w:div>
          </w:divsChild>
        </w:div>
        <w:div w:id="1245720404">
          <w:marLeft w:val="0"/>
          <w:marRight w:val="0"/>
          <w:marTop w:val="0"/>
          <w:marBottom w:val="0"/>
          <w:divBdr>
            <w:top w:val="none" w:sz="0" w:space="0" w:color="auto"/>
            <w:left w:val="none" w:sz="0" w:space="0" w:color="auto"/>
            <w:bottom w:val="none" w:sz="0" w:space="0" w:color="auto"/>
            <w:right w:val="none" w:sz="0" w:space="0" w:color="auto"/>
          </w:divBdr>
          <w:divsChild>
            <w:div w:id="223487701">
              <w:marLeft w:val="0"/>
              <w:marRight w:val="0"/>
              <w:marTop w:val="0"/>
              <w:marBottom w:val="0"/>
              <w:divBdr>
                <w:top w:val="none" w:sz="0" w:space="0" w:color="auto"/>
                <w:left w:val="none" w:sz="0" w:space="0" w:color="auto"/>
                <w:bottom w:val="none" w:sz="0" w:space="0" w:color="auto"/>
                <w:right w:val="none" w:sz="0" w:space="0" w:color="auto"/>
              </w:divBdr>
            </w:div>
          </w:divsChild>
        </w:div>
        <w:div w:id="1353916619">
          <w:marLeft w:val="0"/>
          <w:marRight w:val="0"/>
          <w:marTop w:val="0"/>
          <w:marBottom w:val="0"/>
          <w:divBdr>
            <w:top w:val="none" w:sz="0" w:space="0" w:color="auto"/>
            <w:left w:val="none" w:sz="0" w:space="0" w:color="auto"/>
            <w:bottom w:val="none" w:sz="0" w:space="0" w:color="auto"/>
            <w:right w:val="none" w:sz="0" w:space="0" w:color="auto"/>
          </w:divBdr>
          <w:divsChild>
            <w:div w:id="1625769601">
              <w:marLeft w:val="0"/>
              <w:marRight w:val="0"/>
              <w:marTop w:val="0"/>
              <w:marBottom w:val="0"/>
              <w:divBdr>
                <w:top w:val="none" w:sz="0" w:space="0" w:color="auto"/>
                <w:left w:val="none" w:sz="0" w:space="0" w:color="auto"/>
                <w:bottom w:val="none" w:sz="0" w:space="0" w:color="auto"/>
                <w:right w:val="none" w:sz="0" w:space="0" w:color="auto"/>
              </w:divBdr>
            </w:div>
          </w:divsChild>
        </w:div>
        <w:div w:id="1356732338">
          <w:marLeft w:val="0"/>
          <w:marRight w:val="0"/>
          <w:marTop w:val="0"/>
          <w:marBottom w:val="0"/>
          <w:divBdr>
            <w:top w:val="none" w:sz="0" w:space="0" w:color="auto"/>
            <w:left w:val="none" w:sz="0" w:space="0" w:color="auto"/>
            <w:bottom w:val="none" w:sz="0" w:space="0" w:color="auto"/>
            <w:right w:val="none" w:sz="0" w:space="0" w:color="auto"/>
          </w:divBdr>
          <w:divsChild>
            <w:div w:id="1885360890">
              <w:marLeft w:val="0"/>
              <w:marRight w:val="0"/>
              <w:marTop w:val="0"/>
              <w:marBottom w:val="0"/>
              <w:divBdr>
                <w:top w:val="none" w:sz="0" w:space="0" w:color="auto"/>
                <w:left w:val="none" w:sz="0" w:space="0" w:color="auto"/>
                <w:bottom w:val="none" w:sz="0" w:space="0" w:color="auto"/>
                <w:right w:val="none" w:sz="0" w:space="0" w:color="auto"/>
              </w:divBdr>
            </w:div>
          </w:divsChild>
        </w:div>
        <w:div w:id="1567958193">
          <w:marLeft w:val="0"/>
          <w:marRight w:val="0"/>
          <w:marTop w:val="0"/>
          <w:marBottom w:val="0"/>
          <w:divBdr>
            <w:top w:val="none" w:sz="0" w:space="0" w:color="auto"/>
            <w:left w:val="none" w:sz="0" w:space="0" w:color="auto"/>
            <w:bottom w:val="none" w:sz="0" w:space="0" w:color="auto"/>
            <w:right w:val="none" w:sz="0" w:space="0" w:color="auto"/>
          </w:divBdr>
          <w:divsChild>
            <w:div w:id="5499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1472">
      <w:bodyDiv w:val="1"/>
      <w:marLeft w:val="0"/>
      <w:marRight w:val="0"/>
      <w:marTop w:val="0"/>
      <w:marBottom w:val="0"/>
      <w:divBdr>
        <w:top w:val="none" w:sz="0" w:space="0" w:color="auto"/>
        <w:left w:val="none" w:sz="0" w:space="0" w:color="auto"/>
        <w:bottom w:val="none" w:sz="0" w:space="0" w:color="auto"/>
        <w:right w:val="none" w:sz="0" w:space="0" w:color="auto"/>
      </w:divBdr>
    </w:div>
    <w:div w:id="607856769">
      <w:bodyDiv w:val="1"/>
      <w:marLeft w:val="0"/>
      <w:marRight w:val="0"/>
      <w:marTop w:val="0"/>
      <w:marBottom w:val="0"/>
      <w:divBdr>
        <w:top w:val="none" w:sz="0" w:space="0" w:color="auto"/>
        <w:left w:val="none" w:sz="0" w:space="0" w:color="auto"/>
        <w:bottom w:val="none" w:sz="0" w:space="0" w:color="auto"/>
        <w:right w:val="none" w:sz="0" w:space="0" w:color="auto"/>
      </w:divBdr>
    </w:div>
    <w:div w:id="704601607">
      <w:bodyDiv w:val="1"/>
      <w:marLeft w:val="0"/>
      <w:marRight w:val="0"/>
      <w:marTop w:val="0"/>
      <w:marBottom w:val="0"/>
      <w:divBdr>
        <w:top w:val="none" w:sz="0" w:space="0" w:color="auto"/>
        <w:left w:val="none" w:sz="0" w:space="0" w:color="auto"/>
        <w:bottom w:val="none" w:sz="0" w:space="0" w:color="auto"/>
        <w:right w:val="none" w:sz="0" w:space="0" w:color="auto"/>
      </w:divBdr>
      <w:divsChild>
        <w:div w:id="278686467">
          <w:marLeft w:val="0"/>
          <w:marRight w:val="0"/>
          <w:marTop w:val="0"/>
          <w:marBottom w:val="0"/>
          <w:divBdr>
            <w:top w:val="none" w:sz="0" w:space="0" w:color="auto"/>
            <w:left w:val="none" w:sz="0" w:space="0" w:color="auto"/>
            <w:bottom w:val="none" w:sz="0" w:space="0" w:color="auto"/>
            <w:right w:val="none" w:sz="0" w:space="0" w:color="auto"/>
          </w:divBdr>
          <w:divsChild>
            <w:div w:id="2052149144">
              <w:marLeft w:val="0"/>
              <w:marRight w:val="0"/>
              <w:marTop w:val="0"/>
              <w:marBottom w:val="0"/>
              <w:divBdr>
                <w:top w:val="none" w:sz="0" w:space="0" w:color="auto"/>
                <w:left w:val="none" w:sz="0" w:space="0" w:color="auto"/>
                <w:bottom w:val="none" w:sz="0" w:space="0" w:color="auto"/>
                <w:right w:val="none" w:sz="0" w:space="0" w:color="auto"/>
              </w:divBdr>
            </w:div>
          </w:divsChild>
        </w:div>
        <w:div w:id="404183763">
          <w:marLeft w:val="0"/>
          <w:marRight w:val="0"/>
          <w:marTop w:val="0"/>
          <w:marBottom w:val="0"/>
          <w:divBdr>
            <w:top w:val="none" w:sz="0" w:space="0" w:color="auto"/>
            <w:left w:val="none" w:sz="0" w:space="0" w:color="auto"/>
            <w:bottom w:val="none" w:sz="0" w:space="0" w:color="auto"/>
            <w:right w:val="none" w:sz="0" w:space="0" w:color="auto"/>
          </w:divBdr>
          <w:divsChild>
            <w:div w:id="2022127213">
              <w:marLeft w:val="0"/>
              <w:marRight w:val="0"/>
              <w:marTop w:val="0"/>
              <w:marBottom w:val="0"/>
              <w:divBdr>
                <w:top w:val="none" w:sz="0" w:space="0" w:color="auto"/>
                <w:left w:val="none" w:sz="0" w:space="0" w:color="auto"/>
                <w:bottom w:val="none" w:sz="0" w:space="0" w:color="auto"/>
                <w:right w:val="none" w:sz="0" w:space="0" w:color="auto"/>
              </w:divBdr>
            </w:div>
          </w:divsChild>
        </w:div>
        <w:div w:id="477966385">
          <w:marLeft w:val="0"/>
          <w:marRight w:val="0"/>
          <w:marTop w:val="0"/>
          <w:marBottom w:val="0"/>
          <w:divBdr>
            <w:top w:val="none" w:sz="0" w:space="0" w:color="auto"/>
            <w:left w:val="none" w:sz="0" w:space="0" w:color="auto"/>
            <w:bottom w:val="none" w:sz="0" w:space="0" w:color="auto"/>
            <w:right w:val="none" w:sz="0" w:space="0" w:color="auto"/>
          </w:divBdr>
          <w:divsChild>
            <w:div w:id="1907645794">
              <w:marLeft w:val="0"/>
              <w:marRight w:val="0"/>
              <w:marTop w:val="0"/>
              <w:marBottom w:val="0"/>
              <w:divBdr>
                <w:top w:val="none" w:sz="0" w:space="0" w:color="auto"/>
                <w:left w:val="none" w:sz="0" w:space="0" w:color="auto"/>
                <w:bottom w:val="none" w:sz="0" w:space="0" w:color="auto"/>
                <w:right w:val="none" w:sz="0" w:space="0" w:color="auto"/>
              </w:divBdr>
            </w:div>
          </w:divsChild>
        </w:div>
        <w:div w:id="478032966">
          <w:marLeft w:val="0"/>
          <w:marRight w:val="0"/>
          <w:marTop w:val="0"/>
          <w:marBottom w:val="0"/>
          <w:divBdr>
            <w:top w:val="none" w:sz="0" w:space="0" w:color="auto"/>
            <w:left w:val="none" w:sz="0" w:space="0" w:color="auto"/>
            <w:bottom w:val="none" w:sz="0" w:space="0" w:color="auto"/>
            <w:right w:val="none" w:sz="0" w:space="0" w:color="auto"/>
          </w:divBdr>
          <w:divsChild>
            <w:div w:id="659237538">
              <w:marLeft w:val="0"/>
              <w:marRight w:val="0"/>
              <w:marTop w:val="0"/>
              <w:marBottom w:val="0"/>
              <w:divBdr>
                <w:top w:val="none" w:sz="0" w:space="0" w:color="auto"/>
                <w:left w:val="none" w:sz="0" w:space="0" w:color="auto"/>
                <w:bottom w:val="none" w:sz="0" w:space="0" w:color="auto"/>
                <w:right w:val="none" w:sz="0" w:space="0" w:color="auto"/>
              </w:divBdr>
            </w:div>
          </w:divsChild>
        </w:div>
        <w:div w:id="530072242">
          <w:marLeft w:val="0"/>
          <w:marRight w:val="0"/>
          <w:marTop w:val="0"/>
          <w:marBottom w:val="0"/>
          <w:divBdr>
            <w:top w:val="none" w:sz="0" w:space="0" w:color="auto"/>
            <w:left w:val="none" w:sz="0" w:space="0" w:color="auto"/>
            <w:bottom w:val="none" w:sz="0" w:space="0" w:color="auto"/>
            <w:right w:val="none" w:sz="0" w:space="0" w:color="auto"/>
          </w:divBdr>
          <w:divsChild>
            <w:div w:id="1693918775">
              <w:marLeft w:val="0"/>
              <w:marRight w:val="0"/>
              <w:marTop w:val="0"/>
              <w:marBottom w:val="0"/>
              <w:divBdr>
                <w:top w:val="none" w:sz="0" w:space="0" w:color="auto"/>
                <w:left w:val="none" w:sz="0" w:space="0" w:color="auto"/>
                <w:bottom w:val="none" w:sz="0" w:space="0" w:color="auto"/>
                <w:right w:val="none" w:sz="0" w:space="0" w:color="auto"/>
              </w:divBdr>
            </w:div>
          </w:divsChild>
        </w:div>
        <w:div w:id="532422766">
          <w:marLeft w:val="0"/>
          <w:marRight w:val="0"/>
          <w:marTop w:val="0"/>
          <w:marBottom w:val="0"/>
          <w:divBdr>
            <w:top w:val="none" w:sz="0" w:space="0" w:color="auto"/>
            <w:left w:val="none" w:sz="0" w:space="0" w:color="auto"/>
            <w:bottom w:val="none" w:sz="0" w:space="0" w:color="auto"/>
            <w:right w:val="none" w:sz="0" w:space="0" w:color="auto"/>
          </w:divBdr>
          <w:divsChild>
            <w:div w:id="1117795559">
              <w:marLeft w:val="0"/>
              <w:marRight w:val="0"/>
              <w:marTop w:val="0"/>
              <w:marBottom w:val="0"/>
              <w:divBdr>
                <w:top w:val="none" w:sz="0" w:space="0" w:color="auto"/>
                <w:left w:val="none" w:sz="0" w:space="0" w:color="auto"/>
                <w:bottom w:val="none" w:sz="0" w:space="0" w:color="auto"/>
                <w:right w:val="none" w:sz="0" w:space="0" w:color="auto"/>
              </w:divBdr>
            </w:div>
          </w:divsChild>
        </w:div>
        <w:div w:id="578561867">
          <w:marLeft w:val="0"/>
          <w:marRight w:val="0"/>
          <w:marTop w:val="0"/>
          <w:marBottom w:val="0"/>
          <w:divBdr>
            <w:top w:val="none" w:sz="0" w:space="0" w:color="auto"/>
            <w:left w:val="none" w:sz="0" w:space="0" w:color="auto"/>
            <w:bottom w:val="none" w:sz="0" w:space="0" w:color="auto"/>
            <w:right w:val="none" w:sz="0" w:space="0" w:color="auto"/>
          </w:divBdr>
          <w:divsChild>
            <w:div w:id="1099638154">
              <w:marLeft w:val="0"/>
              <w:marRight w:val="0"/>
              <w:marTop w:val="0"/>
              <w:marBottom w:val="0"/>
              <w:divBdr>
                <w:top w:val="none" w:sz="0" w:space="0" w:color="auto"/>
                <w:left w:val="none" w:sz="0" w:space="0" w:color="auto"/>
                <w:bottom w:val="none" w:sz="0" w:space="0" w:color="auto"/>
                <w:right w:val="none" w:sz="0" w:space="0" w:color="auto"/>
              </w:divBdr>
            </w:div>
          </w:divsChild>
        </w:div>
        <w:div w:id="608046315">
          <w:marLeft w:val="0"/>
          <w:marRight w:val="0"/>
          <w:marTop w:val="0"/>
          <w:marBottom w:val="0"/>
          <w:divBdr>
            <w:top w:val="none" w:sz="0" w:space="0" w:color="auto"/>
            <w:left w:val="none" w:sz="0" w:space="0" w:color="auto"/>
            <w:bottom w:val="none" w:sz="0" w:space="0" w:color="auto"/>
            <w:right w:val="none" w:sz="0" w:space="0" w:color="auto"/>
          </w:divBdr>
          <w:divsChild>
            <w:div w:id="645359587">
              <w:marLeft w:val="0"/>
              <w:marRight w:val="0"/>
              <w:marTop w:val="0"/>
              <w:marBottom w:val="0"/>
              <w:divBdr>
                <w:top w:val="none" w:sz="0" w:space="0" w:color="auto"/>
                <w:left w:val="none" w:sz="0" w:space="0" w:color="auto"/>
                <w:bottom w:val="none" w:sz="0" w:space="0" w:color="auto"/>
                <w:right w:val="none" w:sz="0" w:space="0" w:color="auto"/>
              </w:divBdr>
            </w:div>
          </w:divsChild>
        </w:div>
        <w:div w:id="611866783">
          <w:marLeft w:val="0"/>
          <w:marRight w:val="0"/>
          <w:marTop w:val="0"/>
          <w:marBottom w:val="0"/>
          <w:divBdr>
            <w:top w:val="none" w:sz="0" w:space="0" w:color="auto"/>
            <w:left w:val="none" w:sz="0" w:space="0" w:color="auto"/>
            <w:bottom w:val="none" w:sz="0" w:space="0" w:color="auto"/>
            <w:right w:val="none" w:sz="0" w:space="0" w:color="auto"/>
          </w:divBdr>
          <w:divsChild>
            <w:div w:id="1695956030">
              <w:marLeft w:val="0"/>
              <w:marRight w:val="0"/>
              <w:marTop w:val="0"/>
              <w:marBottom w:val="0"/>
              <w:divBdr>
                <w:top w:val="none" w:sz="0" w:space="0" w:color="auto"/>
                <w:left w:val="none" w:sz="0" w:space="0" w:color="auto"/>
                <w:bottom w:val="none" w:sz="0" w:space="0" w:color="auto"/>
                <w:right w:val="none" w:sz="0" w:space="0" w:color="auto"/>
              </w:divBdr>
            </w:div>
          </w:divsChild>
        </w:div>
        <w:div w:id="665477153">
          <w:marLeft w:val="0"/>
          <w:marRight w:val="0"/>
          <w:marTop w:val="0"/>
          <w:marBottom w:val="0"/>
          <w:divBdr>
            <w:top w:val="none" w:sz="0" w:space="0" w:color="auto"/>
            <w:left w:val="none" w:sz="0" w:space="0" w:color="auto"/>
            <w:bottom w:val="none" w:sz="0" w:space="0" w:color="auto"/>
            <w:right w:val="none" w:sz="0" w:space="0" w:color="auto"/>
          </w:divBdr>
          <w:divsChild>
            <w:div w:id="154880470">
              <w:marLeft w:val="0"/>
              <w:marRight w:val="0"/>
              <w:marTop w:val="0"/>
              <w:marBottom w:val="0"/>
              <w:divBdr>
                <w:top w:val="none" w:sz="0" w:space="0" w:color="auto"/>
                <w:left w:val="none" w:sz="0" w:space="0" w:color="auto"/>
                <w:bottom w:val="none" w:sz="0" w:space="0" w:color="auto"/>
                <w:right w:val="none" w:sz="0" w:space="0" w:color="auto"/>
              </w:divBdr>
            </w:div>
          </w:divsChild>
        </w:div>
        <w:div w:id="671296103">
          <w:marLeft w:val="0"/>
          <w:marRight w:val="0"/>
          <w:marTop w:val="0"/>
          <w:marBottom w:val="0"/>
          <w:divBdr>
            <w:top w:val="none" w:sz="0" w:space="0" w:color="auto"/>
            <w:left w:val="none" w:sz="0" w:space="0" w:color="auto"/>
            <w:bottom w:val="none" w:sz="0" w:space="0" w:color="auto"/>
            <w:right w:val="none" w:sz="0" w:space="0" w:color="auto"/>
          </w:divBdr>
          <w:divsChild>
            <w:div w:id="1490167755">
              <w:marLeft w:val="0"/>
              <w:marRight w:val="0"/>
              <w:marTop w:val="0"/>
              <w:marBottom w:val="0"/>
              <w:divBdr>
                <w:top w:val="none" w:sz="0" w:space="0" w:color="auto"/>
                <w:left w:val="none" w:sz="0" w:space="0" w:color="auto"/>
                <w:bottom w:val="none" w:sz="0" w:space="0" w:color="auto"/>
                <w:right w:val="none" w:sz="0" w:space="0" w:color="auto"/>
              </w:divBdr>
            </w:div>
          </w:divsChild>
        </w:div>
        <w:div w:id="805204276">
          <w:marLeft w:val="0"/>
          <w:marRight w:val="0"/>
          <w:marTop w:val="0"/>
          <w:marBottom w:val="0"/>
          <w:divBdr>
            <w:top w:val="none" w:sz="0" w:space="0" w:color="auto"/>
            <w:left w:val="none" w:sz="0" w:space="0" w:color="auto"/>
            <w:bottom w:val="none" w:sz="0" w:space="0" w:color="auto"/>
            <w:right w:val="none" w:sz="0" w:space="0" w:color="auto"/>
          </w:divBdr>
          <w:divsChild>
            <w:div w:id="1298947053">
              <w:marLeft w:val="0"/>
              <w:marRight w:val="0"/>
              <w:marTop w:val="0"/>
              <w:marBottom w:val="0"/>
              <w:divBdr>
                <w:top w:val="none" w:sz="0" w:space="0" w:color="auto"/>
                <w:left w:val="none" w:sz="0" w:space="0" w:color="auto"/>
                <w:bottom w:val="none" w:sz="0" w:space="0" w:color="auto"/>
                <w:right w:val="none" w:sz="0" w:space="0" w:color="auto"/>
              </w:divBdr>
            </w:div>
          </w:divsChild>
        </w:div>
        <w:div w:id="823355059">
          <w:marLeft w:val="0"/>
          <w:marRight w:val="0"/>
          <w:marTop w:val="0"/>
          <w:marBottom w:val="0"/>
          <w:divBdr>
            <w:top w:val="none" w:sz="0" w:space="0" w:color="auto"/>
            <w:left w:val="none" w:sz="0" w:space="0" w:color="auto"/>
            <w:bottom w:val="none" w:sz="0" w:space="0" w:color="auto"/>
            <w:right w:val="none" w:sz="0" w:space="0" w:color="auto"/>
          </w:divBdr>
          <w:divsChild>
            <w:div w:id="1910729807">
              <w:marLeft w:val="0"/>
              <w:marRight w:val="0"/>
              <w:marTop w:val="0"/>
              <w:marBottom w:val="0"/>
              <w:divBdr>
                <w:top w:val="none" w:sz="0" w:space="0" w:color="auto"/>
                <w:left w:val="none" w:sz="0" w:space="0" w:color="auto"/>
                <w:bottom w:val="none" w:sz="0" w:space="0" w:color="auto"/>
                <w:right w:val="none" w:sz="0" w:space="0" w:color="auto"/>
              </w:divBdr>
            </w:div>
          </w:divsChild>
        </w:div>
        <w:div w:id="848443051">
          <w:marLeft w:val="0"/>
          <w:marRight w:val="0"/>
          <w:marTop w:val="0"/>
          <w:marBottom w:val="0"/>
          <w:divBdr>
            <w:top w:val="none" w:sz="0" w:space="0" w:color="auto"/>
            <w:left w:val="none" w:sz="0" w:space="0" w:color="auto"/>
            <w:bottom w:val="none" w:sz="0" w:space="0" w:color="auto"/>
            <w:right w:val="none" w:sz="0" w:space="0" w:color="auto"/>
          </w:divBdr>
          <w:divsChild>
            <w:div w:id="1564481679">
              <w:marLeft w:val="0"/>
              <w:marRight w:val="0"/>
              <w:marTop w:val="0"/>
              <w:marBottom w:val="0"/>
              <w:divBdr>
                <w:top w:val="none" w:sz="0" w:space="0" w:color="auto"/>
                <w:left w:val="none" w:sz="0" w:space="0" w:color="auto"/>
                <w:bottom w:val="none" w:sz="0" w:space="0" w:color="auto"/>
                <w:right w:val="none" w:sz="0" w:space="0" w:color="auto"/>
              </w:divBdr>
            </w:div>
          </w:divsChild>
        </w:div>
        <w:div w:id="955600461">
          <w:marLeft w:val="0"/>
          <w:marRight w:val="0"/>
          <w:marTop w:val="0"/>
          <w:marBottom w:val="0"/>
          <w:divBdr>
            <w:top w:val="none" w:sz="0" w:space="0" w:color="auto"/>
            <w:left w:val="none" w:sz="0" w:space="0" w:color="auto"/>
            <w:bottom w:val="none" w:sz="0" w:space="0" w:color="auto"/>
            <w:right w:val="none" w:sz="0" w:space="0" w:color="auto"/>
          </w:divBdr>
          <w:divsChild>
            <w:div w:id="2076273466">
              <w:marLeft w:val="0"/>
              <w:marRight w:val="0"/>
              <w:marTop w:val="0"/>
              <w:marBottom w:val="0"/>
              <w:divBdr>
                <w:top w:val="none" w:sz="0" w:space="0" w:color="auto"/>
                <w:left w:val="none" w:sz="0" w:space="0" w:color="auto"/>
                <w:bottom w:val="none" w:sz="0" w:space="0" w:color="auto"/>
                <w:right w:val="none" w:sz="0" w:space="0" w:color="auto"/>
              </w:divBdr>
            </w:div>
          </w:divsChild>
        </w:div>
        <w:div w:id="1020199181">
          <w:marLeft w:val="0"/>
          <w:marRight w:val="0"/>
          <w:marTop w:val="0"/>
          <w:marBottom w:val="0"/>
          <w:divBdr>
            <w:top w:val="none" w:sz="0" w:space="0" w:color="auto"/>
            <w:left w:val="none" w:sz="0" w:space="0" w:color="auto"/>
            <w:bottom w:val="none" w:sz="0" w:space="0" w:color="auto"/>
            <w:right w:val="none" w:sz="0" w:space="0" w:color="auto"/>
          </w:divBdr>
          <w:divsChild>
            <w:div w:id="1544445883">
              <w:marLeft w:val="0"/>
              <w:marRight w:val="0"/>
              <w:marTop w:val="0"/>
              <w:marBottom w:val="0"/>
              <w:divBdr>
                <w:top w:val="none" w:sz="0" w:space="0" w:color="auto"/>
                <w:left w:val="none" w:sz="0" w:space="0" w:color="auto"/>
                <w:bottom w:val="none" w:sz="0" w:space="0" w:color="auto"/>
                <w:right w:val="none" w:sz="0" w:space="0" w:color="auto"/>
              </w:divBdr>
            </w:div>
          </w:divsChild>
        </w:div>
        <w:div w:id="1053624240">
          <w:marLeft w:val="0"/>
          <w:marRight w:val="0"/>
          <w:marTop w:val="0"/>
          <w:marBottom w:val="0"/>
          <w:divBdr>
            <w:top w:val="none" w:sz="0" w:space="0" w:color="auto"/>
            <w:left w:val="none" w:sz="0" w:space="0" w:color="auto"/>
            <w:bottom w:val="none" w:sz="0" w:space="0" w:color="auto"/>
            <w:right w:val="none" w:sz="0" w:space="0" w:color="auto"/>
          </w:divBdr>
          <w:divsChild>
            <w:div w:id="600917202">
              <w:marLeft w:val="0"/>
              <w:marRight w:val="0"/>
              <w:marTop w:val="0"/>
              <w:marBottom w:val="0"/>
              <w:divBdr>
                <w:top w:val="none" w:sz="0" w:space="0" w:color="auto"/>
                <w:left w:val="none" w:sz="0" w:space="0" w:color="auto"/>
                <w:bottom w:val="none" w:sz="0" w:space="0" w:color="auto"/>
                <w:right w:val="none" w:sz="0" w:space="0" w:color="auto"/>
              </w:divBdr>
            </w:div>
          </w:divsChild>
        </w:div>
        <w:div w:id="1170558016">
          <w:marLeft w:val="0"/>
          <w:marRight w:val="0"/>
          <w:marTop w:val="0"/>
          <w:marBottom w:val="0"/>
          <w:divBdr>
            <w:top w:val="none" w:sz="0" w:space="0" w:color="auto"/>
            <w:left w:val="none" w:sz="0" w:space="0" w:color="auto"/>
            <w:bottom w:val="none" w:sz="0" w:space="0" w:color="auto"/>
            <w:right w:val="none" w:sz="0" w:space="0" w:color="auto"/>
          </w:divBdr>
          <w:divsChild>
            <w:div w:id="1253006441">
              <w:marLeft w:val="0"/>
              <w:marRight w:val="0"/>
              <w:marTop w:val="0"/>
              <w:marBottom w:val="0"/>
              <w:divBdr>
                <w:top w:val="none" w:sz="0" w:space="0" w:color="auto"/>
                <w:left w:val="none" w:sz="0" w:space="0" w:color="auto"/>
                <w:bottom w:val="none" w:sz="0" w:space="0" w:color="auto"/>
                <w:right w:val="none" w:sz="0" w:space="0" w:color="auto"/>
              </w:divBdr>
            </w:div>
          </w:divsChild>
        </w:div>
        <w:div w:id="1239484949">
          <w:marLeft w:val="0"/>
          <w:marRight w:val="0"/>
          <w:marTop w:val="0"/>
          <w:marBottom w:val="0"/>
          <w:divBdr>
            <w:top w:val="none" w:sz="0" w:space="0" w:color="auto"/>
            <w:left w:val="none" w:sz="0" w:space="0" w:color="auto"/>
            <w:bottom w:val="none" w:sz="0" w:space="0" w:color="auto"/>
            <w:right w:val="none" w:sz="0" w:space="0" w:color="auto"/>
          </w:divBdr>
          <w:divsChild>
            <w:div w:id="2027439764">
              <w:marLeft w:val="0"/>
              <w:marRight w:val="0"/>
              <w:marTop w:val="0"/>
              <w:marBottom w:val="0"/>
              <w:divBdr>
                <w:top w:val="none" w:sz="0" w:space="0" w:color="auto"/>
                <w:left w:val="none" w:sz="0" w:space="0" w:color="auto"/>
                <w:bottom w:val="none" w:sz="0" w:space="0" w:color="auto"/>
                <w:right w:val="none" w:sz="0" w:space="0" w:color="auto"/>
              </w:divBdr>
            </w:div>
          </w:divsChild>
        </w:div>
        <w:div w:id="1246842310">
          <w:marLeft w:val="0"/>
          <w:marRight w:val="0"/>
          <w:marTop w:val="0"/>
          <w:marBottom w:val="0"/>
          <w:divBdr>
            <w:top w:val="none" w:sz="0" w:space="0" w:color="auto"/>
            <w:left w:val="none" w:sz="0" w:space="0" w:color="auto"/>
            <w:bottom w:val="none" w:sz="0" w:space="0" w:color="auto"/>
            <w:right w:val="none" w:sz="0" w:space="0" w:color="auto"/>
          </w:divBdr>
          <w:divsChild>
            <w:div w:id="1805808850">
              <w:marLeft w:val="0"/>
              <w:marRight w:val="0"/>
              <w:marTop w:val="0"/>
              <w:marBottom w:val="0"/>
              <w:divBdr>
                <w:top w:val="none" w:sz="0" w:space="0" w:color="auto"/>
                <w:left w:val="none" w:sz="0" w:space="0" w:color="auto"/>
                <w:bottom w:val="none" w:sz="0" w:space="0" w:color="auto"/>
                <w:right w:val="none" w:sz="0" w:space="0" w:color="auto"/>
              </w:divBdr>
            </w:div>
          </w:divsChild>
        </w:div>
        <w:div w:id="1288706171">
          <w:marLeft w:val="0"/>
          <w:marRight w:val="0"/>
          <w:marTop w:val="0"/>
          <w:marBottom w:val="0"/>
          <w:divBdr>
            <w:top w:val="none" w:sz="0" w:space="0" w:color="auto"/>
            <w:left w:val="none" w:sz="0" w:space="0" w:color="auto"/>
            <w:bottom w:val="none" w:sz="0" w:space="0" w:color="auto"/>
            <w:right w:val="none" w:sz="0" w:space="0" w:color="auto"/>
          </w:divBdr>
          <w:divsChild>
            <w:div w:id="1898396438">
              <w:marLeft w:val="0"/>
              <w:marRight w:val="0"/>
              <w:marTop w:val="0"/>
              <w:marBottom w:val="0"/>
              <w:divBdr>
                <w:top w:val="none" w:sz="0" w:space="0" w:color="auto"/>
                <w:left w:val="none" w:sz="0" w:space="0" w:color="auto"/>
                <w:bottom w:val="none" w:sz="0" w:space="0" w:color="auto"/>
                <w:right w:val="none" w:sz="0" w:space="0" w:color="auto"/>
              </w:divBdr>
            </w:div>
          </w:divsChild>
        </w:div>
        <w:div w:id="1346132209">
          <w:marLeft w:val="0"/>
          <w:marRight w:val="0"/>
          <w:marTop w:val="0"/>
          <w:marBottom w:val="0"/>
          <w:divBdr>
            <w:top w:val="none" w:sz="0" w:space="0" w:color="auto"/>
            <w:left w:val="none" w:sz="0" w:space="0" w:color="auto"/>
            <w:bottom w:val="none" w:sz="0" w:space="0" w:color="auto"/>
            <w:right w:val="none" w:sz="0" w:space="0" w:color="auto"/>
          </w:divBdr>
          <w:divsChild>
            <w:div w:id="242763916">
              <w:marLeft w:val="0"/>
              <w:marRight w:val="0"/>
              <w:marTop w:val="0"/>
              <w:marBottom w:val="0"/>
              <w:divBdr>
                <w:top w:val="none" w:sz="0" w:space="0" w:color="auto"/>
                <w:left w:val="none" w:sz="0" w:space="0" w:color="auto"/>
                <w:bottom w:val="none" w:sz="0" w:space="0" w:color="auto"/>
                <w:right w:val="none" w:sz="0" w:space="0" w:color="auto"/>
              </w:divBdr>
            </w:div>
          </w:divsChild>
        </w:div>
        <w:div w:id="1380589083">
          <w:marLeft w:val="0"/>
          <w:marRight w:val="0"/>
          <w:marTop w:val="0"/>
          <w:marBottom w:val="0"/>
          <w:divBdr>
            <w:top w:val="none" w:sz="0" w:space="0" w:color="auto"/>
            <w:left w:val="none" w:sz="0" w:space="0" w:color="auto"/>
            <w:bottom w:val="none" w:sz="0" w:space="0" w:color="auto"/>
            <w:right w:val="none" w:sz="0" w:space="0" w:color="auto"/>
          </w:divBdr>
          <w:divsChild>
            <w:div w:id="916285820">
              <w:marLeft w:val="0"/>
              <w:marRight w:val="0"/>
              <w:marTop w:val="0"/>
              <w:marBottom w:val="0"/>
              <w:divBdr>
                <w:top w:val="none" w:sz="0" w:space="0" w:color="auto"/>
                <w:left w:val="none" w:sz="0" w:space="0" w:color="auto"/>
                <w:bottom w:val="none" w:sz="0" w:space="0" w:color="auto"/>
                <w:right w:val="none" w:sz="0" w:space="0" w:color="auto"/>
              </w:divBdr>
            </w:div>
          </w:divsChild>
        </w:div>
        <w:div w:id="1442531849">
          <w:marLeft w:val="0"/>
          <w:marRight w:val="0"/>
          <w:marTop w:val="0"/>
          <w:marBottom w:val="0"/>
          <w:divBdr>
            <w:top w:val="none" w:sz="0" w:space="0" w:color="auto"/>
            <w:left w:val="none" w:sz="0" w:space="0" w:color="auto"/>
            <w:bottom w:val="none" w:sz="0" w:space="0" w:color="auto"/>
            <w:right w:val="none" w:sz="0" w:space="0" w:color="auto"/>
          </w:divBdr>
          <w:divsChild>
            <w:div w:id="1195650927">
              <w:marLeft w:val="0"/>
              <w:marRight w:val="0"/>
              <w:marTop w:val="0"/>
              <w:marBottom w:val="0"/>
              <w:divBdr>
                <w:top w:val="none" w:sz="0" w:space="0" w:color="auto"/>
                <w:left w:val="none" w:sz="0" w:space="0" w:color="auto"/>
                <w:bottom w:val="none" w:sz="0" w:space="0" w:color="auto"/>
                <w:right w:val="none" w:sz="0" w:space="0" w:color="auto"/>
              </w:divBdr>
            </w:div>
          </w:divsChild>
        </w:div>
        <w:div w:id="1513031198">
          <w:marLeft w:val="0"/>
          <w:marRight w:val="0"/>
          <w:marTop w:val="0"/>
          <w:marBottom w:val="0"/>
          <w:divBdr>
            <w:top w:val="none" w:sz="0" w:space="0" w:color="auto"/>
            <w:left w:val="none" w:sz="0" w:space="0" w:color="auto"/>
            <w:bottom w:val="none" w:sz="0" w:space="0" w:color="auto"/>
            <w:right w:val="none" w:sz="0" w:space="0" w:color="auto"/>
          </w:divBdr>
          <w:divsChild>
            <w:div w:id="920219114">
              <w:marLeft w:val="0"/>
              <w:marRight w:val="0"/>
              <w:marTop w:val="0"/>
              <w:marBottom w:val="0"/>
              <w:divBdr>
                <w:top w:val="none" w:sz="0" w:space="0" w:color="auto"/>
                <w:left w:val="none" w:sz="0" w:space="0" w:color="auto"/>
                <w:bottom w:val="none" w:sz="0" w:space="0" w:color="auto"/>
                <w:right w:val="none" w:sz="0" w:space="0" w:color="auto"/>
              </w:divBdr>
            </w:div>
          </w:divsChild>
        </w:div>
        <w:div w:id="1534222259">
          <w:marLeft w:val="0"/>
          <w:marRight w:val="0"/>
          <w:marTop w:val="0"/>
          <w:marBottom w:val="0"/>
          <w:divBdr>
            <w:top w:val="none" w:sz="0" w:space="0" w:color="auto"/>
            <w:left w:val="none" w:sz="0" w:space="0" w:color="auto"/>
            <w:bottom w:val="none" w:sz="0" w:space="0" w:color="auto"/>
            <w:right w:val="none" w:sz="0" w:space="0" w:color="auto"/>
          </w:divBdr>
          <w:divsChild>
            <w:div w:id="1073967665">
              <w:marLeft w:val="0"/>
              <w:marRight w:val="0"/>
              <w:marTop w:val="0"/>
              <w:marBottom w:val="0"/>
              <w:divBdr>
                <w:top w:val="none" w:sz="0" w:space="0" w:color="auto"/>
                <w:left w:val="none" w:sz="0" w:space="0" w:color="auto"/>
                <w:bottom w:val="none" w:sz="0" w:space="0" w:color="auto"/>
                <w:right w:val="none" w:sz="0" w:space="0" w:color="auto"/>
              </w:divBdr>
            </w:div>
          </w:divsChild>
        </w:div>
        <w:div w:id="1540313131">
          <w:marLeft w:val="0"/>
          <w:marRight w:val="0"/>
          <w:marTop w:val="0"/>
          <w:marBottom w:val="0"/>
          <w:divBdr>
            <w:top w:val="none" w:sz="0" w:space="0" w:color="auto"/>
            <w:left w:val="none" w:sz="0" w:space="0" w:color="auto"/>
            <w:bottom w:val="none" w:sz="0" w:space="0" w:color="auto"/>
            <w:right w:val="none" w:sz="0" w:space="0" w:color="auto"/>
          </w:divBdr>
          <w:divsChild>
            <w:div w:id="1327632834">
              <w:marLeft w:val="0"/>
              <w:marRight w:val="0"/>
              <w:marTop w:val="0"/>
              <w:marBottom w:val="0"/>
              <w:divBdr>
                <w:top w:val="none" w:sz="0" w:space="0" w:color="auto"/>
                <w:left w:val="none" w:sz="0" w:space="0" w:color="auto"/>
                <w:bottom w:val="none" w:sz="0" w:space="0" w:color="auto"/>
                <w:right w:val="none" w:sz="0" w:space="0" w:color="auto"/>
              </w:divBdr>
            </w:div>
          </w:divsChild>
        </w:div>
        <w:div w:id="1599486321">
          <w:marLeft w:val="0"/>
          <w:marRight w:val="0"/>
          <w:marTop w:val="0"/>
          <w:marBottom w:val="0"/>
          <w:divBdr>
            <w:top w:val="none" w:sz="0" w:space="0" w:color="auto"/>
            <w:left w:val="none" w:sz="0" w:space="0" w:color="auto"/>
            <w:bottom w:val="none" w:sz="0" w:space="0" w:color="auto"/>
            <w:right w:val="none" w:sz="0" w:space="0" w:color="auto"/>
          </w:divBdr>
          <w:divsChild>
            <w:div w:id="835071782">
              <w:marLeft w:val="0"/>
              <w:marRight w:val="0"/>
              <w:marTop w:val="0"/>
              <w:marBottom w:val="0"/>
              <w:divBdr>
                <w:top w:val="none" w:sz="0" w:space="0" w:color="auto"/>
                <w:left w:val="none" w:sz="0" w:space="0" w:color="auto"/>
                <w:bottom w:val="none" w:sz="0" w:space="0" w:color="auto"/>
                <w:right w:val="none" w:sz="0" w:space="0" w:color="auto"/>
              </w:divBdr>
            </w:div>
          </w:divsChild>
        </w:div>
        <w:div w:id="1657759521">
          <w:marLeft w:val="0"/>
          <w:marRight w:val="0"/>
          <w:marTop w:val="0"/>
          <w:marBottom w:val="0"/>
          <w:divBdr>
            <w:top w:val="none" w:sz="0" w:space="0" w:color="auto"/>
            <w:left w:val="none" w:sz="0" w:space="0" w:color="auto"/>
            <w:bottom w:val="none" w:sz="0" w:space="0" w:color="auto"/>
            <w:right w:val="none" w:sz="0" w:space="0" w:color="auto"/>
          </w:divBdr>
          <w:divsChild>
            <w:div w:id="1644045203">
              <w:marLeft w:val="0"/>
              <w:marRight w:val="0"/>
              <w:marTop w:val="0"/>
              <w:marBottom w:val="0"/>
              <w:divBdr>
                <w:top w:val="none" w:sz="0" w:space="0" w:color="auto"/>
                <w:left w:val="none" w:sz="0" w:space="0" w:color="auto"/>
                <w:bottom w:val="none" w:sz="0" w:space="0" w:color="auto"/>
                <w:right w:val="none" w:sz="0" w:space="0" w:color="auto"/>
              </w:divBdr>
            </w:div>
          </w:divsChild>
        </w:div>
        <w:div w:id="1660498483">
          <w:marLeft w:val="0"/>
          <w:marRight w:val="0"/>
          <w:marTop w:val="0"/>
          <w:marBottom w:val="0"/>
          <w:divBdr>
            <w:top w:val="none" w:sz="0" w:space="0" w:color="auto"/>
            <w:left w:val="none" w:sz="0" w:space="0" w:color="auto"/>
            <w:bottom w:val="none" w:sz="0" w:space="0" w:color="auto"/>
            <w:right w:val="none" w:sz="0" w:space="0" w:color="auto"/>
          </w:divBdr>
          <w:divsChild>
            <w:div w:id="1626690228">
              <w:marLeft w:val="0"/>
              <w:marRight w:val="0"/>
              <w:marTop w:val="0"/>
              <w:marBottom w:val="0"/>
              <w:divBdr>
                <w:top w:val="none" w:sz="0" w:space="0" w:color="auto"/>
                <w:left w:val="none" w:sz="0" w:space="0" w:color="auto"/>
                <w:bottom w:val="none" w:sz="0" w:space="0" w:color="auto"/>
                <w:right w:val="none" w:sz="0" w:space="0" w:color="auto"/>
              </w:divBdr>
            </w:div>
          </w:divsChild>
        </w:div>
        <w:div w:id="1674919826">
          <w:marLeft w:val="0"/>
          <w:marRight w:val="0"/>
          <w:marTop w:val="0"/>
          <w:marBottom w:val="0"/>
          <w:divBdr>
            <w:top w:val="none" w:sz="0" w:space="0" w:color="auto"/>
            <w:left w:val="none" w:sz="0" w:space="0" w:color="auto"/>
            <w:bottom w:val="none" w:sz="0" w:space="0" w:color="auto"/>
            <w:right w:val="none" w:sz="0" w:space="0" w:color="auto"/>
          </w:divBdr>
          <w:divsChild>
            <w:div w:id="871577626">
              <w:marLeft w:val="0"/>
              <w:marRight w:val="0"/>
              <w:marTop w:val="0"/>
              <w:marBottom w:val="0"/>
              <w:divBdr>
                <w:top w:val="none" w:sz="0" w:space="0" w:color="auto"/>
                <w:left w:val="none" w:sz="0" w:space="0" w:color="auto"/>
                <w:bottom w:val="none" w:sz="0" w:space="0" w:color="auto"/>
                <w:right w:val="none" w:sz="0" w:space="0" w:color="auto"/>
              </w:divBdr>
            </w:div>
          </w:divsChild>
        </w:div>
        <w:div w:id="1712880584">
          <w:marLeft w:val="0"/>
          <w:marRight w:val="0"/>
          <w:marTop w:val="0"/>
          <w:marBottom w:val="0"/>
          <w:divBdr>
            <w:top w:val="none" w:sz="0" w:space="0" w:color="auto"/>
            <w:left w:val="none" w:sz="0" w:space="0" w:color="auto"/>
            <w:bottom w:val="none" w:sz="0" w:space="0" w:color="auto"/>
            <w:right w:val="none" w:sz="0" w:space="0" w:color="auto"/>
          </w:divBdr>
          <w:divsChild>
            <w:div w:id="177817030">
              <w:marLeft w:val="0"/>
              <w:marRight w:val="0"/>
              <w:marTop w:val="0"/>
              <w:marBottom w:val="0"/>
              <w:divBdr>
                <w:top w:val="none" w:sz="0" w:space="0" w:color="auto"/>
                <w:left w:val="none" w:sz="0" w:space="0" w:color="auto"/>
                <w:bottom w:val="none" w:sz="0" w:space="0" w:color="auto"/>
                <w:right w:val="none" w:sz="0" w:space="0" w:color="auto"/>
              </w:divBdr>
            </w:div>
          </w:divsChild>
        </w:div>
        <w:div w:id="1765685481">
          <w:marLeft w:val="0"/>
          <w:marRight w:val="0"/>
          <w:marTop w:val="0"/>
          <w:marBottom w:val="0"/>
          <w:divBdr>
            <w:top w:val="none" w:sz="0" w:space="0" w:color="auto"/>
            <w:left w:val="none" w:sz="0" w:space="0" w:color="auto"/>
            <w:bottom w:val="none" w:sz="0" w:space="0" w:color="auto"/>
            <w:right w:val="none" w:sz="0" w:space="0" w:color="auto"/>
          </w:divBdr>
          <w:divsChild>
            <w:div w:id="1348748235">
              <w:marLeft w:val="0"/>
              <w:marRight w:val="0"/>
              <w:marTop w:val="0"/>
              <w:marBottom w:val="0"/>
              <w:divBdr>
                <w:top w:val="none" w:sz="0" w:space="0" w:color="auto"/>
                <w:left w:val="none" w:sz="0" w:space="0" w:color="auto"/>
                <w:bottom w:val="none" w:sz="0" w:space="0" w:color="auto"/>
                <w:right w:val="none" w:sz="0" w:space="0" w:color="auto"/>
              </w:divBdr>
            </w:div>
          </w:divsChild>
        </w:div>
        <w:div w:id="1798375552">
          <w:marLeft w:val="0"/>
          <w:marRight w:val="0"/>
          <w:marTop w:val="0"/>
          <w:marBottom w:val="0"/>
          <w:divBdr>
            <w:top w:val="none" w:sz="0" w:space="0" w:color="auto"/>
            <w:left w:val="none" w:sz="0" w:space="0" w:color="auto"/>
            <w:bottom w:val="none" w:sz="0" w:space="0" w:color="auto"/>
            <w:right w:val="none" w:sz="0" w:space="0" w:color="auto"/>
          </w:divBdr>
          <w:divsChild>
            <w:div w:id="1905406512">
              <w:marLeft w:val="0"/>
              <w:marRight w:val="0"/>
              <w:marTop w:val="0"/>
              <w:marBottom w:val="0"/>
              <w:divBdr>
                <w:top w:val="none" w:sz="0" w:space="0" w:color="auto"/>
                <w:left w:val="none" w:sz="0" w:space="0" w:color="auto"/>
                <w:bottom w:val="none" w:sz="0" w:space="0" w:color="auto"/>
                <w:right w:val="none" w:sz="0" w:space="0" w:color="auto"/>
              </w:divBdr>
            </w:div>
          </w:divsChild>
        </w:div>
        <w:div w:id="1802384252">
          <w:marLeft w:val="0"/>
          <w:marRight w:val="0"/>
          <w:marTop w:val="0"/>
          <w:marBottom w:val="0"/>
          <w:divBdr>
            <w:top w:val="none" w:sz="0" w:space="0" w:color="auto"/>
            <w:left w:val="none" w:sz="0" w:space="0" w:color="auto"/>
            <w:bottom w:val="none" w:sz="0" w:space="0" w:color="auto"/>
            <w:right w:val="none" w:sz="0" w:space="0" w:color="auto"/>
          </w:divBdr>
          <w:divsChild>
            <w:div w:id="1054697338">
              <w:marLeft w:val="0"/>
              <w:marRight w:val="0"/>
              <w:marTop w:val="0"/>
              <w:marBottom w:val="0"/>
              <w:divBdr>
                <w:top w:val="none" w:sz="0" w:space="0" w:color="auto"/>
                <w:left w:val="none" w:sz="0" w:space="0" w:color="auto"/>
                <w:bottom w:val="none" w:sz="0" w:space="0" w:color="auto"/>
                <w:right w:val="none" w:sz="0" w:space="0" w:color="auto"/>
              </w:divBdr>
            </w:div>
          </w:divsChild>
        </w:div>
        <w:div w:id="1840076304">
          <w:marLeft w:val="0"/>
          <w:marRight w:val="0"/>
          <w:marTop w:val="0"/>
          <w:marBottom w:val="0"/>
          <w:divBdr>
            <w:top w:val="none" w:sz="0" w:space="0" w:color="auto"/>
            <w:left w:val="none" w:sz="0" w:space="0" w:color="auto"/>
            <w:bottom w:val="none" w:sz="0" w:space="0" w:color="auto"/>
            <w:right w:val="none" w:sz="0" w:space="0" w:color="auto"/>
          </w:divBdr>
          <w:divsChild>
            <w:div w:id="1441103373">
              <w:marLeft w:val="0"/>
              <w:marRight w:val="0"/>
              <w:marTop w:val="0"/>
              <w:marBottom w:val="0"/>
              <w:divBdr>
                <w:top w:val="none" w:sz="0" w:space="0" w:color="auto"/>
                <w:left w:val="none" w:sz="0" w:space="0" w:color="auto"/>
                <w:bottom w:val="none" w:sz="0" w:space="0" w:color="auto"/>
                <w:right w:val="none" w:sz="0" w:space="0" w:color="auto"/>
              </w:divBdr>
            </w:div>
          </w:divsChild>
        </w:div>
        <w:div w:id="1845893515">
          <w:marLeft w:val="0"/>
          <w:marRight w:val="0"/>
          <w:marTop w:val="0"/>
          <w:marBottom w:val="0"/>
          <w:divBdr>
            <w:top w:val="none" w:sz="0" w:space="0" w:color="auto"/>
            <w:left w:val="none" w:sz="0" w:space="0" w:color="auto"/>
            <w:bottom w:val="none" w:sz="0" w:space="0" w:color="auto"/>
            <w:right w:val="none" w:sz="0" w:space="0" w:color="auto"/>
          </w:divBdr>
          <w:divsChild>
            <w:div w:id="1068186654">
              <w:marLeft w:val="0"/>
              <w:marRight w:val="0"/>
              <w:marTop w:val="0"/>
              <w:marBottom w:val="0"/>
              <w:divBdr>
                <w:top w:val="none" w:sz="0" w:space="0" w:color="auto"/>
                <w:left w:val="none" w:sz="0" w:space="0" w:color="auto"/>
                <w:bottom w:val="none" w:sz="0" w:space="0" w:color="auto"/>
                <w:right w:val="none" w:sz="0" w:space="0" w:color="auto"/>
              </w:divBdr>
            </w:div>
          </w:divsChild>
        </w:div>
        <w:div w:id="1955288071">
          <w:marLeft w:val="0"/>
          <w:marRight w:val="0"/>
          <w:marTop w:val="0"/>
          <w:marBottom w:val="0"/>
          <w:divBdr>
            <w:top w:val="none" w:sz="0" w:space="0" w:color="auto"/>
            <w:left w:val="none" w:sz="0" w:space="0" w:color="auto"/>
            <w:bottom w:val="none" w:sz="0" w:space="0" w:color="auto"/>
            <w:right w:val="none" w:sz="0" w:space="0" w:color="auto"/>
          </w:divBdr>
          <w:divsChild>
            <w:div w:id="1563448315">
              <w:marLeft w:val="0"/>
              <w:marRight w:val="0"/>
              <w:marTop w:val="0"/>
              <w:marBottom w:val="0"/>
              <w:divBdr>
                <w:top w:val="none" w:sz="0" w:space="0" w:color="auto"/>
                <w:left w:val="none" w:sz="0" w:space="0" w:color="auto"/>
                <w:bottom w:val="none" w:sz="0" w:space="0" w:color="auto"/>
                <w:right w:val="none" w:sz="0" w:space="0" w:color="auto"/>
              </w:divBdr>
            </w:div>
          </w:divsChild>
        </w:div>
        <w:div w:id="2097944069">
          <w:marLeft w:val="0"/>
          <w:marRight w:val="0"/>
          <w:marTop w:val="0"/>
          <w:marBottom w:val="0"/>
          <w:divBdr>
            <w:top w:val="none" w:sz="0" w:space="0" w:color="auto"/>
            <w:left w:val="none" w:sz="0" w:space="0" w:color="auto"/>
            <w:bottom w:val="none" w:sz="0" w:space="0" w:color="auto"/>
            <w:right w:val="none" w:sz="0" w:space="0" w:color="auto"/>
          </w:divBdr>
          <w:divsChild>
            <w:div w:id="209725840">
              <w:marLeft w:val="0"/>
              <w:marRight w:val="0"/>
              <w:marTop w:val="0"/>
              <w:marBottom w:val="0"/>
              <w:divBdr>
                <w:top w:val="none" w:sz="0" w:space="0" w:color="auto"/>
                <w:left w:val="none" w:sz="0" w:space="0" w:color="auto"/>
                <w:bottom w:val="none" w:sz="0" w:space="0" w:color="auto"/>
                <w:right w:val="none" w:sz="0" w:space="0" w:color="auto"/>
              </w:divBdr>
            </w:div>
          </w:divsChild>
        </w:div>
        <w:div w:id="2106684926">
          <w:marLeft w:val="0"/>
          <w:marRight w:val="0"/>
          <w:marTop w:val="0"/>
          <w:marBottom w:val="0"/>
          <w:divBdr>
            <w:top w:val="none" w:sz="0" w:space="0" w:color="auto"/>
            <w:left w:val="none" w:sz="0" w:space="0" w:color="auto"/>
            <w:bottom w:val="none" w:sz="0" w:space="0" w:color="auto"/>
            <w:right w:val="none" w:sz="0" w:space="0" w:color="auto"/>
          </w:divBdr>
          <w:divsChild>
            <w:div w:id="9904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1792">
      <w:bodyDiv w:val="1"/>
      <w:marLeft w:val="0"/>
      <w:marRight w:val="0"/>
      <w:marTop w:val="0"/>
      <w:marBottom w:val="0"/>
      <w:divBdr>
        <w:top w:val="none" w:sz="0" w:space="0" w:color="auto"/>
        <w:left w:val="none" w:sz="0" w:space="0" w:color="auto"/>
        <w:bottom w:val="none" w:sz="0" w:space="0" w:color="auto"/>
        <w:right w:val="none" w:sz="0" w:space="0" w:color="auto"/>
      </w:divBdr>
    </w:div>
    <w:div w:id="785318402">
      <w:bodyDiv w:val="1"/>
      <w:marLeft w:val="0"/>
      <w:marRight w:val="0"/>
      <w:marTop w:val="0"/>
      <w:marBottom w:val="0"/>
      <w:divBdr>
        <w:top w:val="none" w:sz="0" w:space="0" w:color="auto"/>
        <w:left w:val="none" w:sz="0" w:space="0" w:color="auto"/>
        <w:bottom w:val="none" w:sz="0" w:space="0" w:color="auto"/>
        <w:right w:val="none" w:sz="0" w:space="0" w:color="auto"/>
      </w:divBdr>
    </w:div>
    <w:div w:id="839345564">
      <w:bodyDiv w:val="1"/>
      <w:marLeft w:val="0"/>
      <w:marRight w:val="0"/>
      <w:marTop w:val="0"/>
      <w:marBottom w:val="0"/>
      <w:divBdr>
        <w:top w:val="none" w:sz="0" w:space="0" w:color="auto"/>
        <w:left w:val="none" w:sz="0" w:space="0" w:color="auto"/>
        <w:bottom w:val="none" w:sz="0" w:space="0" w:color="auto"/>
        <w:right w:val="none" w:sz="0" w:space="0" w:color="auto"/>
      </w:divBdr>
      <w:divsChild>
        <w:div w:id="256717672">
          <w:marLeft w:val="0"/>
          <w:marRight w:val="0"/>
          <w:marTop w:val="0"/>
          <w:marBottom w:val="0"/>
          <w:divBdr>
            <w:top w:val="none" w:sz="0" w:space="0" w:color="auto"/>
            <w:left w:val="none" w:sz="0" w:space="0" w:color="auto"/>
            <w:bottom w:val="none" w:sz="0" w:space="0" w:color="auto"/>
            <w:right w:val="none" w:sz="0" w:space="0" w:color="auto"/>
          </w:divBdr>
        </w:div>
      </w:divsChild>
    </w:div>
    <w:div w:id="893851233">
      <w:bodyDiv w:val="1"/>
      <w:marLeft w:val="0"/>
      <w:marRight w:val="0"/>
      <w:marTop w:val="0"/>
      <w:marBottom w:val="0"/>
      <w:divBdr>
        <w:top w:val="none" w:sz="0" w:space="0" w:color="auto"/>
        <w:left w:val="none" w:sz="0" w:space="0" w:color="auto"/>
        <w:bottom w:val="none" w:sz="0" w:space="0" w:color="auto"/>
        <w:right w:val="none" w:sz="0" w:space="0" w:color="auto"/>
      </w:divBdr>
      <w:divsChild>
        <w:div w:id="21977315">
          <w:marLeft w:val="0"/>
          <w:marRight w:val="0"/>
          <w:marTop w:val="0"/>
          <w:marBottom w:val="0"/>
          <w:divBdr>
            <w:top w:val="none" w:sz="0" w:space="0" w:color="auto"/>
            <w:left w:val="none" w:sz="0" w:space="0" w:color="auto"/>
            <w:bottom w:val="none" w:sz="0" w:space="0" w:color="auto"/>
            <w:right w:val="none" w:sz="0" w:space="0" w:color="auto"/>
          </w:divBdr>
          <w:divsChild>
            <w:div w:id="1209730625">
              <w:marLeft w:val="0"/>
              <w:marRight w:val="0"/>
              <w:marTop w:val="0"/>
              <w:marBottom w:val="0"/>
              <w:divBdr>
                <w:top w:val="none" w:sz="0" w:space="0" w:color="auto"/>
                <w:left w:val="none" w:sz="0" w:space="0" w:color="auto"/>
                <w:bottom w:val="none" w:sz="0" w:space="0" w:color="auto"/>
                <w:right w:val="none" w:sz="0" w:space="0" w:color="auto"/>
              </w:divBdr>
            </w:div>
          </w:divsChild>
        </w:div>
        <w:div w:id="46226756">
          <w:marLeft w:val="0"/>
          <w:marRight w:val="0"/>
          <w:marTop w:val="0"/>
          <w:marBottom w:val="0"/>
          <w:divBdr>
            <w:top w:val="none" w:sz="0" w:space="0" w:color="auto"/>
            <w:left w:val="none" w:sz="0" w:space="0" w:color="auto"/>
            <w:bottom w:val="none" w:sz="0" w:space="0" w:color="auto"/>
            <w:right w:val="none" w:sz="0" w:space="0" w:color="auto"/>
          </w:divBdr>
          <w:divsChild>
            <w:div w:id="651645090">
              <w:marLeft w:val="0"/>
              <w:marRight w:val="0"/>
              <w:marTop w:val="0"/>
              <w:marBottom w:val="0"/>
              <w:divBdr>
                <w:top w:val="none" w:sz="0" w:space="0" w:color="auto"/>
                <w:left w:val="none" w:sz="0" w:space="0" w:color="auto"/>
                <w:bottom w:val="none" w:sz="0" w:space="0" w:color="auto"/>
                <w:right w:val="none" w:sz="0" w:space="0" w:color="auto"/>
              </w:divBdr>
            </w:div>
          </w:divsChild>
        </w:div>
        <w:div w:id="161773229">
          <w:marLeft w:val="0"/>
          <w:marRight w:val="0"/>
          <w:marTop w:val="0"/>
          <w:marBottom w:val="0"/>
          <w:divBdr>
            <w:top w:val="none" w:sz="0" w:space="0" w:color="auto"/>
            <w:left w:val="none" w:sz="0" w:space="0" w:color="auto"/>
            <w:bottom w:val="none" w:sz="0" w:space="0" w:color="auto"/>
            <w:right w:val="none" w:sz="0" w:space="0" w:color="auto"/>
          </w:divBdr>
          <w:divsChild>
            <w:div w:id="1629168402">
              <w:marLeft w:val="0"/>
              <w:marRight w:val="0"/>
              <w:marTop w:val="0"/>
              <w:marBottom w:val="0"/>
              <w:divBdr>
                <w:top w:val="none" w:sz="0" w:space="0" w:color="auto"/>
                <w:left w:val="none" w:sz="0" w:space="0" w:color="auto"/>
                <w:bottom w:val="none" w:sz="0" w:space="0" w:color="auto"/>
                <w:right w:val="none" w:sz="0" w:space="0" w:color="auto"/>
              </w:divBdr>
            </w:div>
          </w:divsChild>
        </w:div>
        <w:div w:id="173112292">
          <w:marLeft w:val="0"/>
          <w:marRight w:val="0"/>
          <w:marTop w:val="0"/>
          <w:marBottom w:val="0"/>
          <w:divBdr>
            <w:top w:val="none" w:sz="0" w:space="0" w:color="auto"/>
            <w:left w:val="none" w:sz="0" w:space="0" w:color="auto"/>
            <w:bottom w:val="none" w:sz="0" w:space="0" w:color="auto"/>
            <w:right w:val="none" w:sz="0" w:space="0" w:color="auto"/>
          </w:divBdr>
          <w:divsChild>
            <w:div w:id="1644844325">
              <w:marLeft w:val="0"/>
              <w:marRight w:val="0"/>
              <w:marTop w:val="0"/>
              <w:marBottom w:val="0"/>
              <w:divBdr>
                <w:top w:val="none" w:sz="0" w:space="0" w:color="auto"/>
                <w:left w:val="none" w:sz="0" w:space="0" w:color="auto"/>
                <w:bottom w:val="none" w:sz="0" w:space="0" w:color="auto"/>
                <w:right w:val="none" w:sz="0" w:space="0" w:color="auto"/>
              </w:divBdr>
            </w:div>
          </w:divsChild>
        </w:div>
        <w:div w:id="250361253">
          <w:marLeft w:val="0"/>
          <w:marRight w:val="0"/>
          <w:marTop w:val="0"/>
          <w:marBottom w:val="0"/>
          <w:divBdr>
            <w:top w:val="none" w:sz="0" w:space="0" w:color="auto"/>
            <w:left w:val="none" w:sz="0" w:space="0" w:color="auto"/>
            <w:bottom w:val="none" w:sz="0" w:space="0" w:color="auto"/>
            <w:right w:val="none" w:sz="0" w:space="0" w:color="auto"/>
          </w:divBdr>
          <w:divsChild>
            <w:div w:id="1429228413">
              <w:marLeft w:val="0"/>
              <w:marRight w:val="0"/>
              <w:marTop w:val="0"/>
              <w:marBottom w:val="0"/>
              <w:divBdr>
                <w:top w:val="none" w:sz="0" w:space="0" w:color="auto"/>
                <w:left w:val="none" w:sz="0" w:space="0" w:color="auto"/>
                <w:bottom w:val="none" w:sz="0" w:space="0" w:color="auto"/>
                <w:right w:val="none" w:sz="0" w:space="0" w:color="auto"/>
              </w:divBdr>
            </w:div>
          </w:divsChild>
        </w:div>
        <w:div w:id="317543672">
          <w:marLeft w:val="0"/>
          <w:marRight w:val="0"/>
          <w:marTop w:val="0"/>
          <w:marBottom w:val="0"/>
          <w:divBdr>
            <w:top w:val="none" w:sz="0" w:space="0" w:color="auto"/>
            <w:left w:val="none" w:sz="0" w:space="0" w:color="auto"/>
            <w:bottom w:val="none" w:sz="0" w:space="0" w:color="auto"/>
            <w:right w:val="none" w:sz="0" w:space="0" w:color="auto"/>
          </w:divBdr>
          <w:divsChild>
            <w:div w:id="983703084">
              <w:marLeft w:val="0"/>
              <w:marRight w:val="0"/>
              <w:marTop w:val="0"/>
              <w:marBottom w:val="0"/>
              <w:divBdr>
                <w:top w:val="none" w:sz="0" w:space="0" w:color="auto"/>
                <w:left w:val="none" w:sz="0" w:space="0" w:color="auto"/>
                <w:bottom w:val="none" w:sz="0" w:space="0" w:color="auto"/>
                <w:right w:val="none" w:sz="0" w:space="0" w:color="auto"/>
              </w:divBdr>
            </w:div>
          </w:divsChild>
        </w:div>
        <w:div w:id="500894133">
          <w:marLeft w:val="0"/>
          <w:marRight w:val="0"/>
          <w:marTop w:val="0"/>
          <w:marBottom w:val="0"/>
          <w:divBdr>
            <w:top w:val="none" w:sz="0" w:space="0" w:color="auto"/>
            <w:left w:val="none" w:sz="0" w:space="0" w:color="auto"/>
            <w:bottom w:val="none" w:sz="0" w:space="0" w:color="auto"/>
            <w:right w:val="none" w:sz="0" w:space="0" w:color="auto"/>
          </w:divBdr>
          <w:divsChild>
            <w:div w:id="1798839208">
              <w:marLeft w:val="0"/>
              <w:marRight w:val="0"/>
              <w:marTop w:val="0"/>
              <w:marBottom w:val="0"/>
              <w:divBdr>
                <w:top w:val="none" w:sz="0" w:space="0" w:color="auto"/>
                <w:left w:val="none" w:sz="0" w:space="0" w:color="auto"/>
                <w:bottom w:val="none" w:sz="0" w:space="0" w:color="auto"/>
                <w:right w:val="none" w:sz="0" w:space="0" w:color="auto"/>
              </w:divBdr>
            </w:div>
          </w:divsChild>
        </w:div>
        <w:div w:id="512842028">
          <w:marLeft w:val="0"/>
          <w:marRight w:val="0"/>
          <w:marTop w:val="0"/>
          <w:marBottom w:val="0"/>
          <w:divBdr>
            <w:top w:val="none" w:sz="0" w:space="0" w:color="auto"/>
            <w:left w:val="none" w:sz="0" w:space="0" w:color="auto"/>
            <w:bottom w:val="none" w:sz="0" w:space="0" w:color="auto"/>
            <w:right w:val="none" w:sz="0" w:space="0" w:color="auto"/>
          </w:divBdr>
          <w:divsChild>
            <w:div w:id="34932771">
              <w:marLeft w:val="0"/>
              <w:marRight w:val="0"/>
              <w:marTop w:val="0"/>
              <w:marBottom w:val="0"/>
              <w:divBdr>
                <w:top w:val="none" w:sz="0" w:space="0" w:color="auto"/>
                <w:left w:val="none" w:sz="0" w:space="0" w:color="auto"/>
                <w:bottom w:val="none" w:sz="0" w:space="0" w:color="auto"/>
                <w:right w:val="none" w:sz="0" w:space="0" w:color="auto"/>
              </w:divBdr>
            </w:div>
          </w:divsChild>
        </w:div>
        <w:div w:id="623586204">
          <w:marLeft w:val="0"/>
          <w:marRight w:val="0"/>
          <w:marTop w:val="0"/>
          <w:marBottom w:val="0"/>
          <w:divBdr>
            <w:top w:val="none" w:sz="0" w:space="0" w:color="auto"/>
            <w:left w:val="none" w:sz="0" w:space="0" w:color="auto"/>
            <w:bottom w:val="none" w:sz="0" w:space="0" w:color="auto"/>
            <w:right w:val="none" w:sz="0" w:space="0" w:color="auto"/>
          </w:divBdr>
          <w:divsChild>
            <w:div w:id="461311295">
              <w:marLeft w:val="0"/>
              <w:marRight w:val="0"/>
              <w:marTop w:val="0"/>
              <w:marBottom w:val="0"/>
              <w:divBdr>
                <w:top w:val="none" w:sz="0" w:space="0" w:color="auto"/>
                <w:left w:val="none" w:sz="0" w:space="0" w:color="auto"/>
                <w:bottom w:val="none" w:sz="0" w:space="0" w:color="auto"/>
                <w:right w:val="none" w:sz="0" w:space="0" w:color="auto"/>
              </w:divBdr>
            </w:div>
          </w:divsChild>
        </w:div>
        <w:div w:id="1008097566">
          <w:marLeft w:val="0"/>
          <w:marRight w:val="0"/>
          <w:marTop w:val="0"/>
          <w:marBottom w:val="0"/>
          <w:divBdr>
            <w:top w:val="none" w:sz="0" w:space="0" w:color="auto"/>
            <w:left w:val="none" w:sz="0" w:space="0" w:color="auto"/>
            <w:bottom w:val="none" w:sz="0" w:space="0" w:color="auto"/>
            <w:right w:val="none" w:sz="0" w:space="0" w:color="auto"/>
          </w:divBdr>
          <w:divsChild>
            <w:div w:id="311756709">
              <w:marLeft w:val="0"/>
              <w:marRight w:val="0"/>
              <w:marTop w:val="0"/>
              <w:marBottom w:val="0"/>
              <w:divBdr>
                <w:top w:val="none" w:sz="0" w:space="0" w:color="auto"/>
                <w:left w:val="none" w:sz="0" w:space="0" w:color="auto"/>
                <w:bottom w:val="none" w:sz="0" w:space="0" w:color="auto"/>
                <w:right w:val="none" w:sz="0" w:space="0" w:color="auto"/>
              </w:divBdr>
            </w:div>
          </w:divsChild>
        </w:div>
        <w:div w:id="1064523726">
          <w:marLeft w:val="0"/>
          <w:marRight w:val="0"/>
          <w:marTop w:val="0"/>
          <w:marBottom w:val="0"/>
          <w:divBdr>
            <w:top w:val="none" w:sz="0" w:space="0" w:color="auto"/>
            <w:left w:val="none" w:sz="0" w:space="0" w:color="auto"/>
            <w:bottom w:val="none" w:sz="0" w:space="0" w:color="auto"/>
            <w:right w:val="none" w:sz="0" w:space="0" w:color="auto"/>
          </w:divBdr>
          <w:divsChild>
            <w:div w:id="447746027">
              <w:marLeft w:val="0"/>
              <w:marRight w:val="0"/>
              <w:marTop w:val="0"/>
              <w:marBottom w:val="0"/>
              <w:divBdr>
                <w:top w:val="none" w:sz="0" w:space="0" w:color="auto"/>
                <w:left w:val="none" w:sz="0" w:space="0" w:color="auto"/>
                <w:bottom w:val="none" w:sz="0" w:space="0" w:color="auto"/>
                <w:right w:val="none" w:sz="0" w:space="0" w:color="auto"/>
              </w:divBdr>
            </w:div>
          </w:divsChild>
        </w:div>
        <w:div w:id="1311132272">
          <w:marLeft w:val="0"/>
          <w:marRight w:val="0"/>
          <w:marTop w:val="0"/>
          <w:marBottom w:val="0"/>
          <w:divBdr>
            <w:top w:val="none" w:sz="0" w:space="0" w:color="auto"/>
            <w:left w:val="none" w:sz="0" w:space="0" w:color="auto"/>
            <w:bottom w:val="none" w:sz="0" w:space="0" w:color="auto"/>
            <w:right w:val="none" w:sz="0" w:space="0" w:color="auto"/>
          </w:divBdr>
          <w:divsChild>
            <w:div w:id="5406177">
              <w:marLeft w:val="0"/>
              <w:marRight w:val="0"/>
              <w:marTop w:val="0"/>
              <w:marBottom w:val="0"/>
              <w:divBdr>
                <w:top w:val="none" w:sz="0" w:space="0" w:color="auto"/>
                <w:left w:val="none" w:sz="0" w:space="0" w:color="auto"/>
                <w:bottom w:val="none" w:sz="0" w:space="0" w:color="auto"/>
                <w:right w:val="none" w:sz="0" w:space="0" w:color="auto"/>
              </w:divBdr>
            </w:div>
          </w:divsChild>
        </w:div>
        <w:div w:id="1334718373">
          <w:marLeft w:val="0"/>
          <w:marRight w:val="0"/>
          <w:marTop w:val="0"/>
          <w:marBottom w:val="0"/>
          <w:divBdr>
            <w:top w:val="none" w:sz="0" w:space="0" w:color="auto"/>
            <w:left w:val="none" w:sz="0" w:space="0" w:color="auto"/>
            <w:bottom w:val="none" w:sz="0" w:space="0" w:color="auto"/>
            <w:right w:val="none" w:sz="0" w:space="0" w:color="auto"/>
          </w:divBdr>
          <w:divsChild>
            <w:div w:id="148402069">
              <w:marLeft w:val="0"/>
              <w:marRight w:val="0"/>
              <w:marTop w:val="0"/>
              <w:marBottom w:val="0"/>
              <w:divBdr>
                <w:top w:val="none" w:sz="0" w:space="0" w:color="auto"/>
                <w:left w:val="none" w:sz="0" w:space="0" w:color="auto"/>
                <w:bottom w:val="none" w:sz="0" w:space="0" w:color="auto"/>
                <w:right w:val="none" w:sz="0" w:space="0" w:color="auto"/>
              </w:divBdr>
            </w:div>
          </w:divsChild>
        </w:div>
        <w:div w:id="1485732491">
          <w:marLeft w:val="0"/>
          <w:marRight w:val="0"/>
          <w:marTop w:val="0"/>
          <w:marBottom w:val="0"/>
          <w:divBdr>
            <w:top w:val="none" w:sz="0" w:space="0" w:color="auto"/>
            <w:left w:val="none" w:sz="0" w:space="0" w:color="auto"/>
            <w:bottom w:val="none" w:sz="0" w:space="0" w:color="auto"/>
            <w:right w:val="none" w:sz="0" w:space="0" w:color="auto"/>
          </w:divBdr>
          <w:divsChild>
            <w:div w:id="1714772313">
              <w:marLeft w:val="0"/>
              <w:marRight w:val="0"/>
              <w:marTop w:val="0"/>
              <w:marBottom w:val="0"/>
              <w:divBdr>
                <w:top w:val="none" w:sz="0" w:space="0" w:color="auto"/>
                <w:left w:val="none" w:sz="0" w:space="0" w:color="auto"/>
                <w:bottom w:val="none" w:sz="0" w:space="0" w:color="auto"/>
                <w:right w:val="none" w:sz="0" w:space="0" w:color="auto"/>
              </w:divBdr>
            </w:div>
          </w:divsChild>
        </w:div>
        <w:div w:id="1831867980">
          <w:marLeft w:val="0"/>
          <w:marRight w:val="0"/>
          <w:marTop w:val="0"/>
          <w:marBottom w:val="0"/>
          <w:divBdr>
            <w:top w:val="none" w:sz="0" w:space="0" w:color="auto"/>
            <w:left w:val="none" w:sz="0" w:space="0" w:color="auto"/>
            <w:bottom w:val="none" w:sz="0" w:space="0" w:color="auto"/>
            <w:right w:val="none" w:sz="0" w:space="0" w:color="auto"/>
          </w:divBdr>
          <w:divsChild>
            <w:div w:id="44961015">
              <w:marLeft w:val="0"/>
              <w:marRight w:val="0"/>
              <w:marTop w:val="0"/>
              <w:marBottom w:val="0"/>
              <w:divBdr>
                <w:top w:val="none" w:sz="0" w:space="0" w:color="auto"/>
                <w:left w:val="none" w:sz="0" w:space="0" w:color="auto"/>
                <w:bottom w:val="none" w:sz="0" w:space="0" w:color="auto"/>
                <w:right w:val="none" w:sz="0" w:space="0" w:color="auto"/>
              </w:divBdr>
            </w:div>
          </w:divsChild>
        </w:div>
        <w:div w:id="2035498746">
          <w:marLeft w:val="0"/>
          <w:marRight w:val="0"/>
          <w:marTop w:val="0"/>
          <w:marBottom w:val="0"/>
          <w:divBdr>
            <w:top w:val="none" w:sz="0" w:space="0" w:color="auto"/>
            <w:left w:val="none" w:sz="0" w:space="0" w:color="auto"/>
            <w:bottom w:val="none" w:sz="0" w:space="0" w:color="auto"/>
            <w:right w:val="none" w:sz="0" w:space="0" w:color="auto"/>
          </w:divBdr>
          <w:divsChild>
            <w:div w:id="1809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21679">
      <w:bodyDiv w:val="1"/>
      <w:marLeft w:val="0"/>
      <w:marRight w:val="0"/>
      <w:marTop w:val="0"/>
      <w:marBottom w:val="0"/>
      <w:divBdr>
        <w:top w:val="none" w:sz="0" w:space="0" w:color="auto"/>
        <w:left w:val="none" w:sz="0" w:space="0" w:color="auto"/>
        <w:bottom w:val="none" w:sz="0" w:space="0" w:color="auto"/>
        <w:right w:val="none" w:sz="0" w:space="0" w:color="auto"/>
      </w:divBdr>
      <w:divsChild>
        <w:div w:id="729770913">
          <w:marLeft w:val="0"/>
          <w:marRight w:val="0"/>
          <w:marTop w:val="0"/>
          <w:marBottom w:val="0"/>
          <w:divBdr>
            <w:top w:val="none" w:sz="0" w:space="0" w:color="auto"/>
            <w:left w:val="none" w:sz="0" w:space="0" w:color="auto"/>
            <w:bottom w:val="none" w:sz="0" w:space="0" w:color="auto"/>
            <w:right w:val="none" w:sz="0" w:space="0" w:color="auto"/>
          </w:divBdr>
        </w:div>
        <w:div w:id="1108694894">
          <w:marLeft w:val="0"/>
          <w:marRight w:val="0"/>
          <w:marTop w:val="0"/>
          <w:marBottom w:val="0"/>
          <w:divBdr>
            <w:top w:val="none" w:sz="0" w:space="0" w:color="auto"/>
            <w:left w:val="none" w:sz="0" w:space="0" w:color="auto"/>
            <w:bottom w:val="none" w:sz="0" w:space="0" w:color="auto"/>
            <w:right w:val="none" w:sz="0" w:space="0" w:color="auto"/>
          </w:divBdr>
        </w:div>
        <w:div w:id="1214082554">
          <w:marLeft w:val="0"/>
          <w:marRight w:val="0"/>
          <w:marTop w:val="0"/>
          <w:marBottom w:val="0"/>
          <w:divBdr>
            <w:top w:val="none" w:sz="0" w:space="0" w:color="auto"/>
            <w:left w:val="none" w:sz="0" w:space="0" w:color="auto"/>
            <w:bottom w:val="none" w:sz="0" w:space="0" w:color="auto"/>
            <w:right w:val="none" w:sz="0" w:space="0" w:color="auto"/>
          </w:divBdr>
        </w:div>
      </w:divsChild>
    </w:div>
    <w:div w:id="1201942199">
      <w:bodyDiv w:val="1"/>
      <w:marLeft w:val="0"/>
      <w:marRight w:val="0"/>
      <w:marTop w:val="0"/>
      <w:marBottom w:val="0"/>
      <w:divBdr>
        <w:top w:val="none" w:sz="0" w:space="0" w:color="auto"/>
        <w:left w:val="none" w:sz="0" w:space="0" w:color="auto"/>
        <w:bottom w:val="none" w:sz="0" w:space="0" w:color="auto"/>
        <w:right w:val="none" w:sz="0" w:space="0" w:color="auto"/>
      </w:divBdr>
      <w:divsChild>
        <w:div w:id="203954734">
          <w:marLeft w:val="0"/>
          <w:marRight w:val="0"/>
          <w:marTop w:val="0"/>
          <w:marBottom w:val="0"/>
          <w:divBdr>
            <w:top w:val="none" w:sz="0" w:space="0" w:color="auto"/>
            <w:left w:val="none" w:sz="0" w:space="0" w:color="auto"/>
            <w:bottom w:val="none" w:sz="0" w:space="0" w:color="auto"/>
            <w:right w:val="none" w:sz="0" w:space="0" w:color="auto"/>
          </w:divBdr>
        </w:div>
        <w:div w:id="706368690">
          <w:marLeft w:val="0"/>
          <w:marRight w:val="0"/>
          <w:marTop w:val="0"/>
          <w:marBottom w:val="0"/>
          <w:divBdr>
            <w:top w:val="none" w:sz="0" w:space="0" w:color="auto"/>
            <w:left w:val="none" w:sz="0" w:space="0" w:color="auto"/>
            <w:bottom w:val="none" w:sz="0" w:space="0" w:color="auto"/>
            <w:right w:val="none" w:sz="0" w:space="0" w:color="auto"/>
          </w:divBdr>
          <w:divsChild>
            <w:div w:id="1465468217">
              <w:marLeft w:val="0"/>
              <w:marRight w:val="0"/>
              <w:marTop w:val="30"/>
              <w:marBottom w:val="30"/>
              <w:divBdr>
                <w:top w:val="none" w:sz="0" w:space="0" w:color="auto"/>
                <w:left w:val="none" w:sz="0" w:space="0" w:color="auto"/>
                <w:bottom w:val="none" w:sz="0" w:space="0" w:color="auto"/>
                <w:right w:val="none" w:sz="0" w:space="0" w:color="auto"/>
              </w:divBdr>
              <w:divsChild>
                <w:div w:id="184365412">
                  <w:marLeft w:val="0"/>
                  <w:marRight w:val="0"/>
                  <w:marTop w:val="0"/>
                  <w:marBottom w:val="0"/>
                  <w:divBdr>
                    <w:top w:val="none" w:sz="0" w:space="0" w:color="auto"/>
                    <w:left w:val="none" w:sz="0" w:space="0" w:color="auto"/>
                    <w:bottom w:val="none" w:sz="0" w:space="0" w:color="auto"/>
                    <w:right w:val="none" w:sz="0" w:space="0" w:color="auto"/>
                  </w:divBdr>
                  <w:divsChild>
                    <w:div w:id="1833833127">
                      <w:marLeft w:val="0"/>
                      <w:marRight w:val="0"/>
                      <w:marTop w:val="0"/>
                      <w:marBottom w:val="0"/>
                      <w:divBdr>
                        <w:top w:val="none" w:sz="0" w:space="0" w:color="auto"/>
                        <w:left w:val="none" w:sz="0" w:space="0" w:color="auto"/>
                        <w:bottom w:val="none" w:sz="0" w:space="0" w:color="auto"/>
                        <w:right w:val="none" w:sz="0" w:space="0" w:color="auto"/>
                      </w:divBdr>
                    </w:div>
                  </w:divsChild>
                </w:div>
                <w:div w:id="353188601">
                  <w:marLeft w:val="0"/>
                  <w:marRight w:val="0"/>
                  <w:marTop w:val="0"/>
                  <w:marBottom w:val="0"/>
                  <w:divBdr>
                    <w:top w:val="none" w:sz="0" w:space="0" w:color="auto"/>
                    <w:left w:val="none" w:sz="0" w:space="0" w:color="auto"/>
                    <w:bottom w:val="none" w:sz="0" w:space="0" w:color="auto"/>
                    <w:right w:val="none" w:sz="0" w:space="0" w:color="auto"/>
                  </w:divBdr>
                  <w:divsChild>
                    <w:div w:id="460074321">
                      <w:marLeft w:val="0"/>
                      <w:marRight w:val="0"/>
                      <w:marTop w:val="0"/>
                      <w:marBottom w:val="0"/>
                      <w:divBdr>
                        <w:top w:val="none" w:sz="0" w:space="0" w:color="auto"/>
                        <w:left w:val="none" w:sz="0" w:space="0" w:color="auto"/>
                        <w:bottom w:val="none" w:sz="0" w:space="0" w:color="auto"/>
                        <w:right w:val="none" w:sz="0" w:space="0" w:color="auto"/>
                      </w:divBdr>
                    </w:div>
                  </w:divsChild>
                </w:div>
                <w:div w:id="862405040">
                  <w:marLeft w:val="0"/>
                  <w:marRight w:val="0"/>
                  <w:marTop w:val="0"/>
                  <w:marBottom w:val="0"/>
                  <w:divBdr>
                    <w:top w:val="none" w:sz="0" w:space="0" w:color="auto"/>
                    <w:left w:val="none" w:sz="0" w:space="0" w:color="auto"/>
                    <w:bottom w:val="none" w:sz="0" w:space="0" w:color="auto"/>
                    <w:right w:val="none" w:sz="0" w:space="0" w:color="auto"/>
                  </w:divBdr>
                  <w:divsChild>
                    <w:div w:id="1170559804">
                      <w:marLeft w:val="0"/>
                      <w:marRight w:val="0"/>
                      <w:marTop w:val="0"/>
                      <w:marBottom w:val="0"/>
                      <w:divBdr>
                        <w:top w:val="none" w:sz="0" w:space="0" w:color="auto"/>
                        <w:left w:val="none" w:sz="0" w:space="0" w:color="auto"/>
                        <w:bottom w:val="none" w:sz="0" w:space="0" w:color="auto"/>
                        <w:right w:val="none" w:sz="0" w:space="0" w:color="auto"/>
                      </w:divBdr>
                    </w:div>
                  </w:divsChild>
                </w:div>
                <w:div w:id="871383889">
                  <w:marLeft w:val="0"/>
                  <w:marRight w:val="0"/>
                  <w:marTop w:val="0"/>
                  <w:marBottom w:val="0"/>
                  <w:divBdr>
                    <w:top w:val="none" w:sz="0" w:space="0" w:color="auto"/>
                    <w:left w:val="none" w:sz="0" w:space="0" w:color="auto"/>
                    <w:bottom w:val="none" w:sz="0" w:space="0" w:color="auto"/>
                    <w:right w:val="none" w:sz="0" w:space="0" w:color="auto"/>
                  </w:divBdr>
                  <w:divsChild>
                    <w:div w:id="2126268369">
                      <w:marLeft w:val="0"/>
                      <w:marRight w:val="0"/>
                      <w:marTop w:val="0"/>
                      <w:marBottom w:val="0"/>
                      <w:divBdr>
                        <w:top w:val="none" w:sz="0" w:space="0" w:color="auto"/>
                        <w:left w:val="none" w:sz="0" w:space="0" w:color="auto"/>
                        <w:bottom w:val="none" w:sz="0" w:space="0" w:color="auto"/>
                        <w:right w:val="none" w:sz="0" w:space="0" w:color="auto"/>
                      </w:divBdr>
                    </w:div>
                  </w:divsChild>
                </w:div>
                <w:div w:id="1289510050">
                  <w:marLeft w:val="0"/>
                  <w:marRight w:val="0"/>
                  <w:marTop w:val="0"/>
                  <w:marBottom w:val="0"/>
                  <w:divBdr>
                    <w:top w:val="none" w:sz="0" w:space="0" w:color="auto"/>
                    <w:left w:val="none" w:sz="0" w:space="0" w:color="auto"/>
                    <w:bottom w:val="none" w:sz="0" w:space="0" w:color="auto"/>
                    <w:right w:val="none" w:sz="0" w:space="0" w:color="auto"/>
                  </w:divBdr>
                  <w:divsChild>
                    <w:div w:id="2059665900">
                      <w:marLeft w:val="0"/>
                      <w:marRight w:val="0"/>
                      <w:marTop w:val="0"/>
                      <w:marBottom w:val="0"/>
                      <w:divBdr>
                        <w:top w:val="none" w:sz="0" w:space="0" w:color="auto"/>
                        <w:left w:val="none" w:sz="0" w:space="0" w:color="auto"/>
                        <w:bottom w:val="none" w:sz="0" w:space="0" w:color="auto"/>
                        <w:right w:val="none" w:sz="0" w:space="0" w:color="auto"/>
                      </w:divBdr>
                    </w:div>
                  </w:divsChild>
                </w:div>
                <w:div w:id="1417706513">
                  <w:marLeft w:val="0"/>
                  <w:marRight w:val="0"/>
                  <w:marTop w:val="0"/>
                  <w:marBottom w:val="0"/>
                  <w:divBdr>
                    <w:top w:val="none" w:sz="0" w:space="0" w:color="auto"/>
                    <w:left w:val="none" w:sz="0" w:space="0" w:color="auto"/>
                    <w:bottom w:val="none" w:sz="0" w:space="0" w:color="auto"/>
                    <w:right w:val="none" w:sz="0" w:space="0" w:color="auto"/>
                  </w:divBdr>
                  <w:divsChild>
                    <w:div w:id="1268855400">
                      <w:marLeft w:val="0"/>
                      <w:marRight w:val="0"/>
                      <w:marTop w:val="0"/>
                      <w:marBottom w:val="0"/>
                      <w:divBdr>
                        <w:top w:val="none" w:sz="0" w:space="0" w:color="auto"/>
                        <w:left w:val="none" w:sz="0" w:space="0" w:color="auto"/>
                        <w:bottom w:val="none" w:sz="0" w:space="0" w:color="auto"/>
                        <w:right w:val="none" w:sz="0" w:space="0" w:color="auto"/>
                      </w:divBdr>
                    </w:div>
                  </w:divsChild>
                </w:div>
                <w:div w:id="1610972544">
                  <w:marLeft w:val="0"/>
                  <w:marRight w:val="0"/>
                  <w:marTop w:val="0"/>
                  <w:marBottom w:val="0"/>
                  <w:divBdr>
                    <w:top w:val="none" w:sz="0" w:space="0" w:color="auto"/>
                    <w:left w:val="none" w:sz="0" w:space="0" w:color="auto"/>
                    <w:bottom w:val="none" w:sz="0" w:space="0" w:color="auto"/>
                    <w:right w:val="none" w:sz="0" w:space="0" w:color="auto"/>
                  </w:divBdr>
                  <w:divsChild>
                    <w:div w:id="587350607">
                      <w:marLeft w:val="0"/>
                      <w:marRight w:val="0"/>
                      <w:marTop w:val="0"/>
                      <w:marBottom w:val="0"/>
                      <w:divBdr>
                        <w:top w:val="none" w:sz="0" w:space="0" w:color="auto"/>
                        <w:left w:val="none" w:sz="0" w:space="0" w:color="auto"/>
                        <w:bottom w:val="none" w:sz="0" w:space="0" w:color="auto"/>
                        <w:right w:val="none" w:sz="0" w:space="0" w:color="auto"/>
                      </w:divBdr>
                    </w:div>
                  </w:divsChild>
                </w:div>
                <w:div w:id="1676153514">
                  <w:marLeft w:val="0"/>
                  <w:marRight w:val="0"/>
                  <w:marTop w:val="0"/>
                  <w:marBottom w:val="0"/>
                  <w:divBdr>
                    <w:top w:val="none" w:sz="0" w:space="0" w:color="auto"/>
                    <w:left w:val="none" w:sz="0" w:space="0" w:color="auto"/>
                    <w:bottom w:val="none" w:sz="0" w:space="0" w:color="auto"/>
                    <w:right w:val="none" w:sz="0" w:space="0" w:color="auto"/>
                  </w:divBdr>
                  <w:divsChild>
                    <w:div w:id="18436918">
                      <w:marLeft w:val="0"/>
                      <w:marRight w:val="0"/>
                      <w:marTop w:val="0"/>
                      <w:marBottom w:val="0"/>
                      <w:divBdr>
                        <w:top w:val="none" w:sz="0" w:space="0" w:color="auto"/>
                        <w:left w:val="none" w:sz="0" w:space="0" w:color="auto"/>
                        <w:bottom w:val="none" w:sz="0" w:space="0" w:color="auto"/>
                        <w:right w:val="none" w:sz="0" w:space="0" w:color="auto"/>
                      </w:divBdr>
                    </w:div>
                  </w:divsChild>
                </w:div>
                <w:div w:id="1822234419">
                  <w:marLeft w:val="0"/>
                  <w:marRight w:val="0"/>
                  <w:marTop w:val="0"/>
                  <w:marBottom w:val="0"/>
                  <w:divBdr>
                    <w:top w:val="none" w:sz="0" w:space="0" w:color="auto"/>
                    <w:left w:val="none" w:sz="0" w:space="0" w:color="auto"/>
                    <w:bottom w:val="none" w:sz="0" w:space="0" w:color="auto"/>
                    <w:right w:val="none" w:sz="0" w:space="0" w:color="auto"/>
                  </w:divBdr>
                  <w:divsChild>
                    <w:div w:id="1279869953">
                      <w:marLeft w:val="0"/>
                      <w:marRight w:val="0"/>
                      <w:marTop w:val="0"/>
                      <w:marBottom w:val="0"/>
                      <w:divBdr>
                        <w:top w:val="none" w:sz="0" w:space="0" w:color="auto"/>
                        <w:left w:val="none" w:sz="0" w:space="0" w:color="auto"/>
                        <w:bottom w:val="none" w:sz="0" w:space="0" w:color="auto"/>
                        <w:right w:val="none" w:sz="0" w:space="0" w:color="auto"/>
                      </w:divBdr>
                    </w:div>
                  </w:divsChild>
                </w:div>
                <w:div w:id="1825966831">
                  <w:marLeft w:val="0"/>
                  <w:marRight w:val="0"/>
                  <w:marTop w:val="0"/>
                  <w:marBottom w:val="0"/>
                  <w:divBdr>
                    <w:top w:val="none" w:sz="0" w:space="0" w:color="auto"/>
                    <w:left w:val="none" w:sz="0" w:space="0" w:color="auto"/>
                    <w:bottom w:val="none" w:sz="0" w:space="0" w:color="auto"/>
                    <w:right w:val="none" w:sz="0" w:space="0" w:color="auto"/>
                  </w:divBdr>
                  <w:divsChild>
                    <w:div w:id="18502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9053">
          <w:marLeft w:val="0"/>
          <w:marRight w:val="0"/>
          <w:marTop w:val="0"/>
          <w:marBottom w:val="0"/>
          <w:divBdr>
            <w:top w:val="none" w:sz="0" w:space="0" w:color="auto"/>
            <w:left w:val="none" w:sz="0" w:space="0" w:color="auto"/>
            <w:bottom w:val="none" w:sz="0" w:space="0" w:color="auto"/>
            <w:right w:val="none" w:sz="0" w:space="0" w:color="auto"/>
          </w:divBdr>
        </w:div>
      </w:divsChild>
    </w:div>
    <w:div w:id="1319267517">
      <w:bodyDiv w:val="1"/>
      <w:marLeft w:val="0"/>
      <w:marRight w:val="0"/>
      <w:marTop w:val="0"/>
      <w:marBottom w:val="0"/>
      <w:divBdr>
        <w:top w:val="none" w:sz="0" w:space="0" w:color="auto"/>
        <w:left w:val="none" w:sz="0" w:space="0" w:color="auto"/>
        <w:bottom w:val="none" w:sz="0" w:space="0" w:color="auto"/>
        <w:right w:val="none" w:sz="0" w:space="0" w:color="auto"/>
      </w:divBdr>
      <w:divsChild>
        <w:div w:id="645208041">
          <w:marLeft w:val="0"/>
          <w:marRight w:val="0"/>
          <w:marTop w:val="0"/>
          <w:marBottom w:val="0"/>
          <w:divBdr>
            <w:top w:val="none" w:sz="0" w:space="0" w:color="auto"/>
            <w:left w:val="none" w:sz="0" w:space="0" w:color="auto"/>
            <w:bottom w:val="none" w:sz="0" w:space="0" w:color="auto"/>
            <w:right w:val="none" w:sz="0" w:space="0" w:color="auto"/>
          </w:divBdr>
        </w:div>
      </w:divsChild>
    </w:div>
    <w:div w:id="1352760965">
      <w:bodyDiv w:val="1"/>
      <w:marLeft w:val="0"/>
      <w:marRight w:val="0"/>
      <w:marTop w:val="0"/>
      <w:marBottom w:val="0"/>
      <w:divBdr>
        <w:top w:val="none" w:sz="0" w:space="0" w:color="auto"/>
        <w:left w:val="none" w:sz="0" w:space="0" w:color="auto"/>
        <w:bottom w:val="none" w:sz="0" w:space="0" w:color="auto"/>
        <w:right w:val="none" w:sz="0" w:space="0" w:color="auto"/>
      </w:divBdr>
    </w:div>
    <w:div w:id="1472598282">
      <w:bodyDiv w:val="1"/>
      <w:marLeft w:val="0"/>
      <w:marRight w:val="0"/>
      <w:marTop w:val="0"/>
      <w:marBottom w:val="0"/>
      <w:divBdr>
        <w:top w:val="none" w:sz="0" w:space="0" w:color="auto"/>
        <w:left w:val="none" w:sz="0" w:space="0" w:color="auto"/>
        <w:bottom w:val="none" w:sz="0" w:space="0" w:color="auto"/>
        <w:right w:val="none" w:sz="0" w:space="0" w:color="auto"/>
      </w:divBdr>
      <w:divsChild>
        <w:div w:id="347218488">
          <w:marLeft w:val="0"/>
          <w:marRight w:val="0"/>
          <w:marTop w:val="0"/>
          <w:marBottom w:val="0"/>
          <w:divBdr>
            <w:top w:val="none" w:sz="0" w:space="0" w:color="auto"/>
            <w:left w:val="none" w:sz="0" w:space="0" w:color="auto"/>
            <w:bottom w:val="none" w:sz="0" w:space="0" w:color="auto"/>
            <w:right w:val="none" w:sz="0" w:space="0" w:color="auto"/>
          </w:divBdr>
        </w:div>
      </w:divsChild>
    </w:div>
    <w:div w:id="1514370290">
      <w:bodyDiv w:val="1"/>
      <w:marLeft w:val="0"/>
      <w:marRight w:val="0"/>
      <w:marTop w:val="0"/>
      <w:marBottom w:val="0"/>
      <w:divBdr>
        <w:top w:val="none" w:sz="0" w:space="0" w:color="auto"/>
        <w:left w:val="none" w:sz="0" w:space="0" w:color="auto"/>
        <w:bottom w:val="none" w:sz="0" w:space="0" w:color="auto"/>
        <w:right w:val="none" w:sz="0" w:space="0" w:color="auto"/>
      </w:divBdr>
      <w:divsChild>
        <w:div w:id="582296587">
          <w:marLeft w:val="0"/>
          <w:marRight w:val="0"/>
          <w:marTop w:val="0"/>
          <w:marBottom w:val="0"/>
          <w:divBdr>
            <w:top w:val="none" w:sz="0" w:space="0" w:color="auto"/>
            <w:left w:val="none" w:sz="0" w:space="0" w:color="auto"/>
            <w:bottom w:val="none" w:sz="0" w:space="0" w:color="auto"/>
            <w:right w:val="none" w:sz="0" w:space="0" w:color="auto"/>
          </w:divBdr>
          <w:divsChild>
            <w:div w:id="1517113641">
              <w:marLeft w:val="0"/>
              <w:marRight w:val="0"/>
              <w:marTop w:val="30"/>
              <w:marBottom w:val="30"/>
              <w:divBdr>
                <w:top w:val="none" w:sz="0" w:space="0" w:color="auto"/>
                <w:left w:val="none" w:sz="0" w:space="0" w:color="auto"/>
                <w:bottom w:val="none" w:sz="0" w:space="0" w:color="auto"/>
                <w:right w:val="none" w:sz="0" w:space="0" w:color="auto"/>
              </w:divBdr>
              <w:divsChild>
                <w:div w:id="137311931">
                  <w:marLeft w:val="0"/>
                  <w:marRight w:val="0"/>
                  <w:marTop w:val="0"/>
                  <w:marBottom w:val="0"/>
                  <w:divBdr>
                    <w:top w:val="none" w:sz="0" w:space="0" w:color="auto"/>
                    <w:left w:val="none" w:sz="0" w:space="0" w:color="auto"/>
                    <w:bottom w:val="none" w:sz="0" w:space="0" w:color="auto"/>
                    <w:right w:val="none" w:sz="0" w:space="0" w:color="auto"/>
                  </w:divBdr>
                  <w:divsChild>
                    <w:div w:id="1775632754">
                      <w:marLeft w:val="0"/>
                      <w:marRight w:val="0"/>
                      <w:marTop w:val="0"/>
                      <w:marBottom w:val="0"/>
                      <w:divBdr>
                        <w:top w:val="none" w:sz="0" w:space="0" w:color="auto"/>
                        <w:left w:val="none" w:sz="0" w:space="0" w:color="auto"/>
                        <w:bottom w:val="none" w:sz="0" w:space="0" w:color="auto"/>
                        <w:right w:val="none" w:sz="0" w:space="0" w:color="auto"/>
                      </w:divBdr>
                    </w:div>
                  </w:divsChild>
                </w:div>
                <w:div w:id="319191395">
                  <w:marLeft w:val="0"/>
                  <w:marRight w:val="0"/>
                  <w:marTop w:val="0"/>
                  <w:marBottom w:val="0"/>
                  <w:divBdr>
                    <w:top w:val="none" w:sz="0" w:space="0" w:color="auto"/>
                    <w:left w:val="none" w:sz="0" w:space="0" w:color="auto"/>
                    <w:bottom w:val="none" w:sz="0" w:space="0" w:color="auto"/>
                    <w:right w:val="none" w:sz="0" w:space="0" w:color="auto"/>
                  </w:divBdr>
                  <w:divsChild>
                    <w:div w:id="1187451902">
                      <w:marLeft w:val="0"/>
                      <w:marRight w:val="0"/>
                      <w:marTop w:val="0"/>
                      <w:marBottom w:val="0"/>
                      <w:divBdr>
                        <w:top w:val="none" w:sz="0" w:space="0" w:color="auto"/>
                        <w:left w:val="none" w:sz="0" w:space="0" w:color="auto"/>
                        <w:bottom w:val="none" w:sz="0" w:space="0" w:color="auto"/>
                        <w:right w:val="none" w:sz="0" w:space="0" w:color="auto"/>
                      </w:divBdr>
                    </w:div>
                  </w:divsChild>
                </w:div>
                <w:div w:id="379785670">
                  <w:marLeft w:val="0"/>
                  <w:marRight w:val="0"/>
                  <w:marTop w:val="0"/>
                  <w:marBottom w:val="0"/>
                  <w:divBdr>
                    <w:top w:val="none" w:sz="0" w:space="0" w:color="auto"/>
                    <w:left w:val="none" w:sz="0" w:space="0" w:color="auto"/>
                    <w:bottom w:val="none" w:sz="0" w:space="0" w:color="auto"/>
                    <w:right w:val="none" w:sz="0" w:space="0" w:color="auto"/>
                  </w:divBdr>
                  <w:divsChild>
                    <w:div w:id="1184979147">
                      <w:marLeft w:val="0"/>
                      <w:marRight w:val="0"/>
                      <w:marTop w:val="0"/>
                      <w:marBottom w:val="0"/>
                      <w:divBdr>
                        <w:top w:val="none" w:sz="0" w:space="0" w:color="auto"/>
                        <w:left w:val="none" w:sz="0" w:space="0" w:color="auto"/>
                        <w:bottom w:val="none" w:sz="0" w:space="0" w:color="auto"/>
                        <w:right w:val="none" w:sz="0" w:space="0" w:color="auto"/>
                      </w:divBdr>
                    </w:div>
                  </w:divsChild>
                </w:div>
                <w:div w:id="517163983">
                  <w:marLeft w:val="0"/>
                  <w:marRight w:val="0"/>
                  <w:marTop w:val="0"/>
                  <w:marBottom w:val="0"/>
                  <w:divBdr>
                    <w:top w:val="none" w:sz="0" w:space="0" w:color="auto"/>
                    <w:left w:val="none" w:sz="0" w:space="0" w:color="auto"/>
                    <w:bottom w:val="none" w:sz="0" w:space="0" w:color="auto"/>
                    <w:right w:val="none" w:sz="0" w:space="0" w:color="auto"/>
                  </w:divBdr>
                  <w:divsChild>
                    <w:div w:id="124005513">
                      <w:marLeft w:val="0"/>
                      <w:marRight w:val="0"/>
                      <w:marTop w:val="0"/>
                      <w:marBottom w:val="0"/>
                      <w:divBdr>
                        <w:top w:val="none" w:sz="0" w:space="0" w:color="auto"/>
                        <w:left w:val="none" w:sz="0" w:space="0" w:color="auto"/>
                        <w:bottom w:val="none" w:sz="0" w:space="0" w:color="auto"/>
                        <w:right w:val="none" w:sz="0" w:space="0" w:color="auto"/>
                      </w:divBdr>
                    </w:div>
                  </w:divsChild>
                </w:div>
                <w:div w:id="572468991">
                  <w:marLeft w:val="0"/>
                  <w:marRight w:val="0"/>
                  <w:marTop w:val="0"/>
                  <w:marBottom w:val="0"/>
                  <w:divBdr>
                    <w:top w:val="none" w:sz="0" w:space="0" w:color="auto"/>
                    <w:left w:val="none" w:sz="0" w:space="0" w:color="auto"/>
                    <w:bottom w:val="none" w:sz="0" w:space="0" w:color="auto"/>
                    <w:right w:val="none" w:sz="0" w:space="0" w:color="auto"/>
                  </w:divBdr>
                  <w:divsChild>
                    <w:div w:id="54938443">
                      <w:marLeft w:val="0"/>
                      <w:marRight w:val="0"/>
                      <w:marTop w:val="0"/>
                      <w:marBottom w:val="0"/>
                      <w:divBdr>
                        <w:top w:val="none" w:sz="0" w:space="0" w:color="auto"/>
                        <w:left w:val="none" w:sz="0" w:space="0" w:color="auto"/>
                        <w:bottom w:val="none" w:sz="0" w:space="0" w:color="auto"/>
                        <w:right w:val="none" w:sz="0" w:space="0" w:color="auto"/>
                      </w:divBdr>
                    </w:div>
                  </w:divsChild>
                </w:div>
                <w:div w:id="776212433">
                  <w:marLeft w:val="0"/>
                  <w:marRight w:val="0"/>
                  <w:marTop w:val="0"/>
                  <w:marBottom w:val="0"/>
                  <w:divBdr>
                    <w:top w:val="none" w:sz="0" w:space="0" w:color="auto"/>
                    <w:left w:val="none" w:sz="0" w:space="0" w:color="auto"/>
                    <w:bottom w:val="none" w:sz="0" w:space="0" w:color="auto"/>
                    <w:right w:val="none" w:sz="0" w:space="0" w:color="auto"/>
                  </w:divBdr>
                  <w:divsChild>
                    <w:div w:id="1685594235">
                      <w:marLeft w:val="0"/>
                      <w:marRight w:val="0"/>
                      <w:marTop w:val="0"/>
                      <w:marBottom w:val="0"/>
                      <w:divBdr>
                        <w:top w:val="none" w:sz="0" w:space="0" w:color="auto"/>
                        <w:left w:val="none" w:sz="0" w:space="0" w:color="auto"/>
                        <w:bottom w:val="none" w:sz="0" w:space="0" w:color="auto"/>
                        <w:right w:val="none" w:sz="0" w:space="0" w:color="auto"/>
                      </w:divBdr>
                    </w:div>
                  </w:divsChild>
                </w:div>
                <w:div w:id="1230186564">
                  <w:marLeft w:val="0"/>
                  <w:marRight w:val="0"/>
                  <w:marTop w:val="0"/>
                  <w:marBottom w:val="0"/>
                  <w:divBdr>
                    <w:top w:val="none" w:sz="0" w:space="0" w:color="auto"/>
                    <w:left w:val="none" w:sz="0" w:space="0" w:color="auto"/>
                    <w:bottom w:val="none" w:sz="0" w:space="0" w:color="auto"/>
                    <w:right w:val="none" w:sz="0" w:space="0" w:color="auto"/>
                  </w:divBdr>
                  <w:divsChild>
                    <w:div w:id="234559969">
                      <w:marLeft w:val="0"/>
                      <w:marRight w:val="0"/>
                      <w:marTop w:val="0"/>
                      <w:marBottom w:val="0"/>
                      <w:divBdr>
                        <w:top w:val="none" w:sz="0" w:space="0" w:color="auto"/>
                        <w:left w:val="none" w:sz="0" w:space="0" w:color="auto"/>
                        <w:bottom w:val="none" w:sz="0" w:space="0" w:color="auto"/>
                        <w:right w:val="none" w:sz="0" w:space="0" w:color="auto"/>
                      </w:divBdr>
                    </w:div>
                  </w:divsChild>
                </w:div>
                <w:div w:id="1631279639">
                  <w:marLeft w:val="0"/>
                  <w:marRight w:val="0"/>
                  <w:marTop w:val="0"/>
                  <w:marBottom w:val="0"/>
                  <w:divBdr>
                    <w:top w:val="none" w:sz="0" w:space="0" w:color="auto"/>
                    <w:left w:val="none" w:sz="0" w:space="0" w:color="auto"/>
                    <w:bottom w:val="none" w:sz="0" w:space="0" w:color="auto"/>
                    <w:right w:val="none" w:sz="0" w:space="0" w:color="auto"/>
                  </w:divBdr>
                  <w:divsChild>
                    <w:div w:id="1696150000">
                      <w:marLeft w:val="0"/>
                      <w:marRight w:val="0"/>
                      <w:marTop w:val="0"/>
                      <w:marBottom w:val="0"/>
                      <w:divBdr>
                        <w:top w:val="none" w:sz="0" w:space="0" w:color="auto"/>
                        <w:left w:val="none" w:sz="0" w:space="0" w:color="auto"/>
                        <w:bottom w:val="none" w:sz="0" w:space="0" w:color="auto"/>
                        <w:right w:val="none" w:sz="0" w:space="0" w:color="auto"/>
                      </w:divBdr>
                    </w:div>
                  </w:divsChild>
                </w:div>
                <w:div w:id="1783916848">
                  <w:marLeft w:val="0"/>
                  <w:marRight w:val="0"/>
                  <w:marTop w:val="0"/>
                  <w:marBottom w:val="0"/>
                  <w:divBdr>
                    <w:top w:val="none" w:sz="0" w:space="0" w:color="auto"/>
                    <w:left w:val="none" w:sz="0" w:space="0" w:color="auto"/>
                    <w:bottom w:val="none" w:sz="0" w:space="0" w:color="auto"/>
                    <w:right w:val="none" w:sz="0" w:space="0" w:color="auto"/>
                  </w:divBdr>
                  <w:divsChild>
                    <w:div w:id="1109203582">
                      <w:marLeft w:val="0"/>
                      <w:marRight w:val="0"/>
                      <w:marTop w:val="0"/>
                      <w:marBottom w:val="0"/>
                      <w:divBdr>
                        <w:top w:val="none" w:sz="0" w:space="0" w:color="auto"/>
                        <w:left w:val="none" w:sz="0" w:space="0" w:color="auto"/>
                        <w:bottom w:val="none" w:sz="0" w:space="0" w:color="auto"/>
                        <w:right w:val="none" w:sz="0" w:space="0" w:color="auto"/>
                      </w:divBdr>
                    </w:div>
                  </w:divsChild>
                </w:div>
                <w:div w:id="1911500419">
                  <w:marLeft w:val="0"/>
                  <w:marRight w:val="0"/>
                  <w:marTop w:val="0"/>
                  <w:marBottom w:val="0"/>
                  <w:divBdr>
                    <w:top w:val="none" w:sz="0" w:space="0" w:color="auto"/>
                    <w:left w:val="none" w:sz="0" w:space="0" w:color="auto"/>
                    <w:bottom w:val="none" w:sz="0" w:space="0" w:color="auto"/>
                    <w:right w:val="none" w:sz="0" w:space="0" w:color="auto"/>
                  </w:divBdr>
                  <w:divsChild>
                    <w:div w:id="9660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4538">
          <w:marLeft w:val="0"/>
          <w:marRight w:val="0"/>
          <w:marTop w:val="0"/>
          <w:marBottom w:val="0"/>
          <w:divBdr>
            <w:top w:val="none" w:sz="0" w:space="0" w:color="auto"/>
            <w:left w:val="none" w:sz="0" w:space="0" w:color="auto"/>
            <w:bottom w:val="none" w:sz="0" w:space="0" w:color="auto"/>
            <w:right w:val="none" w:sz="0" w:space="0" w:color="auto"/>
          </w:divBdr>
        </w:div>
        <w:div w:id="1376352683">
          <w:marLeft w:val="0"/>
          <w:marRight w:val="0"/>
          <w:marTop w:val="0"/>
          <w:marBottom w:val="0"/>
          <w:divBdr>
            <w:top w:val="none" w:sz="0" w:space="0" w:color="auto"/>
            <w:left w:val="none" w:sz="0" w:space="0" w:color="auto"/>
            <w:bottom w:val="none" w:sz="0" w:space="0" w:color="auto"/>
            <w:right w:val="none" w:sz="0" w:space="0" w:color="auto"/>
          </w:divBdr>
        </w:div>
      </w:divsChild>
    </w:div>
    <w:div w:id="1662998340">
      <w:bodyDiv w:val="1"/>
      <w:marLeft w:val="0"/>
      <w:marRight w:val="0"/>
      <w:marTop w:val="0"/>
      <w:marBottom w:val="0"/>
      <w:divBdr>
        <w:top w:val="none" w:sz="0" w:space="0" w:color="auto"/>
        <w:left w:val="none" w:sz="0" w:space="0" w:color="auto"/>
        <w:bottom w:val="none" w:sz="0" w:space="0" w:color="auto"/>
        <w:right w:val="none" w:sz="0" w:space="0" w:color="auto"/>
      </w:divBdr>
      <w:divsChild>
        <w:div w:id="1499149181">
          <w:marLeft w:val="0"/>
          <w:marRight w:val="0"/>
          <w:marTop w:val="0"/>
          <w:marBottom w:val="0"/>
          <w:divBdr>
            <w:top w:val="none" w:sz="0" w:space="0" w:color="auto"/>
            <w:left w:val="none" w:sz="0" w:space="0" w:color="auto"/>
            <w:bottom w:val="none" w:sz="0" w:space="0" w:color="auto"/>
            <w:right w:val="none" w:sz="0" w:space="0" w:color="auto"/>
          </w:divBdr>
        </w:div>
        <w:div w:id="1803648688">
          <w:marLeft w:val="0"/>
          <w:marRight w:val="0"/>
          <w:marTop w:val="0"/>
          <w:marBottom w:val="0"/>
          <w:divBdr>
            <w:top w:val="none" w:sz="0" w:space="0" w:color="auto"/>
            <w:left w:val="none" w:sz="0" w:space="0" w:color="auto"/>
            <w:bottom w:val="none" w:sz="0" w:space="0" w:color="auto"/>
            <w:right w:val="none" w:sz="0" w:space="0" w:color="auto"/>
          </w:divBdr>
        </w:div>
      </w:divsChild>
    </w:div>
    <w:div w:id="1802453811">
      <w:bodyDiv w:val="1"/>
      <w:marLeft w:val="0"/>
      <w:marRight w:val="0"/>
      <w:marTop w:val="0"/>
      <w:marBottom w:val="0"/>
      <w:divBdr>
        <w:top w:val="none" w:sz="0" w:space="0" w:color="auto"/>
        <w:left w:val="none" w:sz="0" w:space="0" w:color="auto"/>
        <w:bottom w:val="none" w:sz="0" w:space="0" w:color="auto"/>
        <w:right w:val="none" w:sz="0" w:space="0" w:color="auto"/>
      </w:divBdr>
      <w:divsChild>
        <w:div w:id="970594297">
          <w:marLeft w:val="0"/>
          <w:marRight w:val="0"/>
          <w:marTop w:val="0"/>
          <w:marBottom w:val="0"/>
          <w:divBdr>
            <w:top w:val="none" w:sz="0" w:space="0" w:color="auto"/>
            <w:left w:val="none" w:sz="0" w:space="0" w:color="auto"/>
            <w:bottom w:val="none" w:sz="0" w:space="0" w:color="auto"/>
            <w:right w:val="none" w:sz="0" w:space="0" w:color="auto"/>
          </w:divBdr>
        </w:div>
        <w:div w:id="1260060721">
          <w:marLeft w:val="0"/>
          <w:marRight w:val="0"/>
          <w:marTop w:val="0"/>
          <w:marBottom w:val="0"/>
          <w:divBdr>
            <w:top w:val="none" w:sz="0" w:space="0" w:color="auto"/>
            <w:left w:val="none" w:sz="0" w:space="0" w:color="auto"/>
            <w:bottom w:val="none" w:sz="0" w:space="0" w:color="auto"/>
            <w:right w:val="none" w:sz="0" w:space="0" w:color="auto"/>
          </w:divBdr>
        </w:div>
        <w:div w:id="1299922980">
          <w:marLeft w:val="0"/>
          <w:marRight w:val="0"/>
          <w:marTop w:val="0"/>
          <w:marBottom w:val="0"/>
          <w:divBdr>
            <w:top w:val="none" w:sz="0" w:space="0" w:color="auto"/>
            <w:left w:val="none" w:sz="0" w:space="0" w:color="auto"/>
            <w:bottom w:val="none" w:sz="0" w:space="0" w:color="auto"/>
            <w:right w:val="none" w:sz="0" w:space="0" w:color="auto"/>
          </w:divBdr>
        </w:div>
      </w:divsChild>
    </w:div>
    <w:div w:id="1826510121">
      <w:bodyDiv w:val="1"/>
      <w:marLeft w:val="0"/>
      <w:marRight w:val="0"/>
      <w:marTop w:val="0"/>
      <w:marBottom w:val="0"/>
      <w:divBdr>
        <w:top w:val="none" w:sz="0" w:space="0" w:color="auto"/>
        <w:left w:val="none" w:sz="0" w:space="0" w:color="auto"/>
        <w:bottom w:val="none" w:sz="0" w:space="0" w:color="auto"/>
        <w:right w:val="none" w:sz="0" w:space="0" w:color="auto"/>
      </w:divBdr>
      <w:divsChild>
        <w:div w:id="488596505">
          <w:marLeft w:val="0"/>
          <w:marRight w:val="0"/>
          <w:marTop w:val="0"/>
          <w:marBottom w:val="0"/>
          <w:divBdr>
            <w:top w:val="none" w:sz="0" w:space="0" w:color="auto"/>
            <w:left w:val="none" w:sz="0" w:space="0" w:color="auto"/>
            <w:bottom w:val="none" w:sz="0" w:space="0" w:color="auto"/>
            <w:right w:val="none" w:sz="0" w:space="0" w:color="auto"/>
          </w:divBdr>
        </w:div>
        <w:div w:id="753017099">
          <w:marLeft w:val="0"/>
          <w:marRight w:val="0"/>
          <w:marTop w:val="0"/>
          <w:marBottom w:val="0"/>
          <w:divBdr>
            <w:top w:val="none" w:sz="0" w:space="0" w:color="auto"/>
            <w:left w:val="none" w:sz="0" w:space="0" w:color="auto"/>
            <w:bottom w:val="none" w:sz="0" w:space="0" w:color="auto"/>
            <w:right w:val="none" w:sz="0" w:space="0" w:color="auto"/>
          </w:divBdr>
        </w:div>
        <w:div w:id="769812626">
          <w:marLeft w:val="0"/>
          <w:marRight w:val="0"/>
          <w:marTop w:val="0"/>
          <w:marBottom w:val="0"/>
          <w:divBdr>
            <w:top w:val="none" w:sz="0" w:space="0" w:color="auto"/>
            <w:left w:val="none" w:sz="0" w:space="0" w:color="auto"/>
            <w:bottom w:val="none" w:sz="0" w:space="0" w:color="auto"/>
            <w:right w:val="none" w:sz="0" w:space="0" w:color="auto"/>
          </w:divBdr>
        </w:div>
        <w:div w:id="973799466">
          <w:marLeft w:val="0"/>
          <w:marRight w:val="0"/>
          <w:marTop w:val="0"/>
          <w:marBottom w:val="0"/>
          <w:divBdr>
            <w:top w:val="none" w:sz="0" w:space="0" w:color="auto"/>
            <w:left w:val="none" w:sz="0" w:space="0" w:color="auto"/>
            <w:bottom w:val="none" w:sz="0" w:space="0" w:color="auto"/>
            <w:right w:val="none" w:sz="0" w:space="0" w:color="auto"/>
          </w:divBdr>
        </w:div>
        <w:div w:id="1280189015">
          <w:marLeft w:val="0"/>
          <w:marRight w:val="0"/>
          <w:marTop w:val="0"/>
          <w:marBottom w:val="0"/>
          <w:divBdr>
            <w:top w:val="none" w:sz="0" w:space="0" w:color="auto"/>
            <w:left w:val="none" w:sz="0" w:space="0" w:color="auto"/>
            <w:bottom w:val="none" w:sz="0" w:space="0" w:color="auto"/>
            <w:right w:val="none" w:sz="0" w:space="0" w:color="auto"/>
          </w:divBdr>
        </w:div>
        <w:div w:id="1571815764">
          <w:marLeft w:val="0"/>
          <w:marRight w:val="0"/>
          <w:marTop w:val="0"/>
          <w:marBottom w:val="0"/>
          <w:divBdr>
            <w:top w:val="none" w:sz="0" w:space="0" w:color="auto"/>
            <w:left w:val="none" w:sz="0" w:space="0" w:color="auto"/>
            <w:bottom w:val="none" w:sz="0" w:space="0" w:color="auto"/>
            <w:right w:val="none" w:sz="0" w:space="0" w:color="auto"/>
          </w:divBdr>
        </w:div>
        <w:div w:id="1848592350">
          <w:marLeft w:val="0"/>
          <w:marRight w:val="0"/>
          <w:marTop w:val="0"/>
          <w:marBottom w:val="0"/>
          <w:divBdr>
            <w:top w:val="none" w:sz="0" w:space="0" w:color="auto"/>
            <w:left w:val="none" w:sz="0" w:space="0" w:color="auto"/>
            <w:bottom w:val="none" w:sz="0" w:space="0" w:color="auto"/>
            <w:right w:val="none" w:sz="0" w:space="0" w:color="auto"/>
          </w:divBdr>
        </w:div>
        <w:div w:id="1953003940">
          <w:marLeft w:val="0"/>
          <w:marRight w:val="0"/>
          <w:marTop w:val="0"/>
          <w:marBottom w:val="0"/>
          <w:divBdr>
            <w:top w:val="none" w:sz="0" w:space="0" w:color="auto"/>
            <w:left w:val="none" w:sz="0" w:space="0" w:color="auto"/>
            <w:bottom w:val="none" w:sz="0" w:space="0" w:color="auto"/>
            <w:right w:val="none" w:sz="0" w:space="0" w:color="auto"/>
          </w:divBdr>
          <w:divsChild>
            <w:div w:id="436143403">
              <w:marLeft w:val="0"/>
              <w:marRight w:val="0"/>
              <w:marTop w:val="0"/>
              <w:marBottom w:val="0"/>
              <w:divBdr>
                <w:top w:val="none" w:sz="0" w:space="0" w:color="auto"/>
                <w:left w:val="none" w:sz="0" w:space="0" w:color="auto"/>
                <w:bottom w:val="none" w:sz="0" w:space="0" w:color="auto"/>
                <w:right w:val="none" w:sz="0" w:space="0" w:color="auto"/>
              </w:divBdr>
            </w:div>
            <w:div w:id="852188989">
              <w:marLeft w:val="0"/>
              <w:marRight w:val="0"/>
              <w:marTop w:val="0"/>
              <w:marBottom w:val="0"/>
              <w:divBdr>
                <w:top w:val="none" w:sz="0" w:space="0" w:color="auto"/>
                <w:left w:val="none" w:sz="0" w:space="0" w:color="auto"/>
                <w:bottom w:val="none" w:sz="0" w:space="0" w:color="auto"/>
                <w:right w:val="none" w:sz="0" w:space="0" w:color="auto"/>
              </w:divBdr>
            </w:div>
            <w:div w:id="15483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734">
      <w:bodyDiv w:val="1"/>
      <w:marLeft w:val="0"/>
      <w:marRight w:val="0"/>
      <w:marTop w:val="0"/>
      <w:marBottom w:val="0"/>
      <w:divBdr>
        <w:top w:val="none" w:sz="0" w:space="0" w:color="auto"/>
        <w:left w:val="none" w:sz="0" w:space="0" w:color="auto"/>
        <w:bottom w:val="none" w:sz="0" w:space="0" w:color="auto"/>
        <w:right w:val="none" w:sz="0" w:space="0" w:color="auto"/>
      </w:divBdr>
    </w:div>
    <w:div w:id="1952586568">
      <w:bodyDiv w:val="1"/>
      <w:marLeft w:val="0"/>
      <w:marRight w:val="0"/>
      <w:marTop w:val="0"/>
      <w:marBottom w:val="0"/>
      <w:divBdr>
        <w:top w:val="none" w:sz="0" w:space="0" w:color="auto"/>
        <w:left w:val="none" w:sz="0" w:space="0" w:color="auto"/>
        <w:bottom w:val="none" w:sz="0" w:space="0" w:color="auto"/>
        <w:right w:val="none" w:sz="0" w:space="0" w:color="auto"/>
      </w:divBdr>
      <w:divsChild>
        <w:div w:id="257491159">
          <w:marLeft w:val="0"/>
          <w:marRight w:val="0"/>
          <w:marTop w:val="0"/>
          <w:marBottom w:val="0"/>
          <w:divBdr>
            <w:top w:val="none" w:sz="0" w:space="0" w:color="auto"/>
            <w:left w:val="none" w:sz="0" w:space="0" w:color="auto"/>
            <w:bottom w:val="none" w:sz="0" w:space="0" w:color="auto"/>
            <w:right w:val="none" w:sz="0" w:space="0" w:color="auto"/>
          </w:divBdr>
        </w:div>
        <w:div w:id="366414483">
          <w:marLeft w:val="0"/>
          <w:marRight w:val="0"/>
          <w:marTop w:val="0"/>
          <w:marBottom w:val="0"/>
          <w:divBdr>
            <w:top w:val="none" w:sz="0" w:space="0" w:color="auto"/>
            <w:left w:val="none" w:sz="0" w:space="0" w:color="auto"/>
            <w:bottom w:val="none" w:sz="0" w:space="0" w:color="auto"/>
            <w:right w:val="none" w:sz="0" w:space="0" w:color="auto"/>
          </w:divBdr>
        </w:div>
        <w:div w:id="396320478">
          <w:marLeft w:val="0"/>
          <w:marRight w:val="0"/>
          <w:marTop w:val="0"/>
          <w:marBottom w:val="0"/>
          <w:divBdr>
            <w:top w:val="none" w:sz="0" w:space="0" w:color="auto"/>
            <w:left w:val="none" w:sz="0" w:space="0" w:color="auto"/>
            <w:bottom w:val="none" w:sz="0" w:space="0" w:color="auto"/>
            <w:right w:val="none" w:sz="0" w:space="0" w:color="auto"/>
          </w:divBdr>
        </w:div>
        <w:div w:id="468520868">
          <w:marLeft w:val="0"/>
          <w:marRight w:val="0"/>
          <w:marTop w:val="0"/>
          <w:marBottom w:val="0"/>
          <w:divBdr>
            <w:top w:val="none" w:sz="0" w:space="0" w:color="auto"/>
            <w:left w:val="none" w:sz="0" w:space="0" w:color="auto"/>
            <w:bottom w:val="none" w:sz="0" w:space="0" w:color="auto"/>
            <w:right w:val="none" w:sz="0" w:space="0" w:color="auto"/>
          </w:divBdr>
        </w:div>
        <w:div w:id="937057332">
          <w:marLeft w:val="0"/>
          <w:marRight w:val="0"/>
          <w:marTop w:val="0"/>
          <w:marBottom w:val="0"/>
          <w:divBdr>
            <w:top w:val="none" w:sz="0" w:space="0" w:color="auto"/>
            <w:left w:val="none" w:sz="0" w:space="0" w:color="auto"/>
            <w:bottom w:val="none" w:sz="0" w:space="0" w:color="auto"/>
            <w:right w:val="none" w:sz="0" w:space="0" w:color="auto"/>
          </w:divBdr>
        </w:div>
        <w:div w:id="1063529938">
          <w:marLeft w:val="0"/>
          <w:marRight w:val="0"/>
          <w:marTop w:val="0"/>
          <w:marBottom w:val="0"/>
          <w:divBdr>
            <w:top w:val="none" w:sz="0" w:space="0" w:color="auto"/>
            <w:left w:val="none" w:sz="0" w:space="0" w:color="auto"/>
            <w:bottom w:val="none" w:sz="0" w:space="0" w:color="auto"/>
            <w:right w:val="none" w:sz="0" w:space="0" w:color="auto"/>
          </w:divBdr>
        </w:div>
        <w:div w:id="1089276832">
          <w:marLeft w:val="0"/>
          <w:marRight w:val="0"/>
          <w:marTop w:val="0"/>
          <w:marBottom w:val="0"/>
          <w:divBdr>
            <w:top w:val="none" w:sz="0" w:space="0" w:color="auto"/>
            <w:left w:val="none" w:sz="0" w:space="0" w:color="auto"/>
            <w:bottom w:val="none" w:sz="0" w:space="0" w:color="auto"/>
            <w:right w:val="none" w:sz="0" w:space="0" w:color="auto"/>
          </w:divBdr>
        </w:div>
        <w:div w:id="1522860659">
          <w:marLeft w:val="0"/>
          <w:marRight w:val="0"/>
          <w:marTop w:val="0"/>
          <w:marBottom w:val="0"/>
          <w:divBdr>
            <w:top w:val="none" w:sz="0" w:space="0" w:color="auto"/>
            <w:left w:val="none" w:sz="0" w:space="0" w:color="auto"/>
            <w:bottom w:val="none" w:sz="0" w:space="0" w:color="auto"/>
            <w:right w:val="none" w:sz="0" w:space="0" w:color="auto"/>
          </w:divBdr>
        </w:div>
        <w:div w:id="1961838568">
          <w:marLeft w:val="0"/>
          <w:marRight w:val="0"/>
          <w:marTop w:val="0"/>
          <w:marBottom w:val="0"/>
          <w:divBdr>
            <w:top w:val="none" w:sz="0" w:space="0" w:color="auto"/>
            <w:left w:val="none" w:sz="0" w:space="0" w:color="auto"/>
            <w:bottom w:val="none" w:sz="0" w:space="0" w:color="auto"/>
            <w:right w:val="none" w:sz="0" w:space="0" w:color="auto"/>
          </w:divBdr>
        </w:div>
        <w:div w:id="2104446685">
          <w:marLeft w:val="0"/>
          <w:marRight w:val="0"/>
          <w:marTop w:val="0"/>
          <w:marBottom w:val="0"/>
          <w:divBdr>
            <w:top w:val="none" w:sz="0" w:space="0" w:color="auto"/>
            <w:left w:val="none" w:sz="0" w:space="0" w:color="auto"/>
            <w:bottom w:val="none" w:sz="0" w:space="0" w:color="auto"/>
            <w:right w:val="none" w:sz="0" w:space="0" w:color="auto"/>
          </w:divBdr>
        </w:div>
      </w:divsChild>
    </w:div>
    <w:div w:id="1965111510">
      <w:bodyDiv w:val="1"/>
      <w:marLeft w:val="0"/>
      <w:marRight w:val="0"/>
      <w:marTop w:val="0"/>
      <w:marBottom w:val="0"/>
      <w:divBdr>
        <w:top w:val="none" w:sz="0" w:space="0" w:color="auto"/>
        <w:left w:val="none" w:sz="0" w:space="0" w:color="auto"/>
        <w:bottom w:val="none" w:sz="0" w:space="0" w:color="auto"/>
        <w:right w:val="none" w:sz="0" w:space="0" w:color="auto"/>
      </w:divBdr>
      <w:divsChild>
        <w:div w:id="1008749101">
          <w:marLeft w:val="0"/>
          <w:marRight w:val="0"/>
          <w:marTop w:val="0"/>
          <w:marBottom w:val="0"/>
          <w:divBdr>
            <w:top w:val="none" w:sz="0" w:space="0" w:color="auto"/>
            <w:left w:val="none" w:sz="0" w:space="0" w:color="auto"/>
            <w:bottom w:val="none" w:sz="0" w:space="0" w:color="auto"/>
            <w:right w:val="none" w:sz="0" w:space="0" w:color="auto"/>
          </w:divBdr>
        </w:div>
        <w:div w:id="1247417765">
          <w:marLeft w:val="0"/>
          <w:marRight w:val="0"/>
          <w:marTop w:val="0"/>
          <w:marBottom w:val="0"/>
          <w:divBdr>
            <w:top w:val="none" w:sz="0" w:space="0" w:color="auto"/>
            <w:left w:val="none" w:sz="0" w:space="0" w:color="auto"/>
            <w:bottom w:val="none" w:sz="0" w:space="0" w:color="auto"/>
            <w:right w:val="none" w:sz="0" w:space="0" w:color="auto"/>
          </w:divBdr>
        </w:div>
        <w:div w:id="1817139332">
          <w:marLeft w:val="0"/>
          <w:marRight w:val="0"/>
          <w:marTop w:val="0"/>
          <w:marBottom w:val="0"/>
          <w:divBdr>
            <w:top w:val="none" w:sz="0" w:space="0" w:color="auto"/>
            <w:left w:val="none" w:sz="0" w:space="0" w:color="auto"/>
            <w:bottom w:val="none" w:sz="0" w:space="0" w:color="auto"/>
            <w:right w:val="none" w:sz="0" w:space="0" w:color="auto"/>
          </w:divBdr>
        </w:div>
      </w:divsChild>
    </w:div>
    <w:div w:id="201033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ationalarchives.gov.uk/doc/open-government-licence/version/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DA-Transparency@beis.gov.uk"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si@nationalarchives.gsi.gov.uk" TargetMode="External"/><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728584EA-175C-463D-8A88-A1CF2D009721}">
    <t:Anchor>
      <t:Comment id="235235320"/>
    </t:Anchor>
    <t:History>
      <t:Event id="{2B51B535-FD36-47AA-8D56-B37DB4370CE0}" time="2024-07-26T13:00:37.115Z">
        <t:Attribution userId="S::victoria.bennett@energysecurity.gov.uk::8748f066-ea50-4da6-b03e-a21baaa61d0b" userProvider="AD" userName="Bennett, Victoria (Energy Security)"/>
        <t:Anchor>
          <t:Comment id="235235320"/>
        </t:Anchor>
        <t:Create/>
      </t:Event>
      <t:Event id="{062753DC-455F-4ABC-9195-EF3F76EFB5C3}" time="2024-07-26T13:00:37.115Z">
        <t:Attribution userId="S::victoria.bennett@energysecurity.gov.uk::8748f066-ea50-4da6-b03e-a21baaa61d0b" userProvider="AD" userName="Bennett, Victoria (Energy Security)"/>
        <t:Anchor>
          <t:Comment id="235235320"/>
        </t:Anchor>
        <t:Assign userId="S::Oliver.Bevan@energysecurity.gov.uk::82cf62a4-7344-4276-ae28-ed3f64b4df32" userProvider="AD" userName="Bevan, Oliver (Energy Security)"/>
      </t:Event>
      <t:Event id="{A79CCE0F-FDE7-4D35-820E-CF9CE6B845E0}" time="2024-07-26T13:00:37.115Z">
        <t:Attribution userId="S::victoria.bennett@energysecurity.gov.uk::8748f066-ea50-4da6-b03e-a21baaa61d0b" userProvider="AD" userName="Bennett, Victoria (Energy Security)"/>
        <t:Anchor>
          <t:Comment id="235235320"/>
        </t:Anchor>
        <t:SetTitle title="@Bevan, Oliver (Energy Security) Hi Ollie, would you be able to help me update this (currently showing 2022 numbers)?"/>
      </t:Event>
      <t:Event id="{62A73CA4-00E5-4220-AE37-7DACAADDCC4C}" time="2024-07-29T14:03:11.306Z">
        <t:Attribution userId="S::victoria.bennett@energysecurity.gov.uk::8748f066-ea50-4da6-b03e-a21baaa61d0b" userProvider="AD" userName="Bennett, Victoria (Energy Securit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d7f3826-00f4-4cdf-b637-935a294e35aa">FAST-1494232933-4623</_dlc_DocId>
    <_dlc_DocIdUrl xmlns="ed7f3826-00f4-4cdf-b637-935a294e35aa">
      <Url>https://beisgov.sharepoint.com/sites/Fast-EXT-ALL/_layouts/15/DocIdRedir.aspx?ID=FAST-1494232933-4623</Url>
      <Description>FAST-1494232933-4623</Description>
    </_dlc_DocIdUrl>
    <ApproverComments xmlns="09eb081d-c781-458e-b35d-ea66e1c96a80" xsi:nil="true"/>
    <Approver xmlns="09eb081d-c781-458e-b35d-ea66e1c96a80" xsi:nil="true"/>
    <Sign_x002d_offStatus xmlns="09eb081d-c781-458e-b35d-ea66e1c96a80" xsi:nil="true"/>
    <SharedWithUsers xmlns="ed7f3826-00f4-4cdf-b637-935a294e35aa">
      <UserInfo>
        <DisplayName>zz_Bray, Callum (BEIS)</DisplayName>
        <AccountId>1135</AccountId>
        <AccountType/>
      </UserInfo>
      <UserInfo>
        <DisplayName>zz_Lugt, Ellie (International - Climate and Energy)</DisplayName>
        <AccountId>1134</AccountId>
        <AccountType/>
      </UserInfo>
      <UserInfo>
        <DisplayName>White, James (International - Climate and Energy)</DisplayName>
        <AccountId>1136</AccountId>
        <AccountType/>
      </UserInfo>
      <UserInfo>
        <DisplayName>Walter, Poppy (NZBI - Domestic)</DisplayName>
        <AccountId>1489</AccountId>
        <AccountType/>
      </UserInfo>
      <UserInfo>
        <DisplayName>zz_Robinson, Giulia (International - Climate and Energy)</DisplayName>
        <AccountId>1436</AccountId>
        <AccountType/>
      </UserInfo>
      <UserInfo>
        <DisplayName/>
        <AccountId>1191</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86BB3B59377D42B8CAC9355E95C081" ma:contentTypeVersion="9" ma:contentTypeDescription="Create a new document." ma:contentTypeScope="" ma:versionID="6754977bd600ae90c5c13e2eab660956">
  <xsd:schema xmlns:xsd="http://www.w3.org/2001/XMLSchema" xmlns:xs="http://www.w3.org/2001/XMLSchema" xmlns:p="http://schemas.microsoft.com/office/2006/metadata/properties" xmlns:ns2="ed7f3826-00f4-4cdf-b637-935a294e35aa" xmlns:ns3="09eb081d-c781-458e-b35d-ea66e1c96a80" targetNamespace="http://schemas.microsoft.com/office/2006/metadata/properties" ma:root="true" ma:fieldsID="b19d404c7f691ab13fcf3d4193acd9c4" ns2:_="" ns3:_="">
    <xsd:import namespace="ed7f3826-00f4-4cdf-b637-935a294e35aa"/>
    <xsd:import namespace="09eb081d-c781-458e-b35d-ea66e1c96a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Approver" minOccurs="0"/>
                <xsd:element ref="ns3:ApproverComments" minOccurs="0"/>
                <xsd:element ref="ns3:Sign_x002d_offStatu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f3826-00f4-4cdf-b637-935a294e35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b081d-c781-458e-b35d-ea66e1c96a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Approver" ma:index="14" nillable="true" ma:displayName="Approver" ma:format="Dropdown" ma:internalName="Approver">
      <xsd:simpleType>
        <xsd:restriction base="dms:Text">
          <xsd:maxLength value="255"/>
        </xsd:restriction>
      </xsd:simpleType>
    </xsd:element>
    <xsd:element name="ApproverComments" ma:index="15" nillable="true" ma:displayName="Approver Comments" ma:format="Dropdown" ma:internalName="ApproverComments">
      <xsd:simpleType>
        <xsd:restriction base="dms:Note">
          <xsd:maxLength value="255"/>
        </xsd:restriction>
      </xsd:simpleType>
    </xsd:element>
    <xsd:element name="Sign_x002d_offStatus" ma:index="16" nillable="true" ma:displayName="Sign-off Status" ma:format="Dropdown" ma:internalName="Sign_x002d_offStatus">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42131-BD40-42FA-BF1D-325659C74395}">
  <ds:schemaRefs>
    <ds:schemaRef ds:uri="http://schemas.microsoft.com/sharepoint/v3/contenttype/forms"/>
  </ds:schemaRefs>
</ds:datastoreItem>
</file>

<file path=customXml/itemProps2.xml><?xml version="1.0" encoding="utf-8"?>
<ds:datastoreItem xmlns:ds="http://schemas.openxmlformats.org/officeDocument/2006/customXml" ds:itemID="{5E470627-5072-4164-B9A0-A8C60A90D51C}">
  <ds:schemaRefs>
    <ds:schemaRef ds:uri="http://schemas.openxmlformats.org/officeDocument/2006/bibliography"/>
  </ds:schemaRefs>
</ds:datastoreItem>
</file>

<file path=customXml/itemProps3.xml><?xml version="1.0" encoding="utf-8"?>
<ds:datastoreItem xmlns:ds="http://schemas.openxmlformats.org/officeDocument/2006/customXml" ds:itemID="{49948BD2-19FB-4A1A-9F04-1E661C4B97AC}">
  <ds:schemaRefs>
    <ds:schemaRef ds:uri="http://schemas.microsoft.com/sharepoint/events"/>
  </ds:schemaRefs>
</ds:datastoreItem>
</file>

<file path=customXml/itemProps4.xml><?xml version="1.0" encoding="utf-8"?>
<ds:datastoreItem xmlns:ds="http://schemas.openxmlformats.org/officeDocument/2006/customXml" ds:itemID="{02FCA949-4A17-4A58-8CB4-38E906E85F6A}">
  <ds:schemaRefs>
    <ds:schemaRef ds:uri="http://purl.org/dc/dcmitype/"/>
    <ds:schemaRef ds:uri="http://purl.org/dc/elements/1.1/"/>
    <ds:schemaRef ds:uri="09eb081d-c781-458e-b35d-ea66e1c96a80"/>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d7f3826-00f4-4cdf-b637-935a294e35aa"/>
    <ds:schemaRef ds:uri="http://schemas.microsoft.com/office/2006/metadata/properties"/>
  </ds:schemaRefs>
</ds:datastoreItem>
</file>

<file path=customXml/itemProps5.xml><?xml version="1.0" encoding="utf-8"?>
<ds:datastoreItem xmlns:ds="http://schemas.openxmlformats.org/officeDocument/2006/customXml" ds:itemID="{FA18273E-E21E-4448-ADE2-F5193028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f3826-00f4-4cdf-b637-935a294e35aa"/>
    <ds:schemaRef ds:uri="09eb081d-c781-458e-b35d-ea66e1c9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9533</Words>
  <Characters>54344</Characters>
  <Application>Microsoft Office Word</Application>
  <DocSecurity>0</DocSecurity>
  <Lines>452</Lines>
  <Paragraphs>127</Paragraphs>
  <ScaleCrop>false</ScaleCrop>
  <Company/>
  <LinksUpToDate>false</LinksUpToDate>
  <CharactersWithSpaces>63750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Smithers, William (Intl Climate Finance: Portfolio)</dc:creator>
  <cp:keywords/>
  <dc:description/>
  <cp:lastModifiedBy>Mangheni, Edwin (Energy Security)</cp:lastModifiedBy>
  <cp:revision>2</cp:revision>
  <dcterms:created xsi:type="dcterms:W3CDTF">2025-04-28T12:51:00Z</dcterms:created>
  <dcterms:modified xsi:type="dcterms:W3CDTF">2025-04-28T12:51:00Z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2020-07-31T08:26:31Z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cddeefbe-1e4c-49e9-8a2d-000074bea76d</vt:lpwstr>
  </property>
  <property fmtid="{D5CDD505-2E9C-101B-9397-08002B2CF9AE}" pid="8" name="MSIP_Label_ba62f585-b40f-4ab9-bafe-39150f03d124_ContentBits">
    <vt:lpwstr>0</vt:lpwstr>
  </property>
  <property fmtid="{D5CDD505-2E9C-101B-9397-08002B2CF9AE}" pid="9" name="Business Document Type">
    <vt:lpwstr>Annual review</vt:lpwstr>
  </property>
  <property fmtid="{D5CDD505-2E9C-101B-9397-08002B2CF9AE}" pid="10" name="Business Unit">
    <vt:lpwstr>1;#International Climate Finance|25a07eec-082c-4868-be05-2bef48a6767e</vt:lpwstr>
  </property>
  <property fmtid="{D5CDD505-2E9C-101B-9397-08002B2CF9AE}" pid="11" name="MSIP_Label_e4c996da-17fa-4fc5-8989-2758fb4cf86b_ActionId">
    <vt:lpwstr>919708a4-416e-499e-8edc-0000a189eb48</vt:lpwstr>
  </property>
  <property fmtid="{D5CDD505-2E9C-101B-9397-08002B2CF9AE}" pid="12" name="MSIP_Label_e4c996da-17fa-4fc5-8989-2758fb4cf86b_SiteId">
    <vt:lpwstr>cdf709af-1a18-4c74-bd93-6d14a64d73b3</vt:lpwstr>
  </property>
  <property fmtid="{D5CDD505-2E9C-101B-9397-08002B2CF9AE}" pid="13" name="MSIP_Label_e4c996da-17fa-4fc5-8989-2758fb4cf86b_ContentBits">
    <vt:lpwstr>1</vt:lpwstr>
  </property>
  <property fmtid="{D5CDD505-2E9C-101B-9397-08002B2CF9AE}" pid="14" name="MSIP_Label_e4c996da-17fa-4fc5-8989-2758fb4cf86b_Enabled">
    <vt:lpwstr>true</vt:lpwstr>
  </property>
  <property fmtid="{D5CDD505-2E9C-101B-9397-08002B2CF9AE}" pid="15" name="MSIP_Label_e4c996da-17fa-4fc5-8989-2758fb4cf86b_Name">
    <vt:lpwstr>OFFICIAL</vt:lpwstr>
  </property>
  <property fmtid="{D5CDD505-2E9C-101B-9397-08002B2CF9AE}" pid="16" name="_dlc_DocIdItemGuid">
    <vt:lpwstr>db26c188-678f-4c5a-b2dc-95938e162fdf</vt:lpwstr>
  </property>
  <property fmtid="{D5CDD505-2E9C-101B-9397-08002B2CF9AE}" pid="17" name="MSIP_Label_e4c996da-17fa-4fc5-8989-2758fb4cf86b_SetDate">
    <vt:lpwstr>2020-03-30T16:49:07Z</vt:lpwstr>
  </property>
  <property fmtid="{D5CDD505-2E9C-101B-9397-08002B2CF9AE}" pid="18" name="MSIP_Label_e4c996da-17fa-4fc5-8989-2758fb4cf86b_Method">
    <vt:lpwstr>Standard</vt:lpwstr>
  </property>
  <property fmtid="{D5CDD505-2E9C-101B-9397-08002B2CF9AE}" pid="19" name="MediaServiceImageTags">
    <vt:lpwstr/>
  </property>
  <property fmtid="{D5CDD505-2E9C-101B-9397-08002B2CF9AE}" pid="20" name="KIM_Activity">
    <vt:lpwstr>2;#International climate|5a595758-250c-1237-4802-ae3329732708</vt:lpwstr>
  </property>
  <property fmtid="{D5CDD505-2E9C-101B-9397-08002B2CF9AE}" pid="21" name="KIM_GovernmentBody">
    <vt:lpwstr>3;#BEIS|b386cac2-c28c-4db4-8fca-43733d0e74ef</vt:lpwstr>
  </property>
  <property fmtid="{D5CDD505-2E9C-101B-9397-08002B2CF9AE}" pid="22" name="KIM_Function">
    <vt:lpwstr>1;#Climate and energy|98b2efea-a649-07e6-a104-07f256801c42</vt:lpwstr>
  </property>
  <property fmtid="{D5CDD505-2E9C-101B-9397-08002B2CF9AE}" pid="23" name="ContentTypeId">
    <vt:lpwstr>0x0101001E86BB3B59377D42B8CAC9355E95C081</vt:lpwstr>
  </property>
  <property fmtid="{D5CDD505-2E9C-101B-9397-08002B2CF9AE}" pid="24" name="LegacyData">
    <vt:lpwstr>{
  "Name": "BEIS Annual Review Template April 2020.docx",
  "Title": "Annual Review Template_April 2020",
  "External": "",
  "Document Notes": "",
  "Security Classification": "OFFICIAL",
  "Handling Instructions": "",
  "Descriptor": "",
  "Government </vt:lpwstr>
  </property>
  <property fmtid="{D5CDD505-2E9C-101B-9397-08002B2CF9AE}" pid="25" name="m817f42addf14c9a838da36e78800043">
    <vt:lpwstr>Climate and energy|98b2efea-a649-07e6-a104-07f256801c42</vt:lpwstr>
  </property>
  <property fmtid="{D5CDD505-2E9C-101B-9397-08002B2CF9AE}" pid="26" name="LastModifiedBy">
    <vt:lpwstr/>
  </property>
  <property fmtid="{D5CDD505-2E9C-101B-9397-08002B2CF9AE}" pid="27" name="c6f593ada1854b629148449de059396b">
    <vt:lpwstr>BEIS|b386cac2-c28c-4db4-8fca-43733d0e74ef</vt:lpwstr>
  </property>
  <property fmtid="{D5CDD505-2E9C-101B-9397-08002B2CF9AE}" pid="28" name="SharedWithUsers">
    <vt:lpwstr>1135;#zz_Bray, Callum (BEIS);#1134;#zz_Lugt, Ellie (International - Climate and Energy);#1136;#White, James (International - Climate and Energy);#1489;#Walter, Poppy (NZBI - Domestic);#1436;#zz_Robinson, Giulia (International - Climate and Energy);#1191;#</vt:lpwstr>
  </property>
  <property fmtid="{D5CDD505-2E9C-101B-9397-08002B2CF9AE}" pid="29" name="TaxCatchAll">
    <vt:lpwstr>3;#;#2;#;#1;#</vt:lpwstr>
  </property>
  <property fmtid="{D5CDD505-2E9C-101B-9397-08002B2CF9AE}" pid="30" name="h573c97cf80c4aa6b446c5363dc3ac94">
    <vt:lpwstr>International climate|5a595758-250c-1237-4802-ae3329732708</vt:lpwstr>
  </property>
</Properties>
</file>