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EC0E8" w14:textId="77777777" w:rsidR="00C67FEB" w:rsidRPr="003C5BF3" w:rsidRDefault="00C67FEB" w:rsidP="003D222C">
      <w:pPr>
        <w:rPr>
          <w:sz w:val="22"/>
          <w:szCs w:val="22"/>
          <w:u w:val="single"/>
        </w:rPr>
      </w:pPr>
    </w:p>
    <w:p w14:paraId="3589F38C" w14:textId="54C1ACA3" w:rsidR="1E6694F7" w:rsidRDefault="1E6694F7" w:rsidP="1E6694F7">
      <w:pPr>
        <w:rPr>
          <w:sz w:val="22"/>
          <w:szCs w:val="22"/>
          <w:u w:val="single"/>
        </w:rPr>
      </w:pPr>
    </w:p>
    <w:p w14:paraId="2FFD47B0" w14:textId="4931C4D6" w:rsidR="1E6694F7" w:rsidRDefault="1E6694F7" w:rsidP="1E6694F7">
      <w:pPr>
        <w:rPr>
          <w:sz w:val="22"/>
          <w:szCs w:val="22"/>
          <w:u w:val="single"/>
        </w:rPr>
      </w:pPr>
    </w:p>
    <w:p w14:paraId="2267065D" w14:textId="54B1D01C" w:rsidR="1E6694F7" w:rsidRDefault="1E6694F7" w:rsidP="1E6694F7">
      <w:pPr>
        <w:rPr>
          <w:sz w:val="22"/>
          <w:szCs w:val="22"/>
          <w:u w:val="single"/>
        </w:rPr>
      </w:pPr>
    </w:p>
    <w:p w14:paraId="101DB089" w14:textId="43061870" w:rsidR="1E6694F7" w:rsidRDefault="1E6694F7" w:rsidP="1E6694F7">
      <w:pPr>
        <w:rPr>
          <w:sz w:val="22"/>
          <w:szCs w:val="22"/>
          <w:u w:val="single"/>
        </w:rPr>
      </w:pPr>
    </w:p>
    <w:p w14:paraId="18F92490" w14:textId="1C9A5C4F" w:rsidR="1E6694F7" w:rsidRDefault="1E6694F7" w:rsidP="1E6694F7">
      <w:pPr>
        <w:rPr>
          <w:sz w:val="22"/>
          <w:szCs w:val="22"/>
          <w:u w:val="single"/>
        </w:rPr>
      </w:pPr>
    </w:p>
    <w:p w14:paraId="431C0ED9" w14:textId="646A9653" w:rsidR="1E6694F7" w:rsidRDefault="1E6694F7" w:rsidP="1E6694F7">
      <w:pPr>
        <w:rPr>
          <w:sz w:val="22"/>
          <w:szCs w:val="22"/>
          <w:u w:val="single"/>
        </w:rPr>
      </w:pPr>
    </w:p>
    <w:p w14:paraId="4857AD00" w14:textId="177C3275" w:rsidR="1E6694F7" w:rsidRDefault="1E6694F7" w:rsidP="1E6694F7">
      <w:pPr>
        <w:rPr>
          <w:sz w:val="22"/>
          <w:szCs w:val="22"/>
          <w:u w:val="single"/>
        </w:rPr>
      </w:pPr>
    </w:p>
    <w:p w14:paraId="315CE823" w14:textId="05C8C440" w:rsidR="1E6694F7" w:rsidRDefault="1E6694F7" w:rsidP="1E6694F7">
      <w:pPr>
        <w:rPr>
          <w:sz w:val="22"/>
          <w:szCs w:val="22"/>
          <w:u w:val="single"/>
        </w:rPr>
      </w:pPr>
    </w:p>
    <w:p w14:paraId="266F08E5" w14:textId="567EC131" w:rsidR="3FE01EAD" w:rsidRDefault="3FE01EAD" w:rsidP="3FE01EAD">
      <w:pPr>
        <w:rPr>
          <w:sz w:val="22"/>
          <w:szCs w:val="22"/>
          <w:u w:val="single"/>
        </w:rPr>
      </w:pPr>
    </w:p>
    <w:p w14:paraId="310AF6DB" w14:textId="4E6D551C" w:rsidR="3FE01EAD" w:rsidRDefault="3FE01EAD" w:rsidP="3FE01EAD">
      <w:pPr>
        <w:rPr>
          <w:sz w:val="22"/>
          <w:szCs w:val="22"/>
          <w:u w:val="single"/>
        </w:rPr>
      </w:pPr>
    </w:p>
    <w:p w14:paraId="3E4563E0" w14:textId="2CDE7B7B" w:rsidR="3FE01EAD" w:rsidRDefault="3FE01EAD" w:rsidP="3FE01EAD">
      <w:pPr>
        <w:rPr>
          <w:sz w:val="22"/>
          <w:szCs w:val="22"/>
          <w:u w:val="single"/>
        </w:rPr>
      </w:pPr>
    </w:p>
    <w:p w14:paraId="64C9A776" w14:textId="77777777" w:rsidR="00D80C6C" w:rsidRPr="003C5BF3" w:rsidRDefault="00D80C6C" w:rsidP="00885BB9">
      <w:pPr>
        <w:pStyle w:val="BEISTitle"/>
      </w:pPr>
    </w:p>
    <w:p w14:paraId="6C63CC07" w14:textId="63956B94" w:rsidR="00964968" w:rsidRPr="003C5BF3" w:rsidRDefault="00B11C15" w:rsidP="00964968">
      <w:pPr>
        <w:pStyle w:val="BEISTitle"/>
      </w:pPr>
      <w:bookmarkStart w:id="0" w:name="_Hlk198026098"/>
      <w:r>
        <w:t xml:space="preserve">NDC Support through NDC Partnership Annual Review, </w:t>
      </w:r>
      <w:r w:rsidR="09159127">
        <w:t>2024-</w:t>
      </w:r>
      <w:r>
        <w:t>2025</w:t>
      </w:r>
    </w:p>
    <w:bookmarkEnd w:id="0"/>
    <w:p w14:paraId="624DAC73" w14:textId="3BC335B7" w:rsidR="00C67FEB" w:rsidRPr="003C5BF3" w:rsidRDefault="00C67FEB">
      <w:pPr>
        <w:spacing w:after="160" w:line="259" w:lineRule="auto"/>
        <w:rPr>
          <w:sz w:val="22"/>
          <w:szCs w:val="22"/>
          <w:u w:val="single"/>
        </w:rPr>
      </w:pPr>
    </w:p>
    <w:p w14:paraId="4AF08E4A" w14:textId="20AFDEDA" w:rsidR="007D1D64" w:rsidRPr="003C5BF3" w:rsidRDefault="007D1D64">
      <w:pPr>
        <w:spacing w:after="160" w:line="259" w:lineRule="auto"/>
        <w:rPr>
          <w:sz w:val="22"/>
          <w:szCs w:val="22"/>
        </w:rPr>
      </w:pPr>
    </w:p>
    <w:p w14:paraId="160505CC" w14:textId="77777777" w:rsidR="007D1D64" w:rsidRPr="003C5BF3" w:rsidRDefault="007D1D64">
      <w:pPr>
        <w:spacing w:after="160" w:line="259" w:lineRule="auto"/>
        <w:rPr>
          <w:sz w:val="22"/>
          <w:szCs w:val="22"/>
        </w:rPr>
      </w:pPr>
    </w:p>
    <w:p w14:paraId="6ED798D0" w14:textId="77777777" w:rsidR="00090217" w:rsidRPr="003C5BF3" w:rsidRDefault="00090217" w:rsidP="003D222C">
      <w:pPr>
        <w:rPr>
          <w:sz w:val="22"/>
          <w:szCs w:val="22"/>
          <w:u w:val="single"/>
        </w:rPr>
      </w:pPr>
    </w:p>
    <w:p w14:paraId="1F841114" w14:textId="027A752E" w:rsidR="007D1D64" w:rsidRPr="003C5BF3" w:rsidRDefault="007D1D64" w:rsidP="007D1D64">
      <w:pPr>
        <w:spacing w:after="160" w:line="259" w:lineRule="auto"/>
        <w:rPr>
          <w:sz w:val="22"/>
          <w:szCs w:val="22"/>
        </w:rPr>
      </w:pPr>
    </w:p>
    <w:p w14:paraId="744BC35C" w14:textId="77777777" w:rsidR="007D1D64" w:rsidRPr="003C5BF3" w:rsidRDefault="007D1D64">
      <w:pPr>
        <w:spacing w:after="160" w:line="259" w:lineRule="auto"/>
        <w:rPr>
          <w:sz w:val="22"/>
          <w:szCs w:val="22"/>
        </w:rPr>
      </w:pPr>
    </w:p>
    <w:p w14:paraId="2EEE1272" w14:textId="0FA2D180" w:rsidR="007D1D64" w:rsidRPr="003C5BF3" w:rsidRDefault="007D1D64">
      <w:pPr>
        <w:spacing w:after="160" w:line="259" w:lineRule="auto"/>
        <w:rPr>
          <w:sz w:val="22"/>
          <w:szCs w:val="22"/>
        </w:rPr>
      </w:pPr>
      <w:r w:rsidRPr="003C5BF3">
        <w:rPr>
          <w:sz w:val="22"/>
          <w:szCs w:val="22"/>
        </w:rPr>
        <w:br w:type="page"/>
      </w:r>
    </w:p>
    <w:p w14:paraId="1FB1C90B" w14:textId="21AF7FBD" w:rsidR="007D1D64" w:rsidRPr="003C5BF3" w:rsidRDefault="007D1D64" w:rsidP="007D1D64">
      <w:pPr>
        <w:spacing w:after="160" w:line="259" w:lineRule="auto"/>
        <w:rPr>
          <w:sz w:val="22"/>
          <w:szCs w:val="22"/>
        </w:rPr>
      </w:pPr>
    </w:p>
    <w:p w14:paraId="6FC09FA9" w14:textId="77777777" w:rsidR="007D1D64" w:rsidRPr="003C5BF3" w:rsidRDefault="007D1D64" w:rsidP="007D1D64">
      <w:pPr>
        <w:spacing w:after="160" w:line="259" w:lineRule="auto"/>
        <w:rPr>
          <w:sz w:val="22"/>
          <w:szCs w:val="22"/>
        </w:rPr>
      </w:pPr>
    </w:p>
    <w:p w14:paraId="40B4FF2C" w14:textId="77777777" w:rsidR="00112E33" w:rsidRPr="003C5BF3" w:rsidRDefault="00112E33" w:rsidP="007D1D64">
      <w:pPr>
        <w:spacing w:after="160" w:line="259" w:lineRule="auto"/>
        <w:rPr>
          <w:sz w:val="22"/>
          <w:szCs w:val="22"/>
        </w:rPr>
      </w:pPr>
    </w:p>
    <w:p w14:paraId="01A42860" w14:textId="77777777" w:rsidR="00112E33" w:rsidRPr="003C5BF3" w:rsidRDefault="00112E33" w:rsidP="007D1D64">
      <w:pPr>
        <w:spacing w:after="160" w:line="259" w:lineRule="auto"/>
        <w:rPr>
          <w:sz w:val="22"/>
          <w:szCs w:val="22"/>
        </w:rPr>
      </w:pPr>
    </w:p>
    <w:p w14:paraId="4A8FCC2A" w14:textId="77777777" w:rsidR="00112E33" w:rsidRPr="003C5BF3" w:rsidRDefault="00112E33" w:rsidP="007D1D64">
      <w:pPr>
        <w:spacing w:after="160" w:line="259" w:lineRule="auto"/>
        <w:rPr>
          <w:sz w:val="22"/>
          <w:szCs w:val="22"/>
        </w:rPr>
      </w:pPr>
    </w:p>
    <w:p w14:paraId="31553A3C" w14:textId="77777777" w:rsidR="00112E33" w:rsidRPr="003C5BF3" w:rsidRDefault="00112E33" w:rsidP="007D1D64">
      <w:pPr>
        <w:spacing w:after="160" w:line="259" w:lineRule="auto"/>
        <w:rPr>
          <w:sz w:val="22"/>
          <w:szCs w:val="22"/>
        </w:rPr>
      </w:pPr>
    </w:p>
    <w:p w14:paraId="1E72DB9D" w14:textId="77777777" w:rsidR="00112E33" w:rsidRPr="003C5BF3" w:rsidRDefault="00112E33" w:rsidP="007D1D64">
      <w:pPr>
        <w:spacing w:after="160" w:line="259" w:lineRule="auto"/>
        <w:rPr>
          <w:sz w:val="22"/>
          <w:szCs w:val="22"/>
        </w:rPr>
      </w:pPr>
    </w:p>
    <w:p w14:paraId="716930C2" w14:textId="77777777" w:rsidR="00112E33" w:rsidRPr="003C5BF3" w:rsidRDefault="00112E33" w:rsidP="007D1D64">
      <w:pPr>
        <w:spacing w:after="160" w:line="259" w:lineRule="auto"/>
        <w:rPr>
          <w:sz w:val="22"/>
          <w:szCs w:val="22"/>
        </w:rPr>
      </w:pPr>
    </w:p>
    <w:p w14:paraId="3ABDAEFF" w14:textId="77777777" w:rsidR="00112E33" w:rsidRPr="003C5BF3" w:rsidRDefault="00112E33" w:rsidP="007D1D64">
      <w:pPr>
        <w:spacing w:after="160" w:line="259" w:lineRule="auto"/>
        <w:rPr>
          <w:sz w:val="22"/>
          <w:szCs w:val="22"/>
        </w:rPr>
      </w:pPr>
    </w:p>
    <w:p w14:paraId="0884299F" w14:textId="77777777" w:rsidR="00112E33" w:rsidRPr="003C5BF3" w:rsidRDefault="00112E33" w:rsidP="007D1D64">
      <w:pPr>
        <w:spacing w:after="160" w:line="259" w:lineRule="auto"/>
        <w:rPr>
          <w:sz w:val="22"/>
          <w:szCs w:val="22"/>
        </w:rPr>
      </w:pPr>
    </w:p>
    <w:p w14:paraId="3BF57744" w14:textId="77777777" w:rsidR="00112E33" w:rsidRPr="003C5BF3" w:rsidRDefault="00112E33" w:rsidP="007D1D64">
      <w:pPr>
        <w:spacing w:after="160" w:line="259" w:lineRule="auto"/>
        <w:rPr>
          <w:sz w:val="22"/>
          <w:szCs w:val="22"/>
        </w:rPr>
      </w:pPr>
    </w:p>
    <w:p w14:paraId="70B1D846" w14:textId="77777777" w:rsidR="00112E33" w:rsidRPr="003C5BF3" w:rsidRDefault="00112E33" w:rsidP="007D1D64">
      <w:pPr>
        <w:spacing w:after="160" w:line="259" w:lineRule="auto"/>
        <w:rPr>
          <w:sz w:val="22"/>
          <w:szCs w:val="22"/>
        </w:rPr>
      </w:pPr>
    </w:p>
    <w:p w14:paraId="5C64FB7B" w14:textId="77777777" w:rsidR="00112E33" w:rsidRPr="003C5BF3" w:rsidRDefault="00112E33" w:rsidP="007D1D64">
      <w:pPr>
        <w:spacing w:after="160" w:line="259" w:lineRule="auto"/>
        <w:rPr>
          <w:sz w:val="22"/>
          <w:szCs w:val="22"/>
        </w:rPr>
      </w:pPr>
    </w:p>
    <w:p w14:paraId="7997CC66" w14:textId="77777777" w:rsidR="00112E33" w:rsidRPr="003C5BF3" w:rsidRDefault="00112E33" w:rsidP="007D1D64">
      <w:pPr>
        <w:spacing w:after="160" w:line="259" w:lineRule="auto"/>
        <w:rPr>
          <w:sz w:val="22"/>
          <w:szCs w:val="22"/>
        </w:rPr>
      </w:pPr>
    </w:p>
    <w:p w14:paraId="629D0223" w14:textId="77777777" w:rsidR="00112E33" w:rsidRPr="003C5BF3" w:rsidRDefault="00112E33" w:rsidP="007D1D64">
      <w:pPr>
        <w:spacing w:after="160" w:line="259" w:lineRule="auto"/>
        <w:rPr>
          <w:sz w:val="22"/>
          <w:szCs w:val="22"/>
        </w:rPr>
      </w:pPr>
    </w:p>
    <w:p w14:paraId="7B71C4CA" w14:textId="77777777" w:rsidR="00112E33" w:rsidRPr="003C5BF3" w:rsidRDefault="00112E33" w:rsidP="007D1D64">
      <w:pPr>
        <w:spacing w:after="160" w:line="259" w:lineRule="auto"/>
        <w:rPr>
          <w:sz w:val="22"/>
          <w:szCs w:val="22"/>
        </w:rPr>
      </w:pPr>
    </w:p>
    <w:p w14:paraId="0CB89A50" w14:textId="77777777" w:rsidR="00112E33" w:rsidRPr="003C5BF3" w:rsidRDefault="00112E33" w:rsidP="007D1D64">
      <w:pPr>
        <w:spacing w:after="160" w:line="259" w:lineRule="auto"/>
        <w:rPr>
          <w:sz w:val="22"/>
          <w:szCs w:val="22"/>
        </w:rPr>
      </w:pPr>
    </w:p>
    <w:p w14:paraId="4B8E6647" w14:textId="77777777" w:rsidR="00112E33" w:rsidRPr="003C5BF3" w:rsidRDefault="00112E33" w:rsidP="007D1D64">
      <w:pPr>
        <w:spacing w:after="160" w:line="259" w:lineRule="auto"/>
        <w:rPr>
          <w:sz w:val="22"/>
          <w:szCs w:val="22"/>
        </w:rPr>
      </w:pPr>
    </w:p>
    <w:p w14:paraId="7C0186E9" w14:textId="77777777" w:rsidR="00112E33" w:rsidRPr="003C5BF3" w:rsidRDefault="00112E33" w:rsidP="007D1D64">
      <w:pPr>
        <w:spacing w:after="160" w:line="259" w:lineRule="auto"/>
        <w:rPr>
          <w:sz w:val="22"/>
          <w:szCs w:val="22"/>
        </w:rPr>
      </w:pPr>
    </w:p>
    <w:p w14:paraId="0E213DCA" w14:textId="77777777" w:rsidR="00112E33" w:rsidRPr="003C5BF3" w:rsidRDefault="00112E33" w:rsidP="007D1D64">
      <w:pPr>
        <w:spacing w:after="160" w:line="259" w:lineRule="auto"/>
        <w:rPr>
          <w:sz w:val="22"/>
          <w:szCs w:val="22"/>
        </w:rPr>
      </w:pPr>
    </w:p>
    <w:p w14:paraId="7F45EBE4" w14:textId="77777777" w:rsidR="00112E33" w:rsidRPr="003C5BF3" w:rsidRDefault="00112E33" w:rsidP="007D1D64">
      <w:pPr>
        <w:spacing w:after="160" w:line="259" w:lineRule="auto"/>
        <w:rPr>
          <w:sz w:val="22"/>
          <w:szCs w:val="22"/>
        </w:rPr>
      </w:pPr>
    </w:p>
    <w:p w14:paraId="5F38EC95" w14:textId="77777777" w:rsidR="00112E33" w:rsidRPr="003C5BF3" w:rsidRDefault="00112E33" w:rsidP="007D1D64">
      <w:pPr>
        <w:spacing w:after="160" w:line="259" w:lineRule="auto"/>
        <w:rPr>
          <w:sz w:val="22"/>
          <w:szCs w:val="22"/>
        </w:rPr>
      </w:pPr>
    </w:p>
    <w:p w14:paraId="0FDC2684" w14:textId="77777777" w:rsidR="00112E33" w:rsidRPr="003C5BF3" w:rsidRDefault="00112E33" w:rsidP="007D1D64">
      <w:pPr>
        <w:spacing w:after="160" w:line="259" w:lineRule="auto"/>
        <w:rPr>
          <w:sz w:val="22"/>
          <w:szCs w:val="22"/>
        </w:rPr>
      </w:pPr>
    </w:p>
    <w:p w14:paraId="1E5D0624" w14:textId="77777777" w:rsidR="00112E33" w:rsidRPr="003C5BF3" w:rsidRDefault="00112E33" w:rsidP="007D1D64">
      <w:pPr>
        <w:spacing w:after="160" w:line="259" w:lineRule="auto"/>
        <w:rPr>
          <w:sz w:val="22"/>
          <w:szCs w:val="22"/>
        </w:rPr>
      </w:pPr>
    </w:p>
    <w:p w14:paraId="59AFB796" w14:textId="6367C0D1" w:rsidR="00112E33" w:rsidRPr="003C5BF3" w:rsidRDefault="00112E33" w:rsidP="007D1D64">
      <w:pPr>
        <w:spacing w:after="160" w:line="259" w:lineRule="auto"/>
        <w:rPr>
          <w:sz w:val="22"/>
          <w:szCs w:val="22"/>
        </w:rPr>
      </w:pPr>
      <w:r w:rsidRPr="003C5BF3">
        <w:rPr>
          <w:noProof/>
        </w:rPr>
        <w:drawing>
          <wp:inline distT="0" distB="0" distL="0" distR="0" wp14:anchorId="6721D763" wp14:editId="1850EFF9">
            <wp:extent cx="792480" cy="323215"/>
            <wp:effectExtent l="0" t="0" r="7620" b="635"/>
            <wp:docPr id="12" name="Picture 12" descr="Logo - Open Government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2480" cy="323215"/>
                    </a:xfrm>
                    <a:prstGeom prst="rect">
                      <a:avLst/>
                    </a:prstGeom>
                    <a:noFill/>
                  </pic:spPr>
                </pic:pic>
              </a:graphicData>
            </a:graphic>
          </wp:inline>
        </w:drawing>
      </w:r>
    </w:p>
    <w:p w14:paraId="4BBA0357" w14:textId="3DCEBCCA" w:rsidR="007D1D64" w:rsidRPr="003C5BF3" w:rsidRDefault="007D1D64" w:rsidP="007D1D64">
      <w:pPr>
        <w:spacing w:after="160" w:line="259" w:lineRule="auto"/>
        <w:rPr>
          <w:sz w:val="22"/>
          <w:szCs w:val="22"/>
        </w:rPr>
      </w:pPr>
      <w:r w:rsidRPr="003C5BF3">
        <w:rPr>
          <w:sz w:val="22"/>
          <w:szCs w:val="22"/>
        </w:rPr>
        <w:t>© Crown copyright 20</w:t>
      </w:r>
      <w:r w:rsidR="00C62908">
        <w:rPr>
          <w:sz w:val="22"/>
          <w:szCs w:val="22"/>
        </w:rPr>
        <w:t>25</w:t>
      </w:r>
    </w:p>
    <w:p w14:paraId="3A1EFEA4" w14:textId="779BDFEB" w:rsidR="007D1D64" w:rsidRPr="003C5BF3" w:rsidRDefault="007D1D64" w:rsidP="007D1D64">
      <w:pPr>
        <w:spacing w:after="160" w:line="259" w:lineRule="auto"/>
        <w:rPr>
          <w:sz w:val="22"/>
          <w:szCs w:val="22"/>
        </w:rPr>
      </w:pPr>
      <w:r w:rsidRPr="003C5BF3">
        <w:rPr>
          <w:sz w:val="22"/>
          <w:szCs w:val="22"/>
        </w:rPr>
        <w:t xml:space="preserve">This publication is licensed under the terms of the Open Government Licence v3.0 except where otherwise stated. To view this licence, visit </w:t>
      </w:r>
      <w:hyperlink r:id="rId13" w:history="1">
        <w:r w:rsidRPr="003C5BF3">
          <w:rPr>
            <w:rStyle w:val="Hyperlink"/>
            <w:sz w:val="22"/>
            <w:szCs w:val="22"/>
          </w:rPr>
          <w:t>nationalarchives.gov.uk/doc/open-government-licence/version/3</w:t>
        </w:r>
      </w:hyperlink>
      <w:r w:rsidRPr="003C5BF3">
        <w:rPr>
          <w:sz w:val="22"/>
          <w:szCs w:val="22"/>
        </w:rPr>
        <w:t xml:space="preserve"> or write to the Information Policy Team, The National Archives, Kew, London TW9 4DU, or email: </w:t>
      </w:r>
      <w:hyperlink r:id="rId14" w:history="1">
        <w:r w:rsidR="009E1EAF" w:rsidRPr="003C5BF3">
          <w:rPr>
            <w:rStyle w:val="Hyperlink"/>
            <w:sz w:val="22"/>
            <w:szCs w:val="22"/>
          </w:rPr>
          <w:t>psi@nationalarchives.gsi.gov.uk</w:t>
        </w:r>
      </w:hyperlink>
      <w:r w:rsidRPr="003C5BF3">
        <w:rPr>
          <w:sz w:val="22"/>
          <w:szCs w:val="22"/>
        </w:rPr>
        <w:t>.</w:t>
      </w:r>
      <w:r w:rsidR="009E1EAF" w:rsidRPr="003C5BF3">
        <w:rPr>
          <w:sz w:val="22"/>
          <w:szCs w:val="22"/>
        </w:rPr>
        <w:t xml:space="preserve"> </w:t>
      </w:r>
    </w:p>
    <w:p w14:paraId="521BB1D8" w14:textId="77777777" w:rsidR="007D1D64" w:rsidRPr="003C5BF3" w:rsidRDefault="007D1D64" w:rsidP="007D1D64">
      <w:pPr>
        <w:spacing w:after="160" w:line="259" w:lineRule="auto"/>
        <w:rPr>
          <w:sz w:val="22"/>
          <w:szCs w:val="22"/>
        </w:rPr>
      </w:pPr>
      <w:r w:rsidRPr="003C5BF3">
        <w:rPr>
          <w:sz w:val="22"/>
          <w:szCs w:val="22"/>
        </w:rPr>
        <w:t>Where we have identified any third-party copyright information you will need to obtain permission from the copyright holders concerned.</w:t>
      </w:r>
    </w:p>
    <w:p w14:paraId="0B828443" w14:textId="77777777" w:rsidR="007D1D64" w:rsidRPr="003C5BF3" w:rsidRDefault="007D1D64" w:rsidP="007D1D64">
      <w:pPr>
        <w:spacing w:after="160" w:line="259" w:lineRule="auto"/>
        <w:rPr>
          <w:sz w:val="22"/>
          <w:szCs w:val="22"/>
        </w:rPr>
      </w:pPr>
      <w:r w:rsidRPr="003C5BF3">
        <w:rPr>
          <w:sz w:val="22"/>
          <w:szCs w:val="22"/>
        </w:rPr>
        <w:t xml:space="preserve">Any enquiries regarding this publication should be sent to us at: </w:t>
      </w:r>
    </w:p>
    <w:p w14:paraId="5F0B07D2" w14:textId="0E9D6D15" w:rsidR="007D1D64" w:rsidRPr="003C5BF3" w:rsidRDefault="00A62D44">
      <w:pPr>
        <w:spacing w:after="160" w:line="259" w:lineRule="auto"/>
        <w:rPr>
          <w:sz w:val="22"/>
          <w:szCs w:val="22"/>
        </w:rPr>
      </w:pPr>
      <w:hyperlink r:id="rId15" w:history="1">
        <w:r w:rsidRPr="003C5BF3">
          <w:rPr>
            <w:rStyle w:val="Hyperlink"/>
            <w:sz w:val="22"/>
            <w:szCs w:val="22"/>
          </w:rPr>
          <w:t>ODA-Transparency@beis.gov.uk</w:t>
        </w:r>
      </w:hyperlink>
      <w:r w:rsidRPr="003C5BF3">
        <w:rPr>
          <w:sz w:val="22"/>
          <w:szCs w:val="22"/>
        </w:rPr>
        <w:t xml:space="preserve"> </w:t>
      </w:r>
      <w:r w:rsidR="007D1D64" w:rsidRPr="003C5BF3">
        <w:rPr>
          <w:sz w:val="22"/>
          <w:szCs w:val="22"/>
        </w:rPr>
        <w:br w:type="page"/>
      </w:r>
    </w:p>
    <w:sdt>
      <w:sdtPr>
        <w:rPr>
          <w:rFonts w:ascii="Arial" w:eastAsia="Times New Roman" w:hAnsi="Arial" w:cs="Times New Roman"/>
          <w:color w:val="auto"/>
          <w:sz w:val="24"/>
          <w:szCs w:val="24"/>
          <w:lang w:val="en-GB"/>
        </w:rPr>
        <w:id w:val="744424984"/>
        <w:docPartObj>
          <w:docPartGallery w:val="Table of Contents"/>
          <w:docPartUnique/>
        </w:docPartObj>
      </w:sdtPr>
      <w:sdtEndPr/>
      <w:sdtContent>
        <w:p w14:paraId="52C8021F" w14:textId="7479CA6B" w:rsidR="001B14BA" w:rsidRPr="003C5BF3" w:rsidRDefault="001B14BA">
          <w:pPr>
            <w:pStyle w:val="TOCHeading"/>
            <w:rPr>
              <w:rFonts w:ascii="Arial" w:hAnsi="Arial" w:cs="Arial"/>
              <w:color w:val="002060"/>
              <w:sz w:val="76"/>
              <w:szCs w:val="76"/>
              <w:lang w:val="en-GB"/>
            </w:rPr>
          </w:pPr>
          <w:r w:rsidRPr="003C5BF3">
            <w:rPr>
              <w:rFonts w:ascii="Arial" w:hAnsi="Arial" w:cs="Arial"/>
              <w:color w:val="002060"/>
              <w:sz w:val="76"/>
              <w:szCs w:val="76"/>
              <w:lang w:val="en-GB"/>
            </w:rPr>
            <w:t>Contents</w:t>
          </w:r>
        </w:p>
        <w:p w14:paraId="7F576620" w14:textId="77777777" w:rsidR="0030176F" w:rsidRPr="003C5BF3" w:rsidRDefault="0030176F" w:rsidP="0030176F"/>
        <w:p w14:paraId="4A531AFB" w14:textId="7964F4C0" w:rsidR="159F08A2" w:rsidRPr="003C5BF3" w:rsidRDefault="159F08A2" w:rsidP="159F08A2">
          <w:pPr>
            <w:pStyle w:val="TOC1"/>
            <w:tabs>
              <w:tab w:val="right" w:leader="dot" w:pos="9016"/>
            </w:tabs>
            <w:rPr>
              <w:rFonts w:cs="Arial"/>
              <w:b/>
              <w:bCs/>
              <w:lang w:eastAsia="en-GB"/>
            </w:rPr>
          </w:pPr>
        </w:p>
        <w:p w14:paraId="17F78D42" w14:textId="4256F320" w:rsidR="00BA1269" w:rsidRDefault="00023069">
          <w:pPr>
            <w:pStyle w:val="TOC1"/>
            <w:tabs>
              <w:tab w:val="right" w:leader="dot" w:pos="9016"/>
            </w:tabs>
            <w:rPr>
              <w:rFonts w:asciiTheme="minorHAnsi" w:eastAsiaTheme="minorEastAsia" w:hAnsiTheme="minorHAnsi" w:cstheme="minorBidi"/>
              <w:noProof/>
              <w:kern w:val="2"/>
              <w:lang w:eastAsia="en-GB"/>
              <w14:ligatures w14:val="standardContextual"/>
            </w:rPr>
          </w:pPr>
          <w:r w:rsidRPr="003C5BF3">
            <w:fldChar w:fldCharType="begin"/>
          </w:r>
          <w:r w:rsidR="001B14BA" w:rsidRPr="003C5BF3">
            <w:instrText>TOC \o "1-3" \z \u \h</w:instrText>
          </w:r>
          <w:r w:rsidRPr="003C5BF3">
            <w:fldChar w:fldCharType="separate"/>
          </w:r>
          <w:hyperlink w:anchor="_Toc199421653" w:history="1">
            <w:r w:rsidR="00BA1269" w:rsidRPr="007C61CA">
              <w:rPr>
                <w:rStyle w:val="Hyperlink"/>
                <w:rFonts w:cs="Arial"/>
                <w:b/>
                <w:bCs/>
                <w:noProof/>
                <w:lang w:eastAsia="en-GB"/>
              </w:rPr>
              <w:t>Section A: Summary and overview</w:t>
            </w:r>
            <w:r w:rsidR="00BA1269">
              <w:rPr>
                <w:noProof/>
                <w:webHidden/>
              </w:rPr>
              <w:tab/>
            </w:r>
            <w:r w:rsidR="00BA1269">
              <w:rPr>
                <w:noProof/>
                <w:webHidden/>
              </w:rPr>
              <w:fldChar w:fldCharType="begin"/>
            </w:r>
            <w:r w:rsidR="00BA1269">
              <w:rPr>
                <w:noProof/>
                <w:webHidden/>
              </w:rPr>
              <w:instrText xml:space="preserve"> PAGEREF _Toc199421653 \h </w:instrText>
            </w:r>
            <w:r w:rsidR="00BA1269">
              <w:rPr>
                <w:noProof/>
                <w:webHidden/>
              </w:rPr>
            </w:r>
            <w:r w:rsidR="00BA1269">
              <w:rPr>
                <w:noProof/>
                <w:webHidden/>
              </w:rPr>
              <w:fldChar w:fldCharType="separate"/>
            </w:r>
            <w:r w:rsidR="00EC09B3">
              <w:rPr>
                <w:noProof/>
                <w:webHidden/>
              </w:rPr>
              <w:t>4</w:t>
            </w:r>
            <w:r w:rsidR="00BA1269">
              <w:rPr>
                <w:noProof/>
                <w:webHidden/>
              </w:rPr>
              <w:fldChar w:fldCharType="end"/>
            </w:r>
          </w:hyperlink>
        </w:p>
        <w:p w14:paraId="0EF2E98E" w14:textId="1A083185" w:rsidR="00BA1269" w:rsidRDefault="00BA126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9421654" w:history="1">
            <w:r w:rsidRPr="007C61CA">
              <w:rPr>
                <w:rStyle w:val="Hyperlink"/>
                <w:noProof/>
              </w:rPr>
              <w:t>Description of programme</w:t>
            </w:r>
            <w:r>
              <w:rPr>
                <w:noProof/>
                <w:webHidden/>
              </w:rPr>
              <w:tab/>
            </w:r>
            <w:r>
              <w:rPr>
                <w:noProof/>
                <w:webHidden/>
              </w:rPr>
              <w:fldChar w:fldCharType="begin"/>
            </w:r>
            <w:r>
              <w:rPr>
                <w:noProof/>
                <w:webHidden/>
              </w:rPr>
              <w:instrText xml:space="preserve"> PAGEREF _Toc199421654 \h </w:instrText>
            </w:r>
            <w:r>
              <w:rPr>
                <w:noProof/>
                <w:webHidden/>
              </w:rPr>
            </w:r>
            <w:r>
              <w:rPr>
                <w:noProof/>
                <w:webHidden/>
              </w:rPr>
              <w:fldChar w:fldCharType="separate"/>
            </w:r>
            <w:r w:rsidR="00EC09B3">
              <w:rPr>
                <w:noProof/>
                <w:webHidden/>
              </w:rPr>
              <w:t>4</w:t>
            </w:r>
            <w:r>
              <w:rPr>
                <w:noProof/>
                <w:webHidden/>
              </w:rPr>
              <w:fldChar w:fldCharType="end"/>
            </w:r>
          </w:hyperlink>
        </w:p>
        <w:p w14:paraId="17F6B87E" w14:textId="4989F252" w:rsidR="00BA1269" w:rsidRDefault="00BA126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9421655" w:history="1">
            <w:r w:rsidRPr="007C61CA">
              <w:rPr>
                <w:rStyle w:val="Hyperlink"/>
                <w:noProof/>
              </w:rPr>
              <w:t>Summary of progress and supporting narrative for the overall score</w:t>
            </w:r>
            <w:r>
              <w:rPr>
                <w:noProof/>
                <w:webHidden/>
              </w:rPr>
              <w:tab/>
            </w:r>
            <w:r>
              <w:rPr>
                <w:noProof/>
                <w:webHidden/>
              </w:rPr>
              <w:fldChar w:fldCharType="begin"/>
            </w:r>
            <w:r>
              <w:rPr>
                <w:noProof/>
                <w:webHidden/>
              </w:rPr>
              <w:instrText xml:space="preserve"> PAGEREF _Toc199421655 \h </w:instrText>
            </w:r>
            <w:r>
              <w:rPr>
                <w:noProof/>
                <w:webHidden/>
              </w:rPr>
            </w:r>
            <w:r>
              <w:rPr>
                <w:noProof/>
                <w:webHidden/>
              </w:rPr>
              <w:fldChar w:fldCharType="separate"/>
            </w:r>
            <w:r w:rsidR="00EC09B3">
              <w:rPr>
                <w:noProof/>
                <w:webHidden/>
              </w:rPr>
              <w:t>7</w:t>
            </w:r>
            <w:r>
              <w:rPr>
                <w:noProof/>
                <w:webHidden/>
              </w:rPr>
              <w:fldChar w:fldCharType="end"/>
            </w:r>
          </w:hyperlink>
        </w:p>
        <w:p w14:paraId="6F106D52" w14:textId="6F2242EA" w:rsidR="00BA1269" w:rsidRDefault="00BA126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9421656" w:history="1">
            <w:r w:rsidRPr="007C61CA">
              <w:rPr>
                <w:rStyle w:val="Hyperlink"/>
                <w:noProof/>
              </w:rPr>
              <w:t>Progress against recommendations from the last review</w:t>
            </w:r>
            <w:r>
              <w:rPr>
                <w:noProof/>
                <w:webHidden/>
              </w:rPr>
              <w:tab/>
            </w:r>
            <w:r>
              <w:rPr>
                <w:noProof/>
                <w:webHidden/>
              </w:rPr>
              <w:fldChar w:fldCharType="begin"/>
            </w:r>
            <w:r>
              <w:rPr>
                <w:noProof/>
                <w:webHidden/>
              </w:rPr>
              <w:instrText xml:space="preserve"> PAGEREF _Toc199421656 \h </w:instrText>
            </w:r>
            <w:r>
              <w:rPr>
                <w:noProof/>
                <w:webHidden/>
              </w:rPr>
            </w:r>
            <w:r>
              <w:rPr>
                <w:noProof/>
                <w:webHidden/>
              </w:rPr>
              <w:fldChar w:fldCharType="separate"/>
            </w:r>
            <w:r w:rsidR="00EC09B3">
              <w:rPr>
                <w:noProof/>
                <w:webHidden/>
              </w:rPr>
              <w:t>9</w:t>
            </w:r>
            <w:r>
              <w:rPr>
                <w:noProof/>
                <w:webHidden/>
              </w:rPr>
              <w:fldChar w:fldCharType="end"/>
            </w:r>
          </w:hyperlink>
        </w:p>
        <w:p w14:paraId="643EE1CA" w14:textId="6CEAE832" w:rsidR="00BA1269" w:rsidRDefault="00BA126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9421657" w:history="1">
            <w:r w:rsidRPr="007C61CA">
              <w:rPr>
                <w:rStyle w:val="Hyperlink"/>
                <w:noProof/>
              </w:rPr>
              <w:t>Major lessons and recommendations for the year ahead</w:t>
            </w:r>
            <w:r>
              <w:rPr>
                <w:noProof/>
                <w:webHidden/>
              </w:rPr>
              <w:tab/>
            </w:r>
            <w:r>
              <w:rPr>
                <w:noProof/>
                <w:webHidden/>
              </w:rPr>
              <w:fldChar w:fldCharType="begin"/>
            </w:r>
            <w:r>
              <w:rPr>
                <w:noProof/>
                <w:webHidden/>
              </w:rPr>
              <w:instrText xml:space="preserve"> PAGEREF _Toc199421657 \h </w:instrText>
            </w:r>
            <w:r>
              <w:rPr>
                <w:noProof/>
                <w:webHidden/>
              </w:rPr>
            </w:r>
            <w:r>
              <w:rPr>
                <w:noProof/>
                <w:webHidden/>
              </w:rPr>
              <w:fldChar w:fldCharType="separate"/>
            </w:r>
            <w:r w:rsidR="00EC09B3">
              <w:rPr>
                <w:noProof/>
                <w:webHidden/>
              </w:rPr>
              <w:t>12</w:t>
            </w:r>
            <w:r>
              <w:rPr>
                <w:noProof/>
                <w:webHidden/>
              </w:rPr>
              <w:fldChar w:fldCharType="end"/>
            </w:r>
          </w:hyperlink>
        </w:p>
        <w:p w14:paraId="5B68FE17" w14:textId="7A1D5311" w:rsidR="00BA1269" w:rsidRDefault="00BA1269">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99421658" w:history="1">
            <w:r w:rsidRPr="007C61CA">
              <w:rPr>
                <w:rStyle w:val="Hyperlink"/>
                <w:rFonts w:cs="Arial"/>
                <w:b/>
                <w:bCs/>
                <w:noProof/>
                <w:lang w:eastAsia="en-GB"/>
              </w:rPr>
              <w:t>Section B: Theory of change and progress towards outcomes</w:t>
            </w:r>
            <w:r>
              <w:rPr>
                <w:noProof/>
                <w:webHidden/>
              </w:rPr>
              <w:tab/>
            </w:r>
            <w:r>
              <w:rPr>
                <w:noProof/>
                <w:webHidden/>
              </w:rPr>
              <w:fldChar w:fldCharType="begin"/>
            </w:r>
            <w:r>
              <w:rPr>
                <w:noProof/>
                <w:webHidden/>
              </w:rPr>
              <w:instrText xml:space="preserve"> PAGEREF _Toc199421658 \h </w:instrText>
            </w:r>
            <w:r>
              <w:rPr>
                <w:noProof/>
                <w:webHidden/>
              </w:rPr>
            </w:r>
            <w:r>
              <w:rPr>
                <w:noProof/>
                <w:webHidden/>
              </w:rPr>
              <w:fldChar w:fldCharType="separate"/>
            </w:r>
            <w:r w:rsidR="00EC09B3">
              <w:rPr>
                <w:noProof/>
                <w:webHidden/>
              </w:rPr>
              <w:t>13</w:t>
            </w:r>
            <w:r>
              <w:rPr>
                <w:noProof/>
                <w:webHidden/>
              </w:rPr>
              <w:fldChar w:fldCharType="end"/>
            </w:r>
          </w:hyperlink>
        </w:p>
        <w:p w14:paraId="65E88DEC" w14:textId="066CCAF8" w:rsidR="00BA1269" w:rsidRDefault="00BA126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9421659" w:history="1">
            <w:r w:rsidRPr="007C61CA">
              <w:rPr>
                <w:rStyle w:val="Hyperlink"/>
                <w:noProof/>
              </w:rPr>
              <w:t>Summary of the programme’s theory of change, including any changes to outcome and impact indicators from the original business case</w:t>
            </w:r>
            <w:r>
              <w:rPr>
                <w:noProof/>
                <w:webHidden/>
              </w:rPr>
              <w:tab/>
            </w:r>
            <w:r>
              <w:rPr>
                <w:noProof/>
                <w:webHidden/>
              </w:rPr>
              <w:fldChar w:fldCharType="begin"/>
            </w:r>
            <w:r>
              <w:rPr>
                <w:noProof/>
                <w:webHidden/>
              </w:rPr>
              <w:instrText xml:space="preserve"> PAGEREF _Toc199421659 \h </w:instrText>
            </w:r>
            <w:r>
              <w:rPr>
                <w:noProof/>
                <w:webHidden/>
              </w:rPr>
            </w:r>
            <w:r>
              <w:rPr>
                <w:noProof/>
                <w:webHidden/>
              </w:rPr>
              <w:fldChar w:fldCharType="separate"/>
            </w:r>
            <w:r w:rsidR="00EC09B3">
              <w:rPr>
                <w:noProof/>
                <w:webHidden/>
              </w:rPr>
              <w:t>13</w:t>
            </w:r>
            <w:r>
              <w:rPr>
                <w:noProof/>
                <w:webHidden/>
              </w:rPr>
              <w:fldChar w:fldCharType="end"/>
            </w:r>
          </w:hyperlink>
        </w:p>
        <w:p w14:paraId="25998136" w14:textId="35A11421" w:rsidR="00BA1269" w:rsidRDefault="00BA126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9421660" w:history="1">
            <w:r w:rsidRPr="007C61CA">
              <w:rPr>
                <w:rStyle w:val="Hyperlink"/>
                <w:noProof/>
              </w:rPr>
              <w:t>Progress against the expected outcomes and impact, and actions planned for the year ahead</w:t>
            </w:r>
            <w:r>
              <w:rPr>
                <w:noProof/>
                <w:webHidden/>
              </w:rPr>
              <w:tab/>
            </w:r>
            <w:r>
              <w:rPr>
                <w:noProof/>
                <w:webHidden/>
              </w:rPr>
              <w:fldChar w:fldCharType="begin"/>
            </w:r>
            <w:r>
              <w:rPr>
                <w:noProof/>
                <w:webHidden/>
              </w:rPr>
              <w:instrText xml:space="preserve"> PAGEREF _Toc199421660 \h </w:instrText>
            </w:r>
            <w:r>
              <w:rPr>
                <w:noProof/>
                <w:webHidden/>
              </w:rPr>
            </w:r>
            <w:r>
              <w:rPr>
                <w:noProof/>
                <w:webHidden/>
              </w:rPr>
              <w:fldChar w:fldCharType="separate"/>
            </w:r>
            <w:r w:rsidR="00EC09B3">
              <w:rPr>
                <w:noProof/>
                <w:webHidden/>
              </w:rPr>
              <w:t>14</w:t>
            </w:r>
            <w:r>
              <w:rPr>
                <w:noProof/>
                <w:webHidden/>
              </w:rPr>
              <w:fldChar w:fldCharType="end"/>
            </w:r>
          </w:hyperlink>
        </w:p>
        <w:p w14:paraId="0CFEAC5E" w14:textId="54DFC411" w:rsidR="00BA1269" w:rsidRDefault="00A3148B">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9421661" w:history="1">
            <w:r>
              <w:rPr>
                <w:rStyle w:val="Hyperlink"/>
                <w:noProof/>
              </w:rPr>
              <w:t>Logframe</w:t>
            </w:r>
            <w:r w:rsidR="00BA1269" w:rsidRPr="007C61CA">
              <w:rPr>
                <w:rStyle w:val="Hyperlink"/>
                <w:noProof/>
              </w:rPr>
              <w:t xml:space="preserve"> updates since the last review</w:t>
            </w:r>
            <w:r w:rsidR="00BA1269">
              <w:rPr>
                <w:noProof/>
                <w:webHidden/>
              </w:rPr>
              <w:tab/>
            </w:r>
            <w:r w:rsidR="00BA1269">
              <w:rPr>
                <w:noProof/>
                <w:webHidden/>
              </w:rPr>
              <w:fldChar w:fldCharType="begin"/>
            </w:r>
            <w:r w:rsidR="00BA1269">
              <w:rPr>
                <w:noProof/>
                <w:webHidden/>
              </w:rPr>
              <w:instrText xml:space="preserve"> PAGEREF _Toc199421661 \h </w:instrText>
            </w:r>
            <w:r w:rsidR="00BA1269">
              <w:rPr>
                <w:noProof/>
                <w:webHidden/>
              </w:rPr>
            </w:r>
            <w:r w:rsidR="00BA1269">
              <w:rPr>
                <w:noProof/>
                <w:webHidden/>
              </w:rPr>
              <w:fldChar w:fldCharType="separate"/>
            </w:r>
            <w:r w:rsidR="00EC09B3">
              <w:rPr>
                <w:noProof/>
                <w:webHidden/>
              </w:rPr>
              <w:t>15</w:t>
            </w:r>
            <w:r w:rsidR="00BA1269">
              <w:rPr>
                <w:noProof/>
                <w:webHidden/>
              </w:rPr>
              <w:fldChar w:fldCharType="end"/>
            </w:r>
          </w:hyperlink>
        </w:p>
        <w:p w14:paraId="21274B05" w14:textId="6E677463" w:rsidR="00BA1269" w:rsidRDefault="00BA1269">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99421662" w:history="1">
            <w:r w:rsidRPr="007C61CA">
              <w:rPr>
                <w:rStyle w:val="Hyperlink"/>
                <w:rFonts w:cs="Arial"/>
                <w:b/>
                <w:bCs/>
                <w:noProof/>
                <w:lang w:eastAsia="en-GB"/>
              </w:rPr>
              <w:t>Section C: Output scoring</w:t>
            </w:r>
            <w:r>
              <w:rPr>
                <w:noProof/>
                <w:webHidden/>
              </w:rPr>
              <w:tab/>
            </w:r>
            <w:r>
              <w:rPr>
                <w:noProof/>
                <w:webHidden/>
              </w:rPr>
              <w:fldChar w:fldCharType="begin"/>
            </w:r>
            <w:r>
              <w:rPr>
                <w:noProof/>
                <w:webHidden/>
              </w:rPr>
              <w:instrText xml:space="preserve"> PAGEREF _Toc199421662 \h </w:instrText>
            </w:r>
            <w:r>
              <w:rPr>
                <w:noProof/>
                <w:webHidden/>
              </w:rPr>
            </w:r>
            <w:r>
              <w:rPr>
                <w:noProof/>
                <w:webHidden/>
              </w:rPr>
              <w:fldChar w:fldCharType="separate"/>
            </w:r>
            <w:r w:rsidR="00EC09B3">
              <w:rPr>
                <w:noProof/>
                <w:webHidden/>
              </w:rPr>
              <w:t>15</w:t>
            </w:r>
            <w:r>
              <w:rPr>
                <w:noProof/>
                <w:webHidden/>
              </w:rPr>
              <w:fldChar w:fldCharType="end"/>
            </w:r>
          </w:hyperlink>
        </w:p>
        <w:p w14:paraId="7B75D37B" w14:textId="0FEB1D04" w:rsidR="00BA1269" w:rsidRDefault="00BA126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9421663" w:history="1">
            <w:r w:rsidRPr="007C61CA">
              <w:rPr>
                <w:rStyle w:val="Hyperlink"/>
                <w:noProof/>
              </w:rPr>
              <w:t>Output 1</w:t>
            </w:r>
            <w:r>
              <w:rPr>
                <w:noProof/>
                <w:webHidden/>
              </w:rPr>
              <w:tab/>
            </w:r>
            <w:r>
              <w:rPr>
                <w:noProof/>
                <w:webHidden/>
              </w:rPr>
              <w:fldChar w:fldCharType="begin"/>
            </w:r>
            <w:r>
              <w:rPr>
                <w:noProof/>
                <w:webHidden/>
              </w:rPr>
              <w:instrText xml:space="preserve"> PAGEREF _Toc199421663 \h </w:instrText>
            </w:r>
            <w:r>
              <w:rPr>
                <w:noProof/>
                <w:webHidden/>
              </w:rPr>
            </w:r>
            <w:r>
              <w:rPr>
                <w:noProof/>
                <w:webHidden/>
              </w:rPr>
              <w:fldChar w:fldCharType="separate"/>
            </w:r>
            <w:r w:rsidR="00EC09B3">
              <w:rPr>
                <w:noProof/>
                <w:webHidden/>
              </w:rPr>
              <w:t>15</w:t>
            </w:r>
            <w:r>
              <w:rPr>
                <w:noProof/>
                <w:webHidden/>
              </w:rPr>
              <w:fldChar w:fldCharType="end"/>
            </w:r>
          </w:hyperlink>
        </w:p>
        <w:p w14:paraId="723F1FA0" w14:textId="5280759E" w:rsidR="00BA1269" w:rsidRDefault="00BA126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9421664" w:history="1">
            <w:r w:rsidRPr="007C61CA">
              <w:rPr>
                <w:rStyle w:val="Hyperlink"/>
                <w:iCs/>
                <w:noProof/>
              </w:rPr>
              <w:t>Output 2</w:t>
            </w:r>
            <w:r>
              <w:rPr>
                <w:noProof/>
                <w:webHidden/>
              </w:rPr>
              <w:tab/>
            </w:r>
            <w:r>
              <w:rPr>
                <w:noProof/>
                <w:webHidden/>
              </w:rPr>
              <w:fldChar w:fldCharType="begin"/>
            </w:r>
            <w:r>
              <w:rPr>
                <w:noProof/>
                <w:webHidden/>
              </w:rPr>
              <w:instrText xml:space="preserve"> PAGEREF _Toc199421664 \h </w:instrText>
            </w:r>
            <w:r>
              <w:rPr>
                <w:noProof/>
                <w:webHidden/>
              </w:rPr>
            </w:r>
            <w:r>
              <w:rPr>
                <w:noProof/>
                <w:webHidden/>
              </w:rPr>
              <w:fldChar w:fldCharType="separate"/>
            </w:r>
            <w:r w:rsidR="00EC09B3">
              <w:rPr>
                <w:noProof/>
                <w:webHidden/>
              </w:rPr>
              <w:t>19</w:t>
            </w:r>
            <w:r>
              <w:rPr>
                <w:noProof/>
                <w:webHidden/>
              </w:rPr>
              <w:fldChar w:fldCharType="end"/>
            </w:r>
          </w:hyperlink>
        </w:p>
        <w:p w14:paraId="7AAD2665" w14:textId="1CD6603E" w:rsidR="00BA1269" w:rsidRDefault="00BA126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9421665" w:history="1">
            <w:r w:rsidRPr="007C61CA">
              <w:rPr>
                <w:rStyle w:val="Hyperlink"/>
                <w:noProof/>
              </w:rPr>
              <w:t>Output 3</w:t>
            </w:r>
            <w:r>
              <w:rPr>
                <w:noProof/>
                <w:webHidden/>
              </w:rPr>
              <w:tab/>
            </w:r>
            <w:r>
              <w:rPr>
                <w:noProof/>
                <w:webHidden/>
              </w:rPr>
              <w:fldChar w:fldCharType="begin"/>
            </w:r>
            <w:r>
              <w:rPr>
                <w:noProof/>
                <w:webHidden/>
              </w:rPr>
              <w:instrText xml:space="preserve"> PAGEREF _Toc199421665 \h </w:instrText>
            </w:r>
            <w:r>
              <w:rPr>
                <w:noProof/>
                <w:webHidden/>
              </w:rPr>
            </w:r>
            <w:r>
              <w:rPr>
                <w:noProof/>
                <w:webHidden/>
              </w:rPr>
              <w:fldChar w:fldCharType="separate"/>
            </w:r>
            <w:r w:rsidR="00EC09B3">
              <w:rPr>
                <w:noProof/>
                <w:webHidden/>
              </w:rPr>
              <w:t>22</w:t>
            </w:r>
            <w:r>
              <w:rPr>
                <w:noProof/>
                <w:webHidden/>
              </w:rPr>
              <w:fldChar w:fldCharType="end"/>
            </w:r>
          </w:hyperlink>
        </w:p>
        <w:p w14:paraId="5FA6F8D6" w14:textId="2F03794E" w:rsidR="00BA1269" w:rsidRDefault="00BA126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9421666" w:history="1">
            <w:r w:rsidRPr="007C61CA">
              <w:rPr>
                <w:rStyle w:val="Hyperlink"/>
                <w:noProof/>
              </w:rPr>
              <w:t>Output 4</w:t>
            </w:r>
            <w:r>
              <w:rPr>
                <w:noProof/>
                <w:webHidden/>
              </w:rPr>
              <w:tab/>
            </w:r>
            <w:r>
              <w:rPr>
                <w:noProof/>
                <w:webHidden/>
              </w:rPr>
              <w:fldChar w:fldCharType="begin"/>
            </w:r>
            <w:r>
              <w:rPr>
                <w:noProof/>
                <w:webHidden/>
              </w:rPr>
              <w:instrText xml:space="preserve"> PAGEREF _Toc199421666 \h </w:instrText>
            </w:r>
            <w:r>
              <w:rPr>
                <w:noProof/>
                <w:webHidden/>
              </w:rPr>
            </w:r>
            <w:r>
              <w:rPr>
                <w:noProof/>
                <w:webHidden/>
              </w:rPr>
              <w:fldChar w:fldCharType="separate"/>
            </w:r>
            <w:r w:rsidR="00EC09B3">
              <w:rPr>
                <w:noProof/>
                <w:webHidden/>
              </w:rPr>
              <w:t>24</w:t>
            </w:r>
            <w:r>
              <w:rPr>
                <w:noProof/>
                <w:webHidden/>
              </w:rPr>
              <w:fldChar w:fldCharType="end"/>
            </w:r>
          </w:hyperlink>
        </w:p>
        <w:p w14:paraId="23A5053B" w14:textId="64460E7B" w:rsidR="00BA1269" w:rsidRDefault="00BA1269">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99421667" w:history="1">
            <w:r w:rsidRPr="007C61CA">
              <w:rPr>
                <w:rStyle w:val="Hyperlink"/>
                <w:rFonts w:cs="Arial"/>
                <w:b/>
                <w:bCs/>
                <w:noProof/>
                <w:lang w:eastAsia="en-GB"/>
              </w:rPr>
              <w:t>Section D: Programme performance not captured by outputs</w:t>
            </w:r>
            <w:r>
              <w:rPr>
                <w:noProof/>
                <w:webHidden/>
              </w:rPr>
              <w:tab/>
            </w:r>
            <w:r>
              <w:rPr>
                <w:noProof/>
                <w:webHidden/>
              </w:rPr>
              <w:fldChar w:fldCharType="begin"/>
            </w:r>
            <w:r>
              <w:rPr>
                <w:noProof/>
                <w:webHidden/>
              </w:rPr>
              <w:instrText xml:space="preserve"> PAGEREF _Toc199421667 \h </w:instrText>
            </w:r>
            <w:r>
              <w:rPr>
                <w:noProof/>
                <w:webHidden/>
              </w:rPr>
            </w:r>
            <w:r>
              <w:rPr>
                <w:noProof/>
                <w:webHidden/>
              </w:rPr>
              <w:fldChar w:fldCharType="separate"/>
            </w:r>
            <w:r w:rsidR="00EC09B3">
              <w:rPr>
                <w:noProof/>
                <w:webHidden/>
              </w:rPr>
              <w:t>26</w:t>
            </w:r>
            <w:r>
              <w:rPr>
                <w:noProof/>
                <w:webHidden/>
              </w:rPr>
              <w:fldChar w:fldCharType="end"/>
            </w:r>
          </w:hyperlink>
        </w:p>
        <w:p w14:paraId="0CC679F6" w14:textId="3A84DB8E" w:rsidR="00BA1269" w:rsidRDefault="00BA1269">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99421668" w:history="1">
            <w:r w:rsidRPr="007C61CA">
              <w:rPr>
                <w:rStyle w:val="Hyperlink"/>
                <w:rFonts w:cs="Arial"/>
                <w:b/>
                <w:bCs/>
                <w:noProof/>
                <w:lang w:eastAsia="en-GB"/>
              </w:rPr>
              <w:t>Section E: Risk</w:t>
            </w:r>
            <w:r>
              <w:rPr>
                <w:noProof/>
                <w:webHidden/>
              </w:rPr>
              <w:tab/>
            </w:r>
            <w:r>
              <w:rPr>
                <w:noProof/>
                <w:webHidden/>
              </w:rPr>
              <w:fldChar w:fldCharType="begin"/>
            </w:r>
            <w:r>
              <w:rPr>
                <w:noProof/>
                <w:webHidden/>
              </w:rPr>
              <w:instrText xml:space="preserve"> PAGEREF _Toc199421668 \h </w:instrText>
            </w:r>
            <w:r>
              <w:rPr>
                <w:noProof/>
                <w:webHidden/>
              </w:rPr>
            </w:r>
            <w:r>
              <w:rPr>
                <w:noProof/>
                <w:webHidden/>
              </w:rPr>
              <w:fldChar w:fldCharType="separate"/>
            </w:r>
            <w:r w:rsidR="00EC09B3">
              <w:rPr>
                <w:noProof/>
                <w:webHidden/>
              </w:rPr>
              <w:t>27</w:t>
            </w:r>
            <w:r>
              <w:rPr>
                <w:noProof/>
                <w:webHidden/>
              </w:rPr>
              <w:fldChar w:fldCharType="end"/>
            </w:r>
          </w:hyperlink>
        </w:p>
        <w:p w14:paraId="35417775" w14:textId="39019D11" w:rsidR="00BA1269" w:rsidRDefault="00BA126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9421669" w:history="1">
            <w:r w:rsidRPr="007C61CA">
              <w:rPr>
                <w:rStyle w:val="Hyperlink"/>
                <w:noProof/>
              </w:rPr>
              <w:t>Overall risk rating</w:t>
            </w:r>
            <w:r>
              <w:rPr>
                <w:noProof/>
                <w:webHidden/>
              </w:rPr>
              <w:tab/>
            </w:r>
            <w:r>
              <w:rPr>
                <w:noProof/>
                <w:webHidden/>
              </w:rPr>
              <w:fldChar w:fldCharType="begin"/>
            </w:r>
            <w:r>
              <w:rPr>
                <w:noProof/>
                <w:webHidden/>
              </w:rPr>
              <w:instrText xml:space="preserve"> PAGEREF _Toc199421669 \h </w:instrText>
            </w:r>
            <w:r>
              <w:rPr>
                <w:noProof/>
                <w:webHidden/>
              </w:rPr>
            </w:r>
            <w:r>
              <w:rPr>
                <w:noProof/>
                <w:webHidden/>
              </w:rPr>
              <w:fldChar w:fldCharType="separate"/>
            </w:r>
            <w:r w:rsidR="00EC09B3">
              <w:rPr>
                <w:noProof/>
                <w:webHidden/>
              </w:rPr>
              <w:t>27</w:t>
            </w:r>
            <w:r>
              <w:rPr>
                <w:noProof/>
                <w:webHidden/>
              </w:rPr>
              <w:fldChar w:fldCharType="end"/>
            </w:r>
          </w:hyperlink>
        </w:p>
        <w:p w14:paraId="2B9099F9" w14:textId="120BB81A" w:rsidR="00BA1269" w:rsidRDefault="00BA126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9421670" w:history="1">
            <w:r w:rsidRPr="007C61CA">
              <w:rPr>
                <w:rStyle w:val="Hyperlink"/>
                <w:noProof/>
              </w:rPr>
              <w:t>Overview of risk management</w:t>
            </w:r>
            <w:r>
              <w:rPr>
                <w:noProof/>
                <w:webHidden/>
              </w:rPr>
              <w:tab/>
            </w:r>
            <w:r>
              <w:rPr>
                <w:noProof/>
                <w:webHidden/>
              </w:rPr>
              <w:fldChar w:fldCharType="begin"/>
            </w:r>
            <w:r>
              <w:rPr>
                <w:noProof/>
                <w:webHidden/>
              </w:rPr>
              <w:instrText xml:space="preserve"> PAGEREF _Toc199421670 \h </w:instrText>
            </w:r>
            <w:r>
              <w:rPr>
                <w:noProof/>
                <w:webHidden/>
              </w:rPr>
            </w:r>
            <w:r>
              <w:rPr>
                <w:noProof/>
                <w:webHidden/>
              </w:rPr>
              <w:fldChar w:fldCharType="separate"/>
            </w:r>
            <w:r w:rsidR="00EC09B3">
              <w:rPr>
                <w:noProof/>
                <w:webHidden/>
              </w:rPr>
              <w:t>27</w:t>
            </w:r>
            <w:r>
              <w:rPr>
                <w:noProof/>
                <w:webHidden/>
              </w:rPr>
              <w:fldChar w:fldCharType="end"/>
            </w:r>
          </w:hyperlink>
        </w:p>
        <w:p w14:paraId="656FB075" w14:textId="54E48F66" w:rsidR="00BA1269" w:rsidRDefault="00BA126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9421671" w:history="1">
            <w:r w:rsidRPr="007C61CA">
              <w:rPr>
                <w:rStyle w:val="Hyperlink"/>
                <w:noProof/>
              </w:rPr>
              <w:t>Current risks</w:t>
            </w:r>
            <w:r>
              <w:rPr>
                <w:noProof/>
                <w:webHidden/>
              </w:rPr>
              <w:tab/>
            </w:r>
            <w:r>
              <w:rPr>
                <w:noProof/>
                <w:webHidden/>
              </w:rPr>
              <w:fldChar w:fldCharType="begin"/>
            </w:r>
            <w:r>
              <w:rPr>
                <w:noProof/>
                <w:webHidden/>
              </w:rPr>
              <w:instrText xml:space="preserve"> PAGEREF _Toc199421671 \h </w:instrText>
            </w:r>
            <w:r>
              <w:rPr>
                <w:noProof/>
                <w:webHidden/>
              </w:rPr>
            </w:r>
            <w:r>
              <w:rPr>
                <w:noProof/>
                <w:webHidden/>
              </w:rPr>
              <w:fldChar w:fldCharType="separate"/>
            </w:r>
            <w:r w:rsidR="00EC09B3">
              <w:rPr>
                <w:noProof/>
                <w:webHidden/>
              </w:rPr>
              <w:t>28</w:t>
            </w:r>
            <w:r>
              <w:rPr>
                <w:noProof/>
                <w:webHidden/>
              </w:rPr>
              <w:fldChar w:fldCharType="end"/>
            </w:r>
          </w:hyperlink>
        </w:p>
        <w:p w14:paraId="08D171E4" w14:textId="77C5D04C" w:rsidR="00BA1269" w:rsidRDefault="00BA126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9421672" w:history="1">
            <w:r w:rsidRPr="007C61CA">
              <w:rPr>
                <w:rStyle w:val="Hyperlink"/>
                <w:noProof/>
              </w:rPr>
              <w:t>Outstanding actions from risk assessment</w:t>
            </w:r>
            <w:r>
              <w:rPr>
                <w:noProof/>
                <w:webHidden/>
              </w:rPr>
              <w:tab/>
            </w:r>
            <w:r>
              <w:rPr>
                <w:noProof/>
                <w:webHidden/>
              </w:rPr>
              <w:fldChar w:fldCharType="begin"/>
            </w:r>
            <w:r>
              <w:rPr>
                <w:noProof/>
                <w:webHidden/>
              </w:rPr>
              <w:instrText xml:space="preserve"> PAGEREF _Toc199421672 \h </w:instrText>
            </w:r>
            <w:r>
              <w:rPr>
                <w:noProof/>
                <w:webHidden/>
              </w:rPr>
            </w:r>
            <w:r>
              <w:rPr>
                <w:noProof/>
                <w:webHidden/>
              </w:rPr>
              <w:fldChar w:fldCharType="separate"/>
            </w:r>
            <w:r w:rsidR="00EC09B3">
              <w:rPr>
                <w:noProof/>
                <w:webHidden/>
              </w:rPr>
              <w:t>30</w:t>
            </w:r>
            <w:r>
              <w:rPr>
                <w:noProof/>
                <w:webHidden/>
              </w:rPr>
              <w:fldChar w:fldCharType="end"/>
            </w:r>
          </w:hyperlink>
        </w:p>
        <w:p w14:paraId="660AF531" w14:textId="6AA0F41C" w:rsidR="00BA1269" w:rsidRDefault="00BA1269">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99421673" w:history="1">
            <w:r w:rsidRPr="007C61CA">
              <w:rPr>
                <w:rStyle w:val="Hyperlink"/>
                <w:rFonts w:cs="Arial"/>
                <w:b/>
                <w:bCs/>
                <w:noProof/>
                <w:lang w:eastAsia="en-GB"/>
              </w:rPr>
              <w:t>Section F: Programme management: delivery, VfM, commercial and financial performance</w:t>
            </w:r>
            <w:r>
              <w:rPr>
                <w:noProof/>
                <w:webHidden/>
              </w:rPr>
              <w:tab/>
            </w:r>
            <w:r>
              <w:rPr>
                <w:noProof/>
                <w:webHidden/>
              </w:rPr>
              <w:fldChar w:fldCharType="begin"/>
            </w:r>
            <w:r>
              <w:rPr>
                <w:noProof/>
                <w:webHidden/>
              </w:rPr>
              <w:instrText xml:space="preserve"> PAGEREF _Toc199421673 \h </w:instrText>
            </w:r>
            <w:r>
              <w:rPr>
                <w:noProof/>
                <w:webHidden/>
              </w:rPr>
            </w:r>
            <w:r>
              <w:rPr>
                <w:noProof/>
                <w:webHidden/>
              </w:rPr>
              <w:fldChar w:fldCharType="separate"/>
            </w:r>
            <w:r w:rsidR="00EC09B3">
              <w:rPr>
                <w:noProof/>
                <w:webHidden/>
              </w:rPr>
              <w:t>31</w:t>
            </w:r>
            <w:r>
              <w:rPr>
                <w:noProof/>
                <w:webHidden/>
              </w:rPr>
              <w:fldChar w:fldCharType="end"/>
            </w:r>
          </w:hyperlink>
        </w:p>
        <w:p w14:paraId="4D6D4FF0" w14:textId="7A541A5E" w:rsidR="00BA1269" w:rsidRDefault="00BA126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9421674" w:history="1">
            <w:r w:rsidRPr="007C61CA">
              <w:rPr>
                <w:rStyle w:val="Hyperlink"/>
                <w:noProof/>
              </w:rPr>
              <w:t>Summary of the performance of partners and DESNZ, notably on commercial and financial issues, and including consideration of VfM.</w:t>
            </w:r>
            <w:r>
              <w:rPr>
                <w:noProof/>
                <w:webHidden/>
              </w:rPr>
              <w:tab/>
            </w:r>
            <w:r>
              <w:rPr>
                <w:noProof/>
                <w:webHidden/>
              </w:rPr>
              <w:fldChar w:fldCharType="begin"/>
            </w:r>
            <w:r>
              <w:rPr>
                <w:noProof/>
                <w:webHidden/>
              </w:rPr>
              <w:instrText xml:space="preserve"> PAGEREF _Toc199421674 \h </w:instrText>
            </w:r>
            <w:r>
              <w:rPr>
                <w:noProof/>
                <w:webHidden/>
              </w:rPr>
            </w:r>
            <w:r>
              <w:rPr>
                <w:noProof/>
                <w:webHidden/>
              </w:rPr>
              <w:fldChar w:fldCharType="separate"/>
            </w:r>
            <w:r w:rsidR="00EC09B3">
              <w:rPr>
                <w:noProof/>
                <w:webHidden/>
              </w:rPr>
              <w:t>31</w:t>
            </w:r>
            <w:r>
              <w:rPr>
                <w:noProof/>
                <w:webHidden/>
              </w:rPr>
              <w:fldChar w:fldCharType="end"/>
            </w:r>
          </w:hyperlink>
        </w:p>
        <w:p w14:paraId="2412FD0E" w14:textId="75A07CAE" w:rsidR="00DB4AAF" w:rsidRPr="003C5BF3" w:rsidRDefault="00023069" w:rsidP="527A8EFF">
          <w:pPr>
            <w:pStyle w:val="TOC2"/>
            <w:tabs>
              <w:tab w:val="right" w:leader="dot" w:pos="9015"/>
            </w:tabs>
            <w:rPr>
              <w:rStyle w:val="Hyperlink"/>
              <w:kern w:val="2"/>
              <w:lang w:eastAsia="en-GB"/>
              <w14:ligatures w14:val="standardContextual"/>
            </w:rPr>
          </w:pPr>
          <w:r w:rsidRPr="003C5BF3">
            <w:fldChar w:fldCharType="end"/>
          </w:r>
        </w:p>
      </w:sdtContent>
    </w:sdt>
    <w:p w14:paraId="5E063C9F" w14:textId="0782D2F0" w:rsidR="001B14BA" w:rsidRPr="003C5BF3" w:rsidRDefault="001B14BA" w:rsidP="00276517">
      <w:pPr>
        <w:spacing w:line="276" w:lineRule="auto"/>
      </w:pPr>
    </w:p>
    <w:p w14:paraId="07D3ACBE" w14:textId="1B450C59" w:rsidR="008D3049" w:rsidRPr="003C5BF3" w:rsidRDefault="008D3049">
      <w:pPr>
        <w:spacing w:after="160" w:line="259" w:lineRule="auto"/>
        <w:rPr>
          <w:sz w:val="22"/>
          <w:szCs w:val="22"/>
        </w:rPr>
      </w:pPr>
      <w:r w:rsidRPr="003C5BF3">
        <w:rPr>
          <w:sz w:val="22"/>
          <w:szCs w:val="22"/>
        </w:rPr>
        <w:br w:type="page"/>
      </w:r>
    </w:p>
    <w:p w14:paraId="32718D3E" w14:textId="4C4B50DF" w:rsidR="004D2FC0" w:rsidRPr="003C5BF3" w:rsidRDefault="004D2FC0" w:rsidP="006C516E"/>
    <w:tbl>
      <w:tblPr>
        <w:tblStyle w:val="TableGrid"/>
        <w:tblW w:w="0" w:type="auto"/>
        <w:tblLook w:val="04A0" w:firstRow="1" w:lastRow="0" w:firstColumn="1" w:lastColumn="0" w:noHBand="0" w:noVBand="1"/>
      </w:tblPr>
      <w:tblGrid>
        <w:gridCol w:w="9016"/>
      </w:tblGrid>
      <w:tr w:rsidR="00495286" w:rsidRPr="003C5BF3" w14:paraId="65DE13A0" w14:textId="77777777" w:rsidTr="527A8EFF">
        <w:tc>
          <w:tcPr>
            <w:tcW w:w="9016" w:type="dxa"/>
            <w:shd w:val="clear" w:color="auto" w:fill="DEEAF6" w:themeFill="accent5" w:themeFillTint="33"/>
          </w:tcPr>
          <w:p w14:paraId="7DC76797" w14:textId="4A1279F8" w:rsidR="00495286" w:rsidRPr="003C5BF3" w:rsidRDefault="789BD016" w:rsidP="006C516E">
            <w:bookmarkStart w:id="1" w:name="_Toc199421653"/>
            <w:r w:rsidRPr="003C5BF3">
              <w:rPr>
                <w:rStyle w:val="Heading1Char"/>
                <w:rFonts w:ascii="Arial" w:hAnsi="Arial" w:cs="Arial"/>
                <w:b/>
                <w:bCs/>
                <w:color w:val="auto"/>
              </w:rPr>
              <w:t>Section A: Summary and overview</w:t>
            </w:r>
            <w:bookmarkEnd w:id="1"/>
            <w:r w:rsidRPr="003C5BF3">
              <w:t xml:space="preserve"> </w:t>
            </w:r>
          </w:p>
        </w:tc>
      </w:tr>
    </w:tbl>
    <w:p w14:paraId="006A5D19" w14:textId="77777777" w:rsidR="00495286" w:rsidRPr="003C5BF3" w:rsidRDefault="00495286" w:rsidP="006C516E"/>
    <w:tbl>
      <w:tblPr>
        <w:tblStyle w:val="TableGrid"/>
        <w:tblW w:w="0" w:type="auto"/>
        <w:tblLook w:val="04A0" w:firstRow="1" w:lastRow="0" w:firstColumn="1" w:lastColumn="0" w:noHBand="0" w:noVBand="1"/>
      </w:tblPr>
      <w:tblGrid>
        <w:gridCol w:w="3397"/>
        <w:gridCol w:w="2410"/>
        <w:gridCol w:w="3209"/>
      </w:tblGrid>
      <w:tr w:rsidR="004D2FC0" w:rsidRPr="003C5BF3" w14:paraId="2869ADA5" w14:textId="77777777" w:rsidTr="00FC16A6">
        <w:trPr>
          <w:trHeight w:val="407"/>
        </w:trPr>
        <w:tc>
          <w:tcPr>
            <w:tcW w:w="9016" w:type="dxa"/>
            <w:gridSpan w:val="3"/>
            <w:tcBorders>
              <w:top w:val="single" w:sz="4" w:space="0" w:color="auto"/>
              <w:left w:val="single" w:sz="4" w:space="0" w:color="auto"/>
              <w:bottom w:val="dotted" w:sz="2" w:space="0" w:color="000000" w:themeColor="text1"/>
              <w:right w:val="single" w:sz="4" w:space="0" w:color="auto"/>
            </w:tcBorders>
          </w:tcPr>
          <w:p w14:paraId="346F2EF8" w14:textId="097B60BA" w:rsidR="004D2FC0" w:rsidRPr="006D1314" w:rsidRDefault="004D2FC0" w:rsidP="00FC16A6">
            <w:pPr>
              <w:rPr>
                <w:rFonts w:cs="Arial"/>
                <w:b/>
                <w:sz w:val="20"/>
                <w:szCs w:val="20"/>
              </w:rPr>
            </w:pPr>
            <w:r w:rsidRPr="006D1314">
              <w:rPr>
                <w:rFonts w:cs="Arial"/>
                <w:b/>
                <w:sz w:val="20"/>
                <w:szCs w:val="20"/>
              </w:rPr>
              <w:t>Title:</w:t>
            </w:r>
            <w:r w:rsidR="00B11C15" w:rsidRPr="006D1314">
              <w:rPr>
                <w:rFonts w:cs="Arial"/>
                <w:b/>
                <w:sz w:val="20"/>
                <w:szCs w:val="20"/>
              </w:rPr>
              <w:t xml:space="preserve"> NDC Support through NDC Partnership</w:t>
            </w:r>
          </w:p>
        </w:tc>
      </w:tr>
      <w:tr w:rsidR="004D2FC0" w:rsidRPr="003C5BF3" w14:paraId="109A3418" w14:textId="77777777" w:rsidTr="00FC16A6">
        <w:trPr>
          <w:trHeight w:val="413"/>
        </w:trPr>
        <w:tc>
          <w:tcPr>
            <w:tcW w:w="5807" w:type="dxa"/>
            <w:gridSpan w:val="2"/>
            <w:tcBorders>
              <w:top w:val="dotted" w:sz="2" w:space="0" w:color="000000" w:themeColor="text1"/>
              <w:left w:val="single" w:sz="4" w:space="0" w:color="000000" w:themeColor="text1"/>
              <w:bottom w:val="dotted" w:sz="2" w:space="0" w:color="000000" w:themeColor="text1"/>
              <w:right w:val="dotted" w:sz="2" w:space="0" w:color="000000" w:themeColor="text1"/>
            </w:tcBorders>
            <w:hideMark/>
          </w:tcPr>
          <w:p w14:paraId="79376CB4" w14:textId="514E35AF" w:rsidR="004D2FC0" w:rsidRPr="006D1314" w:rsidRDefault="004D2FC0" w:rsidP="00FC16A6">
            <w:pPr>
              <w:rPr>
                <w:rFonts w:cs="Arial"/>
                <w:b/>
                <w:sz w:val="20"/>
                <w:szCs w:val="20"/>
              </w:rPr>
            </w:pPr>
            <w:r w:rsidRPr="006D1314">
              <w:rPr>
                <w:rFonts w:cs="Arial"/>
                <w:b/>
                <w:sz w:val="20"/>
                <w:szCs w:val="20"/>
              </w:rPr>
              <w:t xml:space="preserve">Programme Value £ (full life): </w:t>
            </w:r>
            <w:r w:rsidR="00B11C15" w:rsidRPr="006D1314">
              <w:rPr>
                <w:rFonts w:cs="Arial"/>
                <w:bCs/>
                <w:sz w:val="20"/>
                <w:szCs w:val="20"/>
              </w:rPr>
              <w:t>£126m</w:t>
            </w:r>
          </w:p>
        </w:tc>
        <w:tc>
          <w:tcPr>
            <w:tcW w:w="3209" w:type="dxa"/>
            <w:tcBorders>
              <w:top w:val="dotted" w:sz="2" w:space="0" w:color="000000" w:themeColor="text1"/>
              <w:left w:val="dotted" w:sz="2" w:space="0" w:color="000000" w:themeColor="text1"/>
              <w:bottom w:val="dotted" w:sz="2" w:space="0" w:color="000000" w:themeColor="text1"/>
              <w:right w:val="single" w:sz="4" w:space="0" w:color="000000" w:themeColor="text1"/>
            </w:tcBorders>
            <w:hideMark/>
          </w:tcPr>
          <w:p w14:paraId="4B6BD2E4" w14:textId="77777777" w:rsidR="00026FCD" w:rsidRPr="006D1314" w:rsidRDefault="004D2FC0" w:rsidP="00FC16A6">
            <w:pPr>
              <w:rPr>
                <w:rFonts w:cs="Arial"/>
                <w:b/>
                <w:sz w:val="20"/>
                <w:szCs w:val="20"/>
              </w:rPr>
            </w:pPr>
            <w:r w:rsidRPr="006D1314">
              <w:rPr>
                <w:rFonts w:cs="Arial"/>
                <w:b/>
                <w:sz w:val="20"/>
                <w:szCs w:val="20"/>
              </w:rPr>
              <w:t>Review date:</w:t>
            </w:r>
            <w:r w:rsidR="004A22D1" w:rsidRPr="006D1314">
              <w:rPr>
                <w:rFonts w:cs="Arial"/>
                <w:b/>
                <w:sz w:val="20"/>
                <w:szCs w:val="20"/>
              </w:rPr>
              <w:t xml:space="preserve"> </w:t>
            </w:r>
          </w:p>
          <w:p w14:paraId="5E522675" w14:textId="2C72CE94" w:rsidR="004D2FC0" w:rsidRPr="006D1314" w:rsidRDefault="004A22D1" w:rsidP="00FC16A6">
            <w:pPr>
              <w:rPr>
                <w:rFonts w:cs="Arial"/>
                <w:b/>
                <w:sz w:val="20"/>
                <w:szCs w:val="20"/>
              </w:rPr>
            </w:pPr>
            <w:r w:rsidRPr="006D1314">
              <w:rPr>
                <w:rFonts w:cs="Arial"/>
                <w:bCs/>
                <w:sz w:val="20"/>
                <w:szCs w:val="20"/>
              </w:rPr>
              <w:t>June 2025 (April 2024 to March 2025)</w:t>
            </w:r>
          </w:p>
        </w:tc>
      </w:tr>
      <w:tr w:rsidR="004D2FC0" w:rsidRPr="003C5BF3" w14:paraId="4F6467CB" w14:textId="77777777" w:rsidTr="00FC16A6">
        <w:trPr>
          <w:trHeight w:val="300"/>
        </w:trPr>
        <w:tc>
          <w:tcPr>
            <w:tcW w:w="3397" w:type="dxa"/>
            <w:tcBorders>
              <w:top w:val="dotted" w:sz="2" w:space="0" w:color="000000" w:themeColor="text1"/>
              <w:left w:val="single" w:sz="4" w:space="0" w:color="auto"/>
              <w:bottom w:val="single" w:sz="4" w:space="0" w:color="auto"/>
              <w:right w:val="dotted" w:sz="2" w:space="0" w:color="000000" w:themeColor="text1"/>
            </w:tcBorders>
          </w:tcPr>
          <w:p w14:paraId="06CD2B2E" w14:textId="28B35C62" w:rsidR="004D2FC0" w:rsidRPr="006D1314" w:rsidRDefault="004D2FC0" w:rsidP="00FC16A6">
            <w:pPr>
              <w:rPr>
                <w:rFonts w:cs="Arial"/>
                <w:b/>
                <w:sz w:val="20"/>
                <w:szCs w:val="20"/>
              </w:rPr>
            </w:pPr>
            <w:r w:rsidRPr="006D1314">
              <w:rPr>
                <w:rFonts w:cs="Arial"/>
                <w:b/>
                <w:sz w:val="20"/>
                <w:szCs w:val="20"/>
              </w:rPr>
              <w:t>Programme Code:</w:t>
            </w:r>
          </w:p>
          <w:p w14:paraId="07FE2881" w14:textId="037400FB" w:rsidR="004D2FC0" w:rsidRPr="006D1314" w:rsidRDefault="00026FCD" w:rsidP="00FC16A6">
            <w:pPr>
              <w:rPr>
                <w:rFonts w:cs="Arial"/>
                <w:sz w:val="20"/>
                <w:szCs w:val="20"/>
              </w:rPr>
            </w:pPr>
            <w:r w:rsidRPr="006D1314">
              <w:rPr>
                <w:rFonts w:eastAsia="Calibri" w:cs="Arial"/>
                <w:color w:val="000000" w:themeColor="text1"/>
                <w:sz w:val="20"/>
                <w:szCs w:val="20"/>
              </w:rPr>
              <w:t>GB-GOV-13-ICF-0008-ext1-NDCP</w:t>
            </w:r>
          </w:p>
        </w:tc>
        <w:tc>
          <w:tcPr>
            <w:tcW w:w="2410" w:type="dxa"/>
            <w:tcBorders>
              <w:top w:val="dotted" w:sz="2" w:space="0" w:color="000000" w:themeColor="text1"/>
              <w:left w:val="dotted" w:sz="2" w:space="0" w:color="000000" w:themeColor="text1"/>
              <w:bottom w:val="single" w:sz="4" w:space="0" w:color="000000" w:themeColor="text1"/>
              <w:right w:val="dotted" w:sz="2" w:space="0" w:color="000000" w:themeColor="text1"/>
            </w:tcBorders>
            <w:hideMark/>
          </w:tcPr>
          <w:p w14:paraId="60656223" w14:textId="77777777" w:rsidR="00026FCD" w:rsidRPr="006D1314" w:rsidRDefault="004D2FC0" w:rsidP="00FC16A6">
            <w:pPr>
              <w:rPr>
                <w:rFonts w:cs="Arial"/>
                <w:b/>
                <w:sz w:val="20"/>
                <w:szCs w:val="20"/>
              </w:rPr>
            </w:pPr>
            <w:r w:rsidRPr="006D1314">
              <w:rPr>
                <w:rFonts w:cs="Arial"/>
                <w:b/>
                <w:sz w:val="20"/>
                <w:szCs w:val="20"/>
              </w:rPr>
              <w:t>Programme start date:</w:t>
            </w:r>
          </w:p>
          <w:p w14:paraId="3C649775" w14:textId="6F27AEAF" w:rsidR="004D2FC0" w:rsidRPr="006D1314" w:rsidRDefault="004A22D1" w:rsidP="00FC16A6">
            <w:pPr>
              <w:rPr>
                <w:rFonts w:cs="Arial"/>
                <w:b/>
                <w:sz w:val="20"/>
                <w:szCs w:val="20"/>
              </w:rPr>
            </w:pPr>
            <w:r w:rsidRPr="006D1314">
              <w:rPr>
                <w:rFonts w:cs="Arial"/>
                <w:sz w:val="20"/>
                <w:szCs w:val="20"/>
              </w:rPr>
              <w:t>April 2024</w:t>
            </w:r>
          </w:p>
        </w:tc>
        <w:tc>
          <w:tcPr>
            <w:tcW w:w="3209" w:type="dxa"/>
            <w:tcBorders>
              <w:top w:val="dotted" w:sz="2" w:space="0" w:color="000000" w:themeColor="text1"/>
              <w:left w:val="dotted" w:sz="2" w:space="0" w:color="000000" w:themeColor="text1"/>
              <w:bottom w:val="single" w:sz="4" w:space="0" w:color="auto"/>
              <w:right w:val="single" w:sz="4" w:space="0" w:color="auto"/>
            </w:tcBorders>
            <w:hideMark/>
          </w:tcPr>
          <w:p w14:paraId="2DDA7570" w14:textId="77777777" w:rsidR="00026FCD" w:rsidRPr="006D1314" w:rsidRDefault="004D2FC0" w:rsidP="00FC16A6">
            <w:pPr>
              <w:rPr>
                <w:rFonts w:cs="Arial"/>
                <w:b/>
                <w:sz w:val="20"/>
                <w:szCs w:val="20"/>
              </w:rPr>
            </w:pPr>
            <w:r w:rsidRPr="006D1314">
              <w:rPr>
                <w:rFonts w:cs="Arial"/>
                <w:b/>
                <w:sz w:val="20"/>
                <w:szCs w:val="20"/>
              </w:rPr>
              <w:t>Programme end date:</w:t>
            </w:r>
          </w:p>
          <w:p w14:paraId="7A133EFD" w14:textId="30D81C8F" w:rsidR="004D2FC0" w:rsidRPr="006D1314" w:rsidRDefault="004A22D1" w:rsidP="00FC16A6">
            <w:pPr>
              <w:rPr>
                <w:rFonts w:cs="Arial"/>
                <w:b/>
                <w:sz w:val="20"/>
                <w:szCs w:val="20"/>
              </w:rPr>
            </w:pPr>
            <w:r w:rsidRPr="006D1314">
              <w:rPr>
                <w:rFonts w:cs="Arial"/>
                <w:sz w:val="20"/>
                <w:szCs w:val="20"/>
              </w:rPr>
              <w:t>March 2031</w:t>
            </w:r>
          </w:p>
        </w:tc>
      </w:tr>
    </w:tbl>
    <w:p w14:paraId="44D21F6A" w14:textId="77777777" w:rsidR="004D2FC0" w:rsidRPr="003C5BF3" w:rsidRDefault="004D2FC0" w:rsidP="004D2FC0">
      <w:pPr>
        <w:rPr>
          <w:rFonts w:cs="Arial"/>
          <w:b/>
          <w:sz w:val="22"/>
          <w:szCs w:val="22"/>
        </w:rPr>
      </w:pPr>
    </w:p>
    <w:tbl>
      <w:tblPr>
        <w:tblStyle w:val="TableGrid"/>
        <w:tblW w:w="0" w:type="auto"/>
        <w:tblLook w:val="04A0" w:firstRow="1" w:lastRow="0" w:firstColumn="1" w:lastColumn="0" w:noHBand="0" w:noVBand="1"/>
      </w:tblPr>
      <w:tblGrid>
        <w:gridCol w:w="2265"/>
        <w:gridCol w:w="1194"/>
        <w:gridCol w:w="706"/>
        <w:gridCol w:w="823"/>
        <w:gridCol w:w="823"/>
        <w:gridCol w:w="822"/>
        <w:gridCol w:w="823"/>
        <w:gridCol w:w="823"/>
      </w:tblGrid>
      <w:tr w:rsidR="00D16131" w:rsidRPr="003C5BF3" w14:paraId="397F49F6" w14:textId="77777777" w:rsidTr="00D16131">
        <w:tc>
          <w:tcPr>
            <w:tcW w:w="226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C0C093D" w14:textId="77777777" w:rsidR="00D16131" w:rsidRPr="006D1314" w:rsidRDefault="00D16131" w:rsidP="00FC16A6">
            <w:pPr>
              <w:rPr>
                <w:rFonts w:cs="Arial"/>
                <w:b/>
                <w:bCs/>
                <w:sz w:val="20"/>
                <w:szCs w:val="20"/>
              </w:rPr>
            </w:pPr>
            <w:r w:rsidRPr="006D1314">
              <w:rPr>
                <w:rFonts w:cs="Arial"/>
                <w:b/>
                <w:bCs/>
                <w:sz w:val="20"/>
                <w:szCs w:val="20"/>
              </w:rPr>
              <w:t>Year</w:t>
            </w:r>
          </w:p>
        </w:tc>
        <w:tc>
          <w:tcPr>
            <w:tcW w:w="1194" w:type="dxa"/>
            <w:tcBorders>
              <w:top w:val="single" w:sz="4" w:space="0" w:color="auto"/>
              <w:left w:val="single" w:sz="4" w:space="0" w:color="auto"/>
              <w:bottom w:val="single" w:sz="4" w:space="0" w:color="auto"/>
              <w:right w:val="single" w:sz="4" w:space="0" w:color="auto"/>
            </w:tcBorders>
          </w:tcPr>
          <w:p w14:paraId="04CB39F0" w14:textId="5955A316" w:rsidR="00D16131" w:rsidRPr="006D1314" w:rsidRDefault="00D16131" w:rsidP="00FC16A6">
            <w:pPr>
              <w:rPr>
                <w:rFonts w:cs="Arial"/>
                <w:b/>
                <w:sz w:val="20"/>
                <w:szCs w:val="20"/>
              </w:rPr>
            </w:pPr>
            <w:r w:rsidRPr="006D1314">
              <w:rPr>
                <w:rFonts w:cs="Arial"/>
                <w:b/>
                <w:sz w:val="20"/>
                <w:szCs w:val="20"/>
              </w:rPr>
              <w:t>2025</w:t>
            </w:r>
          </w:p>
        </w:tc>
        <w:tc>
          <w:tcPr>
            <w:tcW w:w="706" w:type="dxa"/>
            <w:tcBorders>
              <w:top w:val="single" w:sz="4" w:space="0" w:color="auto"/>
              <w:left w:val="single" w:sz="4" w:space="0" w:color="auto"/>
              <w:bottom w:val="single" w:sz="4" w:space="0" w:color="auto"/>
              <w:right w:val="single" w:sz="4" w:space="0" w:color="auto"/>
            </w:tcBorders>
          </w:tcPr>
          <w:p w14:paraId="037A5853" w14:textId="1263A542" w:rsidR="00D16131" w:rsidRPr="006D1314" w:rsidRDefault="00D16131" w:rsidP="00FC16A6">
            <w:pPr>
              <w:rPr>
                <w:rFonts w:cs="Arial"/>
                <w:b/>
                <w:sz w:val="20"/>
                <w:szCs w:val="20"/>
              </w:rPr>
            </w:pPr>
            <w:r w:rsidRPr="006D1314">
              <w:rPr>
                <w:rFonts w:cs="Arial"/>
                <w:b/>
                <w:sz w:val="20"/>
                <w:szCs w:val="20"/>
              </w:rPr>
              <w:t>2026</w:t>
            </w:r>
          </w:p>
        </w:tc>
        <w:tc>
          <w:tcPr>
            <w:tcW w:w="823" w:type="dxa"/>
            <w:tcBorders>
              <w:top w:val="single" w:sz="4" w:space="0" w:color="auto"/>
              <w:left w:val="single" w:sz="4" w:space="0" w:color="auto"/>
              <w:bottom w:val="single" w:sz="4" w:space="0" w:color="auto"/>
              <w:right w:val="single" w:sz="4" w:space="0" w:color="auto"/>
            </w:tcBorders>
          </w:tcPr>
          <w:p w14:paraId="079B1B1B" w14:textId="659AB40A" w:rsidR="00D16131" w:rsidRPr="006D1314" w:rsidRDefault="00D16131" w:rsidP="00FC16A6">
            <w:pPr>
              <w:rPr>
                <w:rFonts w:cs="Arial"/>
                <w:b/>
                <w:sz w:val="20"/>
                <w:szCs w:val="20"/>
              </w:rPr>
            </w:pPr>
            <w:r w:rsidRPr="006D1314">
              <w:rPr>
                <w:rFonts w:cs="Arial"/>
                <w:b/>
                <w:sz w:val="20"/>
                <w:szCs w:val="20"/>
              </w:rPr>
              <w:t>2027</w:t>
            </w:r>
          </w:p>
        </w:tc>
        <w:tc>
          <w:tcPr>
            <w:tcW w:w="823" w:type="dxa"/>
            <w:tcBorders>
              <w:top w:val="single" w:sz="4" w:space="0" w:color="auto"/>
              <w:left w:val="single" w:sz="4" w:space="0" w:color="auto"/>
              <w:bottom w:val="single" w:sz="4" w:space="0" w:color="auto"/>
              <w:right w:val="single" w:sz="4" w:space="0" w:color="auto"/>
            </w:tcBorders>
          </w:tcPr>
          <w:p w14:paraId="646BA210" w14:textId="36DFF67C" w:rsidR="00D16131" w:rsidRPr="006D1314" w:rsidRDefault="00D16131" w:rsidP="00FC16A6">
            <w:pPr>
              <w:rPr>
                <w:rFonts w:cs="Arial"/>
                <w:b/>
                <w:sz w:val="20"/>
                <w:szCs w:val="20"/>
              </w:rPr>
            </w:pPr>
            <w:r w:rsidRPr="006D1314">
              <w:rPr>
                <w:rFonts w:cs="Arial"/>
                <w:b/>
                <w:sz w:val="20"/>
                <w:szCs w:val="20"/>
              </w:rPr>
              <w:t>2028</w:t>
            </w:r>
          </w:p>
        </w:tc>
        <w:tc>
          <w:tcPr>
            <w:tcW w:w="822" w:type="dxa"/>
            <w:tcBorders>
              <w:top w:val="single" w:sz="4" w:space="0" w:color="auto"/>
              <w:left w:val="single" w:sz="4" w:space="0" w:color="auto"/>
              <w:bottom w:val="single" w:sz="4" w:space="0" w:color="auto"/>
              <w:right w:val="single" w:sz="4" w:space="0" w:color="auto"/>
            </w:tcBorders>
          </w:tcPr>
          <w:p w14:paraId="1035360D" w14:textId="4F2F0F2B" w:rsidR="00D16131" w:rsidRPr="006D1314" w:rsidRDefault="00D16131" w:rsidP="00FC16A6">
            <w:pPr>
              <w:rPr>
                <w:rFonts w:cs="Arial"/>
                <w:b/>
                <w:sz w:val="20"/>
                <w:szCs w:val="20"/>
              </w:rPr>
            </w:pPr>
            <w:r w:rsidRPr="006D1314">
              <w:rPr>
                <w:rFonts w:cs="Arial"/>
                <w:b/>
                <w:sz w:val="20"/>
                <w:szCs w:val="20"/>
              </w:rPr>
              <w:t>2029</w:t>
            </w:r>
          </w:p>
        </w:tc>
        <w:tc>
          <w:tcPr>
            <w:tcW w:w="823" w:type="dxa"/>
            <w:tcBorders>
              <w:top w:val="single" w:sz="4" w:space="0" w:color="auto"/>
              <w:left w:val="single" w:sz="4" w:space="0" w:color="auto"/>
              <w:bottom w:val="single" w:sz="4" w:space="0" w:color="auto"/>
              <w:right w:val="single" w:sz="4" w:space="0" w:color="auto"/>
            </w:tcBorders>
          </w:tcPr>
          <w:p w14:paraId="64675C53" w14:textId="0A2DD2E0" w:rsidR="00D16131" w:rsidRPr="006D1314" w:rsidRDefault="00D16131" w:rsidP="00FC16A6">
            <w:pPr>
              <w:rPr>
                <w:rFonts w:cs="Arial"/>
                <w:b/>
                <w:sz w:val="20"/>
                <w:szCs w:val="20"/>
              </w:rPr>
            </w:pPr>
            <w:r w:rsidRPr="006D1314">
              <w:rPr>
                <w:rFonts w:cs="Arial"/>
                <w:b/>
                <w:sz w:val="20"/>
                <w:szCs w:val="20"/>
              </w:rPr>
              <w:t>2030</w:t>
            </w:r>
          </w:p>
        </w:tc>
        <w:tc>
          <w:tcPr>
            <w:tcW w:w="823" w:type="dxa"/>
            <w:tcBorders>
              <w:top w:val="single" w:sz="4" w:space="0" w:color="auto"/>
              <w:left w:val="single" w:sz="4" w:space="0" w:color="auto"/>
              <w:bottom w:val="single" w:sz="4" w:space="0" w:color="auto"/>
              <w:right w:val="single" w:sz="4" w:space="0" w:color="auto"/>
            </w:tcBorders>
          </w:tcPr>
          <w:p w14:paraId="6C4DC08E" w14:textId="3EEA798C" w:rsidR="00D16131" w:rsidRPr="006D1314" w:rsidRDefault="00D16131" w:rsidP="00FC16A6">
            <w:pPr>
              <w:rPr>
                <w:rFonts w:cs="Arial"/>
                <w:b/>
                <w:sz w:val="20"/>
                <w:szCs w:val="20"/>
              </w:rPr>
            </w:pPr>
            <w:r w:rsidRPr="006D1314">
              <w:rPr>
                <w:rFonts w:cs="Arial"/>
                <w:b/>
                <w:sz w:val="20"/>
                <w:szCs w:val="20"/>
              </w:rPr>
              <w:t>2031</w:t>
            </w:r>
          </w:p>
        </w:tc>
      </w:tr>
      <w:tr w:rsidR="00D16131" w:rsidRPr="003C5BF3" w14:paraId="461D6177" w14:textId="77777777" w:rsidTr="00D16131">
        <w:tc>
          <w:tcPr>
            <w:tcW w:w="226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3454618" w14:textId="77777777" w:rsidR="00D16131" w:rsidRPr="006D1314" w:rsidRDefault="00D16131" w:rsidP="00FC16A6">
            <w:pPr>
              <w:rPr>
                <w:rFonts w:cs="Arial"/>
                <w:b/>
                <w:bCs/>
                <w:sz w:val="20"/>
                <w:szCs w:val="20"/>
              </w:rPr>
            </w:pPr>
            <w:r w:rsidRPr="006D1314">
              <w:rPr>
                <w:rFonts w:cs="Arial"/>
                <w:b/>
                <w:bCs/>
                <w:sz w:val="20"/>
                <w:szCs w:val="20"/>
              </w:rPr>
              <w:t>Overall Output Score</w:t>
            </w:r>
          </w:p>
        </w:tc>
        <w:tc>
          <w:tcPr>
            <w:tcW w:w="1194" w:type="dxa"/>
            <w:tcBorders>
              <w:top w:val="single" w:sz="4" w:space="0" w:color="auto"/>
              <w:left w:val="single" w:sz="4" w:space="0" w:color="auto"/>
              <w:bottom w:val="single" w:sz="4" w:space="0" w:color="auto"/>
              <w:right w:val="single" w:sz="4" w:space="0" w:color="auto"/>
            </w:tcBorders>
          </w:tcPr>
          <w:p w14:paraId="739EFDDA" w14:textId="6F3D5C23" w:rsidR="00D16131" w:rsidRPr="006D1314" w:rsidRDefault="00D16131" w:rsidP="00FC16A6">
            <w:pPr>
              <w:rPr>
                <w:rFonts w:cs="Arial"/>
                <w:b/>
                <w:sz w:val="20"/>
                <w:szCs w:val="20"/>
              </w:rPr>
            </w:pPr>
            <w:r w:rsidRPr="006D1314">
              <w:rPr>
                <w:rFonts w:cs="Arial"/>
                <w:b/>
                <w:sz w:val="20"/>
                <w:szCs w:val="20"/>
              </w:rPr>
              <w:t xml:space="preserve">A </w:t>
            </w:r>
          </w:p>
        </w:tc>
        <w:tc>
          <w:tcPr>
            <w:tcW w:w="706" w:type="dxa"/>
            <w:tcBorders>
              <w:top w:val="single" w:sz="4" w:space="0" w:color="auto"/>
              <w:left w:val="single" w:sz="4" w:space="0" w:color="auto"/>
              <w:bottom w:val="single" w:sz="4" w:space="0" w:color="auto"/>
              <w:right w:val="single" w:sz="4" w:space="0" w:color="auto"/>
            </w:tcBorders>
          </w:tcPr>
          <w:p w14:paraId="357D8D0E" w14:textId="77777777" w:rsidR="00D16131" w:rsidRPr="006D1314" w:rsidRDefault="00D16131" w:rsidP="00FC16A6">
            <w:pPr>
              <w:rPr>
                <w:rFonts w:cs="Arial"/>
                <w:b/>
                <w:sz w:val="20"/>
                <w:szCs w:val="20"/>
              </w:rPr>
            </w:pPr>
          </w:p>
        </w:tc>
        <w:tc>
          <w:tcPr>
            <w:tcW w:w="823" w:type="dxa"/>
            <w:tcBorders>
              <w:top w:val="single" w:sz="4" w:space="0" w:color="auto"/>
              <w:left w:val="single" w:sz="4" w:space="0" w:color="auto"/>
              <w:bottom w:val="single" w:sz="4" w:space="0" w:color="auto"/>
              <w:right w:val="single" w:sz="4" w:space="0" w:color="auto"/>
            </w:tcBorders>
          </w:tcPr>
          <w:p w14:paraId="2C992B7A" w14:textId="77777777" w:rsidR="00D16131" w:rsidRPr="006D1314" w:rsidRDefault="00D16131" w:rsidP="00FC16A6">
            <w:pPr>
              <w:rPr>
                <w:rFonts w:cs="Arial"/>
                <w:b/>
                <w:sz w:val="20"/>
                <w:szCs w:val="20"/>
              </w:rPr>
            </w:pPr>
          </w:p>
        </w:tc>
        <w:tc>
          <w:tcPr>
            <w:tcW w:w="823" w:type="dxa"/>
            <w:tcBorders>
              <w:top w:val="single" w:sz="4" w:space="0" w:color="auto"/>
              <w:left w:val="single" w:sz="4" w:space="0" w:color="auto"/>
              <w:bottom w:val="single" w:sz="4" w:space="0" w:color="auto"/>
              <w:right w:val="single" w:sz="4" w:space="0" w:color="auto"/>
            </w:tcBorders>
          </w:tcPr>
          <w:p w14:paraId="0B25B58D" w14:textId="77777777" w:rsidR="00D16131" w:rsidRPr="006D1314" w:rsidRDefault="00D16131" w:rsidP="00FC16A6">
            <w:pPr>
              <w:rPr>
                <w:rFonts w:cs="Arial"/>
                <w:b/>
                <w:sz w:val="20"/>
                <w:szCs w:val="20"/>
              </w:rPr>
            </w:pPr>
          </w:p>
        </w:tc>
        <w:tc>
          <w:tcPr>
            <w:tcW w:w="822" w:type="dxa"/>
            <w:tcBorders>
              <w:top w:val="single" w:sz="4" w:space="0" w:color="auto"/>
              <w:left w:val="single" w:sz="4" w:space="0" w:color="auto"/>
              <w:bottom w:val="single" w:sz="4" w:space="0" w:color="auto"/>
              <w:right w:val="single" w:sz="4" w:space="0" w:color="auto"/>
            </w:tcBorders>
          </w:tcPr>
          <w:p w14:paraId="40B2879D" w14:textId="77777777" w:rsidR="00D16131" w:rsidRPr="006D1314" w:rsidRDefault="00D16131" w:rsidP="00FC16A6">
            <w:pPr>
              <w:rPr>
                <w:rFonts w:cs="Arial"/>
                <w:b/>
                <w:sz w:val="20"/>
                <w:szCs w:val="20"/>
              </w:rPr>
            </w:pPr>
          </w:p>
        </w:tc>
        <w:tc>
          <w:tcPr>
            <w:tcW w:w="823" w:type="dxa"/>
            <w:tcBorders>
              <w:top w:val="single" w:sz="4" w:space="0" w:color="auto"/>
              <w:left w:val="single" w:sz="4" w:space="0" w:color="auto"/>
              <w:bottom w:val="single" w:sz="4" w:space="0" w:color="auto"/>
              <w:right w:val="single" w:sz="4" w:space="0" w:color="auto"/>
            </w:tcBorders>
          </w:tcPr>
          <w:p w14:paraId="1C095E04" w14:textId="77777777" w:rsidR="00D16131" w:rsidRPr="006D1314" w:rsidRDefault="00D16131" w:rsidP="00FC16A6">
            <w:pPr>
              <w:rPr>
                <w:rFonts w:cs="Arial"/>
                <w:b/>
                <w:sz w:val="20"/>
                <w:szCs w:val="20"/>
              </w:rPr>
            </w:pPr>
          </w:p>
        </w:tc>
        <w:tc>
          <w:tcPr>
            <w:tcW w:w="823" w:type="dxa"/>
            <w:tcBorders>
              <w:top w:val="single" w:sz="4" w:space="0" w:color="auto"/>
              <w:left w:val="single" w:sz="4" w:space="0" w:color="auto"/>
              <w:bottom w:val="single" w:sz="4" w:space="0" w:color="auto"/>
              <w:right w:val="single" w:sz="4" w:space="0" w:color="auto"/>
            </w:tcBorders>
          </w:tcPr>
          <w:p w14:paraId="2E6879F9" w14:textId="77777777" w:rsidR="00D16131" w:rsidRPr="006D1314" w:rsidRDefault="00D16131" w:rsidP="00FC16A6">
            <w:pPr>
              <w:rPr>
                <w:rFonts w:cs="Arial"/>
                <w:b/>
                <w:sz w:val="20"/>
                <w:szCs w:val="20"/>
              </w:rPr>
            </w:pPr>
          </w:p>
        </w:tc>
      </w:tr>
      <w:tr w:rsidR="00D16131" w:rsidRPr="003C5BF3" w14:paraId="58491621" w14:textId="77777777" w:rsidTr="00D16131">
        <w:trPr>
          <w:trHeight w:val="309"/>
        </w:trPr>
        <w:tc>
          <w:tcPr>
            <w:tcW w:w="226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030DD62" w14:textId="77777777" w:rsidR="00D16131" w:rsidRPr="006D1314" w:rsidRDefault="00D16131" w:rsidP="00FC16A6">
            <w:pPr>
              <w:rPr>
                <w:rFonts w:cs="Arial"/>
                <w:b/>
                <w:bCs/>
                <w:sz w:val="20"/>
                <w:szCs w:val="20"/>
              </w:rPr>
            </w:pPr>
            <w:r w:rsidRPr="006D1314">
              <w:rPr>
                <w:rFonts w:cs="Arial"/>
                <w:b/>
                <w:bCs/>
                <w:sz w:val="20"/>
                <w:szCs w:val="20"/>
              </w:rPr>
              <w:t xml:space="preserve">Risk Rating </w:t>
            </w:r>
          </w:p>
        </w:tc>
        <w:tc>
          <w:tcPr>
            <w:tcW w:w="1194" w:type="dxa"/>
            <w:tcBorders>
              <w:top w:val="single" w:sz="4" w:space="0" w:color="auto"/>
              <w:left w:val="single" w:sz="4" w:space="0" w:color="auto"/>
              <w:bottom w:val="single" w:sz="4" w:space="0" w:color="auto"/>
              <w:right w:val="single" w:sz="4" w:space="0" w:color="auto"/>
            </w:tcBorders>
            <w:shd w:val="clear" w:color="auto" w:fill="FFC000"/>
          </w:tcPr>
          <w:p w14:paraId="1DA9D990" w14:textId="14727F0B" w:rsidR="00D16131" w:rsidRPr="006D1314" w:rsidRDefault="00D16131" w:rsidP="00FC16A6">
            <w:pPr>
              <w:rPr>
                <w:rFonts w:cs="Arial"/>
                <w:b/>
                <w:sz w:val="20"/>
                <w:szCs w:val="20"/>
              </w:rPr>
            </w:pPr>
            <w:r w:rsidRPr="006D1314">
              <w:rPr>
                <w:rFonts w:cs="Arial"/>
                <w:b/>
                <w:sz w:val="20"/>
                <w:szCs w:val="20"/>
              </w:rPr>
              <w:t>Moderate</w:t>
            </w:r>
          </w:p>
        </w:tc>
        <w:tc>
          <w:tcPr>
            <w:tcW w:w="706" w:type="dxa"/>
            <w:tcBorders>
              <w:top w:val="single" w:sz="4" w:space="0" w:color="auto"/>
              <w:left w:val="single" w:sz="4" w:space="0" w:color="auto"/>
              <w:bottom w:val="single" w:sz="4" w:space="0" w:color="auto"/>
              <w:right w:val="single" w:sz="4" w:space="0" w:color="auto"/>
            </w:tcBorders>
          </w:tcPr>
          <w:p w14:paraId="180C1E97" w14:textId="77777777" w:rsidR="00D16131" w:rsidRPr="006D1314" w:rsidRDefault="00D16131" w:rsidP="00FC16A6">
            <w:pPr>
              <w:rPr>
                <w:rFonts w:cs="Arial"/>
                <w:b/>
                <w:sz w:val="20"/>
                <w:szCs w:val="20"/>
              </w:rPr>
            </w:pPr>
          </w:p>
        </w:tc>
        <w:tc>
          <w:tcPr>
            <w:tcW w:w="823" w:type="dxa"/>
            <w:tcBorders>
              <w:top w:val="single" w:sz="4" w:space="0" w:color="auto"/>
              <w:left w:val="single" w:sz="4" w:space="0" w:color="auto"/>
              <w:bottom w:val="single" w:sz="4" w:space="0" w:color="auto"/>
              <w:right w:val="single" w:sz="4" w:space="0" w:color="auto"/>
            </w:tcBorders>
          </w:tcPr>
          <w:p w14:paraId="23FE3FF4" w14:textId="77777777" w:rsidR="00D16131" w:rsidRPr="006D1314" w:rsidRDefault="00D16131" w:rsidP="00FC16A6">
            <w:pPr>
              <w:rPr>
                <w:rFonts w:cs="Arial"/>
                <w:b/>
                <w:sz w:val="20"/>
                <w:szCs w:val="20"/>
              </w:rPr>
            </w:pPr>
          </w:p>
        </w:tc>
        <w:tc>
          <w:tcPr>
            <w:tcW w:w="823" w:type="dxa"/>
            <w:tcBorders>
              <w:top w:val="single" w:sz="4" w:space="0" w:color="auto"/>
              <w:left w:val="single" w:sz="4" w:space="0" w:color="auto"/>
              <w:bottom w:val="single" w:sz="4" w:space="0" w:color="auto"/>
              <w:right w:val="single" w:sz="4" w:space="0" w:color="auto"/>
            </w:tcBorders>
          </w:tcPr>
          <w:p w14:paraId="6BE836D9" w14:textId="77777777" w:rsidR="00D16131" w:rsidRPr="006D1314" w:rsidRDefault="00D16131" w:rsidP="00FC16A6">
            <w:pPr>
              <w:rPr>
                <w:rFonts w:cs="Arial"/>
                <w:b/>
                <w:sz w:val="20"/>
                <w:szCs w:val="20"/>
              </w:rPr>
            </w:pPr>
          </w:p>
        </w:tc>
        <w:tc>
          <w:tcPr>
            <w:tcW w:w="822" w:type="dxa"/>
            <w:tcBorders>
              <w:top w:val="single" w:sz="4" w:space="0" w:color="auto"/>
              <w:left w:val="single" w:sz="4" w:space="0" w:color="auto"/>
              <w:bottom w:val="single" w:sz="4" w:space="0" w:color="auto"/>
              <w:right w:val="single" w:sz="4" w:space="0" w:color="auto"/>
            </w:tcBorders>
          </w:tcPr>
          <w:p w14:paraId="468D2069" w14:textId="77777777" w:rsidR="00D16131" w:rsidRPr="006D1314" w:rsidRDefault="00D16131" w:rsidP="00FC16A6">
            <w:pPr>
              <w:rPr>
                <w:rFonts w:cs="Arial"/>
                <w:b/>
                <w:sz w:val="20"/>
                <w:szCs w:val="20"/>
              </w:rPr>
            </w:pPr>
          </w:p>
        </w:tc>
        <w:tc>
          <w:tcPr>
            <w:tcW w:w="823" w:type="dxa"/>
            <w:tcBorders>
              <w:top w:val="single" w:sz="4" w:space="0" w:color="auto"/>
              <w:left w:val="single" w:sz="4" w:space="0" w:color="auto"/>
              <w:bottom w:val="single" w:sz="4" w:space="0" w:color="auto"/>
              <w:right w:val="single" w:sz="4" w:space="0" w:color="auto"/>
            </w:tcBorders>
          </w:tcPr>
          <w:p w14:paraId="2F214678" w14:textId="77777777" w:rsidR="00D16131" w:rsidRPr="006D1314" w:rsidRDefault="00D16131" w:rsidP="00FC16A6">
            <w:pPr>
              <w:rPr>
                <w:rFonts w:cs="Arial"/>
                <w:b/>
                <w:sz w:val="20"/>
                <w:szCs w:val="20"/>
              </w:rPr>
            </w:pPr>
          </w:p>
        </w:tc>
        <w:tc>
          <w:tcPr>
            <w:tcW w:w="823" w:type="dxa"/>
            <w:tcBorders>
              <w:top w:val="single" w:sz="4" w:space="0" w:color="auto"/>
              <w:left w:val="single" w:sz="4" w:space="0" w:color="auto"/>
              <w:bottom w:val="single" w:sz="4" w:space="0" w:color="auto"/>
              <w:right w:val="single" w:sz="4" w:space="0" w:color="auto"/>
            </w:tcBorders>
          </w:tcPr>
          <w:p w14:paraId="2A9939C5" w14:textId="77777777" w:rsidR="00D16131" w:rsidRPr="006D1314" w:rsidRDefault="00D16131" w:rsidP="00FC16A6">
            <w:pPr>
              <w:rPr>
                <w:rFonts w:cs="Arial"/>
                <w:b/>
                <w:sz w:val="20"/>
                <w:szCs w:val="20"/>
              </w:rPr>
            </w:pPr>
          </w:p>
        </w:tc>
      </w:tr>
    </w:tbl>
    <w:p w14:paraId="06E2DA9D" w14:textId="77777777" w:rsidR="004D2FC0" w:rsidRPr="003C5BF3" w:rsidRDefault="004D2FC0" w:rsidP="004D2FC0">
      <w:pPr>
        <w:rPr>
          <w:rFonts w:cs="Arial"/>
          <w:b/>
          <w:sz w:val="22"/>
          <w:szCs w:val="22"/>
        </w:rPr>
      </w:pPr>
    </w:p>
    <w:tbl>
      <w:tblPr>
        <w:tblStyle w:val="TableGrid"/>
        <w:tblW w:w="0" w:type="auto"/>
        <w:tblInd w:w="-5" w:type="dxa"/>
        <w:tblLook w:val="04A0" w:firstRow="1" w:lastRow="0" w:firstColumn="1" w:lastColumn="0" w:noHBand="0" w:noVBand="1"/>
      </w:tblPr>
      <w:tblGrid>
        <w:gridCol w:w="3969"/>
        <w:gridCol w:w="5052"/>
      </w:tblGrid>
      <w:tr w:rsidR="00FC2BED" w:rsidRPr="003C5BF3" w14:paraId="4FEBD36E" w14:textId="77777777" w:rsidTr="00495286">
        <w:trPr>
          <w:trHeight w:val="355"/>
        </w:trPr>
        <w:tc>
          <w:tcPr>
            <w:tcW w:w="3969" w:type="dxa"/>
            <w:shd w:val="clear" w:color="auto" w:fill="DEEAF6" w:themeFill="accent5" w:themeFillTint="33"/>
            <w:hideMark/>
          </w:tcPr>
          <w:p w14:paraId="47E97EB8" w14:textId="77777777" w:rsidR="004D2FC0" w:rsidRPr="006D1314" w:rsidRDefault="004D2FC0" w:rsidP="00FC16A6">
            <w:pPr>
              <w:rPr>
                <w:rFonts w:cs="Arial"/>
                <w:b/>
                <w:sz w:val="20"/>
                <w:szCs w:val="20"/>
              </w:rPr>
            </w:pPr>
            <w:r w:rsidRPr="006D1314">
              <w:rPr>
                <w:rFonts w:cs="Arial"/>
                <w:b/>
                <w:sz w:val="20"/>
                <w:szCs w:val="20"/>
              </w:rPr>
              <w:t xml:space="preserve">Link to Business Case: </w:t>
            </w:r>
          </w:p>
        </w:tc>
        <w:tc>
          <w:tcPr>
            <w:tcW w:w="5052" w:type="dxa"/>
          </w:tcPr>
          <w:p w14:paraId="63AF2FD5" w14:textId="58A12B94" w:rsidR="004D2FC0" w:rsidRPr="006D1314" w:rsidRDefault="004D2FC0" w:rsidP="00FC16A6">
            <w:pPr>
              <w:rPr>
                <w:rFonts w:cs="Arial"/>
                <w:bCs/>
                <w:i/>
                <w:iCs/>
                <w:sz w:val="20"/>
                <w:szCs w:val="20"/>
              </w:rPr>
            </w:pPr>
            <w:hyperlink r:id="rId16" w:history="1">
              <w:r w:rsidRPr="006D1314">
                <w:rPr>
                  <w:rStyle w:val="Hyperlink"/>
                  <w:rFonts w:cs="Arial"/>
                  <w:bCs/>
                  <w:i/>
                  <w:iCs/>
                  <w:sz w:val="20"/>
                  <w:szCs w:val="20"/>
                  <w:lang w:eastAsia="en-US"/>
                </w:rPr>
                <w:t>Devtracker Link</w:t>
              </w:r>
            </w:hyperlink>
            <w:r w:rsidRPr="006D1314">
              <w:rPr>
                <w:rFonts w:cs="Arial"/>
                <w:bCs/>
                <w:i/>
                <w:iCs/>
                <w:sz w:val="20"/>
                <w:szCs w:val="20"/>
              </w:rPr>
              <w:t xml:space="preserve"> </w:t>
            </w:r>
          </w:p>
          <w:p w14:paraId="52CAFA29" w14:textId="77777777" w:rsidR="004D2FC0" w:rsidRPr="006D1314" w:rsidRDefault="004D2FC0" w:rsidP="00FC16A6">
            <w:pPr>
              <w:rPr>
                <w:rFonts w:cs="Arial"/>
                <w:bCs/>
                <w:i/>
                <w:iCs/>
                <w:sz w:val="20"/>
                <w:szCs w:val="20"/>
              </w:rPr>
            </w:pPr>
          </w:p>
        </w:tc>
      </w:tr>
      <w:tr w:rsidR="00FC2BED" w:rsidRPr="003C5BF3" w14:paraId="728A7692" w14:textId="77777777" w:rsidTr="00495286">
        <w:trPr>
          <w:trHeight w:val="403"/>
        </w:trPr>
        <w:tc>
          <w:tcPr>
            <w:tcW w:w="3969" w:type="dxa"/>
            <w:shd w:val="clear" w:color="auto" w:fill="DEEAF6" w:themeFill="accent5" w:themeFillTint="33"/>
            <w:hideMark/>
          </w:tcPr>
          <w:p w14:paraId="251B0951" w14:textId="730E4C5D" w:rsidR="004D2FC0" w:rsidRPr="006D1314" w:rsidRDefault="004D2FC0" w:rsidP="00FC16A6">
            <w:pPr>
              <w:rPr>
                <w:rFonts w:cs="Arial"/>
                <w:b/>
                <w:i/>
                <w:sz w:val="20"/>
                <w:szCs w:val="20"/>
              </w:rPr>
            </w:pPr>
            <w:r w:rsidRPr="006D1314">
              <w:rPr>
                <w:rFonts w:cs="Arial"/>
                <w:b/>
                <w:sz w:val="20"/>
                <w:szCs w:val="20"/>
              </w:rPr>
              <w:t xml:space="preserve">Link to </w:t>
            </w:r>
            <w:r w:rsidR="00A3148B">
              <w:rPr>
                <w:rFonts w:cs="Arial"/>
                <w:b/>
                <w:sz w:val="20"/>
                <w:szCs w:val="20"/>
              </w:rPr>
              <w:t>Logframe</w:t>
            </w:r>
            <w:r w:rsidRPr="006D1314">
              <w:rPr>
                <w:rFonts w:cs="Arial"/>
                <w:b/>
                <w:sz w:val="20"/>
                <w:szCs w:val="20"/>
              </w:rPr>
              <w:t xml:space="preserve">: </w:t>
            </w:r>
          </w:p>
        </w:tc>
        <w:tc>
          <w:tcPr>
            <w:tcW w:w="5052" w:type="dxa"/>
          </w:tcPr>
          <w:p w14:paraId="1941208D" w14:textId="0A80A975" w:rsidR="004D2FC0" w:rsidRPr="006D1314" w:rsidRDefault="00AF6116" w:rsidP="00FC16A6">
            <w:pPr>
              <w:rPr>
                <w:rFonts w:cs="Arial"/>
                <w:bCs/>
                <w:i/>
                <w:iCs/>
                <w:sz w:val="20"/>
                <w:szCs w:val="20"/>
              </w:rPr>
            </w:pPr>
            <w:hyperlink r:id="rId17" w:history="1">
              <w:r w:rsidRPr="006D1314">
                <w:rPr>
                  <w:rStyle w:val="Hyperlink"/>
                  <w:rFonts w:cs="Arial"/>
                  <w:bCs/>
                  <w:i/>
                  <w:iCs/>
                  <w:sz w:val="20"/>
                  <w:szCs w:val="20"/>
                  <w:lang w:eastAsia="en-US"/>
                </w:rPr>
                <w:t xml:space="preserve">NDC Partnership </w:t>
              </w:r>
              <w:r w:rsidR="00A3148B">
                <w:rPr>
                  <w:rStyle w:val="Hyperlink"/>
                  <w:rFonts w:cs="Arial"/>
                  <w:bCs/>
                  <w:i/>
                  <w:iCs/>
                  <w:sz w:val="20"/>
                  <w:szCs w:val="20"/>
                  <w:lang w:eastAsia="en-US"/>
                </w:rPr>
                <w:t>Logframe</w:t>
              </w:r>
            </w:hyperlink>
          </w:p>
        </w:tc>
      </w:tr>
      <w:tr w:rsidR="00FC2BED" w:rsidRPr="003C5BF3" w14:paraId="240D100A" w14:textId="77777777" w:rsidTr="00495286">
        <w:trPr>
          <w:trHeight w:val="403"/>
        </w:trPr>
        <w:tc>
          <w:tcPr>
            <w:tcW w:w="3969" w:type="dxa"/>
            <w:shd w:val="clear" w:color="auto" w:fill="DEEAF6" w:themeFill="accent5" w:themeFillTint="33"/>
          </w:tcPr>
          <w:p w14:paraId="44F3A577" w14:textId="77777777" w:rsidR="00E9041E" w:rsidRPr="006D1314" w:rsidRDefault="00E9041E" w:rsidP="00E9041E">
            <w:pPr>
              <w:rPr>
                <w:rFonts w:cs="Arial"/>
                <w:b/>
                <w:sz w:val="20"/>
                <w:szCs w:val="20"/>
              </w:rPr>
            </w:pPr>
            <w:r w:rsidRPr="006D1314">
              <w:rPr>
                <w:rFonts w:cs="Arial"/>
                <w:b/>
                <w:sz w:val="20"/>
                <w:szCs w:val="20"/>
              </w:rPr>
              <w:t xml:space="preserve">Link to previous Annual Review </w:t>
            </w:r>
            <w:r w:rsidRPr="006D1314">
              <w:rPr>
                <w:rFonts w:cs="Arial"/>
                <w:bCs/>
                <w:sz w:val="20"/>
                <w:szCs w:val="20"/>
              </w:rPr>
              <w:t>(if appropriate)</w:t>
            </w:r>
          </w:p>
        </w:tc>
        <w:tc>
          <w:tcPr>
            <w:tcW w:w="5052" w:type="dxa"/>
          </w:tcPr>
          <w:p w14:paraId="521FABC2" w14:textId="39C6AF2F" w:rsidR="00E9041E" w:rsidRPr="006D1314" w:rsidRDefault="00E9041E" w:rsidP="00E9041E">
            <w:pPr>
              <w:rPr>
                <w:rFonts w:cs="Arial"/>
                <w:bCs/>
                <w:i/>
                <w:iCs/>
                <w:sz w:val="20"/>
                <w:szCs w:val="20"/>
              </w:rPr>
            </w:pPr>
            <w:hyperlink r:id="rId18" w:history="1">
              <w:r w:rsidRPr="006D1314">
                <w:rPr>
                  <w:rStyle w:val="Hyperlink"/>
                  <w:rFonts w:cs="Arial"/>
                  <w:i/>
                  <w:iCs/>
                  <w:sz w:val="20"/>
                  <w:szCs w:val="20"/>
                  <w:lang w:eastAsia="en-US"/>
                </w:rPr>
                <w:t>Devtracker Link</w:t>
              </w:r>
            </w:hyperlink>
            <w:r w:rsidRPr="006D1314">
              <w:rPr>
                <w:rFonts w:cs="Arial"/>
                <w:i/>
                <w:iCs/>
                <w:sz w:val="20"/>
                <w:szCs w:val="20"/>
              </w:rPr>
              <w:t xml:space="preserve"> </w:t>
            </w:r>
          </w:p>
        </w:tc>
      </w:tr>
    </w:tbl>
    <w:p w14:paraId="5A54EF7F" w14:textId="77777777" w:rsidR="004D2FC0" w:rsidRPr="003C5BF3" w:rsidRDefault="004D2FC0" w:rsidP="006C516E"/>
    <w:p w14:paraId="6F9482AB" w14:textId="101CD0E0" w:rsidR="003D222C" w:rsidRPr="00D16131" w:rsidRDefault="003D222C" w:rsidP="004D5FD5">
      <w:pPr>
        <w:jc w:val="both"/>
      </w:pPr>
      <w:bookmarkStart w:id="2" w:name="_Toc199421654"/>
      <w:r w:rsidRPr="003C5BF3">
        <w:rPr>
          <w:rStyle w:val="Heading2Char"/>
        </w:rPr>
        <w:t>Description of programme</w:t>
      </w:r>
      <w:bookmarkEnd w:id="2"/>
      <w:r w:rsidRPr="003C5BF3">
        <w:t xml:space="preserve"> </w:t>
      </w:r>
    </w:p>
    <w:p w14:paraId="630330F2" w14:textId="77777777" w:rsidR="00916BB2" w:rsidRPr="003C5BF3" w:rsidRDefault="00916BB2" w:rsidP="00D71EA8">
      <w:pPr>
        <w:jc w:val="both"/>
        <w:rPr>
          <w:rFonts w:cs="Arial"/>
        </w:rPr>
      </w:pPr>
    </w:p>
    <w:p w14:paraId="42AE8BD2" w14:textId="0FE6CFEC" w:rsidR="00C73AF9" w:rsidRPr="00314AF5" w:rsidRDefault="00E57D0D" w:rsidP="00AD5116">
      <w:pPr>
        <w:ind w:firstLine="720"/>
        <w:rPr>
          <w:rFonts w:cs="Arial"/>
          <w:sz w:val="22"/>
          <w:szCs w:val="22"/>
        </w:rPr>
      </w:pPr>
      <w:r w:rsidRPr="00314AF5">
        <w:rPr>
          <w:rFonts w:cs="Arial"/>
          <w:b/>
          <w:bCs/>
          <w:noProof/>
          <w:sz w:val="22"/>
          <w:szCs w:val="22"/>
        </w:rPr>
        <mc:AlternateContent>
          <mc:Choice Requires="wps">
            <w:drawing>
              <wp:anchor distT="45720" distB="45720" distL="114300" distR="114300" simplePos="0" relativeHeight="251658240" behindDoc="0" locked="0" layoutInCell="1" allowOverlap="1" wp14:anchorId="40422C56" wp14:editId="19346E03">
                <wp:simplePos x="0" y="0"/>
                <wp:positionH relativeFrom="margin">
                  <wp:align>right</wp:align>
                </wp:positionH>
                <wp:positionV relativeFrom="paragraph">
                  <wp:posOffset>1212215</wp:posOffset>
                </wp:positionV>
                <wp:extent cx="571500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6695F8F" w14:textId="4D76F97D" w:rsidR="00C04D17" w:rsidRDefault="006F3D54">
                            <w:r w:rsidRPr="00333455">
                              <w:rPr>
                                <w:b/>
                                <w:bCs/>
                              </w:rPr>
                              <w:t xml:space="preserve">NDCs </w:t>
                            </w:r>
                            <w:r w:rsidR="00C04D17">
                              <w:t xml:space="preserve">are </w:t>
                            </w:r>
                            <w:r w:rsidR="00C04D17" w:rsidRPr="00C04D17">
                              <w:t xml:space="preserve">the primary accountability mechanism for </w:t>
                            </w:r>
                            <w:r w:rsidR="00A7794B">
                              <w:t xml:space="preserve">aligning </w:t>
                            </w:r>
                            <w:r w:rsidR="00206FF5">
                              <w:t>countries</w:t>
                            </w:r>
                            <w:r w:rsidR="00DF05D8">
                              <w:t>’</w:t>
                            </w:r>
                            <w:r w:rsidR="00C04D17" w:rsidRPr="00C04D17">
                              <w:t xml:space="preserve"> </w:t>
                            </w:r>
                            <w:r w:rsidR="006C2467">
                              <w:t>climate action with</w:t>
                            </w:r>
                            <w:r w:rsidR="00C04D17" w:rsidRPr="00C04D17">
                              <w:t xml:space="preserve"> the shared goals </w:t>
                            </w:r>
                            <w:r w:rsidR="006C2467">
                              <w:t>set</w:t>
                            </w:r>
                            <w:r w:rsidR="00C04D17" w:rsidRPr="00C04D17">
                              <w:t xml:space="preserve"> out in the Paris Agreement. </w:t>
                            </w:r>
                            <w:r w:rsidR="00206FF5">
                              <w:t xml:space="preserve">They </w:t>
                            </w:r>
                            <w:r w:rsidR="006C2467">
                              <w:t xml:space="preserve">communicate a countries’ emission </w:t>
                            </w:r>
                            <w:r w:rsidR="00320432">
                              <w:t>reduction targets, often sector-by-sector, a</w:t>
                            </w:r>
                            <w:r w:rsidR="00757407">
                              <w:t xml:space="preserve">s well as their </w:t>
                            </w:r>
                            <w:r w:rsidR="000D59B1">
                              <w:t xml:space="preserve">efforts </w:t>
                            </w:r>
                            <w:r w:rsidR="00320432">
                              <w:t xml:space="preserve">to build resilience to climate change. Countries submit NDCs to the </w:t>
                            </w:r>
                            <w:r w:rsidR="000F1E6C">
                              <w:t xml:space="preserve">United Nations Framework </w:t>
                            </w:r>
                            <w:r w:rsidR="00D303FF">
                              <w:t>Convention on Climate Change (</w:t>
                            </w:r>
                            <w:r w:rsidR="00320432">
                              <w:t>UNFCCC</w:t>
                            </w:r>
                            <w:r w:rsidR="00D303FF">
                              <w:t>)</w:t>
                            </w:r>
                            <w:r w:rsidR="00320432">
                              <w:t xml:space="preserve"> every 5 years</w:t>
                            </w:r>
                            <w:r w:rsidR="006E38C6">
                              <w:t xml:space="preserve">. This reporting cycle </w:t>
                            </w:r>
                            <w:r w:rsidR="00B015D2">
                              <w:t>marked the end of the 2020-2025 NDC cycle</w:t>
                            </w:r>
                            <w:r w:rsidR="000F1E6C">
                              <w:t xml:space="preserve">. </w:t>
                            </w:r>
                            <w:r w:rsidR="000D59B1">
                              <w:t>NDCs 3.0 set out countries</w:t>
                            </w:r>
                            <w:r w:rsidR="0043490E">
                              <w:t>’ emissions target and resilience efforts to 2035.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422C56" id="_x0000_t202" coordsize="21600,21600" o:spt="202" path="m,l,21600r21600,l21600,xe">
                <v:stroke joinstyle="miter"/>
                <v:path gradientshapeok="t" o:connecttype="rect"/>
              </v:shapetype>
              <v:shape id="Text Box 2" o:spid="_x0000_s1026" type="#_x0000_t202" style="position:absolute;left:0;text-align:left;margin-left:398.8pt;margin-top:95.45pt;width:450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">
                <v:textbox style="mso-fit-shape-to-text:t">
                  <w:txbxContent>
                    <w:p w14:paraId="36695F8F" w14:textId="4D76F97D" w:rsidR="00C04D17" w:rsidRDefault="006F3D54">
                      <w:r w:rsidRPr="00333455">
                        <w:rPr>
                          <w:b/>
                          <w:bCs/>
                        </w:rPr>
                        <w:t xml:space="preserve">NDCs </w:t>
                      </w:r>
                      <w:r w:rsidR="00C04D17">
                        <w:t xml:space="preserve">are </w:t>
                      </w:r>
                      <w:r w:rsidR="00C04D17" w:rsidRPr="00C04D17">
                        <w:t xml:space="preserve">the primary accountability mechanism for </w:t>
                      </w:r>
                      <w:r w:rsidR="00A7794B">
                        <w:t xml:space="preserve">aligning </w:t>
                      </w:r>
                      <w:r w:rsidR="00206FF5">
                        <w:t>countries</w:t>
                      </w:r>
                      <w:r w:rsidR="00DF05D8">
                        <w:t>’</w:t>
                      </w:r>
                      <w:r w:rsidR="00C04D17" w:rsidRPr="00C04D17">
                        <w:t xml:space="preserve"> </w:t>
                      </w:r>
                      <w:r w:rsidR="006C2467">
                        <w:t>climate action with</w:t>
                      </w:r>
                      <w:r w:rsidR="00C04D17" w:rsidRPr="00C04D17">
                        <w:t xml:space="preserve"> the shared goals </w:t>
                      </w:r>
                      <w:r w:rsidR="006C2467">
                        <w:t>set</w:t>
                      </w:r>
                      <w:r w:rsidR="00C04D17" w:rsidRPr="00C04D17">
                        <w:t xml:space="preserve"> out in the Paris Agreement. </w:t>
                      </w:r>
                      <w:r w:rsidR="00206FF5">
                        <w:t xml:space="preserve">They </w:t>
                      </w:r>
                      <w:r w:rsidR="006C2467">
                        <w:t xml:space="preserve">communicate a countries’ emission </w:t>
                      </w:r>
                      <w:r w:rsidR="00320432">
                        <w:t>reduction targets, often sector-by-sector, a</w:t>
                      </w:r>
                      <w:r w:rsidR="00757407">
                        <w:t xml:space="preserve">s well as their </w:t>
                      </w:r>
                      <w:r w:rsidR="000D59B1">
                        <w:t xml:space="preserve">efforts </w:t>
                      </w:r>
                      <w:r w:rsidR="00320432">
                        <w:t xml:space="preserve">to build resilience to climate change. Countries submit NDCs to the </w:t>
                      </w:r>
                      <w:r w:rsidR="000F1E6C">
                        <w:t xml:space="preserve">United Nations Framework </w:t>
                      </w:r>
                      <w:r w:rsidR="00D303FF">
                        <w:t>Convention on Climate Change (</w:t>
                      </w:r>
                      <w:r w:rsidR="00320432">
                        <w:t>UNFCCC</w:t>
                      </w:r>
                      <w:r w:rsidR="00D303FF">
                        <w:t>)</w:t>
                      </w:r>
                      <w:r w:rsidR="00320432">
                        <w:t xml:space="preserve"> every 5 years</w:t>
                      </w:r>
                      <w:r w:rsidR="006E38C6">
                        <w:t xml:space="preserve">. This reporting cycle </w:t>
                      </w:r>
                      <w:r w:rsidR="00B015D2">
                        <w:t>marked the end of the 2020-2025 NDC cycle</w:t>
                      </w:r>
                      <w:r w:rsidR="000F1E6C">
                        <w:t xml:space="preserve">. </w:t>
                      </w:r>
                      <w:r w:rsidR="000D59B1">
                        <w:t>NDCs 3.0 set out countries</w:t>
                      </w:r>
                      <w:r w:rsidR="0043490E">
                        <w:t>’ emissions target and resilience efforts to 2035.</w:t>
                      </w:r>
                    </w:p>
                  </w:txbxContent>
                </v:textbox>
                <w10:wrap type="square" anchorx="margin"/>
              </v:shape>
            </w:pict>
          </mc:Fallback>
        </mc:AlternateContent>
      </w:r>
      <w:r w:rsidR="00D71EA8" w:rsidRPr="00314AF5">
        <w:rPr>
          <w:rFonts w:cs="Arial"/>
          <w:sz w:val="22"/>
          <w:szCs w:val="22"/>
        </w:rPr>
        <w:t xml:space="preserve">The NDC (Nationally Determined Contributions) Partnership is a platform which brings together over 130 countries and 100 institutions. It was formed after the signing of the Paris Agreement, to help countries develop and implement their </w:t>
      </w:r>
      <w:r w:rsidR="00C73AF9" w:rsidRPr="00314AF5">
        <w:rPr>
          <w:rFonts w:cs="Arial"/>
          <w:sz w:val="22"/>
          <w:szCs w:val="22"/>
        </w:rPr>
        <w:t>NDCs</w:t>
      </w:r>
      <w:r w:rsidRPr="00314AF5">
        <w:rPr>
          <w:rFonts w:cs="Arial"/>
          <w:sz w:val="22"/>
          <w:szCs w:val="22"/>
        </w:rPr>
        <w:t>, including through improving access to finance.</w:t>
      </w:r>
    </w:p>
    <w:p w14:paraId="2FD74913" w14:textId="3D7E27AE" w:rsidR="00286F4C" w:rsidRPr="00314AF5" w:rsidRDefault="00286F4C" w:rsidP="006D1314">
      <w:pPr>
        <w:rPr>
          <w:rFonts w:cs="Arial"/>
          <w:sz w:val="22"/>
          <w:szCs w:val="22"/>
        </w:rPr>
      </w:pPr>
    </w:p>
    <w:p w14:paraId="585D0456" w14:textId="5698D5A3" w:rsidR="00D71EA8" w:rsidRPr="00314AF5" w:rsidRDefault="00286F4C" w:rsidP="00AD5116">
      <w:pPr>
        <w:ind w:firstLine="360"/>
        <w:rPr>
          <w:rFonts w:cs="Arial"/>
          <w:b/>
          <w:bCs/>
          <w:sz w:val="22"/>
          <w:szCs w:val="22"/>
        </w:rPr>
      </w:pPr>
      <w:r w:rsidRPr="00314AF5">
        <w:rPr>
          <w:rFonts w:cs="Arial"/>
          <w:sz w:val="22"/>
          <w:szCs w:val="22"/>
        </w:rPr>
        <w:t xml:space="preserve">Partnership members are supported by a central Support Unit (SU), jointly hosted by </w:t>
      </w:r>
      <w:r w:rsidR="00D71EA8" w:rsidRPr="00314AF5">
        <w:rPr>
          <w:rFonts w:cs="Arial"/>
          <w:sz w:val="22"/>
          <w:szCs w:val="22"/>
        </w:rPr>
        <w:t>the World Resource Institute (WRI), United Nations Office for Project Services (UNOPS), and</w:t>
      </w:r>
      <w:r w:rsidR="00EC4FD8" w:rsidRPr="00314AF5">
        <w:rPr>
          <w:rFonts w:cs="Arial"/>
          <w:sz w:val="22"/>
          <w:szCs w:val="22"/>
        </w:rPr>
        <w:t xml:space="preserve"> </w:t>
      </w:r>
      <w:r w:rsidR="00A66476" w:rsidRPr="00314AF5">
        <w:rPr>
          <w:rFonts w:cs="Arial"/>
          <w:sz w:val="22"/>
          <w:szCs w:val="22"/>
        </w:rPr>
        <w:t xml:space="preserve">the </w:t>
      </w:r>
      <w:r w:rsidR="00D71EA8" w:rsidRPr="00314AF5">
        <w:rPr>
          <w:rFonts w:cs="Arial"/>
          <w:sz w:val="22"/>
          <w:szCs w:val="22"/>
        </w:rPr>
        <w:t>UNFCCC. The Support Unit has two key functions: </w:t>
      </w:r>
      <w:r w:rsidR="00D71EA8" w:rsidRPr="00314AF5">
        <w:rPr>
          <w:rFonts w:cs="Arial"/>
          <w:b/>
          <w:bCs/>
          <w:sz w:val="22"/>
          <w:szCs w:val="22"/>
        </w:rPr>
        <w:t> </w:t>
      </w:r>
    </w:p>
    <w:p w14:paraId="0C8B3E6C" w14:textId="77777777" w:rsidR="000D49C6" w:rsidRPr="00314AF5" w:rsidRDefault="000D49C6" w:rsidP="006D1314">
      <w:pPr>
        <w:rPr>
          <w:rFonts w:cs="Arial"/>
          <w:b/>
          <w:bCs/>
          <w:sz w:val="22"/>
          <w:szCs w:val="22"/>
        </w:rPr>
      </w:pPr>
    </w:p>
    <w:p w14:paraId="717BCEBA" w14:textId="22870E01" w:rsidR="00D47C6B" w:rsidRPr="00314AF5" w:rsidRDefault="00D71EA8" w:rsidP="006D1314">
      <w:pPr>
        <w:numPr>
          <w:ilvl w:val="0"/>
          <w:numId w:val="29"/>
        </w:numPr>
        <w:rPr>
          <w:rFonts w:cs="Arial"/>
          <w:b/>
          <w:bCs/>
          <w:sz w:val="22"/>
          <w:szCs w:val="22"/>
        </w:rPr>
      </w:pPr>
      <w:r w:rsidRPr="00314AF5">
        <w:rPr>
          <w:rFonts w:cs="Arial"/>
          <w:sz w:val="22"/>
          <w:szCs w:val="22"/>
        </w:rPr>
        <w:t>To facilitate the matchmaking of developing country needs on NDC/climate planning development and implementation with funding and support provided by developed country members (e.g. the UK, Germany) and institutional members (e.g. the World Bank, the United Nations Development Programme). Often this includes support for developing comprehensive NDC implementation and investment plans, or the deployment of NDC Partnership facilitators and embedded advisors into developing country governments to build institutional capacity.  </w:t>
      </w:r>
      <w:r w:rsidRPr="00314AF5">
        <w:rPr>
          <w:rFonts w:cs="Arial"/>
          <w:b/>
          <w:bCs/>
          <w:sz w:val="22"/>
          <w:szCs w:val="22"/>
        </w:rPr>
        <w:t> </w:t>
      </w:r>
    </w:p>
    <w:p w14:paraId="3CA1E7AD" w14:textId="77777777" w:rsidR="00D47C6B" w:rsidRPr="00314AF5" w:rsidRDefault="00D47C6B" w:rsidP="00D47C6B">
      <w:pPr>
        <w:ind w:left="720"/>
        <w:jc w:val="both"/>
        <w:rPr>
          <w:rFonts w:cs="Arial"/>
          <w:b/>
          <w:bCs/>
          <w:sz w:val="22"/>
          <w:szCs w:val="22"/>
        </w:rPr>
      </w:pPr>
    </w:p>
    <w:p w14:paraId="52451854" w14:textId="288AD78C" w:rsidR="00D71EA8" w:rsidRPr="00314AF5" w:rsidRDefault="00D71EA8" w:rsidP="00EC4FD8">
      <w:pPr>
        <w:numPr>
          <w:ilvl w:val="0"/>
          <w:numId w:val="30"/>
        </w:numPr>
        <w:rPr>
          <w:rFonts w:cs="Arial"/>
          <w:b/>
          <w:bCs/>
          <w:sz w:val="22"/>
          <w:szCs w:val="22"/>
        </w:rPr>
      </w:pPr>
      <w:r w:rsidRPr="00314AF5">
        <w:rPr>
          <w:rFonts w:cs="Arial"/>
          <w:sz w:val="22"/>
          <w:szCs w:val="22"/>
        </w:rPr>
        <w:t>Knowledge and learning sharing across the membership. The Support Unit runs a global knowledge hub, providing quick and easy access to data on NDC gaps and trends, guidance, good practice, and funding opportunities.  </w:t>
      </w:r>
      <w:r w:rsidRPr="00314AF5">
        <w:rPr>
          <w:rFonts w:cs="Arial"/>
          <w:b/>
          <w:bCs/>
          <w:sz w:val="22"/>
          <w:szCs w:val="22"/>
        </w:rPr>
        <w:t> </w:t>
      </w:r>
    </w:p>
    <w:p w14:paraId="546D2626" w14:textId="77777777" w:rsidR="00D71EA8" w:rsidRPr="00314AF5" w:rsidRDefault="00D71EA8" w:rsidP="00D71EA8">
      <w:pPr>
        <w:ind w:left="720"/>
        <w:jc w:val="both"/>
        <w:rPr>
          <w:rFonts w:cs="Arial"/>
          <w:b/>
          <w:bCs/>
          <w:sz w:val="22"/>
          <w:szCs w:val="22"/>
        </w:rPr>
      </w:pPr>
    </w:p>
    <w:p w14:paraId="039CF2B4" w14:textId="0F879590" w:rsidR="00D71EA8" w:rsidRPr="00314AF5" w:rsidRDefault="00CA07CD" w:rsidP="00F21A4D">
      <w:pPr>
        <w:ind w:firstLine="360"/>
        <w:rPr>
          <w:rFonts w:cs="Arial"/>
          <w:b/>
          <w:bCs/>
          <w:sz w:val="22"/>
          <w:szCs w:val="22"/>
        </w:rPr>
      </w:pPr>
      <w:r w:rsidRPr="00314AF5">
        <w:rPr>
          <w:rFonts w:cs="Arial"/>
          <w:sz w:val="22"/>
          <w:szCs w:val="22"/>
        </w:rPr>
        <w:lastRenderedPageBreak/>
        <w:t xml:space="preserve">To </w:t>
      </w:r>
      <w:r w:rsidR="00F41E5D" w:rsidRPr="00314AF5">
        <w:rPr>
          <w:rFonts w:cs="Arial"/>
          <w:sz w:val="22"/>
          <w:szCs w:val="22"/>
        </w:rPr>
        <w:t>complement</w:t>
      </w:r>
      <w:r w:rsidRPr="00314AF5">
        <w:rPr>
          <w:rFonts w:cs="Arial"/>
          <w:sz w:val="22"/>
          <w:szCs w:val="22"/>
        </w:rPr>
        <w:t xml:space="preserve"> these functions at a country le</w:t>
      </w:r>
      <w:r w:rsidR="00205E9B" w:rsidRPr="00314AF5">
        <w:rPr>
          <w:rFonts w:cs="Arial"/>
          <w:sz w:val="22"/>
          <w:szCs w:val="22"/>
        </w:rPr>
        <w:t>vel</w:t>
      </w:r>
      <w:r w:rsidR="00D71EA8" w:rsidRPr="00314AF5">
        <w:rPr>
          <w:rFonts w:cs="Arial"/>
          <w:sz w:val="22"/>
          <w:szCs w:val="22"/>
        </w:rPr>
        <w:t>, the Support Unit manages a network of in-country NDC facilitators and embedded advisers, whose role is to directly enhance countries’ core capacity to articulate their NDC priorities and deliver their NDCs.  </w:t>
      </w:r>
      <w:r w:rsidR="00D71EA8" w:rsidRPr="00314AF5">
        <w:rPr>
          <w:rFonts w:cs="Arial"/>
          <w:b/>
          <w:bCs/>
          <w:sz w:val="22"/>
          <w:szCs w:val="22"/>
        </w:rPr>
        <w:t> </w:t>
      </w:r>
    </w:p>
    <w:p w14:paraId="50ED7735" w14:textId="77777777" w:rsidR="00672B0B" w:rsidRPr="003C5BF3" w:rsidRDefault="00672B0B" w:rsidP="00F21A4D">
      <w:pPr>
        <w:rPr>
          <w:rFonts w:cs="Arial"/>
        </w:rPr>
      </w:pPr>
    </w:p>
    <w:p w14:paraId="6A22EBD3" w14:textId="1BFBD6B0" w:rsidR="00736303" w:rsidRPr="00314AF5" w:rsidRDefault="00D71EA8" w:rsidP="00F21A4D">
      <w:pPr>
        <w:ind w:firstLine="360"/>
        <w:rPr>
          <w:rFonts w:cs="Arial"/>
          <w:sz w:val="22"/>
          <w:szCs w:val="22"/>
        </w:rPr>
      </w:pPr>
      <w:r w:rsidRPr="00314AF5">
        <w:rPr>
          <w:rFonts w:cs="Arial"/>
          <w:sz w:val="22"/>
          <w:szCs w:val="22"/>
        </w:rPr>
        <w:t xml:space="preserve">Although the NDC Partnership’s work supports countries to access support across the whole investment chain; its primary role within DESNZ ICF’s portfolio </w:t>
      </w:r>
      <w:r w:rsidR="002442E1" w:rsidRPr="00314AF5">
        <w:rPr>
          <w:rFonts w:cs="Arial"/>
          <w:sz w:val="22"/>
          <w:szCs w:val="22"/>
        </w:rPr>
        <w:t xml:space="preserve">for the past year has </w:t>
      </w:r>
      <w:r w:rsidR="00C341F0" w:rsidRPr="00314AF5">
        <w:rPr>
          <w:rFonts w:cs="Arial"/>
          <w:sz w:val="22"/>
          <w:szCs w:val="22"/>
        </w:rPr>
        <w:t>been to</w:t>
      </w:r>
      <w:r w:rsidRPr="00314AF5">
        <w:rPr>
          <w:rFonts w:cs="Arial"/>
          <w:sz w:val="22"/>
          <w:szCs w:val="22"/>
        </w:rPr>
        <w:t xml:space="preserve"> support </w:t>
      </w:r>
      <w:r w:rsidR="002442E1" w:rsidRPr="00314AF5">
        <w:rPr>
          <w:rFonts w:cs="Arial"/>
          <w:sz w:val="22"/>
          <w:szCs w:val="22"/>
        </w:rPr>
        <w:t xml:space="preserve">increasing </w:t>
      </w:r>
      <w:r w:rsidRPr="00314AF5">
        <w:rPr>
          <w:rFonts w:cs="Arial"/>
          <w:sz w:val="22"/>
          <w:szCs w:val="22"/>
        </w:rPr>
        <w:t>central government capability</w:t>
      </w:r>
      <w:r w:rsidR="002442E1" w:rsidRPr="00314AF5">
        <w:rPr>
          <w:rFonts w:cs="Arial"/>
          <w:sz w:val="22"/>
          <w:szCs w:val="22"/>
        </w:rPr>
        <w:t xml:space="preserve"> and helping to deliver on enhanced NDC 3.0. </w:t>
      </w:r>
      <w:r w:rsidRPr="00314AF5">
        <w:rPr>
          <w:rFonts w:cs="Arial"/>
          <w:sz w:val="22"/>
          <w:szCs w:val="22"/>
        </w:rPr>
        <w:t xml:space="preserve"> </w:t>
      </w:r>
    </w:p>
    <w:p w14:paraId="1E7C7A67" w14:textId="77777777" w:rsidR="00D71EA8" w:rsidRPr="00314AF5" w:rsidRDefault="00D71EA8" w:rsidP="00F21A4D">
      <w:pPr>
        <w:rPr>
          <w:rFonts w:cs="Arial"/>
          <w:b/>
          <w:bCs/>
          <w:sz w:val="22"/>
          <w:szCs w:val="22"/>
        </w:rPr>
      </w:pPr>
    </w:p>
    <w:p w14:paraId="6335DD4D" w14:textId="562315B4" w:rsidR="00D71EA8" w:rsidRPr="00314AF5" w:rsidRDefault="00D71EA8" w:rsidP="00F21A4D">
      <w:pPr>
        <w:ind w:firstLine="360"/>
        <w:rPr>
          <w:rFonts w:cs="Arial"/>
          <w:b/>
          <w:bCs/>
          <w:sz w:val="22"/>
          <w:szCs w:val="22"/>
        </w:rPr>
      </w:pPr>
      <w:r w:rsidRPr="00314AF5">
        <w:rPr>
          <w:rFonts w:cs="Arial"/>
          <w:sz w:val="22"/>
          <w:szCs w:val="22"/>
        </w:rPr>
        <w:t xml:space="preserve">The Partnership’s work is guided by </w:t>
      </w:r>
      <w:r w:rsidR="00BF2F89" w:rsidRPr="00314AF5">
        <w:rPr>
          <w:rFonts w:cs="Arial"/>
          <w:sz w:val="22"/>
          <w:szCs w:val="22"/>
        </w:rPr>
        <w:t>a</w:t>
      </w:r>
      <w:r w:rsidRPr="00314AF5">
        <w:rPr>
          <w:rFonts w:cs="Arial"/>
          <w:sz w:val="22"/>
          <w:szCs w:val="22"/>
        </w:rPr>
        <w:t xml:space="preserve"> five-year Work Programme (WP)</w:t>
      </w:r>
      <w:r w:rsidR="00C14A7F" w:rsidRPr="00314AF5">
        <w:rPr>
          <w:rFonts w:cs="Arial"/>
          <w:sz w:val="22"/>
          <w:szCs w:val="22"/>
        </w:rPr>
        <w:t xml:space="preserve">. </w:t>
      </w:r>
      <w:r w:rsidRPr="00314AF5">
        <w:rPr>
          <w:rFonts w:cs="Arial"/>
          <w:sz w:val="22"/>
          <w:szCs w:val="22"/>
        </w:rPr>
        <w:t>The SU acts as the Partnership’s secretariat</w:t>
      </w:r>
      <w:r w:rsidR="00BF2F89" w:rsidRPr="00314AF5">
        <w:rPr>
          <w:rFonts w:cs="Arial"/>
          <w:sz w:val="22"/>
          <w:szCs w:val="22"/>
        </w:rPr>
        <w:t>,</w:t>
      </w:r>
      <w:r w:rsidRPr="00314AF5">
        <w:rPr>
          <w:rFonts w:cs="Arial"/>
          <w:sz w:val="22"/>
          <w:szCs w:val="22"/>
        </w:rPr>
        <w:t xml:space="preserve"> </w:t>
      </w:r>
      <w:r w:rsidR="00BF2F89" w:rsidRPr="00314AF5">
        <w:rPr>
          <w:rFonts w:cs="Arial"/>
          <w:sz w:val="22"/>
          <w:szCs w:val="22"/>
        </w:rPr>
        <w:t>guiding</w:t>
      </w:r>
      <w:r w:rsidRPr="00314AF5">
        <w:rPr>
          <w:rFonts w:cs="Arial"/>
          <w:sz w:val="22"/>
          <w:szCs w:val="22"/>
        </w:rPr>
        <w:t xml:space="preserve"> and facilitat</w:t>
      </w:r>
      <w:r w:rsidR="00BF2F89" w:rsidRPr="00314AF5">
        <w:rPr>
          <w:rFonts w:cs="Arial"/>
          <w:sz w:val="22"/>
          <w:szCs w:val="22"/>
        </w:rPr>
        <w:t>ing</w:t>
      </w:r>
      <w:r w:rsidRPr="00314AF5">
        <w:rPr>
          <w:rFonts w:cs="Arial"/>
          <w:sz w:val="22"/>
          <w:szCs w:val="22"/>
        </w:rPr>
        <w:t xml:space="preserve"> the delivery of the WP.</w:t>
      </w:r>
      <w:r w:rsidR="007B3A0F">
        <w:rPr>
          <w:rFonts w:cs="Arial"/>
          <w:sz w:val="22"/>
          <w:szCs w:val="22"/>
        </w:rPr>
        <w:t xml:space="preserve"> </w:t>
      </w:r>
      <w:r w:rsidRPr="00314AF5">
        <w:rPr>
          <w:rFonts w:cs="Arial"/>
          <w:sz w:val="22"/>
          <w:szCs w:val="22"/>
        </w:rPr>
        <w:t xml:space="preserve">The WP is designed to coincide with the five-year Paris Agreement cycle and states the Partnership’s overall priorities and objectives for each cycle. </w:t>
      </w:r>
    </w:p>
    <w:p w14:paraId="69776ABF" w14:textId="33579271" w:rsidR="00D71EA8" w:rsidRPr="00314AF5" w:rsidRDefault="00D71EA8" w:rsidP="00D71EA8">
      <w:pPr>
        <w:ind w:left="720"/>
        <w:jc w:val="both"/>
        <w:rPr>
          <w:rFonts w:cs="Arial"/>
          <w:b/>
          <w:bCs/>
          <w:sz w:val="22"/>
          <w:szCs w:val="22"/>
        </w:rPr>
      </w:pPr>
    </w:p>
    <w:p w14:paraId="5F3D8DE4" w14:textId="480B31F7" w:rsidR="00D71EA8" w:rsidRPr="003C5BF3" w:rsidRDefault="00D71EA8" w:rsidP="00D71EA8">
      <w:pPr>
        <w:jc w:val="both"/>
        <w:rPr>
          <w:rFonts w:cs="Arial"/>
          <w:b/>
          <w:bCs/>
        </w:rPr>
      </w:pPr>
      <w:r w:rsidRPr="2B9D15CD">
        <w:rPr>
          <w:rFonts w:cs="Arial"/>
          <w:i/>
          <w:iCs/>
        </w:rPr>
        <w:t xml:space="preserve">UK’s membership to NDC Partnership and </w:t>
      </w:r>
      <w:r w:rsidR="56057A71" w:rsidRPr="2B9D15CD">
        <w:rPr>
          <w:rFonts w:cs="Arial"/>
          <w:i/>
          <w:iCs/>
        </w:rPr>
        <w:t xml:space="preserve">NDC </w:t>
      </w:r>
      <w:r w:rsidRPr="2B9D15CD">
        <w:rPr>
          <w:rFonts w:cs="Arial"/>
          <w:i/>
          <w:iCs/>
        </w:rPr>
        <w:t xml:space="preserve">support to </w:t>
      </w:r>
      <w:r w:rsidR="3C300A9D" w:rsidRPr="2B9D15CD">
        <w:rPr>
          <w:rFonts w:cs="Arial"/>
          <w:i/>
          <w:iCs/>
        </w:rPr>
        <w:t xml:space="preserve">developing </w:t>
      </w:r>
      <w:r w:rsidRPr="2B9D15CD">
        <w:rPr>
          <w:rFonts w:cs="Arial"/>
          <w:i/>
          <w:iCs/>
        </w:rPr>
        <w:t>countries:</w:t>
      </w:r>
      <w:r w:rsidRPr="2B9D15CD">
        <w:rPr>
          <w:rFonts w:cs="Arial"/>
          <w:b/>
          <w:bCs/>
        </w:rPr>
        <w:t> </w:t>
      </w:r>
    </w:p>
    <w:p w14:paraId="5AEBF9AE" w14:textId="77777777" w:rsidR="005E75D7" w:rsidRPr="003C5BF3" w:rsidRDefault="005E75D7" w:rsidP="00D71EA8">
      <w:pPr>
        <w:jc w:val="both"/>
        <w:rPr>
          <w:rFonts w:cs="Arial"/>
          <w:b/>
          <w:bCs/>
        </w:rPr>
      </w:pPr>
    </w:p>
    <w:p w14:paraId="36463E3D" w14:textId="77777777" w:rsidR="00DF6022" w:rsidRPr="007B3A0F" w:rsidRDefault="3CB29200" w:rsidP="00A65BFF">
      <w:pPr>
        <w:ind w:firstLine="360"/>
        <w:rPr>
          <w:rFonts w:cs="Arial"/>
          <w:sz w:val="22"/>
          <w:szCs w:val="22"/>
        </w:rPr>
      </w:pPr>
      <w:r w:rsidRPr="007B3A0F">
        <w:rPr>
          <w:rFonts w:cs="Arial"/>
          <w:sz w:val="22"/>
          <w:szCs w:val="22"/>
        </w:rPr>
        <w:t>The UK was an early member and has been a core donor to the Partnership since 2018. </w:t>
      </w:r>
      <w:r w:rsidR="6776B9C2" w:rsidRPr="007B3A0F">
        <w:rPr>
          <w:rFonts w:cs="Arial"/>
          <w:sz w:val="22"/>
          <w:szCs w:val="22"/>
        </w:rPr>
        <w:t>Currently its programme team leads on UK representation on the Partnership’s Steering Committee, programme management, governance and oversight of the elements outlined below.</w:t>
      </w:r>
      <w:r w:rsidR="6776B9C2" w:rsidRPr="007B3A0F">
        <w:rPr>
          <w:rFonts w:cs="Arial"/>
          <w:b/>
          <w:bCs/>
          <w:sz w:val="22"/>
          <w:szCs w:val="22"/>
        </w:rPr>
        <w:t> </w:t>
      </w:r>
      <w:r w:rsidRPr="007B3A0F">
        <w:rPr>
          <w:rFonts w:cs="Arial"/>
          <w:sz w:val="22"/>
          <w:szCs w:val="22"/>
        </w:rPr>
        <w:t>The UK was also Co-Chair of the Partnership’s Steering Committee from 2021 to 2023.</w:t>
      </w:r>
      <w:r w:rsidR="66CFED20" w:rsidRPr="007B3A0F">
        <w:rPr>
          <w:rFonts w:cs="Arial"/>
          <w:sz w:val="22"/>
          <w:szCs w:val="22"/>
        </w:rPr>
        <w:t xml:space="preserve"> </w:t>
      </w:r>
      <w:r w:rsidR="7FBE6B7E" w:rsidRPr="007B3A0F">
        <w:rPr>
          <w:rFonts w:cs="Arial"/>
          <w:sz w:val="22"/>
          <w:szCs w:val="22"/>
        </w:rPr>
        <w:t xml:space="preserve"> Between 2018 and 2024 the UK provided funding to a Technical Assistance Fund, the Support Unit and the Partnership Action Fund. </w:t>
      </w:r>
      <w:r w:rsidR="66CFED20" w:rsidRPr="007B3A0F">
        <w:rPr>
          <w:rFonts w:cs="Arial"/>
          <w:sz w:val="22"/>
          <w:szCs w:val="22"/>
        </w:rPr>
        <w:t xml:space="preserve">During </w:t>
      </w:r>
      <w:r w:rsidR="324FE89F" w:rsidRPr="007B3A0F">
        <w:rPr>
          <w:rFonts w:cs="Arial"/>
          <w:sz w:val="22"/>
          <w:szCs w:val="22"/>
        </w:rPr>
        <w:t>our co-</w:t>
      </w:r>
      <w:r w:rsidR="03BD1948" w:rsidRPr="007B3A0F">
        <w:rPr>
          <w:rFonts w:cs="Arial"/>
          <w:sz w:val="22"/>
          <w:szCs w:val="22"/>
        </w:rPr>
        <w:t>c</w:t>
      </w:r>
      <w:r w:rsidR="324FE89F" w:rsidRPr="007B3A0F">
        <w:rPr>
          <w:rFonts w:cs="Arial"/>
          <w:sz w:val="22"/>
          <w:szCs w:val="22"/>
        </w:rPr>
        <w:t>hairship, we utilized that role to learn from Steering Committee members</w:t>
      </w:r>
      <w:r w:rsidRPr="007B3A0F">
        <w:rPr>
          <w:rFonts w:cs="Arial"/>
          <w:sz w:val="22"/>
          <w:szCs w:val="22"/>
        </w:rPr>
        <w:t xml:space="preserve"> </w:t>
      </w:r>
      <w:r w:rsidR="324FE89F" w:rsidRPr="007B3A0F">
        <w:rPr>
          <w:rFonts w:cs="Arial"/>
          <w:sz w:val="22"/>
          <w:szCs w:val="22"/>
        </w:rPr>
        <w:t xml:space="preserve">of what </w:t>
      </w:r>
      <w:r w:rsidR="78513C6C" w:rsidRPr="007B3A0F">
        <w:rPr>
          <w:rFonts w:cs="Arial"/>
          <w:sz w:val="22"/>
          <w:szCs w:val="22"/>
        </w:rPr>
        <w:t xml:space="preserve">were </w:t>
      </w:r>
      <w:r w:rsidR="324FE89F" w:rsidRPr="007B3A0F">
        <w:rPr>
          <w:rFonts w:cs="Arial"/>
          <w:sz w:val="22"/>
          <w:szCs w:val="22"/>
        </w:rPr>
        <w:t>the most effective ways of providing support</w:t>
      </w:r>
      <w:r w:rsidR="70B63C71" w:rsidRPr="007B3A0F">
        <w:rPr>
          <w:rFonts w:cs="Arial"/>
          <w:sz w:val="22"/>
          <w:szCs w:val="22"/>
        </w:rPr>
        <w:t xml:space="preserve"> and evaluating what could be improved from the previous Business Case. </w:t>
      </w:r>
    </w:p>
    <w:p w14:paraId="6E3DE19B" w14:textId="77777777" w:rsidR="00DF6022" w:rsidRPr="007B3A0F" w:rsidRDefault="00DF6022" w:rsidP="00A65BFF">
      <w:pPr>
        <w:ind w:firstLine="360"/>
        <w:rPr>
          <w:rFonts w:cs="Arial"/>
          <w:sz w:val="22"/>
          <w:szCs w:val="22"/>
        </w:rPr>
      </w:pPr>
    </w:p>
    <w:p w14:paraId="346A94D5" w14:textId="3FCE73D1" w:rsidR="00D71EA8" w:rsidRPr="007B3A0F" w:rsidRDefault="4B30C019" w:rsidP="00A65BFF">
      <w:pPr>
        <w:ind w:firstLine="360"/>
        <w:rPr>
          <w:rFonts w:cs="Arial"/>
          <w:sz w:val="22"/>
          <w:szCs w:val="22"/>
        </w:rPr>
      </w:pPr>
      <w:r w:rsidRPr="007B3A0F">
        <w:rPr>
          <w:rFonts w:cs="Arial"/>
          <w:sz w:val="22"/>
          <w:szCs w:val="22"/>
        </w:rPr>
        <w:t xml:space="preserve"> Through this process, we established that the best way of supporting </w:t>
      </w:r>
      <w:r w:rsidR="5CFF835E" w:rsidRPr="007B3A0F">
        <w:rPr>
          <w:rFonts w:cs="Arial"/>
          <w:sz w:val="22"/>
          <w:szCs w:val="22"/>
        </w:rPr>
        <w:t xml:space="preserve">developing countries through </w:t>
      </w:r>
      <w:r w:rsidRPr="007B3A0F">
        <w:rPr>
          <w:rFonts w:cs="Arial"/>
          <w:sz w:val="22"/>
          <w:szCs w:val="22"/>
        </w:rPr>
        <w:t>the Partnership would be to have a multi-element approach</w:t>
      </w:r>
      <w:r w:rsidR="004E4003" w:rsidRPr="007B3A0F">
        <w:rPr>
          <w:rFonts w:cs="Arial"/>
          <w:sz w:val="22"/>
          <w:szCs w:val="22"/>
        </w:rPr>
        <w:t xml:space="preserve">. </w:t>
      </w:r>
      <w:r w:rsidR="00796521" w:rsidRPr="007B3A0F">
        <w:rPr>
          <w:rFonts w:cs="Arial"/>
          <w:sz w:val="22"/>
          <w:szCs w:val="22"/>
        </w:rPr>
        <w:t xml:space="preserve">This informed the design of </w:t>
      </w:r>
      <w:r w:rsidR="41942542" w:rsidRPr="007B3A0F">
        <w:rPr>
          <w:rFonts w:cs="Arial"/>
          <w:sz w:val="22"/>
          <w:szCs w:val="22"/>
        </w:rPr>
        <w:t xml:space="preserve">the </w:t>
      </w:r>
      <w:r w:rsidR="00796521" w:rsidRPr="007B3A0F">
        <w:rPr>
          <w:rFonts w:cs="Arial"/>
          <w:sz w:val="22"/>
          <w:szCs w:val="22"/>
        </w:rPr>
        <w:t>2024-2031</w:t>
      </w:r>
      <w:r w:rsidR="41942542" w:rsidRPr="007B3A0F">
        <w:rPr>
          <w:rFonts w:cs="Arial"/>
          <w:sz w:val="22"/>
          <w:szCs w:val="22"/>
        </w:rPr>
        <w:t xml:space="preserve"> Business Case</w:t>
      </w:r>
      <w:r w:rsidR="00796521" w:rsidRPr="007B3A0F">
        <w:rPr>
          <w:rFonts w:cs="Arial"/>
          <w:sz w:val="22"/>
          <w:szCs w:val="22"/>
        </w:rPr>
        <w:t>.</w:t>
      </w:r>
      <w:r w:rsidR="2ED11A68" w:rsidRPr="007B3A0F">
        <w:rPr>
          <w:rFonts w:cs="Arial"/>
          <w:sz w:val="22"/>
          <w:szCs w:val="22"/>
        </w:rPr>
        <w:t xml:space="preserve"> </w:t>
      </w:r>
      <w:r w:rsidR="00D605BE" w:rsidRPr="007B3A0F">
        <w:rPr>
          <w:rFonts w:cs="Arial"/>
          <w:sz w:val="22"/>
          <w:szCs w:val="22"/>
        </w:rPr>
        <w:t>T</w:t>
      </w:r>
      <w:r w:rsidR="2ED11A68" w:rsidRPr="007B3A0F">
        <w:rPr>
          <w:rFonts w:cs="Arial"/>
          <w:sz w:val="22"/>
          <w:szCs w:val="22"/>
        </w:rPr>
        <w:t xml:space="preserve">his is the first year of delivery under this </w:t>
      </w:r>
      <w:r w:rsidR="00D605BE" w:rsidRPr="007B3A0F">
        <w:rPr>
          <w:rFonts w:cs="Arial"/>
          <w:sz w:val="22"/>
          <w:szCs w:val="22"/>
        </w:rPr>
        <w:t>Business Case</w:t>
      </w:r>
      <w:r w:rsidR="00AF1B13" w:rsidRPr="007B3A0F">
        <w:rPr>
          <w:rFonts w:cs="Arial"/>
          <w:sz w:val="22"/>
          <w:szCs w:val="22"/>
        </w:rPr>
        <w:t xml:space="preserve">, with </w:t>
      </w:r>
      <w:r w:rsidR="005532CE" w:rsidRPr="007B3A0F">
        <w:rPr>
          <w:rFonts w:cs="Arial"/>
          <w:sz w:val="22"/>
          <w:szCs w:val="22"/>
        </w:rPr>
        <w:t xml:space="preserve">delivery </w:t>
      </w:r>
      <w:r w:rsidR="00DA679D" w:rsidRPr="007B3A0F">
        <w:rPr>
          <w:rFonts w:cs="Arial"/>
          <w:sz w:val="22"/>
          <w:szCs w:val="22"/>
        </w:rPr>
        <w:t>taking place across 4 elements:</w:t>
      </w:r>
      <w:r w:rsidR="00D605BE" w:rsidRPr="007B3A0F">
        <w:rPr>
          <w:rFonts w:cs="Arial"/>
          <w:sz w:val="22"/>
          <w:szCs w:val="22"/>
        </w:rPr>
        <w:t xml:space="preserve"> </w:t>
      </w:r>
    </w:p>
    <w:p w14:paraId="6FF223E0" w14:textId="77777777" w:rsidR="00DF6022" w:rsidRPr="007B3A0F" w:rsidRDefault="00DF6022" w:rsidP="00A65BFF">
      <w:pPr>
        <w:ind w:firstLine="360"/>
        <w:rPr>
          <w:rFonts w:cs="Arial"/>
          <w:sz w:val="22"/>
          <w:szCs w:val="22"/>
        </w:rPr>
      </w:pPr>
    </w:p>
    <w:p w14:paraId="37C1F8A0" w14:textId="2F14389F" w:rsidR="00D71EA8" w:rsidRPr="007B3A0F" w:rsidRDefault="00D71EA8" w:rsidP="007966EF">
      <w:pPr>
        <w:pStyle w:val="ListParagraph"/>
        <w:numPr>
          <w:ilvl w:val="0"/>
          <w:numId w:val="38"/>
        </w:numPr>
        <w:rPr>
          <w:rFonts w:cs="Arial"/>
          <w:b/>
          <w:bCs/>
          <w:sz w:val="22"/>
          <w:szCs w:val="22"/>
        </w:rPr>
      </w:pPr>
      <w:r w:rsidRPr="007B3A0F">
        <w:rPr>
          <w:rFonts w:cs="Arial"/>
          <w:sz w:val="22"/>
          <w:szCs w:val="22"/>
        </w:rPr>
        <w:t>A financial contribution</w:t>
      </w:r>
      <w:r w:rsidR="00607BFD" w:rsidRPr="007B3A0F">
        <w:rPr>
          <w:rFonts w:cs="Arial"/>
          <w:sz w:val="22"/>
          <w:szCs w:val="22"/>
        </w:rPr>
        <w:t xml:space="preserve"> </w:t>
      </w:r>
      <w:r w:rsidR="00073933" w:rsidRPr="007B3A0F">
        <w:rPr>
          <w:rFonts w:cs="Arial"/>
          <w:sz w:val="22"/>
          <w:szCs w:val="22"/>
        </w:rPr>
        <w:t>(£2,400,000)</w:t>
      </w:r>
      <w:r w:rsidRPr="007B3A0F">
        <w:rPr>
          <w:rFonts w:cs="Arial"/>
          <w:sz w:val="22"/>
          <w:szCs w:val="22"/>
        </w:rPr>
        <w:t xml:space="preserve"> to the Partnership’s Support Unit, which delivers the coordination of the NDC Partnership’s successful model of collective climate action. The UK provides funding to WRI as co-host of the SU under this element.</w:t>
      </w:r>
      <w:r w:rsidR="00DA679D" w:rsidRPr="007B3A0F">
        <w:rPr>
          <w:rFonts w:cs="Arial"/>
          <w:sz w:val="22"/>
          <w:szCs w:val="22"/>
        </w:rPr>
        <w:t xml:space="preserve"> Other hosts </w:t>
      </w:r>
      <w:r w:rsidR="001102F3" w:rsidRPr="007B3A0F">
        <w:rPr>
          <w:rFonts w:cs="Arial"/>
          <w:sz w:val="22"/>
          <w:szCs w:val="22"/>
        </w:rPr>
        <w:t>are funded by other donors. The UK’s contribution account</w:t>
      </w:r>
      <w:r w:rsidR="0003278E" w:rsidRPr="007B3A0F">
        <w:rPr>
          <w:rFonts w:cs="Arial"/>
          <w:sz w:val="22"/>
          <w:szCs w:val="22"/>
        </w:rPr>
        <w:t xml:space="preserve">ed for </w:t>
      </w:r>
      <w:r w:rsidR="00607BFD" w:rsidRPr="007B3A0F">
        <w:rPr>
          <w:rFonts w:cs="Arial"/>
          <w:sz w:val="22"/>
          <w:szCs w:val="22"/>
        </w:rPr>
        <w:t>29.7</w:t>
      </w:r>
      <w:r w:rsidR="0003278E" w:rsidRPr="007B3A0F">
        <w:rPr>
          <w:rFonts w:cs="Arial"/>
          <w:sz w:val="22"/>
          <w:szCs w:val="22"/>
        </w:rPr>
        <w:t>% of SU core funding in FY24/25.</w:t>
      </w:r>
      <w:r w:rsidRPr="007B3A0F">
        <w:rPr>
          <w:rFonts w:cs="Arial"/>
          <w:sz w:val="22"/>
          <w:szCs w:val="22"/>
        </w:rPr>
        <w:t>  </w:t>
      </w:r>
      <w:r w:rsidRPr="007B3A0F">
        <w:rPr>
          <w:rFonts w:cs="Arial"/>
          <w:b/>
          <w:bCs/>
          <w:sz w:val="22"/>
          <w:szCs w:val="22"/>
        </w:rPr>
        <w:t> </w:t>
      </w:r>
    </w:p>
    <w:p w14:paraId="287A1F1B" w14:textId="77777777" w:rsidR="00DF6022" w:rsidRPr="007B3A0F" w:rsidRDefault="00DF6022" w:rsidP="00DF6022">
      <w:pPr>
        <w:pStyle w:val="ListParagraph"/>
        <w:rPr>
          <w:rFonts w:cs="Arial"/>
          <w:b/>
          <w:bCs/>
          <w:sz w:val="22"/>
          <w:szCs w:val="22"/>
        </w:rPr>
      </w:pPr>
    </w:p>
    <w:p w14:paraId="34BF9446" w14:textId="52FD99CD" w:rsidR="00DF6022" w:rsidRPr="007B3A0F" w:rsidRDefault="00184EF9" w:rsidP="00DF6022">
      <w:pPr>
        <w:pStyle w:val="ListParagraph"/>
        <w:numPr>
          <w:ilvl w:val="0"/>
          <w:numId w:val="38"/>
        </w:numPr>
        <w:rPr>
          <w:rFonts w:cs="Arial"/>
          <w:b/>
          <w:bCs/>
          <w:sz w:val="22"/>
          <w:szCs w:val="22"/>
        </w:rPr>
      </w:pPr>
      <w:r w:rsidRPr="007B3A0F">
        <w:rPr>
          <w:rFonts w:cs="Arial"/>
          <w:sz w:val="22"/>
          <w:szCs w:val="22"/>
        </w:rPr>
        <w:t xml:space="preserve">We laid a Promissory Note in the value of </w:t>
      </w:r>
      <w:r w:rsidR="00073933" w:rsidRPr="007B3A0F">
        <w:rPr>
          <w:rFonts w:cs="Arial"/>
          <w:sz w:val="22"/>
          <w:szCs w:val="22"/>
        </w:rPr>
        <w:t>£1,100,000</w:t>
      </w:r>
      <w:r w:rsidR="00D71EA8" w:rsidRPr="007B3A0F">
        <w:rPr>
          <w:rFonts w:cs="Arial"/>
          <w:sz w:val="22"/>
          <w:szCs w:val="22"/>
        </w:rPr>
        <w:t xml:space="preserve"> for a bilateral Country Engagement Fund (CEF), managed by the Support Unit (as UNOPS) on behalf of the UK, to fund a network of in-country NDC facilitators and embedded advisers to strengthen governments’ capacity to implement their NDCs.   </w:t>
      </w:r>
    </w:p>
    <w:p w14:paraId="68BF0642" w14:textId="77777777" w:rsidR="00DF6022" w:rsidRPr="007B3A0F" w:rsidRDefault="00DF6022" w:rsidP="00DF6022">
      <w:pPr>
        <w:pStyle w:val="ListParagraph"/>
        <w:rPr>
          <w:rFonts w:cs="Arial"/>
          <w:b/>
          <w:bCs/>
          <w:sz w:val="22"/>
          <w:szCs w:val="22"/>
        </w:rPr>
      </w:pPr>
    </w:p>
    <w:p w14:paraId="7E96581B" w14:textId="77777777" w:rsidR="00DF6022" w:rsidRPr="007B3A0F" w:rsidRDefault="00DF6022" w:rsidP="00DF6022">
      <w:pPr>
        <w:pStyle w:val="ListParagraph"/>
        <w:rPr>
          <w:rFonts w:cs="Arial"/>
          <w:b/>
          <w:bCs/>
          <w:sz w:val="22"/>
          <w:szCs w:val="22"/>
        </w:rPr>
      </w:pPr>
    </w:p>
    <w:p w14:paraId="7A2C9E0F" w14:textId="3744D734" w:rsidR="009F56B8" w:rsidRPr="007B3A0F" w:rsidRDefault="00D71EA8" w:rsidP="007966EF">
      <w:pPr>
        <w:pStyle w:val="ListParagraph"/>
        <w:numPr>
          <w:ilvl w:val="0"/>
          <w:numId w:val="38"/>
        </w:numPr>
        <w:rPr>
          <w:rFonts w:cs="Arial"/>
          <w:b/>
          <w:bCs/>
          <w:sz w:val="22"/>
          <w:szCs w:val="22"/>
        </w:rPr>
      </w:pPr>
      <w:r w:rsidRPr="007B3A0F">
        <w:rPr>
          <w:rFonts w:cs="Arial"/>
          <w:sz w:val="22"/>
          <w:szCs w:val="22"/>
        </w:rPr>
        <w:t xml:space="preserve">Contributions to Institutional member initiatives that are working to deliver support for developing country members’ NDC planning and delivery. For </w:t>
      </w:r>
      <w:r w:rsidR="00DF6022" w:rsidRPr="007B3A0F">
        <w:rPr>
          <w:rFonts w:cs="Arial"/>
          <w:sz w:val="22"/>
          <w:szCs w:val="22"/>
        </w:rPr>
        <w:t xml:space="preserve">financial year </w:t>
      </w:r>
      <w:r w:rsidRPr="007B3A0F">
        <w:rPr>
          <w:rFonts w:cs="Arial"/>
          <w:sz w:val="22"/>
          <w:szCs w:val="22"/>
        </w:rPr>
        <w:t xml:space="preserve">24-25, this has included </w:t>
      </w:r>
      <w:r w:rsidR="00C35E79" w:rsidRPr="007B3A0F">
        <w:rPr>
          <w:rFonts w:cs="Arial"/>
          <w:sz w:val="22"/>
          <w:szCs w:val="22"/>
        </w:rPr>
        <w:t xml:space="preserve">laying a Promissory </w:t>
      </w:r>
      <w:r w:rsidR="00E8091E" w:rsidRPr="007B3A0F">
        <w:rPr>
          <w:rFonts w:cs="Arial"/>
          <w:sz w:val="22"/>
          <w:szCs w:val="22"/>
        </w:rPr>
        <w:t>Note valued</w:t>
      </w:r>
      <w:r w:rsidR="00C35E79" w:rsidRPr="007B3A0F">
        <w:rPr>
          <w:rFonts w:cs="Arial"/>
          <w:sz w:val="22"/>
          <w:szCs w:val="22"/>
        </w:rPr>
        <w:t xml:space="preserve"> </w:t>
      </w:r>
      <w:r w:rsidR="00CB0FF8" w:rsidRPr="007B3A0F">
        <w:rPr>
          <w:rFonts w:cs="Arial"/>
          <w:sz w:val="22"/>
          <w:szCs w:val="22"/>
        </w:rPr>
        <w:t xml:space="preserve">£4,000,000 </w:t>
      </w:r>
      <w:r w:rsidRPr="007B3A0F">
        <w:rPr>
          <w:rFonts w:cs="Arial"/>
          <w:sz w:val="22"/>
          <w:szCs w:val="22"/>
        </w:rPr>
        <w:t xml:space="preserve">for the World Bank’s Climate Support Facility (CSF), the Nationally Determined Contributions (NDC) and Long-Term Strategies (LTS) </w:t>
      </w:r>
      <w:r w:rsidR="00D9526A" w:rsidRPr="007B3A0F">
        <w:rPr>
          <w:rFonts w:cs="Arial"/>
          <w:sz w:val="22"/>
          <w:szCs w:val="22"/>
        </w:rPr>
        <w:t>Program and</w:t>
      </w:r>
      <w:r w:rsidRPr="007B3A0F">
        <w:rPr>
          <w:rFonts w:cs="Arial"/>
          <w:sz w:val="22"/>
          <w:szCs w:val="22"/>
        </w:rPr>
        <w:t xml:space="preserve"> </w:t>
      </w:r>
      <w:r w:rsidR="00831F1F" w:rsidRPr="007B3A0F">
        <w:rPr>
          <w:rFonts w:cs="Arial"/>
          <w:sz w:val="22"/>
          <w:szCs w:val="22"/>
        </w:rPr>
        <w:t>laying two Promissory Notes valued £</w:t>
      </w:r>
      <w:r w:rsidR="00300BF2" w:rsidRPr="007B3A0F">
        <w:rPr>
          <w:rFonts w:cs="Arial"/>
          <w:sz w:val="22"/>
          <w:szCs w:val="22"/>
        </w:rPr>
        <w:t xml:space="preserve">7,400,000 for </w:t>
      </w:r>
      <w:r w:rsidR="00DF6022" w:rsidRPr="007B3A0F">
        <w:rPr>
          <w:rFonts w:cs="Arial"/>
          <w:sz w:val="22"/>
          <w:szCs w:val="22"/>
        </w:rPr>
        <w:t xml:space="preserve">the </w:t>
      </w:r>
      <w:r w:rsidRPr="007B3A0F">
        <w:rPr>
          <w:rFonts w:cs="Arial"/>
          <w:sz w:val="22"/>
          <w:szCs w:val="22"/>
        </w:rPr>
        <w:t>UNDP’s Climate Promise.</w:t>
      </w:r>
      <w:r w:rsidR="00300BF2" w:rsidRPr="007B3A0F">
        <w:rPr>
          <w:rFonts w:cs="Arial"/>
          <w:sz w:val="22"/>
          <w:szCs w:val="22"/>
        </w:rPr>
        <w:t xml:space="preserve"> </w:t>
      </w:r>
    </w:p>
    <w:p w14:paraId="24468968" w14:textId="77777777" w:rsidR="00DF6022" w:rsidRPr="007B3A0F" w:rsidRDefault="00DF6022" w:rsidP="00DF6022">
      <w:pPr>
        <w:pStyle w:val="ListParagraph"/>
        <w:rPr>
          <w:rFonts w:cs="Arial"/>
          <w:b/>
          <w:bCs/>
          <w:sz w:val="22"/>
          <w:szCs w:val="22"/>
        </w:rPr>
      </w:pPr>
    </w:p>
    <w:p w14:paraId="07C85879" w14:textId="57EAD900" w:rsidR="00D71EA8" w:rsidRPr="007B3A0F" w:rsidRDefault="00D71EA8" w:rsidP="007966EF">
      <w:pPr>
        <w:pStyle w:val="ListParagraph"/>
        <w:numPr>
          <w:ilvl w:val="0"/>
          <w:numId w:val="38"/>
        </w:numPr>
        <w:rPr>
          <w:rFonts w:cs="Arial"/>
          <w:b/>
          <w:bCs/>
          <w:sz w:val="22"/>
          <w:szCs w:val="22"/>
        </w:rPr>
      </w:pPr>
      <w:r w:rsidRPr="007B3A0F">
        <w:rPr>
          <w:rFonts w:cs="Arial"/>
          <w:sz w:val="22"/>
          <w:szCs w:val="22"/>
        </w:rPr>
        <w:t xml:space="preserve">And the UK’s funding </w:t>
      </w:r>
      <w:r w:rsidR="00257EC5" w:rsidRPr="007B3A0F">
        <w:rPr>
          <w:rFonts w:cs="Arial"/>
          <w:sz w:val="22"/>
          <w:szCs w:val="22"/>
        </w:rPr>
        <w:t xml:space="preserve">(£5,850,000) </w:t>
      </w:r>
      <w:r w:rsidRPr="007B3A0F">
        <w:rPr>
          <w:rFonts w:cs="Arial"/>
          <w:sz w:val="22"/>
          <w:szCs w:val="22"/>
        </w:rPr>
        <w:t>to the Partnership’s ‘last response efforts’ which refer to the contribution to the multi-donor Partnership Action Fund (PAF), managed by the SU (as UNOPS and WRI). The PAF supports urgent country requests when they cannot be supported by development partners including developed countries and institutional members; in order to ensure that no country is left behind.</w:t>
      </w:r>
      <w:r w:rsidR="00790559" w:rsidRPr="007B3A0F">
        <w:rPr>
          <w:rFonts w:cs="Arial"/>
          <w:sz w:val="22"/>
          <w:szCs w:val="22"/>
        </w:rPr>
        <w:t xml:space="preserve"> </w:t>
      </w:r>
      <w:r w:rsidRPr="007B3A0F">
        <w:rPr>
          <w:rFonts w:cs="Arial"/>
          <w:sz w:val="22"/>
          <w:szCs w:val="22"/>
        </w:rPr>
        <w:t>   </w:t>
      </w:r>
      <w:r w:rsidRPr="007B3A0F">
        <w:rPr>
          <w:rFonts w:cs="Arial"/>
          <w:b/>
          <w:bCs/>
          <w:sz w:val="22"/>
          <w:szCs w:val="22"/>
        </w:rPr>
        <w:t> </w:t>
      </w:r>
    </w:p>
    <w:p w14:paraId="3E882E7A" w14:textId="65701A99" w:rsidR="00D71EA8" w:rsidRPr="007B3A0F" w:rsidRDefault="00D71EA8" w:rsidP="007B6EE3">
      <w:pPr>
        <w:ind w:firstLine="360"/>
        <w:rPr>
          <w:rFonts w:cs="Arial"/>
          <w:b/>
          <w:bCs/>
          <w:sz w:val="22"/>
          <w:szCs w:val="22"/>
        </w:rPr>
      </w:pPr>
      <w:r w:rsidRPr="007B3A0F">
        <w:rPr>
          <w:rFonts w:cs="Arial"/>
          <w:sz w:val="22"/>
          <w:szCs w:val="22"/>
        </w:rPr>
        <w:lastRenderedPageBreak/>
        <w:t xml:space="preserve">In addition to the four funded elements, the DESNZ programme team also delivers </w:t>
      </w:r>
      <w:r w:rsidR="00312D26">
        <w:rPr>
          <w:rFonts w:cs="Arial"/>
          <w:sz w:val="22"/>
          <w:szCs w:val="22"/>
        </w:rPr>
        <w:t>c</w:t>
      </w:r>
      <w:r w:rsidRPr="007B3A0F">
        <w:rPr>
          <w:rFonts w:cs="Arial"/>
          <w:sz w:val="22"/>
          <w:szCs w:val="22"/>
        </w:rPr>
        <w:t>ross-Whitehall and embassy engagement to support the delivery of NDC support to developing countries via NDC Partnership.</w:t>
      </w:r>
      <w:r w:rsidRPr="007B3A0F">
        <w:rPr>
          <w:rFonts w:cs="Arial"/>
          <w:b/>
          <w:bCs/>
          <w:sz w:val="22"/>
          <w:szCs w:val="22"/>
        </w:rPr>
        <w:t> </w:t>
      </w:r>
    </w:p>
    <w:p w14:paraId="60EB09DF" w14:textId="4AAF2F3E" w:rsidR="005E75D7" w:rsidRPr="007B3A0F" w:rsidRDefault="005E75D7" w:rsidP="007966EF">
      <w:pPr>
        <w:rPr>
          <w:rFonts w:cs="Arial"/>
          <w:sz w:val="22"/>
          <w:szCs w:val="22"/>
        </w:rPr>
      </w:pPr>
    </w:p>
    <w:p w14:paraId="5E56845B" w14:textId="77777777" w:rsidR="007B3A0F" w:rsidRDefault="007B3A0F">
      <w:pPr>
        <w:spacing w:after="160" w:line="259" w:lineRule="auto"/>
        <w:rPr>
          <w:rStyle w:val="Heading2Char"/>
        </w:rPr>
      </w:pPr>
      <w:bookmarkStart w:id="3" w:name="_Toc199421655"/>
      <w:r>
        <w:rPr>
          <w:rStyle w:val="Heading2Char"/>
        </w:rPr>
        <w:br w:type="page"/>
      </w:r>
    </w:p>
    <w:p w14:paraId="20585970" w14:textId="77777777" w:rsidR="0047272A" w:rsidRDefault="0047272A" w:rsidP="004D5FD5">
      <w:pPr>
        <w:jc w:val="both"/>
        <w:rPr>
          <w:rStyle w:val="Heading2Char"/>
        </w:rPr>
      </w:pPr>
    </w:p>
    <w:p w14:paraId="5276E7EE" w14:textId="300DE6B4" w:rsidR="003D222C" w:rsidRPr="003C5BF3" w:rsidRDefault="003D222C" w:rsidP="004D5FD5">
      <w:pPr>
        <w:jc w:val="both"/>
      </w:pPr>
      <w:r w:rsidRPr="003C5BF3">
        <w:rPr>
          <w:rStyle w:val="Heading2Char"/>
        </w:rPr>
        <w:t>Summary of progress and supporting narrative for the overall score</w:t>
      </w:r>
      <w:bookmarkEnd w:id="3"/>
      <w:r w:rsidR="00A86616" w:rsidRPr="003C5BF3">
        <w:t xml:space="preserve"> </w:t>
      </w:r>
    </w:p>
    <w:p w14:paraId="23279E53" w14:textId="6F6499D5" w:rsidR="4BCCB564" w:rsidRPr="003C5BF3" w:rsidRDefault="4BCCB564" w:rsidP="4BCCB564">
      <w:pPr>
        <w:jc w:val="both"/>
      </w:pPr>
    </w:p>
    <w:p w14:paraId="0C00F912" w14:textId="528591D2" w:rsidR="2545E12F" w:rsidRPr="0047272A" w:rsidRDefault="2545E12F" w:rsidP="0091156D">
      <w:pPr>
        <w:ind w:firstLine="720"/>
        <w:rPr>
          <w:sz w:val="22"/>
          <w:szCs w:val="22"/>
        </w:rPr>
      </w:pPr>
      <w:r w:rsidRPr="0047272A">
        <w:rPr>
          <w:sz w:val="22"/>
          <w:szCs w:val="22"/>
        </w:rPr>
        <w:t xml:space="preserve">This has been the first year of delivery under the new NDC Partnership Business Case (2024-2031) that was approved in the Spring of 2024 and reapproved by the new government at the end of Summer, 2024. </w:t>
      </w:r>
      <w:r w:rsidR="6E306109" w:rsidRPr="0047272A">
        <w:rPr>
          <w:sz w:val="22"/>
          <w:szCs w:val="22"/>
        </w:rPr>
        <w:t xml:space="preserve">As the performance indicators show, the programme should receive an </w:t>
      </w:r>
      <w:r w:rsidR="00A6090E" w:rsidRPr="0047272A">
        <w:rPr>
          <w:b/>
          <w:bCs/>
          <w:sz w:val="22"/>
          <w:szCs w:val="22"/>
        </w:rPr>
        <w:t xml:space="preserve">A </w:t>
      </w:r>
      <w:r w:rsidR="00A6090E" w:rsidRPr="0047272A">
        <w:rPr>
          <w:sz w:val="22"/>
          <w:szCs w:val="22"/>
        </w:rPr>
        <w:t>rating</w:t>
      </w:r>
      <w:r w:rsidR="6E306109" w:rsidRPr="0047272A">
        <w:rPr>
          <w:sz w:val="22"/>
          <w:szCs w:val="22"/>
        </w:rPr>
        <w:t xml:space="preserve">, as it has met or exceeded most of its aims for this </w:t>
      </w:r>
      <w:r w:rsidR="7BE2C979" w:rsidRPr="0047272A">
        <w:rPr>
          <w:sz w:val="22"/>
          <w:szCs w:val="22"/>
        </w:rPr>
        <w:t xml:space="preserve">reporting year. Out of 16 targets, four will require </w:t>
      </w:r>
      <w:r w:rsidR="000F4B2D">
        <w:rPr>
          <w:sz w:val="22"/>
          <w:szCs w:val="22"/>
        </w:rPr>
        <w:t xml:space="preserve">a </w:t>
      </w:r>
      <w:r w:rsidR="7BE2C979" w:rsidRPr="0047272A">
        <w:rPr>
          <w:sz w:val="22"/>
          <w:szCs w:val="22"/>
        </w:rPr>
        <w:t>baseline</w:t>
      </w:r>
      <w:r w:rsidR="000F4B2D">
        <w:rPr>
          <w:sz w:val="22"/>
          <w:szCs w:val="22"/>
        </w:rPr>
        <w:t xml:space="preserve"> to be set</w:t>
      </w:r>
      <w:r w:rsidR="7BE2C979" w:rsidRPr="0047272A">
        <w:rPr>
          <w:sz w:val="22"/>
          <w:szCs w:val="22"/>
        </w:rPr>
        <w:t xml:space="preserve"> for the reporting year 2</w:t>
      </w:r>
      <w:r w:rsidR="00BD7C9E" w:rsidRPr="0047272A">
        <w:rPr>
          <w:sz w:val="22"/>
          <w:szCs w:val="22"/>
        </w:rPr>
        <w:t>02</w:t>
      </w:r>
      <w:r w:rsidR="7BE2C979" w:rsidRPr="0047272A">
        <w:rPr>
          <w:sz w:val="22"/>
          <w:szCs w:val="22"/>
        </w:rPr>
        <w:t xml:space="preserve">5/26, five of the </w:t>
      </w:r>
      <w:r w:rsidR="0AA99EE1" w:rsidRPr="0047272A">
        <w:rPr>
          <w:sz w:val="22"/>
          <w:szCs w:val="22"/>
        </w:rPr>
        <w:t>targets have been exceeded significantly, three have been exceeded, two have been met and two</w:t>
      </w:r>
      <w:r w:rsidR="2D4C657A" w:rsidRPr="0047272A">
        <w:rPr>
          <w:sz w:val="22"/>
          <w:szCs w:val="22"/>
        </w:rPr>
        <w:t xml:space="preserve"> have not been met.</w:t>
      </w:r>
      <w:r w:rsidR="0AA99EE1" w:rsidRPr="0047272A">
        <w:rPr>
          <w:sz w:val="22"/>
          <w:szCs w:val="22"/>
        </w:rPr>
        <w:t xml:space="preserve"> </w:t>
      </w:r>
    </w:p>
    <w:p w14:paraId="367B247E" w14:textId="77777777" w:rsidR="007D0F55" w:rsidRPr="0047272A" w:rsidRDefault="007D0F55" w:rsidP="0091156D">
      <w:pPr>
        <w:rPr>
          <w:sz w:val="22"/>
          <w:szCs w:val="22"/>
        </w:rPr>
      </w:pPr>
    </w:p>
    <w:p w14:paraId="5C49285E" w14:textId="57F19B11" w:rsidR="2545E12F" w:rsidRPr="0047272A" w:rsidRDefault="25D3BE5B" w:rsidP="00FE1554">
      <w:pPr>
        <w:ind w:firstLine="720"/>
        <w:rPr>
          <w:sz w:val="22"/>
          <w:szCs w:val="22"/>
        </w:rPr>
      </w:pPr>
      <w:r w:rsidRPr="0047272A">
        <w:rPr>
          <w:sz w:val="22"/>
          <w:szCs w:val="22"/>
        </w:rPr>
        <w:t>The new Business Case and delivery model build</w:t>
      </w:r>
      <w:r w:rsidR="21A7BAF8" w:rsidRPr="0047272A">
        <w:rPr>
          <w:sz w:val="22"/>
          <w:szCs w:val="22"/>
        </w:rPr>
        <w:t>s</w:t>
      </w:r>
      <w:r w:rsidRPr="0047272A">
        <w:rPr>
          <w:sz w:val="22"/>
          <w:szCs w:val="22"/>
        </w:rPr>
        <w:t xml:space="preserve"> on the previous technical assistance and capacity building enabled by the UK’s contribution to the NDC Partnership. </w:t>
      </w:r>
      <w:r w:rsidR="25BEA1E5" w:rsidRPr="0047272A">
        <w:rPr>
          <w:sz w:val="22"/>
          <w:szCs w:val="22"/>
        </w:rPr>
        <w:t>As outlined above the UK provides funding to the Support Unit, the Partnership Action Fund, manages a bilateral Country Engagement Fund and has provided funding to two institutional members of the Partnership, the Worl</w:t>
      </w:r>
      <w:r w:rsidR="792430CD" w:rsidRPr="0047272A">
        <w:rPr>
          <w:sz w:val="22"/>
          <w:szCs w:val="22"/>
        </w:rPr>
        <w:t>d Bank an</w:t>
      </w:r>
      <w:r w:rsidR="30F37BCB" w:rsidRPr="0047272A">
        <w:rPr>
          <w:sz w:val="22"/>
          <w:szCs w:val="22"/>
        </w:rPr>
        <w:t>d UNDP</w:t>
      </w:r>
      <w:r w:rsidR="00FD1503" w:rsidRPr="0047272A">
        <w:rPr>
          <w:sz w:val="22"/>
          <w:szCs w:val="22"/>
        </w:rPr>
        <w:t xml:space="preserve">, </w:t>
      </w:r>
      <w:r w:rsidR="30F37BCB" w:rsidRPr="0047272A">
        <w:rPr>
          <w:sz w:val="22"/>
          <w:szCs w:val="22"/>
        </w:rPr>
        <w:t>to enable developing countries to update their NDCs</w:t>
      </w:r>
      <w:r w:rsidR="000C1498" w:rsidRPr="0047272A">
        <w:rPr>
          <w:sz w:val="22"/>
          <w:szCs w:val="22"/>
        </w:rPr>
        <w:t xml:space="preserve"> 3.0</w:t>
      </w:r>
      <w:r w:rsidR="30F37BCB" w:rsidRPr="0047272A">
        <w:rPr>
          <w:sz w:val="22"/>
          <w:szCs w:val="22"/>
        </w:rPr>
        <w:t xml:space="preserve">. </w:t>
      </w:r>
    </w:p>
    <w:p w14:paraId="7E3AC76E" w14:textId="77777777" w:rsidR="007D0F55" w:rsidRPr="0047272A" w:rsidRDefault="007D0F55" w:rsidP="00FE1554">
      <w:pPr>
        <w:rPr>
          <w:sz w:val="22"/>
          <w:szCs w:val="22"/>
        </w:rPr>
      </w:pPr>
    </w:p>
    <w:p w14:paraId="7E443F64" w14:textId="4CCECC25" w:rsidR="00E46C97" w:rsidRPr="0047272A" w:rsidRDefault="027D1E4D" w:rsidP="00FE1554">
      <w:pPr>
        <w:ind w:firstLine="720"/>
        <w:rPr>
          <w:sz w:val="22"/>
          <w:szCs w:val="22"/>
        </w:rPr>
      </w:pPr>
      <w:r w:rsidRPr="0047272A">
        <w:rPr>
          <w:sz w:val="22"/>
          <w:szCs w:val="22"/>
        </w:rPr>
        <w:t xml:space="preserve">The focus this year has been </w:t>
      </w:r>
      <w:r w:rsidR="73D01CD7" w:rsidRPr="0047272A">
        <w:rPr>
          <w:sz w:val="22"/>
          <w:szCs w:val="22"/>
        </w:rPr>
        <w:t xml:space="preserve">on setting up the structures </w:t>
      </w:r>
      <w:r w:rsidR="00CC7B8A" w:rsidRPr="0047272A">
        <w:rPr>
          <w:sz w:val="22"/>
          <w:szCs w:val="22"/>
        </w:rPr>
        <w:t>to implement</w:t>
      </w:r>
      <w:r w:rsidRPr="0047272A">
        <w:rPr>
          <w:sz w:val="22"/>
          <w:szCs w:val="22"/>
        </w:rPr>
        <w:t xml:space="preserve"> the ambitious business case and the required grants and agreements to get support flowing to countries, including </w:t>
      </w:r>
      <w:r w:rsidR="7D36F3D5" w:rsidRPr="0047272A">
        <w:rPr>
          <w:sz w:val="22"/>
          <w:szCs w:val="22"/>
        </w:rPr>
        <w:t>new agreements</w:t>
      </w:r>
      <w:r w:rsidRPr="0047272A">
        <w:rPr>
          <w:sz w:val="22"/>
          <w:szCs w:val="22"/>
        </w:rPr>
        <w:t xml:space="preserve"> for NDC</w:t>
      </w:r>
      <w:r w:rsidR="00864444" w:rsidRPr="0047272A">
        <w:rPr>
          <w:sz w:val="22"/>
          <w:szCs w:val="22"/>
        </w:rPr>
        <w:t xml:space="preserve"> </w:t>
      </w:r>
      <w:r w:rsidRPr="0047272A">
        <w:rPr>
          <w:sz w:val="22"/>
          <w:szCs w:val="22"/>
        </w:rPr>
        <w:t>3.0 support via the W</w:t>
      </w:r>
      <w:r w:rsidR="41752245" w:rsidRPr="0047272A">
        <w:rPr>
          <w:sz w:val="22"/>
          <w:szCs w:val="22"/>
        </w:rPr>
        <w:t xml:space="preserve">orld </w:t>
      </w:r>
      <w:r w:rsidRPr="0047272A">
        <w:rPr>
          <w:sz w:val="22"/>
          <w:szCs w:val="22"/>
        </w:rPr>
        <w:t>B</w:t>
      </w:r>
      <w:r w:rsidR="68DA3E16" w:rsidRPr="0047272A">
        <w:rPr>
          <w:sz w:val="22"/>
          <w:szCs w:val="22"/>
        </w:rPr>
        <w:t>ank</w:t>
      </w:r>
      <w:r w:rsidRPr="0047272A">
        <w:rPr>
          <w:sz w:val="22"/>
          <w:szCs w:val="22"/>
        </w:rPr>
        <w:t xml:space="preserve"> and UNDP, and the new Country Engagement Fund</w:t>
      </w:r>
      <w:r w:rsidR="00CC7B8A" w:rsidRPr="0047272A">
        <w:rPr>
          <w:sz w:val="22"/>
          <w:szCs w:val="22"/>
        </w:rPr>
        <w:t xml:space="preserve"> (CEF)</w:t>
      </w:r>
      <w:r w:rsidR="1C666E5B" w:rsidRPr="0047272A">
        <w:rPr>
          <w:sz w:val="22"/>
          <w:szCs w:val="22"/>
        </w:rPr>
        <w:t xml:space="preserve"> for deploying embedded capacity</w:t>
      </w:r>
      <w:r w:rsidRPr="0047272A">
        <w:rPr>
          <w:sz w:val="22"/>
          <w:szCs w:val="22"/>
        </w:rPr>
        <w:t xml:space="preserve">. This </w:t>
      </w:r>
      <w:r w:rsidR="428856EC" w:rsidRPr="0047272A">
        <w:rPr>
          <w:sz w:val="22"/>
          <w:szCs w:val="22"/>
        </w:rPr>
        <w:t>work has been done</w:t>
      </w:r>
      <w:r w:rsidRPr="0047272A">
        <w:rPr>
          <w:sz w:val="22"/>
          <w:szCs w:val="22"/>
        </w:rPr>
        <w:t xml:space="preserve"> alongside creating an effective internal portfolio and financial management processes, </w:t>
      </w:r>
      <w:r w:rsidR="3E84C686" w:rsidRPr="0047272A">
        <w:rPr>
          <w:sz w:val="22"/>
          <w:szCs w:val="22"/>
        </w:rPr>
        <w:t>c</w:t>
      </w:r>
      <w:r w:rsidRPr="0047272A">
        <w:rPr>
          <w:sz w:val="22"/>
          <w:szCs w:val="22"/>
        </w:rPr>
        <w:t>ross-</w:t>
      </w:r>
      <w:r w:rsidR="00696516" w:rsidRPr="0047272A">
        <w:rPr>
          <w:sz w:val="22"/>
          <w:szCs w:val="22"/>
        </w:rPr>
        <w:t xml:space="preserve">government </w:t>
      </w:r>
      <w:r w:rsidRPr="0047272A">
        <w:rPr>
          <w:sz w:val="22"/>
          <w:szCs w:val="22"/>
        </w:rPr>
        <w:t xml:space="preserve">and embassy engagement processes, and feeding into early discussions on the creation of the Partnership new 2026-2030 </w:t>
      </w:r>
      <w:r w:rsidR="00B7010A" w:rsidRPr="0047272A">
        <w:rPr>
          <w:sz w:val="22"/>
          <w:szCs w:val="22"/>
        </w:rPr>
        <w:t>W</w:t>
      </w:r>
      <w:r w:rsidRPr="0047272A">
        <w:rPr>
          <w:sz w:val="22"/>
          <w:szCs w:val="22"/>
        </w:rPr>
        <w:t xml:space="preserve">ork </w:t>
      </w:r>
      <w:r w:rsidR="00B7010A" w:rsidRPr="0047272A">
        <w:rPr>
          <w:sz w:val="22"/>
          <w:szCs w:val="22"/>
        </w:rPr>
        <w:t>P</w:t>
      </w:r>
      <w:r w:rsidRPr="0047272A">
        <w:rPr>
          <w:sz w:val="22"/>
          <w:szCs w:val="22"/>
        </w:rPr>
        <w:t xml:space="preserve">rogram which will outline the </w:t>
      </w:r>
      <w:r w:rsidR="332E1A7A" w:rsidRPr="0047272A">
        <w:rPr>
          <w:sz w:val="22"/>
          <w:szCs w:val="22"/>
        </w:rPr>
        <w:t>P</w:t>
      </w:r>
      <w:r w:rsidRPr="0047272A">
        <w:rPr>
          <w:sz w:val="22"/>
          <w:szCs w:val="22"/>
        </w:rPr>
        <w:t xml:space="preserve">artnership’s direction beyond next year. </w:t>
      </w:r>
      <w:r w:rsidR="53B459B2" w:rsidRPr="0047272A">
        <w:rPr>
          <w:sz w:val="22"/>
          <w:szCs w:val="22"/>
        </w:rPr>
        <w:t xml:space="preserve">We have also been </w:t>
      </w:r>
      <w:r w:rsidR="00696516" w:rsidRPr="0047272A">
        <w:rPr>
          <w:sz w:val="22"/>
          <w:szCs w:val="22"/>
        </w:rPr>
        <w:t xml:space="preserve">active </w:t>
      </w:r>
      <w:r w:rsidR="53B459B2" w:rsidRPr="0047272A">
        <w:rPr>
          <w:sz w:val="22"/>
          <w:szCs w:val="22"/>
        </w:rPr>
        <w:t>members of the Steering Committee and helped to improve coordination among members</w:t>
      </w:r>
      <w:r w:rsidR="63C73A5E" w:rsidRPr="0047272A">
        <w:rPr>
          <w:sz w:val="22"/>
          <w:szCs w:val="22"/>
        </w:rPr>
        <w:t xml:space="preserve">. </w:t>
      </w:r>
    </w:p>
    <w:p w14:paraId="2820C10D" w14:textId="77777777" w:rsidR="00F52414" w:rsidRPr="0047272A" w:rsidRDefault="00F52414" w:rsidP="007D0F55">
      <w:pPr>
        <w:jc w:val="both"/>
        <w:rPr>
          <w:sz w:val="22"/>
          <w:szCs w:val="22"/>
        </w:rPr>
      </w:pPr>
    </w:p>
    <w:p w14:paraId="58DE6B37" w14:textId="4C6A883F" w:rsidR="00B7010A" w:rsidRPr="0047272A" w:rsidRDefault="00F52414" w:rsidP="0047272A">
      <w:pPr>
        <w:ind w:firstLine="720"/>
        <w:rPr>
          <w:sz w:val="22"/>
          <w:szCs w:val="22"/>
        </w:rPr>
      </w:pPr>
      <w:r w:rsidRPr="0047272A">
        <w:rPr>
          <w:sz w:val="22"/>
          <w:szCs w:val="22"/>
        </w:rPr>
        <w:t xml:space="preserve">During this reporting period the </w:t>
      </w:r>
      <w:r w:rsidR="006E5984" w:rsidRPr="0047272A">
        <w:rPr>
          <w:sz w:val="22"/>
          <w:szCs w:val="22"/>
        </w:rPr>
        <w:t>UK has provided</w:t>
      </w:r>
      <w:r w:rsidRPr="0047272A">
        <w:rPr>
          <w:sz w:val="22"/>
          <w:szCs w:val="22"/>
        </w:rPr>
        <w:t xml:space="preserve"> support for government’s core climate capability through the C</w:t>
      </w:r>
      <w:r w:rsidR="00B7010A" w:rsidRPr="0047272A">
        <w:rPr>
          <w:sz w:val="22"/>
          <w:szCs w:val="22"/>
        </w:rPr>
        <w:t>EF</w:t>
      </w:r>
      <w:r w:rsidRPr="0047272A">
        <w:rPr>
          <w:sz w:val="22"/>
          <w:szCs w:val="22"/>
        </w:rPr>
        <w:t xml:space="preserve">, a bilateral fund for embedded advisory support managed by UNOPS. </w:t>
      </w:r>
      <w:r w:rsidR="00D0141D" w:rsidRPr="0047272A">
        <w:rPr>
          <w:sz w:val="22"/>
          <w:szCs w:val="22"/>
        </w:rPr>
        <w:t>12 advisers</w:t>
      </w:r>
      <w:r w:rsidR="006E5984" w:rsidRPr="0047272A">
        <w:rPr>
          <w:sz w:val="22"/>
          <w:szCs w:val="22"/>
        </w:rPr>
        <w:t xml:space="preserve"> across </w:t>
      </w:r>
      <w:r w:rsidR="006D700D" w:rsidRPr="0047272A">
        <w:rPr>
          <w:sz w:val="22"/>
          <w:szCs w:val="22"/>
        </w:rPr>
        <w:t>1</w:t>
      </w:r>
      <w:r w:rsidR="003B14A1" w:rsidRPr="0047272A">
        <w:rPr>
          <w:sz w:val="22"/>
          <w:szCs w:val="22"/>
        </w:rPr>
        <w:t>2</w:t>
      </w:r>
      <w:r w:rsidR="006E5984" w:rsidRPr="0047272A">
        <w:rPr>
          <w:sz w:val="22"/>
          <w:szCs w:val="22"/>
        </w:rPr>
        <w:t xml:space="preserve"> countries have been </w:t>
      </w:r>
      <w:r w:rsidR="00A138F9" w:rsidRPr="0047272A">
        <w:rPr>
          <w:sz w:val="22"/>
          <w:szCs w:val="22"/>
        </w:rPr>
        <w:t xml:space="preserve">funded to </w:t>
      </w:r>
      <w:r w:rsidR="00770CD1" w:rsidRPr="0047272A">
        <w:rPr>
          <w:sz w:val="22"/>
          <w:szCs w:val="22"/>
        </w:rPr>
        <w:t xml:space="preserve">support countries on their NDC planning, knowledge management </w:t>
      </w:r>
      <w:r w:rsidR="007662EB" w:rsidRPr="0047272A">
        <w:rPr>
          <w:sz w:val="22"/>
          <w:szCs w:val="22"/>
        </w:rPr>
        <w:t xml:space="preserve">and climate finance management. </w:t>
      </w:r>
    </w:p>
    <w:p w14:paraId="41B649E5" w14:textId="77777777" w:rsidR="00165108" w:rsidRPr="0047272A" w:rsidRDefault="00165108" w:rsidP="00FE1554">
      <w:pPr>
        <w:rPr>
          <w:sz w:val="22"/>
          <w:szCs w:val="22"/>
        </w:rPr>
      </w:pPr>
    </w:p>
    <w:p w14:paraId="33D78057" w14:textId="71587015" w:rsidR="35E50F63" w:rsidRPr="0047272A" w:rsidRDefault="00A138F9" w:rsidP="00A23B02">
      <w:pPr>
        <w:ind w:firstLine="720"/>
        <w:rPr>
          <w:sz w:val="22"/>
          <w:szCs w:val="22"/>
        </w:rPr>
      </w:pPr>
      <w:r w:rsidRPr="0047272A">
        <w:rPr>
          <w:sz w:val="22"/>
          <w:szCs w:val="22"/>
        </w:rPr>
        <w:t xml:space="preserve">This year </w:t>
      </w:r>
      <w:r w:rsidR="00E505A2" w:rsidRPr="0047272A">
        <w:rPr>
          <w:sz w:val="22"/>
          <w:szCs w:val="22"/>
        </w:rPr>
        <w:t>UK support for the NDC Partnership</w:t>
      </w:r>
      <w:r w:rsidR="4BC08569" w:rsidRPr="0047272A">
        <w:rPr>
          <w:sz w:val="22"/>
          <w:szCs w:val="22"/>
        </w:rPr>
        <w:t xml:space="preserve"> has </w:t>
      </w:r>
      <w:r w:rsidR="008151EF" w:rsidRPr="0047272A">
        <w:rPr>
          <w:sz w:val="22"/>
          <w:szCs w:val="22"/>
        </w:rPr>
        <w:t xml:space="preserve">also </w:t>
      </w:r>
      <w:r w:rsidR="4BC08569" w:rsidRPr="0047272A">
        <w:rPr>
          <w:sz w:val="22"/>
          <w:szCs w:val="22"/>
        </w:rPr>
        <w:t>increas</w:t>
      </w:r>
      <w:r w:rsidR="49911101" w:rsidRPr="0047272A">
        <w:rPr>
          <w:sz w:val="22"/>
          <w:szCs w:val="22"/>
        </w:rPr>
        <w:t xml:space="preserve">ed developing countries access to </w:t>
      </w:r>
      <w:r w:rsidR="00C35975" w:rsidRPr="0047272A">
        <w:rPr>
          <w:sz w:val="22"/>
          <w:szCs w:val="22"/>
        </w:rPr>
        <w:t xml:space="preserve">timely Technical Assistance to enhance the ambition and </w:t>
      </w:r>
      <w:r w:rsidR="00E505A2" w:rsidRPr="0047272A">
        <w:rPr>
          <w:sz w:val="22"/>
          <w:szCs w:val="22"/>
        </w:rPr>
        <w:t>quality of their NDCs</w:t>
      </w:r>
      <w:r w:rsidR="00A0635A" w:rsidRPr="0047272A">
        <w:rPr>
          <w:sz w:val="22"/>
          <w:szCs w:val="22"/>
        </w:rPr>
        <w:t xml:space="preserve"> and </w:t>
      </w:r>
      <w:r w:rsidR="00BF2ACD" w:rsidRPr="0047272A">
        <w:rPr>
          <w:sz w:val="22"/>
          <w:szCs w:val="22"/>
        </w:rPr>
        <w:t>set Long Term Strategies</w:t>
      </w:r>
      <w:r w:rsidR="00E505A2" w:rsidRPr="0047272A">
        <w:rPr>
          <w:sz w:val="22"/>
          <w:szCs w:val="22"/>
        </w:rPr>
        <w:t xml:space="preserve">. This has primarily been delivered </w:t>
      </w:r>
      <w:r w:rsidR="49911101" w:rsidRPr="0047272A">
        <w:rPr>
          <w:sz w:val="22"/>
          <w:szCs w:val="22"/>
        </w:rPr>
        <w:t xml:space="preserve">through our funding of </w:t>
      </w:r>
      <w:r w:rsidR="0061179D" w:rsidRPr="0047272A">
        <w:rPr>
          <w:sz w:val="22"/>
          <w:szCs w:val="22"/>
        </w:rPr>
        <w:t xml:space="preserve">UNDP’s </w:t>
      </w:r>
      <w:r w:rsidR="49911101" w:rsidRPr="0047272A">
        <w:rPr>
          <w:sz w:val="22"/>
          <w:szCs w:val="22"/>
        </w:rPr>
        <w:t xml:space="preserve">Climate Promise and </w:t>
      </w:r>
      <w:r w:rsidR="00E505A2" w:rsidRPr="0047272A">
        <w:rPr>
          <w:sz w:val="22"/>
          <w:szCs w:val="22"/>
        </w:rPr>
        <w:t xml:space="preserve">the World Bank’s </w:t>
      </w:r>
      <w:r w:rsidR="49911101" w:rsidRPr="0047272A">
        <w:rPr>
          <w:sz w:val="22"/>
          <w:szCs w:val="22"/>
        </w:rPr>
        <w:t xml:space="preserve">Climate Support </w:t>
      </w:r>
      <w:r w:rsidR="15704B31" w:rsidRPr="0047272A">
        <w:rPr>
          <w:sz w:val="22"/>
          <w:szCs w:val="22"/>
        </w:rPr>
        <w:t>Facility</w:t>
      </w:r>
      <w:r w:rsidR="00841F3C" w:rsidRPr="0047272A">
        <w:rPr>
          <w:sz w:val="22"/>
          <w:szCs w:val="22"/>
        </w:rPr>
        <w:t>.</w:t>
      </w:r>
      <w:r w:rsidR="008151EF" w:rsidRPr="0047272A">
        <w:rPr>
          <w:sz w:val="22"/>
          <w:szCs w:val="22"/>
        </w:rPr>
        <w:t xml:space="preserve"> This support kicked off during </w:t>
      </w:r>
      <w:r w:rsidR="00C56F09" w:rsidRPr="0047272A">
        <w:rPr>
          <w:sz w:val="22"/>
          <w:szCs w:val="22"/>
        </w:rPr>
        <w:t>the fourth quarter</w:t>
      </w:r>
      <w:r w:rsidR="008151EF" w:rsidRPr="0047272A">
        <w:rPr>
          <w:sz w:val="22"/>
          <w:szCs w:val="22"/>
        </w:rPr>
        <w:t xml:space="preserve"> of this reporting period</w:t>
      </w:r>
      <w:r w:rsidR="00BD6D4C" w:rsidRPr="0047272A">
        <w:rPr>
          <w:sz w:val="22"/>
          <w:szCs w:val="22"/>
        </w:rPr>
        <w:t xml:space="preserve">, with work starting in </w:t>
      </w:r>
      <w:r w:rsidR="00C424EB" w:rsidRPr="0047272A">
        <w:rPr>
          <w:sz w:val="22"/>
          <w:szCs w:val="22"/>
        </w:rPr>
        <w:t>34</w:t>
      </w:r>
      <w:r w:rsidR="00BD6D4C" w:rsidRPr="0047272A">
        <w:rPr>
          <w:sz w:val="22"/>
          <w:szCs w:val="22"/>
        </w:rPr>
        <w:t xml:space="preserve"> countries</w:t>
      </w:r>
      <w:r w:rsidR="00A0635A" w:rsidRPr="0047272A">
        <w:rPr>
          <w:sz w:val="22"/>
          <w:szCs w:val="22"/>
        </w:rPr>
        <w:t>, and plans in place to deliver support to</w:t>
      </w:r>
      <w:r w:rsidR="00BF2ACD" w:rsidRPr="0047272A">
        <w:rPr>
          <w:sz w:val="22"/>
          <w:szCs w:val="22"/>
        </w:rPr>
        <w:t xml:space="preserve"> a total of up to </w:t>
      </w:r>
      <w:r w:rsidR="0038431F" w:rsidRPr="0047272A">
        <w:rPr>
          <w:sz w:val="22"/>
          <w:szCs w:val="22"/>
        </w:rPr>
        <w:t>45</w:t>
      </w:r>
      <w:r w:rsidR="00BF2ACD" w:rsidRPr="0047272A">
        <w:rPr>
          <w:sz w:val="22"/>
          <w:szCs w:val="22"/>
        </w:rPr>
        <w:t xml:space="preserve"> countries by C</w:t>
      </w:r>
      <w:r w:rsidR="00AB0634" w:rsidRPr="0047272A">
        <w:rPr>
          <w:sz w:val="22"/>
          <w:szCs w:val="22"/>
        </w:rPr>
        <w:t xml:space="preserve">onference of Parties </w:t>
      </w:r>
      <w:r w:rsidR="00BF2ACD" w:rsidRPr="0047272A">
        <w:rPr>
          <w:sz w:val="22"/>
          <w:szCs w:val="22"/>
        </w:rPr>
        <w:t>30</w:t>
      </w:r>
      <w:r w:rsidR="00AB0634" w:rsidRPr="0047272A">
        <w:rPr>
          <w:sz w:val="22"/>
          <w:szCs w:val="22"/>
        </w:rPr>
        <w:t xml:space="preserve"> (COP30)</w:t>
      </w:r>
      <w:r w:rsidR="00BF2ACD" w:rsidRPr="0047272A">
        <w:rPr>
          <w:sz w:val="22"/>
          <w:szCs w:val="22"/>
        </w:rPr>
        <w:t>.</w:t>
      </w:r>
    </w:p>
    <w:p w14:paraId="4D4E3E82" w14:textId="77777777" w:rsidR="007D0F55" w:rsidRPr="0047272A" w:rsidRDefault="007D0F55" w:rsidP="007D0F55">
      <w:pPr>
        <w:jc w:val="both"/>
        <w:rPr>
          <w:sz w:val="22"/>
          <w:szCs w:val="22"/>
        </w:rPr>
      </w:pPr>
    </w:p>
    <w:p w14:paraId="153C0FFC" w14:textId="17AFEF01" w:rsidR="00357FB1" w:rsidRPr="0047272A" w:rsidRDefault="00E46C97" w:rsidP="002E0CEB">
      <w:pPr>
        <w:ind w:firstLine="720"/>
        <w:rPr>
          <w:sz w:val="22"/>
          <w:szCs w:val="22"/>
        </w:rPr>
      </w:pPr>
      <w:r w:rsidRPr="0047272A">
        <w:rPr>
          <w:sz w:val="22"/>
          <w:szCs w:val="22"/>
        </w:rPr>
        <w:t xml:space="preserve">To support </w:t>
      </w:r>
      <w:r w:rsidR="00AE124D" w:rsidRPr="0047272A">
        <w:rPr>
          <w:sz w:val="22"/>
          <w:szCs w:val="22"/>
        </w:rPr>
        <w:t xml:space="preserve">the NDC Partnership’s global mission </w:t>
      </w:r>
      <w:r w:rsidR="00675393" w:rsidRPr="0047272A">
        <w:rPr>
          <w:sz w:val="22"/>
          <w:szCs w:val="22"/>
        </w:rPr>
        <w:t xml:space="preserve">the DESNZ programme team have kicked off work to </w:t>
      </w:r>
      <w:r w:rsidRPr="0047272A">
        <w:rPr>
          <w:sz w:val="22"/>
          <w:szCs w:val="22"/>
        </w:rPr>
        <w:t xml:space="preserve">align wider </w:t>
      </w:r>
      <w:r w:rsidR="32A79B96" w:rsidRPr="0047272A">
        <w:rPr>
          <w:sz w:val="22"/>
          <w:szCs w:val="22"/>
        </w:rPr>
        <w:t>UK International Climate Finance (</w:t>
      </w:r>
      <w:r w:rsidRPr="0047272A">
        <w:rPr>
          <w:sz w:val="22"/>
          <w:szCs w:val="22"/>
        </w:rPr>
        <w:t>ICF</w:t>
      </w:r>
      <w:r w:rsidR="4A9D54E0" w:rsidRPr="0047272A">
        <w:rPr>
          <w:sz w:val="22"/>
          <w:szCs w:val="22"/>
        </w:rPr>
        <w:t>)</w:t>
      </w:r>
      <w:r w:rsidRPr="0047272A">
        <w:rPr>
          <w:sz w:val="22"/>
          <w:szCs w:val="22"/>
        </w:rPr>
        <w:t xml:space="preserve"> delivery with countries’ NDCs</w:t>
      </w:r>
      <w:r w:rsidR="00675393" w:rsidRPr="0047272A">
        <w:rPr>
          <w:sz w:val="22"/>
          <w:szCs w:val="22"/>
        </w:rPr>
        <w:t>.</w:t>
      </w:r>
      <w:r w:rsidR="2329E58F" w:rsidRPr="0047272A">
        <w:rPr>
          <w:sz w:val="22"/>
          <w:szCs w:val="22"/>
        </w:rPr>
        <w:t xml:space="preserve"> </w:t>
      </w:r>
      <w:r w:rsidR="00675393" w:rsidRPr="0047272A">
        <w:rPr>
          <w:sz w:val="22"/>
          <w:szCs w:val="22"/>
        </w:rPr>
        <w:t>W</w:t>
      </w:r>
      <w:r w:rsidR="2329E58F" w:rsidRPr="0047272A">
        <w:rPr>
          <w:sz w:val="22"/>
          <w:szCs w:val="22"/>
        </w:rPr>
        <w:t xml:space="preserve">e have delivered five training sessions to ICF colleagues in </w:t>
      </w:r>
      <w:r w:rsidR="000D01A5" w:rsidRPr="0047272A">
        <w:rPr>
          <w:sz w:val="22"/>
          <w:szCs w:val="22"/>
        </w:rPr>
        <w:t>the Department for Energy Security and Net Zero (</w:t>
      </w:r>
      <w:r w:rsidR="2329E58F" w:rsidRPr="0047272A">
        <w:rPr>
          <w:sz w:val="22"/>
          <w:szCs w:val="22"/>
        </w:rPr>
        <w:t>DESNZ</w:t>
      </w:r>
      <w:r w:rsidR="000D01A5" w:rsidRPr="0047272A">
        <w:rPr>
          <w:sz w:val="22"/>
          <w:szCs w:val="22"/>
        </w:rPr>
        <w:t xml:space="preserve">) </w:t>
      </w:r>
      <w:r w:rsidR="2329E58F" w:rsidRPr="0047272A">
        <w:rPr>
          <w:sz w:val="22"/>
          <w:szCs w:val="22"/>
        </w:rPr>
        <w:t xml:space="preserve">and </w:t>
      </w:r>
      <w:r w:rsidR="000D01A5" w:rsidRPr="0047272A">
        <w:rPr>
          <w:sz w:val="22"/>
          <w:szCs w:val="22"/>
        </w:rPr>
        <w:t xml:space="preserve">the </w:t>
      </w:r>
      <w:r w:rsidR="2329E58F" w:rsidRPr="0047272A">
        <w:rPr>
          <w:sz w:val="22"/>
          <w:szCs w:val="22"/>
        </w:rPr>
        <w:t>F</w:t>
      </w:r>
      <w:r w:rsidR="000D01A5" w:rsidRPr="0047272A">
        <w:rPr>
          <w:sz w:val="22"/>
          <w:szCs w:val="22"/>
        </w:rPr>
        <w:t>oreign</w:t>
      </w:r>
      <w:r w:rsidR="00401890" w:rsidRPr="0047272A">
        <w:rPr>
          <w:sz w:val="22"/>
          <w:szCs w:val="22"/>
        </w:rPr>
        <w:t>, Commonwealth and Development Office (F</w:t>
      </w:r>
      <w:r w:rsidR="2329E58F" w:rsidRPr="0047272A">
        <w:rPr>
          <w:sz w:val="22"/>
          <w:szCs w:val="22"/>
        </w:rPr>
        <w:t>CDO</w:t>
      </w:r>
      <w:r w:rsidR="00401890" w:rsidRPr="0047272A">
        <w:rPr>
          <w:sz w:val="22"/>
          <w:szCs w:val="22"/>
        </w:rPr>
        <w:t>)</w:t>
      </w:r>
      <w:r w:rsidR="2329E58F" w:rsidRPr="0047272A">
        <w:rPr>
          <w:sz w:val="22"/>
          <w:szCs w:val="22"/>
        </w:rPr>
        <w:t xml:space="preserve">, embedding and promoting the programme </w:t>
      </w:r>
      <w:r w:rsidR="26E23A09" w:rsidRPr="0047272A">
        <w:rPr>
          <w:sz w:val="22"/>
          <w:szCs w:val="22"/>
        </w:rPr>
        <w:t xml:space="preserve">as part of the wider DESNZ technical assistance offer. </w:t>
      </w:r>
      <w:r w:rsidR="628771C5" w:rsidRPr="0047272A">
        <w:rPr>
          <w:sz w:val="22"/>
          <w:szCs w:val="22"/>
        </w:rPr>
        <w:t xml:space="preserve">Through embedding the programme more </w:t>
      </w:r>
      <w:r w:rsidR="3CB6DE06" w:rsidRPr="0047272A">
        <w:rPr>
          <w:sz w:val="22"/>
          <w:szCs w:val="22"/>
        </w:rPr>
        <w:t>thoroughly</w:t>
      </w:r>
      <w:r w:rsidR="628771C5" w:rsidRPr="0047272A">
        <w:rPr>
          <w:sz w:val="22"/>
          <w:szCs w:val="22"/>
        </w:rPr>
        <w:t xml:space="preserve"> into the ICF offer, we have been focused on ensuring that </w:t>
      </w:r>
      <w:r w:rsidR="00187C60" w:rsidRPr="0047272A">
        <w:rPr>
          <w:sz w:val="22"/>
          <w:szCs w:val="22"/>
        </w:rPr>
        <w:t>climate attaches and ICF-funded staff in NDC Partnership member countries</w:t>
      </w:r>
      <w:r w:rsidR="628771C5" w:rsidRPr="0047272A">
        <w:rPr>
          <w:sz w:val="22"/>
          <w:szCs w:val="22"/>
        </w:rPr>
        <w:t xml:space="preserve"> have the understanding and skills necessary to ensure collaboration between </w:t>
      </w:r>
      <w:r w:rsidR="00416605" w:rsidRPr="0047272A">
        <w:rPr>
          <w:sz w:val="22"/>
          <w:szCs w:val="22"/>
        </w:rPr>
        <w:t xml:space="preserve">their </w:t>
      </w:r>
      <w:r w:rsidR="00C75C75" w:rsidRPr="0047272A">
        <w:rPr>
          <w:sz w:val="22"/>
          <w:szCs w:val="22"/>
        </w:rPr>
        <w:t xml:space="preserve">embassies/high commissions and </w:t>
      </w:r>
      <w:r w:rsidR="628771C5" w:rsidRPr="0047272A">
        <w:rPr>
          <w:sz w:val="22"/>
          <w:szCs w:val="22"/>
        </w:rPr>
        <w:t>DESN</w:t>
      </w:r>
      <w:r w:rsidR="60117F2B" w:rsidRPr="0047272A">
        <w:rPr>
          <w:sz w:val="22"/>
          <w:szCs w:val="22"/>
        </w:rPr>
        <w:t>Z,</w:t>
      </w:r>
      <w:r w:rsidR="00C75C75" w:rsidRPr="0047272A">
        <w:rPr>
          <w:sz w:val="22"/>
          <w:szCs w:val="22"/>
        </w:rPr>
        <w:t xml:space="preserve"> the</w:t>
      </w:r>
      <w:r w:rsidR="60117F2B" w:rsidRPr="0047272A">
        <w:rPr>
          <w:sz w:val="22"/>
          <w:szCs w:val="22"/>
        </w:rPr>
        <w:t xml:space="preserve"> Support Unit, </w:t>
      </w:r>
      <w:r w:rsidR="00C75C75" w:rsidRPr="0047272A">
        <w:rPr>
          <w:sz w:val="22"/>
          <w:szCs w:val="22"/>
        </w:rPr>
        <w:t xml:space="preserve">and </w:t>
      </w:r>
      <w:r w:rsidR="60117F2B" w:rsidRPr="0047272A">
        <w:rPr>
          <w:sz w:val="22"/>
          <w:szCs w:val="22"/>
        </w:rPr>
        <w:t xml:space="preserve">funded facilitators in country. </w:t>
      </w:r>
    </w:p>
    <w:p w14:paraId="3041A317" w14:textId="77777777" w:rsidR="00357FB1" w:rsidRDefault="00357FB1" w:rsidP="007D0F55">
      <w:pPr>
        <w:jc w:val="both"/>
      </w:pPr>
    </w:p>
    <w:p w14:paraId="6453D7FB" w14:textId="3C7065C7" w:rsidR="2329E58F" w:rsidRPr="0047272A" w:rsidRDefault="00C73482" w:rsidP="002E0CEB">
      <w:pPr>
        <w:ind w:firstLine="720"/>
        <w:rPr>
          <w:sz w:val="22"/>
          <w:szCs w:val="22"/>
        </w:rPr>
      </w:pPr>
      <w:r w:rsidRPr="0047272A">
        <w:rPr>
          <w:sz w:val="22"/>
          <w:szCs w:val="22"/>
        </w:rPr>
        <w:t>To</w:t>
      </w:r>
      <w:r w:rsidR="532B94C4" w:rsidRPr="0047272A">
        <w:rPr>
          <w:sz w:val="22"/>
          <w:szCs w:val="22"/>
        </w:rPr>
        <w:t xml:space="preserve"> effectively implement the </w:t>
      </w:r>
      <w:r w:rsidR="634BD470" w:rsidRPr="0047272A">
        <w:rPr>
          <w:sz w:val="22"/>
          <w:szCs w:val="22"/>
        </w:rPr>
        <w:t>C</w:t>
      </w:r>
      <w:r w:rsidRPr="0047272A">
        <w:rPr>
          <w:sz w:val="22"/>
          <w:szCs w:val="22"/>
        </w:rPr>
        <w:t>EF</w:t>
      </w:r>
      <w:r w:rsidR="634BD470" w:rsidRPr="0047272A">
        <w:rPr>
          <w:sz w:val="22"/>
          <w:szCs w:val="22"/>
        </w:rPr>
        <w:t>, we have delivered sessions tailored to embassy colleagues to promote a shared understanding between all stakeholders to enable more effective technical assistance support in countries.</w:t>
      </w:r>
      <w:r w:rsidR="4DC72450" w:rsidRPr="0047272A">
        <w:rPr>
          <w:sz w:val="22"/>
          <w:szCs w:val="22"/>
        </w:rPr>
        <w:t xml:space="preserve"> We have also worked closely with the </w:t>
      </w:r>
      <w:r w:rsidR="4DC72450" w:rsidRPr="0047272A">
        <w:rPr>
          <w:sz w:val="22"/>
          <w:szCs w:val="22"/>
        </w:rPr>
        <w:lastRenderedPageBreak/>
        <w:t xml:space="preserve">Support Unit and have drawn on their experience to ensure a good understanding of the Partnership among embassy colleagues. </w:t>
      </w:r>
      <w:r w:rsidR="634BD470" w:rsidRPr="0047272A">
        <w:rPr>
          <w:sz w:val="22"/>
          <w:szCs w:val="22"/>
        </w:rPr>
        <w:t xml:space="preserve"> </w:t>
      </w:r>
    </w:p>
    <w:p w14:paraId="7E7C98EF" w14:textId="77777777" w:rsidR="00847356" w:rsidRPr="0047272A" w:rsidRDefault="00847356" w:rsidP="002E0CEB">
      <w:pPr>
        <w:rPr>
          <w:sz w:val="22"/>
          <w:szCs w:val="22"/>
        </w:rPr>
      </w:pPr>
    </w:p>
    <w:p w14:paraId="6ECFA3CE" w14:textId="46B09839" w:rsidR="00847356" w:rsidRPr="0047272A" w:rsidRDefault="00847356" w:rsidP="00F0751E">
      <w:pPr>
        <w:ind w:firstLine="360"/>
        <w:rPr>
          <w:sz w:val="22"/>
          <w:szCs w:val="22"/>
        </w:rPr>
      </w:pPr>
      <w:r w:rsidRPr="0047272A">
        <w:rPr>
          <w:sz w:val="22"/>
          <w:szCs w:val="22"/>
        </w:rPr>
        <w:t xml:space="preserve">All of this work is supported by the matchmaking and global knowledge and learning services of the Support Unit, to which the UK </w:t>
      </w:r>
      <w:r w:rsidR="00CE0A59" w:rsidRPr="0047272A">
        <w:rPr>
          <w:sz w:val="22"/>
          <w:szCs w:val="22"/>
        </w:rPr>
        <w:t xml:space="preserve">provided a core grant of </w:t>
      </w:r>
      <w:r w:rsidR="274B088A" w:rsidRPr="0047272A">
        <w:rPr>
          <w:sz w:val="22"/>
          <w:szCs w:val="22"/>
        </w:rPr>
        <w:t>£</w:t>
      </w:r>
      <w:r w:rsidR="005B3A20" w:rsidRPr="0047272A">
        <w:rPr>
          <w:sz w:val="22"/>
          <w:szCs w:val="22"/>
        </w:rPr>
        <w:t>3.</w:t>
      </w:r>
      <w:r w:rsidR="00CA5A6E" w:rsidRPr="0047272A">
        <w:rPr>
          <w:sz w:val="22"/>
          <w:szCs w:val="22"/>
        </w:rPr>
        <w:t>7</w:t>
      </w:r>
      <w:r w:rsidR="00CE0A59" w:rsidRPr="0047272A">
        <w:rPr>
          <w:sz w:val="22"/>
          <w:szCs w:val="22"/>
        </w:rPr>
        <w:t xml:space="preserve">m in this reporting period, </w:t>
      </w:r>
      <w:r w:rsidR="00036AE5" w:rsidRPr="0047272A">
        <w:rPr>
          <w:sz w:val="22"/>
          <w:szCs w:val="22"/>
        </w:rPr>
        <w:t xml:space="preserve">enabling continued </w:t>
      </w:r>
      <w:r w:rsidR="00CE0A59" w:rsidRPr="0047272A">
        <w:rPr>
          <w:sz w:val="22"/>
          <w:szCs w:val="22"/>
        </w:rPr>
        <w:t>support</w:t>
      </w:r>
      <w:r w:rsidR="00036AE5" w:rsidRPr="0047272A">
        <w:rPr>
          <w:sz w:val="22"/>
          <w:szCs w:val="22"/>
        </w:rPr>
        <w:t xml:space="preserve"> and guidance to the Partnership’s 230 members, and </w:t>
      </w:r>
      <w:r w:rsidR="00AD2DE7" w:rsidRPr="0047272A">
        <w:rPr>
          <w:sz w:val="22"/>
          <w:szCs w:val="22"/>
        </w:rPr>
        <w:t xml:space="preserve">delivery of key products, including a public NDC3.0 navigator, which provides a comprehensive best practice guide for NDC updates. </w:t>
      </w:r>
      <w:r w:rsidR="00DC4C4B" w:rsidRPr="0047272A">
        <w:rPr>
          <w:sz w:val="22"/>
          <w:szCs w:val="22"/>
        </w:rPr>
        <w:t>The overall results of the Partnership are measured through the Annual Members’ survey and M</w:t>
      </w:r>
      <w:r w:rsidR="00DD1DD4" w:rsidRPr="0047272A">
        <w:rPr>
          <w:sz w:val="22"/>
          <w:szCs w:val="22"/>
        </w:rPr>
        <w:t>onitoring, Evaluation and Learning (MEL)</w:t>
      </w:r>
      <w:r w:rsidR="00DC4C4B" w:rsidRPr="0047272A">
        <w:rPr>
          <w:sz w:val="22"/>
          <w:szCs w:val="22"/>
        </w:rPr>
        <w:t xml:space="preserve"> data collected by the SU</w:t>
      </w:r>
      <w:r w:rsidR="00B340C5" w:rsidRPr="0047272A">
        <w:rPr>
          <w:sz w:val="22"/>
          <w:szCs w:val="22"/>
        </w:rPr>
        <w:t xml:space="preserve">. This data </w:t>
      </w:r>
      <w:r w:rsidR="00EE0A54" w:rsidRPr="0047272A">
        <w:rPr>
          <w:sz w:val="22"/>
          <w:szCs w:val="22"/>
        </w:rPr>
        <w:t xml:space="preserve">demonstrates positive results across key </w:t>
      </w:r>
      <w:r w:rsidR="00A3148B">
        <w:rPr>
          <w:sz w:val="22"/>
          <w:szCs w:val="22"/>
        </w:rPr>
        <w:t>logframe</w:t>
      </w:r>
      <w:r w:rsidR="00EE0A54" w:rsidRPr="0047272A">
        <w:rPr>
          <w:sz w:val="22"/>
          <w:szCs w:val="22"/>
        </w:rPr>
        <w:t xml:space="preserve"> indicators:</w:t>
      </w:r>
    </w:p>
    <w:p w14:paraId="7523BBFB" w14:textId="77777777" w:rsidR="007D0F55" w:rsidRPr="0047272A" w:rsidRDefault="007D0F55" w:rsidP="00F0751E">
      <w:pPr>
        <w:rPr>
          <w:rFonts w:eastAsia="Arial" w:cs="Arial"/>
          <w:color w:val="242424"/>
          <w:sz w:val="22"/>
          <w:szCs w:val="22"/>
        </w:rPr>
      </w:pPr>
    </w:p>
    <w:p w14:paraId="2D198BA5" w14:textId="12A24941" w:rsidR="002859B0" w:rsidRPr="0047272A" w:rsidRDefault="31805D16" w:rsidP="00F0751E">
      <w:pPr>
        <w:pStyle w:val="ListParagraph"/>
        <w:numPr>
          <w:ilvl w:val="0"/>
          <w:numId w:val="71"/>
        </w:numPr>
        <w:rPr>
          <w:rFonts w:eastAsia="Arial" w:cs="Arial"/>
          <w:color w:val="242424"/>
          <w:sz w:val="22"/>
          <w:szCs w:val="22"/>
        </w:rPr>
      </w:pPr>
      <w:r w:rsidRPr="0047272A">
        <w:rPr>
          <w:rFonts w:eastAsia="Arial" w:cs="Arial"/>
          <w:color w:val="242424"/>
          <w:sz w:val="22"/>
          <w:szCs w:val="22"/>
        </w:rPr>
        <w:t>61% of country members have reported integrating NDC measures into the next cycle of national, subnational, and sectoral development plans and budgets.</w:t>
      </w:r>
      <w:r w:rsidR="00C334AE" w:rsidRPr="0047272A">
        <w:rPr>
          <w:rFonts w:eastAsia="Arial" w:cs="Arial"/>
          <w:color w:val="242424"/>
          <w:sz w:val="22"/>
          <w:szCs w:val="22"/>
        </w:rPr>
        <w:t xml:space="preserve"> </w:t>
      </w:r>
      <w:r w:rsidRPr="0047272A">
        <w:rPr>
          <w:rFonts w:eastAsia="Arial" w:cs="Arial"/>
          <w:color w:val="242424"/>
          <w:sz w:val="22"/>
          <w:szCs w:val="22"/>
        </w:rPr>
        <w:t>This is double the baseline set in 2020, demonstrating a significant shift</w:t>
      </w:r>
      <w:r w:rsidR="2792384E" w:rsidRPr="0047272A">
        <w:rPr>
          <w:rFonts w:eastAsia="Arial" w:cs="Arial"/>
          <w:color w:val="242424"/>
          <w:sz w:val="22"/>
          <w:szCs w:val="22"/>
        </w:rPr>
        <w:t xml:space="preserve">. </w:t>
      </w:r>
    </w:p>
    <w:p w14:paraId="28ECC946" w14:textId="77777777" w:rsidR="002859B0" w:rsidRPr="0047272A" w:rsidRDefault="2792384E" w:rsidP="00F0751E">
      <w:pPr>
        <w:pStyle w:val="ListParagraph"/>
        <w:numPr>
          <w:ilvl w:val="0"/>
          <w:numId w:val="71"/>
        </w:numPr>
        <w:rPr>
          <w:rFonts w:eastAsia="Arial" w:cs="Arial"/>
          <w:color w:val="242424"/>
          <w:sz w:val="22"/>
          <w:szCs w:val="22"/>
        </w:rPr>
      </w:pPr>
      <w:r w:rsidRPr="0047272A">
        <w:rPr>
          <w:rFonts w:eastAsia="Arial" w:cs="Arial"/>
          <w:color w:val="242424"/>
          <w:sz w:val="22"/>
          <w:szCs w:val="22"/>
        </w:rPr>
        <w:t xml:space="preserve">80% of members have reported being on track or ahead of schedule in meeting NDC mitigation and adaptation targets. </w:t>
      </w:r>
    </w:p>
    <w:p w14:paraId="479362C5" w14:textId="2C85C351" w:rsidR="00771847" w:rsidRPr="0047272A" w:rsidRDefault="2792384E" w:rsidP="00F0751E">
      <w:pPr>
        <w:pStyle w:val="ListParagraph"/>
        <w:numPr>
          <w:ilvl w:val="0"/>
          <w:numId w:val="71"/>
        </w:numPr>
        <w:rPr>
          <w:rFonts w:eastAsia="Arial" w:cs="Arial"/>
          <w:color w:val="242424"/>
          <w:sz w:val="22"/>
          <w:szCs w:val="22"/>
        </w:rPr>
      </w:pPr>
      <w:r w:rsidRPr="0047272A">
        <w:rPr>
          <w:rFonts w:eastAsia="Arial" w:cs="Arial"/>
          <w:color w:val="242424"/>
          <w:sz w:val="22"/>
          <w:szCs w:val="22"/>
        </w:rPr>
        <w:t>Additionally, 64 countries have received support through 'Partnership plans,' which provide the basis for implementation and support from MDBs and others.</w:t>
      </w:r>
    </w:p>
    <w:p w14:paraId="5891C77D" w14:textId="74FF54A1" w:rsidR="5FB8212F" w:rsidRPr="0047272A" w:rsidRDefault="5FB8212F" w:rsidP="000A4DFF">
      <w:pPr>
        <w:ind w:firstLine="360"/>
        <w:rPr>
          <w:rFonts w:eastAsia="Arial" w:cs="Arial"/>
          <w:color w:val="242424"/>
          <w:sz w:val="22"/>
          <w:szCs w:val="22"/>
        </w:rPr>
      </w:pPr>
      <w:r w:rsidRPr="0047272A">
        <w:rPr>
          <w:rFonts w:eastAsia="Arial" w:cs="Arial"/>
          <w:color w:val="242424"/>
          <w:sz w:val="22"/>
          <w:szCs w:val="22"/>
        </w:rPr>
        <w:t xml:space="preserve">Although we experienced delays in signing agreements with the World Bank </w:t>
      </w:r>
      <w:r w:rsidR="2486F958" w:rsidRPr="0047272A">
        <w:rPr>
          <w:rFonts w:eastAsia="Arial" w:cs="Arial"/>
          <w:color w:val="242424"/>
          <w:sz w:val="22"/>
          <w:szCs w:val="22"/>
        </w:rPr>
        <w:t>and</w:t>
      </w:r>
      <w:r w:rsidRPr="0047272A">
        <w:rPr>
          <w:rFonts w:eastAsia="Arial" w:cs="Arial"/>
          <w:color w:val="242424"/>
          <w:sz w:val="22"/>
          <w:szCs w:val="22"/>
        </w:rPr>
        <w:t xml:space="preserve"> UNDP due to delayed due diligence reporting, once those agreements were signed, we were able to proceed swiftly with distributing the funds to countries to enable NDC 3.0 updates</w:t>
      </w:r>
      <w:r w:rsidR="5FBC62AC" w:rsidRPr="0047272A">
        <w:rPr>
          <w:rFonts w:eastAsia="Arial" w:cs="Arial"/>
          <w:color w:val="242424"/>
          <w:sz w:val="22"/>
          <w:szCs w:val="22"/>
        </w:rPr>
        <w:t>. The Support Unit has continued to work well with us and so has UNOPS in their management of the Country Engagement Fund.</w:t>
      </w:r>
      <w:r w:rsidR="00FF45EA" w:rsidRPr="0047272A">
        <w:rPr>
          <w:rFonts w:eastAsia="Arial" w:cs="Arial"/>
          <w:color w:val="242424"/>
          <w:sz w:val="22"/>
          <w:szCs w:val="22"/>
        </w:rPr>
        <w:t xml:space="preserve"> </w:t>
      </w:r>
      <w:r w:rsidR="3AF2AE7E" w:rsidRPr="0047272A">
        <w:rPr>
          <w:rFonts w:eastAsia="Arial" w:cs="Arial"/>
          <w:color w:val="242424"/>
          <w:sz w:val="22"/>
          <w:szCs w:val="22"/>
        </w:rPr>
        <w:t xml:space="preserve">Although, we expect the official reporting from delivery partners to be provided in Summer and Autumn </w:t>
      </w:r>
      <w:r w:rsidR="000A4DFF">
        <w:rPr>
          <w:rFonts w:eastAsia="Arial" w:cs="Arial"/>
          <w:color w:val="242424"/>
          <w:sz w:val="22"/>
          <w:szCs w:val="22"/>
        </w:rPr>
        <w:t xml:space="preserve">of 2025, </w:t>
      </w:r>
      <w:r w:rsidR="3AF2AE7E" w:rsidRPr="0047272A">
        <w:rPr>
          <w:rFonts w:eastAsia="Arial" w:cs="Arial"/>
          <w:color w:val="242424"/>
          <w:sz w:val="22"/>
          <w:szCs w:val="22"/>
        </w:rPr>
        <w:t xml:space="preserve">we have assurance that UK’s funding is going towards </w:t>
      </w:r>
      <w:r w:rsidR="479BCAEA" w:rsidRPr="0047272A">
        <w:rPr>
          <w:rFonts w:eastAsia="Arial" w:cs="Arial"/>
          <w:color w:val="242424"/>
          <w:sz w:val="22"/>
          <w:szCs w:val="22"/>
        </w:rPr>
        <w:t xml:space="preserve">providing effective support to developing countries and contributing to good results at the Partnership level. Utilising existing infrastructure is allowing us to provide good Value for Money and </w:t>
      </w:r>
      <w:r w:rsidR="7CC4ECA4" w:rsidRPr="0047272A">
        <w:rPr>
          <w:rFonts w:eastAsia="Arial" w:cs="Arial"/>
          <w:color w:val="242424"/>
          <w:sz w:val="22"/>
          <w:szCs w:val="22"/>
        </w:rPr>
        <w:t>our engagements with delivery partners have been productive.</w:t>
      </w:r>
    </w:p>
    <w:p w14:paraId="5EF50331" w14:textId="77777777" w:rsidR="007D0F55" w:rsidRPr="0047272A" w:rsidRDefault="007D0F55" w:rsidP="007D0F55">
      <w:pPr>
        <w:jc w:val="both"/>
        <w:rPr>
          <w:rFonts w:eastAsia="Arial" w:cs="Arial"/>
          <w:sz w:val="22"/>
          <w:szCs w:val="22"/>
        </w:rPr>
      </w:pPr>
    </w:p>
    <w:p w14:paraId="36AC6569" w14:textId="77777777" w:rsidR="003D222C" w:rsidRPr="003C5BF3" w:rsidRDefault="003D222C" w:rsidP="004D5FD5">
      <w:pPr>
        <w:jc w:val="both"/>
        <w:rPr>
          <w:rFonts w:cs="Arial"/>
          <w:b/>
          <w:sz w:val="22"/>
          <w:szCs w:val="22"/>
        </w:rPr>
      </w:pPr>
    </w:p>
    <w:p w14:paraId="4CE36B2E" w14:textId="77777777" w:rsidR="00C334AE" w:rsidRDefault="00C334AE">
      <w:pPr>
        <w:spacing w:after="160" w:line="259" w:lineRule="auto"/>
      </w:pPr>
      <w:bookmarkStart w:id="4" w:name="_Toc199421656"/>
      <w:r>
        <w:br w:type="page"/>
      </w:r>
    </w:p>
    <w:p w14:paraId="50006480" w14:textId="77777777" w:rsidR="00F0751E" w:rsidRDefault="00F0751E">
      <w:pPr>
        <w:spacing w:after="160" w:line="259" w:lineRule="auto"/>
        <w:rPr>
          <w:b/>
          <w:i/>
          <w:kern w:val="28"/>
          <w:sz w:val="28"/>
          <w:szCs w:val="28"/>
        </w:rPr>
      </w:pPr>
    </w:p>
    <w:p w14:paraId="7B570BA3" w14:textId="57292444" w:rsidR="003D222C" w:rsidRPr="003C5BF3" w:rsidRDefault="003D222C" w:rsidP="004D5FD5">
      <w:pPr>
        <w:pStyle w:val="Heading2"/>
        <w:jc w:val="both"/>
      </w:pPr>
      <w:r w:rsidRPr="003C5BF3">
        <w:t>Progress against recommendations from the last review</w:t>
      </w:r>
      <w:bookmarkEnd w:id="4"/>
    </w:p>
    <w:p w14:paraId="0683EA2F" w14:textId="77777777" w:rsidR="00DD28AD" w:rsidRPr="003C5BF3" w:rsidRDefault="00DD28AD" w:rsidP="00DD28AD">
      <w:pPr>
        <w:rPr>
          <w:sz w:val="2"/>
          <w:szCs w:val="2"/>
        </w:rPr>
      </w:pPr>
    </w:p>
    <w:p w14:paraId="55666261" w14:textId="77777777" w:rsidR="003D222C" w:rsidRPr="003C5BF3" w:rsidRDefault="003D222C" w:rsidP="004D5FD5">
      <w:pPr>
        <w:jc w:val="both"/>
        <w:rPr>
          <w:rFonts w:cs="Arial"/>
          <w:b/>
          <w:sz w:val="22"/>
          <w:szCs w:val="22"/>
        </w:rPr>
      </w:pPr>
    </w:p>
    <w:tbl>
      <w:tblPr>
        <w:tblStyle w:val="TableGrid"/>
        <w:tblW w:w="0" w:type="auto"/>
        <w:tblLook w:val="04A0" w:firstRow="1" w:lastRow="0" w:firstColumn="1" w:lastColumn="0" w:noHBand="0" w:noVBand="1"/>
      </w:tblPr>
      <w:tblGrid>
        <w:gridCol w:w="4684"/>
        <w:gridCol w:w="4332"/>
      </w:tblGrid>
      <w:tr w:rsidR="003D222C" w:rsidRPr="003C5BF3" w14:paraId="70C21392" w14:textId="77777777" w:rsidTr="2D1ABD07">
        <w:tc>
          <w:tcPr>
            <w:tcW w:w="5210" w:type="dxa"/>
            <w:shd w:val="clear" w:color="auto" w:fill="DEEAF6" w:themeFill="accent5" w:themeFillTint="33"/>
          </w:tcPr>
          <w:p w14:paraId="53D8F37C" w14:textId="77777777" w:rsidR="003D222C" w:rsidRPr="0047272A" w:rsidRDefault="003D222C" w:rsidP="00E84DC0">
            <w:pPr>
              <w:rPr>
                <w:rFonts w:cs="Arial"/>
                <w:b/>
                <w:sz w:val="20"/>
                <w:szCs w:val="20"/>
              </w:rPr>
            </w:pPr>
            <w:r w:rsidRPr="0047272A">
              <w:rPr>
                <w:rFonts w:cs="Arial"/>
                <w:b/>
                <w:sz w:val="20"/>
                <w:szCs w:val="20"/>
              </w:rPr>
              <w:t>Recommendation</w:t>
            </w:r>
          </w:p>
        </w:tc>
        <w:tc>
          <w:tcPr>
            <w:tcW w:w="5210" w:type="dxa"/>
            <w:shd w:val="clear" w:color="auto" w:fill="DEEAF6" w:themeFill="accent5" w:themeFillTint="33"/>
          </w:tcPr>
          <w:p w14:paraId="4501CA7E" w14:textId="77777777" w:rsidR="003D222C" w:rsidRPr="0047272A" w:rsidRDefault="003D222C" w:rsidP="00E84DC0">
            <w:pPr>
              <w:rPr>
                <w:rFonts w:cs="Arial"/>
                <w:b/>
                <w:sz w:val="20"/>
                <w:szCs w:val="20"/>
              </w:rPr>
            </w:pPr>
            <w:r w:rsidRPr="0047272A">
              <w:rPr>
                <w:rFonts w:cs="Arial"/>
                <w:b/>
                <w:sz w:val="20"/>
                <w:szCs w:val="20"/>
              </w:rPr>
              <w:t>Progress</w:t>
            </w:r>
          </w:p>
        </w:tc>
      </w:tr>
      <w:tr w:rsidR="003D222C" w:rsidRPr="003C5BF3" w14:paraId="3B8F7C7F" w14:textId="77777777" w:rsidTr="2D1ABD07">
        <w:trPr>
          <w:trHeight w:val="3287"/>
        </w:trPr>
        <w:tc>
          <w:tcPr>
            <w:tcW w:w="5210" w:type="dxa"/>
          </w:tcPr>
          <w:p w14:paraId="5F8E06B0" w14:textId="77777777" w:rsidR="00C86089" w:rsidRPr="0047272A" w:rsidRDefault="00C86089" w:rsidP="00E84DC0">
            <w:pPr>
              <w:pStyle w:val="paragraph"/>
              <w:spacing w:before="0" w:beforeAutospacing="0" w:after="0" w:afterAutospacing="0"/>
              <w:textAlignment w:val="baseline"/>
              <w:rPr>
                <w:rFonts w:ascii="Arial" w:eastAsia="Arial" w:hAnsi="Arial" w:cs="Arial"/>
                <w:b/>
                <w:bCs/>
                <w:sz w:val="20"/>
                <w:szCs w:val="20"/>
              </w:rPr>
            </w:pPr>
            <w:r w:rsidRPr="0047272A">
              <w:rPr>
                <w:rFonts w:ascii="Arial" w:eastAsia="Arial" w:hAnsi="Arial" w:cs="Arial"/>
                <w:b/>
                <w:sz w:val="20"/>
                <w:szCs w:val="20"/>
              </w:rPr>
              <w:t xml:space="preserve">To strengthen the role of in-country facilitators, take the lessons learnt from the UK TA Fund, in order to continue to provide demand led and neutral support through the Support Unit, </w:t>
            </w:r>
            <w:r w:rsidRPr="0047272A">
              <w:rPr>
                <w:rFonts w:ascii="Arial" w:eastAsia="Arial" w:hAnsi="Arial" w:cs="Arial"/>
                <w:b/>
                <w:bCs/>
                <w:sz w:val="20"/>
                <w:szCs w:val="20"/>
              </w:rPr>
              <w:t>DESNZ should:</w:t>
            </w:r>
          </w:p>
          <w:p w14:paraId="66A36587" w14:textId="77777777" w:rsidR="00C86089" w:rsidRPr="0047272A" w:rsidRDefault="00C86089" w:rsidP="00E84DC0">
            <w:pPr>
              <w:pStyle w:val="paragraph"/>
              <w:spacing w:before="0" w:beforeAutospacing="0" w:after="0" w:afterAutospacing="0"/>
              <w:textAlignment w:val="baseline"/>
              <w:rPr>
                <w:rFonts w:ascii="Arial" w:eastAsia="Arial" w:hAnsi="Arial" w:cs="Arial"/>
                <w:b/>
                <w:sz w:val="20"/>
                <w:szCs w:val="20"/>
              </w:rPr>
            </w:pPr>
          </w:p>
          <w:p w14:paraId="257AD2D9" w14:textId="77777777" w:rsidR="00C86089" w:rsidRPr="0047272A" w:rsidRDefault="00C86089" w:rsidP="00E84DC0">
            <w:pPr>
              <w:pStyle w:val="paragraph"/>
              <w:numPr>
                <w:ilvl w:val="0"/>
                <w:numId w:val="52"/>
              </w:numPr>
              <w:spacing w:before="0" w:beforeAutospacing="0" w:after="0" w:afterAutospacing="0"/>
              <w:textAlignment w:val="baseline"/>
              <w:rPr>
                <w:rFonts w:ascii="Arial" w:eastAsia="Arial" w:hAnsi="Arial" w:cs="Arial"/>
                <w:sz w:val="20"/>
                <w:szCs w:val="20"/>
              </w:rPr>
            </w:pPr>
            <w:r w:rsidRPr="0047272A">
              <w:rPr>
                <w:rFonts w:ascii="Arial" w:eastAsia="Arial" w:hAnsi="Arial" w:cs="Arial"/>
                <w:sz w:val="20"/>
                <w:szCs w:val="20"/>
              </w:rPr>
              <w:t xml:space="preserve">Only look to fund facilitators through the Country Engagement Fund (successor to the UK TA Fund) and ensure that the delivery for the Fund continues to be through the Support Unit to ensure neutrality. – by October 2024 </w:t>
            </w:r>
          </w:p>
          <w:p w14:paraId="73F78A66" w14:textId="77777777" w:rsidR="00C86089" w:rsidRPr="0047272A" w:rsidRDefault="00C86089" w:rsidP="00E84DC0">
            <w:pPr>
              <w:pStyle w:val="paragraph"/>
              <w:spacing w:before="0" w:beforeAutospacing="0" w:after="0" w:afterAutospacing="0"/>
              <w:ind w:left="720"/>
              <w:textAlignment w:val="baseline"/>
              <w:rPr>
                <w:rFonts w:ascii="Arial" w:eastAsia="Arial" w:hAnsi="Arial" w:cs="Arial"/>
                <w:sz w:val="20"/>
                <w:szCs w:val="20"/>
              </w:rPr>
            </w:pPr>
          </w:p>
          <w:p w14:paraId="7A855467" w14:textId="77777777" w:rsidR="00C86089" w:rsidRPr="0047272A" w:rsidRDefault="00C86089" w:rsidP="00E84DC0">
            <w:pPr>
              <w:pStyle w:val="paragraph"/>
              <w:numPr>
                <w:ilvl w:val="0"/>
                <w:numId w:val="52"/>
              </w:numPr>
              <w:spacing w:before="0" w:beforeAutospacing="0" w:after="0" w:afterAutospacing="0"/>
              <w:textAlignment w:val="baseline"/>
              <w:rPr>
                <w:rFonts w:ascii="Arial" w:eastAsia="Arial" w:hAnsi="Arial" w:cs="Arial"/>
                <w:sz w:val="20"/>
                <w:szCs w:val="20"/>
              </w:rPr>
            </w:pPr>
            <w:r w:rsidRPr="0047272A">
              <w:rPr>
                <w:rFonts w:ascii="Arial" w:eastAsia="Arial" w:hAnsi="Arial" w:cs="Arial"/>
                <w:sz w:val="20"/>
                <w:szCs w:val="20"/>
              </w:rPr>
              <w:t>Create a process for choosing which UK delivery mechanism should respond to requests for embedded advisors in relevant countries (whether it should be the Country Engagement Fund, UKPACT country funds etc.) – by October 2024</w:t>
            </w:r>
          </w:p>
          <w:p w14:paraId="6075B309" w14:textId="77777777" w:rsidR="003D222C" w:rsidRPr="0047272A" w:rsidRDefault="003D222C" w:rsidP="00E84DC0">
            <w:pPr>
              <w:rPr>
                <w:rFonts w:cs="Arial"/>
                <w:b/>
                <w:sz w:val="20"/>
                <w:szCs w:val="20"/>
              </w:rPr>
            </w:pPr>
          </w:p>
        </w:tc>
        <w:tc>
          <w:tcPr>
            <w:tcW w:w="5210" w:type="dxa"/>
          </w:tcPr>
          <w:p w14:paraId="5E690535" w14:textId="77777777" w:rsidR="009B25F8" w:rsidRPr="0047272A" w:rsidRDefault="73D6696A" w:rsidP="00E84DC0">
            <w:pPr>
              <w:pStyle w:val="ListParagraph"/>
              <w:numPr>
                <w:ilvl w:val="2"/>
                <w:numId w:val="31"/>
              </w:numPr>
              <w:ind w:left="263" w:firstLine="0"/>
              <w:rPr>
                <w:rFonts w:cs="Arial"/>
                <w:sz w:val="20"/>
              </w:rPr>
            </w:pPr>
            <w:r w:rsidRPr="0047272A">
              <w:rPr>
                <w:rFonts w:cs="Arial"/>
                <w:b/>
                <w:bCs/>
                <w:sz w:val="20"/>
              </w:rPr>
              <w:t>Achieved</w:t>
            </w:r>
            <w:r w:rsidR="1BE33BA6" w:rsidRPr="0047272A">
              <w:rPr>
                <w:rFonts w:cs="Arial"/>
                <w:sz w:val="20"/>
              </w:rPr>
              <w:t xml:space="preserve"> </w:t>
            </w:r>
          </w:p>
          <w:p w14:paraId="4425ED84" w14:textId="22F9A62E" w:rsidR="00E91357" w:rsidRPr="0047272A" w:rsidRDefault="1BE33BA6" w:rsidP="00E84DC0">
            <w:pPr>
              <w:pStyle w:val="ListParagraph"/>
              <w:ind w:left="263"/>
              <w:rPr>
                <w:rFonts w:cs="Arial"/>
                <w:sz w:val="20"/>
              </w:rPr>
            </w:pPr>
            <w:r w:rsidRPr="0047272A">
              <w:rPr>
                <w:rFonts w:cs="Arial"/>
                <w:sz w:val="20"/>
              </w:rPr>
              <w:t xml:space="preserve">The Country Engagement Fund </w:t>
            </w:r>
            <w:r w:rsidR="0BD9D877" w:rsidRPr="0047272A">
              <w:rPr>
                <w:rFonts w:cs="Arial"/>
                <w:sz w:val="20"/>
              </w:rPr>
              <w:t xml:space="preserve">has now been set up and its delivery through UNOPS enables </w:t>
            </w:r>
            <w:r w:rsidR="241EC6B3" w:rsidRPr="0047272A">
              <w:rPr>
                <w:rFonts w:cs="Arial"/>
                <w:sz w:val="20"/>
              </w:rPr>
              <w:t xml:space="preserve">the Support Unit to maintain the </w:t>
            </w:r>
            <w:r w:rsidR="61BBDE90" w:rsidRPr="0047272A">
              <w:rPr>
                <w:rFonts w:cs="Arial"/>
                <w:sz w:val="20"/>
              </w:rPr>
              <w:t>funds neutrality which has been much appreciated by countries.</w:t>
            </w:r>
          </w:p>
          <w:p w14:paraId="129BB3C4" w14:textId="77777777" w:rsidR="00E91357" w:rsidRPr="0047272A" w:rsidRDefault="00E91357" w:rsidP="00E84DC0">
            <w:pPr>
              <w:pStyle w:val="ListParagraph"/>
              <w:rPr>
                <w:rFonts w:cs="Arial"/>
                <w:sz w:val="20"/>
              </w:rPr>
            </w:pPr>
          </w:p>
          <w:p w14:paraId="75CDCC8B" w14:textId="77777777" w:rsidR="009B25F8" w:rsidRPr="0047272A" w:rsidRDefault="00C303DA" w:rsidP="00E84DC0">
            <w:pPr>
              <w:pStyle w:val="ListParagraph"/>
              <w:numPr>
                <w:ilvl w:val="2"/>
                <w:numId w:val="31"/>
              </w:numPr>
              <w:ind w:left="263" w:firstLine="0"/>
              <w:rPr>
                <w:rFonts w:cs="Arial"/>
                <w:sz w:val="20"/>
              </w:rPr>
            </w:pPr>
            <w:r w:rsidRPr="0047272A">
              <w:rPr>
                <w:rFonts w:cs="Arial"/>
                <w:b/>
                <w:bCs/>
                <w:sz w:val="20"/>
              </w:rPr>
              <w:t>Achieved</w:t>
            </w:r>
          </w:p>
          <w:p w14:paraId="1E6248CC" w14:textId="157E6279" w:rsidR="00E91357" w:rsidRPr="0047272A" w:rsidRDefault="002B0F7B" w:rsidP="00E84DC0">
            <w:pPr>
              <w:pStyle w:val="ListParagraph"/>
              <w:ind w:left="263"/>
              <w:rPr>
                <w:rFonts w:cs="Arial"/>
                <w:sz w:val="20"/>
              </w:rPr>
            </w:pPr>
            <w:r w:rsidRPr="0047272A">
              <w:rPr>
                <w:rFonts w:cs="Arial"/>
                <w:sz w:val="20"/>
              </w:rPr>
              <w:t xml:space="preserve">Through the </w:t>
            </w:r>
            <w:r w:rsidR="00235AA8" w:rsidRPr="0047272A">
              <w:rPr>
                <w:rFonts w:cs="Arial"/>
                <w:sz w:val="20"/>
              </w:rPr>
              <w:t>setup</w:t>
            </w:r>
            <w:r w:rsidRPr="0047272A">
              <w:rPr>
                <w:rFonts w:cs="Arial"/>
                <w:sz w:val="20"/>
              </w:rPr>
              <w:t xml:space="preserve"> of the Country Engagement Fund, and through engagement with the UK PACT team and </w:t>
            </w:r>
            <w:r w:rsidR="00E91357" w:rsidRPr="0047272A">
              <w:rPr>
                <w:rFonts w:cs="Arial"/>
                <w:sz w:val="20"/>
              </w:rPr>
              <w:t>other partners, we have developed a strategy for the funds which outlines priority countries. The full country engagement process which shares requests with other programme teams provides the opportunity for other programmes to respond to request for embedded advisors</w:t>
            </w:r>
            <w:r w:rsidR="00235AA8" w:rsidRPr="0047272A">
              <w:rPr>
                <w:rFonts w:cs="Arial"/>
                <w:sz w:val="20"/>
              </w:rPr>
              <w:t xml:space="preserve"> if they are able to</w:t>
            </w:r>
            <w:r w:rsidR="00E91357" w:rsidRPr="0047272A">
              <w:rPr>
                <w:rFonts w:cs="Arial"/>
                <w:sz w:val="20"/>
              </w:rPr>
              <w:t xml:space="preserve">, but the Country Engagement Fund strategy keeps the flexibility to fund all ODA eligible NDC Partnership members if required. </w:t>
            </w:r>
          </w:p>
        </w:tc>
      </w:tr>
      <w:tr w:rsidR="00D0302B" w:rsidRPr="003C5BF3" w14:paraId="2483F714" w14:textId="77777777" w:rsidTr="2D1ABD07">
        <w:trPr>
          <w:trHeight w:val="345"/>
        </w:trPr>
        <w:tc>
          <w:tcPr>
            <w:tcW w:w="5210" w:type="dxa"/>
          </w:tcPr>
          <w:p w14:paraId="68C626B8" w14:textId="77777777" w:rsidR="000756DA" w:rsidRPr="0047272A" w:rsidRDefault="000756DA" w:rsidP="00E84DC0">
            <w:pPr>
              <w:textAlignment w:val="baseline"/>
              <w:rPr>
                <w:rFonts w:eastAsia="Arial" w:cs="Arial"/>
                <w:b/>
                <w:bCs/>
                <w:color w:val="000000" w:themeColor="text1"/>
                <w:sz w:val="20"/>
                <w:szCs w:val="20"/>
              </w:rPr>
            </w:pPr>
            <w:r w:rsidRPr="0047272A">
              <w:rPr>
                <w:rFonts w:eastAsia="Arial" w:cs="Arial"/>
                <w:b/>
                <w:bCs/>
                <w:color w:val="000000" w:themeColor="text1"/>
                <w:sz w:val="20"/>
                <w:szCs w:val="20"/>
              </w:rPr>
              <w:t>To strengthened existing capacity-building activities, DESNZ should:</w:t>
            </w:r>
          </w:p>
          <w:p w14:paraId="14C84DAE" w14:textId="77777777" w:rsidR="000756DA" w:rsidRPr="0047272A" w:rsidRDefault="000756DA" w:rsidP="00E84DC0">
            <w:pPr>
              <w:rPr>
                <w:rFonts w:eastAsia="Arial" w:cs="Arial"/>
                <w:color w:val="000000" w:themeColor="text1"/>
                <w:sz w:val="20"/>
                <w:szCs w:val="20"/>
              </w:rPr>
            </w:pPr>
          </w:p>
          <w:p w14:paraId="6358CC7F" w14:textId="77777777" w:rsidR="000756DA" w:rsidRPr="0047272A" w:rsidRDefault="000756DA" w:rsidP="00E84DC0">
            <w:pPr>
              <w:pStyle w:val="ListParagraph"/>
              <w:numPr>
                <w:ilvl w:val="0"/>
                <w:numId w:val="57"/>
              </w:numPr>
              <w:spacing w:after="0"/>
              <w:rPr>
                <w:rFonts w:eastAsia="Arial" w:cs="Arial"/>
                <w:color w:val="000000" w:themeColor="text1"/>
                <w:sz w:val="20"/>
              </w:rPr>
            </w:pPr>
            <w:r w:rsidRPr="0047272A">
              <w:rPr>
                <w:rFonts w:eastAsia="Arial" w:cs="Arial"/>
                <w:color w:val="000000" w:themeColor="text1"/>
                <w:sz w:val="20"/>
              </w:rPr>
              <w:t>Provide guidance/comments on the NDC3.0 Navigator to ensure that it helps support developing countries to formulate strong and clear requests, specifically focused on supporting their efforts to develop NDCs 3.0</w:t>
            </w:r>
            <w:r w:rsidRPr="0047272A" w:rsidDel="00363B3F">
              <w:rPr>
                <w:rFonts w:eastAsia="Arial" w:cs="Arial"/>
                <w:color w:val="000000" w:themeColor="text1"/>
                <w:sz w:val="20"/>
              </w:rPr>
              <w:t>.</w:t>
            </w:r>
            <w:r w:rsidRPr="0047272A">
              <w:rPr>
                <w:rFonts w:eastAsia="Arial" w:cs="Arial"/>
                <w:color w:val="000000" w:themeColor="text1"/>
                <w:sz w:val="20"/>
              </w:rPr>
              <w:t xml:space="preserve"> – by August 2024</w:t>
            </w:r>
          </w:p>
          <w:p w14:paraId="60AA1E7E" w14:textId="77777777" w:rsidR="000756DA" w:rsidRPr="0047272A" w:rsidRDefault="000756DA" w:rsidP="00E84DC0">
            <w:pPr>
              <w:pStyle w:val="ListParagraph"/>
              <w:rPr>
                <w:rFonts w:eastAsia="Arial" w:cs="Arial"/>
                <w:color w:val="000000" w:themeColor="text1"/>
                <w:sz w:val="20"/>
              </w:rPr>
            </w:pPr>
          </w:p>
          <w:p w14:paraId="7960B95D" w14:textId="70CF0780" w:rsidR="000756DA" w:rsidRPr="0047272A" w:rsidRDefault="000756DA" w:rsidP="00E84DC0">
            <w:pPr>
              <w:pStyle w:val="ListParagraph"/>
              <w:numPr>
                <w:ilvl w:val="0"/>
                <w:numId w:val="57"/>
              </w:numPr>
              <w:spacing w:after="0"/>
              <w:rPr>
                <w:rFonts w:eastAsia="Arial" w:cs="Arial"/>
                <w:color w:val="000000" w:themeColor="text1"/>
                <w:sz w:val="20"/>
              </w:rPr>
            </w:pPr>
            <w:r w:rsidRPr="0047272A">
              <w:rPr>
                <w:rFonts w:eastAsia="Arial" w:cs="Arial"/>
                <w:color w:val="000000" w:themeColor="text1"/>
                <w:sz w:val="20"/>
              </w:rPr>
              <w:t>Continue to establish robust mechanisms to inform all relevant parts of HMG about country needs surfaced via the Partnership - by March 2025, this will include:</w:t>
            </w:r>
          </w:p>
          <w:p w14:paraId="0EB40CB7" w14:textId="77777777" w:rsidR="000756DA" w:rsidRPr="0047272A" w:rsidRDefault="000756DA" w:rsidP="00E84DC0">
            <w:pPr>
              <w:pStyle w:val="ListParagraph"/>
              <w:numPr>
                <w:ilvl w:val="1"/>
                <w:numId w:val="57"/>
              </w:numPr>
              <w:spacing w:after="0"/>
              <w:rPr>
                <w:rFonts w:eastAsia="Arial" w:cs="Arial"/>
                <w:color w:val="000000" w:themeColor="text1"/>
                <w:sz w:val="20"/>
              </w:rPr>
            </w:pPr>
            <w:r w:rsidRPr="0047272A">
              <w:rPr>
                <w:rFonts w:eastAsia="Arial" w:cs="Arial"/>
                <w:color w:val="000000" w:themeColor="text1"/>
                <w:sz w:val="20"/>
              </w:rPr>
              <w:t>Consistently sharing the latest requests for support with colleagues at Post and other relevant ICF programme leads.</w:t>
            </w:r>
          </w:p>
          <w:p w14:paraId="2C58798F" w14:textId="77777777" w:rsidR="000756DA" w:rsidRPr="0047272A" w:rsidRDefault="000756DA" w:rsidP="00E84DC0">
            <w:pPr>
              <w:pStyle w:val="ListParagraph"/>
              <w:numPr>
                <w:ilvl w:val="1"/>
                <w:numId w:val="57"/>
              </w:numPr>
              <w:spacing w:after="0"/>
              <w:rPr>
                <w:rFonts w:eastAsia="Arial" w:cs="Arial"/>
                <w:color w:val="000000" w:themeColor="text1"/>
                <w:sz w:val="20"/>
              </w:rPr>
            </w:pPr>
            <w:r w:rsidRPr="0047272A">
              <w:rPr>
                <w:rFonts w:eastAsia="Arial" w:cs="Arial"/>
                <w:color w:val="000000" w:themeColor="text1"/>
                <w:sz w:val="20"/>
              </w:rPr>
              <w:t>Doing quarterly teach-ins about the Partnership to colleagues across Whitehall.</w:t>
            </w:r>
          </w:p>
          <w:p w14:paraId="593C3BD0" w14:textId="77777777" w:rsidR="000756DA" w:rsidRPr="0047272A" w:rsidRDefault="000756DA" w:rsidP="00E84DC0">
            <w:pPr>
              <w:pStyle w:val="ListParagraph"/>
              <w:numPr>
                <w:ilvl w:val="1"/>
                <w:numId w:val="57"/>
              </w:numPr>
              <w:spacing w:after="0"/>
              <w:rPr>
                <w:rFonts w:eastAsia="Arial" w:cs="Arial"/>
                <w:color w:val="000000" w:themeColor="text1"/>
                <w:sz w:val="20"/>
              </w:rPr>
            </w:pPr>
            <w:r w:rsidRPr="0047272A">
              <w:rPr>
                <w:rFonts w:cs="Arial"/>
                <w:sz w:val="20"/>
              </w:rPr>
              <w:t>Inputting Partnership updates/highlights into relevant ICF updates/FCDO climate bulletin, when possible.</w:t>
            </w:r>
          </w:p>
          <w:p w14:paraId="76CF84BC" w14:textId="77777777" w:rsidR="000756DA" w:rsidRPr="0047272A" w:rsidRDefault="000756DA" w:rsidP="00E84DC0">
            <w:pPr>
              <w:pStyle w:val="ListParagraph"/>
              <w:numPr>
                <w:ilvl w:val="1"/>
                <w:numId w:val="57"/>
              </w:numPr>
              <w:spacing w:after="0"/>
              <w:rPr>
                <w:rFonts w:cs="Arial"/>
                <w:sz w:val="20"/>
              </w:rPr>
            </w:pPr>
            <w:r w:rsidRPr="0047272A">
              <w:rPr>
                <w:rFonts w:cs="Arial"/>
                <w:sz w:val="20"/>
              </w:rPr>
              <w:t xml:space="preserve">Continuously engaging with programme leads in DESNZ, FCDO and DEFRA to discuss programmatic alignment with NDC Partnership. </w:t>
            </w:r>
          </w:p>
          <w:p w14:paraId="122408E6" w14:textId="77777777" w:rsidR="000756DA" w:rsidRPr="0047272A" w:rsidRDefault="000756DA" w:rsidP="00E84DC0">
            <w:pPr>
              <w:pStyle w:val="ListParagraph"/>
              <w:numPr>
                <w:ilvl w:val="1"/>
                <w:numId w:val="57"/>
              </w:numPr>
              <w:spacing w:after="0"/>
              <w:rPr>
                <w:rFonts w:cs="Arial"/>
                <w:sz w:val="20"/>
              </w:rPr>
            </w:pPr>
            <w:r w:rsidRPr="0047272A">
              <w:rPr>
                <w:rFonts w:cs="Arial"/>
                <w:sz w:val="20"/>
              </w:rPr>
              <w:lastRenderedPageBreak/>
              <w:t>Creating written guidance to be included in DESNZ ICF business case template.</w:t>
            </w:r>
          </w:p>
          <w:p w14:paraId="2E5A632A" w14:textId="77777777" w:rsidR="00E91357" w:rsidRPr="0047272A" w:rsidRDefault="00E91357" w:rsidP="00E84DC0">
            <w:pPr>
              <w:pStyle w:val="ListParagraph"/>
              <w:spacing w:after="0"/>
              <w:ind w:left="1440"/>
              <w:rPr>
                <w:rFonts w:cs="Arial"/>
                <w:sz w:val="20"/>
              </w:rPr>
            </w:pPr>
          </w:p>
          <w:p w14:paraId="4F0C45D0" w14:textId="0379817D" w:rsidR="000756DA" w:rsidRPr="0047272A" w:rsidRDefault="000756DA" w:rsidP="00E84DC0">
            <w:pPr>
              <w:pStyle w:val="ListParagraph"/>
              <w:numPr>
                <w:ilvl w:val="0"/>
                <w:numId w:val="57"/>
              </w:numPr>
              <w:spacing w:after="0"/>
              <w:rPr>
                <w:rFonts w:cs="Arial"/>
                <w:sz w:val="20"/>
              </w:rPr>
            </w:pPr>
            <w:r w:rsidRPr="0047272A">
              <w:rPr>
                <w:rFonts w:eastAsia="Arial" w:cs="Arial"/>
                <w:sz w:val="20"/>
              </w:rPr>
              <w:t>Improve its NDC Partnership programme management and governance processes to reflect the “portfolio approach” of all the new funding mechanisms under the extension business case. – by September 2024</w:t>
            </w:r>
          </w:p>
          <w:p w14:paraId="25E1262C" w14:textId="77777777" w:rsidR="00D0302B" w:rsidRPr="0047272A" w:rsidRDefault="00D0302B" w:rsidP="00E84DC0">
            <w:pPr>
              <w:rPr>
                <w:rFonts w:cs="Arial"/>
                <w:b/>
                <w:sz w:val="20"/>
                <w:szCs w:val="20"/>
              </w:rPr>
            </w:pPr>
          </w:p>
        </w:tc>
        <w:tc>
          <w:tcPr>
            <w:tcW w:w="5210" w:type="dxa"/>
          </w:tcPr>
          <w:p w14:paraId="5708924C" w14:textId="20385A0D" w:rsidR="00D0302B" w:rsidRPr="0047272A" w:rsidRDefault="00505495" w:rsidP="00E84DC0">
            <w:pPr>
              <w:pStyle w:val="ListParagraph"/>
              <w:numPr>
                <w:ilvl w:val="0"/>
                <w:numId w:val="5"/>
              </w:numPr>
              <w:ind w:left="546" w:hanging="283"/>
              <w:rPr>
                <w:rFonts w:cs="Arial"/>
                <w:b/>
                <w:bCs/>
                <w:sz w:val="20"/>
              </w:rPr>
            </w:pPr>
            <w:r w:rsidRPr="0047272A">
              <w:rPr>
                <w:rFonts w:cs="Arial"/>
                <w:b/>
                <w:bCs/>
                <w:sz w:val="20"/>
              </w:rPr>
              <w:lastRenderedPageBreak/>
              <w:t>Achieved</w:t>
            </w:r>
          </w:p>
          <w:p w14:paraId="1FFFE35F" w14:textId="66E8BDF7" w:rsidR="00505495" w:rsidRPr="0047272A" w:rsidRDefault="6995AD94" w:rsidP="00E84DC0">
            <w:pPr>
              <w:pStyle w:val="ListParagraph"/>
              <w:spacing w:after="0"/>
              <w:ind w:left="263"/>
              <w:rPr>
                <w:rFonts w:eastAsia="Arial" w:cs="Arial"/>
                <w:color w:val="000000" w:themeColor="text1"/>
                <w:sz w:val="20"/>
              </w:rPr>
            </w:pPr>
            <w:r w:rsidRPr="0047272A">
              <w:rPr>
                <w:rFonts w:eastAsia="Arial" w:cs="Arial"/>
                <w:color w:val="000000" w:themeColor="text1"/>
                <w:sz w:val="20"/>
              </w:rPr>
              <w:t>The NDC 3.0 navigator tool, launched by the NDC Partnership Support Unit in collaboration with UNDP and UNFCCC, aims to support countries in raising ambition and accelerating NDC implementation. The UK provided technical inputs, coordinating contributions from DESNZ policy colleagues and FCDO colleagues, which were appreciated by the Support Unit.</w:t>
            </w:r>
          </w:p>
          <w:p w14:paraId="3BE277BA" w14:textId="6AAF66F2" w:rsidR="00505495" w:rsidRPr="0047272A" w:rsidRDefault="00505495" w:rsidP="00E84DC0">
            <w:pPr>
              <w:pStyle w:val="ListParagraph"/>
              <w:rPr>
                <w:rFonts w:cs="Arial"/>
                <w:sz w:val="20"/>
              </w:rPr>
            </w:pPr>
          </w:p>
          <w:p w14:paraId="2DB5E5BB" w14:textId="0924E8BF" w:rsidR="607B638C" w:rsidRPr="0047272A" w:rsidRDefault="00505495" w:rsidP="008C0203">
            <w:pPr>
              <w:pStyle w:val="ListParagraph"/>
              <w:numPr>
                <w:ilvl w:val="0"/>
                <w:numId w:val="5"/>
              </w:numPr>
              <w:ind w:left="546" w:hanging="283"/>
              <w:rPr>
                <w:rFonts w:cs="Arial"/>
                <w:b/>
                <w:bCs/>
                <w:sz w:val="20"/>
              </w:rPr>
            </w:pPr>
            <w:r w:rsidRPr="0047272A">
              <w:rPr>
                <w:rFonts w:cs="Arial"/>
                <w:b/>
                <w:bCs/>
                <w:sz w:val="20"/>
              </w:rPr>
              <w:t>Achieved</w:t>
            </w:r>
          </w:p>
          <w:p w14:paraId="6C90D10A" w14:textId="72C72B4E" w:rsidR="607B638C" w:rsidRPr="0047272A" w:rsidRDefault="6F99C6D7" w:rsidP="00E84DC0">
            <w:pPr>
              <w:pStyle w:val="ListParagraph"/>
              <w:numPr>
                <w:ilvl w:val="0"/>
                <w:numId w:val="66"/>
              </w:numPr>
              <w:ind w:left="263"/>
              <w:rPr>
                <w:rFonts w:eastAsia="Arial" w:cs="Arial"/>
                <w:b/>
                <w:bCs/>
                <w:sz w:val="20"/>
              </w:rPr>
            </w:pPr>
            <w:r w:rsidRPr="0047272A">
              <w:rPr>
                <w:rFonts w:cs="Arial"/>
                <w:sz w:val="20"/>
              </w:rPr>
              <w:t xml:space="preserve">a) Achieved. </w:t>
            </w:r>
            <w:r w:rsidRPr="0047272A">
              <w:rPr>
                <w:rFonts w:eastAsia="Arial" w:cs="Arial"/>
                <w:color w:val="000000" w:themeColor="text1"/>
                <w:sz w:val="20"/>
              </w:rPr>
              <w:t>Once the team receives requests for support, they circulate these requests to colleagues in Post and to relevant DESNZ colleagues, this is then tracked in a Country Engagement Fund Tracker.</w:t>
            </w:r>
          </w:p>
          <w:p w14:paraId="5EA0E891" w14:textId="20B7C271" w:rsidR="3D6CD211" w:rsidRPr="0047272A" w:rsidRDefault="6F99C6D7" w:rsidP="00E84DC0">
            <w:pPr>
              <w:ind w:left="263"/>
              <w:rPr>
                <w:rFonts w:eastAsia="Arial" w:cs="Arial"/>
                <w:color w:val="000000" w:themeColor="text1"/>
                <w:sz w:val="20"/>
                <w:szCs w:val="20"/>
              </w:rPr>
            </w:pPr>
            <w:r w:rsidRPr="0047272A">
              <w:rPr>
                <w:rFonts w:eastAsia="Arial" w:cs="Arial"/>
                <w:color w:val="000000" w:themeColor="text1"/>
                <w:sz w:val="20"/>
                <w:szCs w:val="20"/>
              </w:rPr>
              <w:t>b) Achieved. We have done five teach-ins across this reporting year; they were for DESNZ and FCDO teams and they were well attended</w:t>
            </w:r>
            <w:r w:rsidR="00321D28" w:rsidRPr="0047272A">
              <w:rPr>
                <w:rFonts w:eastAsia="Arial" w:cs="Arial"/>
                <w:color w:val="000000" w:themeColor="text1"/>
                <w:sz w:val="20"/>
                <w:szCs w:val="20"/>
              </w:rPr>
              <w:t>.</w:t>
            </w:r>
          </w:p>
          <w:p w14:paraId="4621CDB9" w14:textId="0EC8E449" w:rsidR="3D6CD211" w:rsidRPr="0047272A" w:rsidRDefault="3D6CD211" w:rsidP="00E84DC0">
            <w:pPr>
              <w:ind w:left="263"/>
              <w:rPr>
                <w:rFonts w:eastAsia="Arial" w:cs="Arial"/>
                <w:color w:val="000000" w:themeColor="text1"/>
                <w:sz w:val="20"/>
                <w:szCs w:val="20"/>
              </w:rPr>
            </w:pPr>
          </w:p>
          <w:p w14:paraId="5977FAA5" w14:textId="089C569F" w:rsidR="27C1F7AD" w:rsidRPr="0047272A" w:rsidRDefault="6F99C6D7" w:rsidP="00E84DC0">
            <w:pPr>
              <w:ind w:left="263"/>
              <w:rPr>
                <w:rFonts w:eastAsia="Arial" w:cs="Arial"/>
                <w:sz w:val="20"/>
                <w:szCs w:val="20"/>
              </w:rPr>
            </w:pPr>
            <w:r w:rsidRPr="0047272A">
              <w:rPr>
                <w:rFonts w:eastAsia="Arial" w:cs="Arial"/>
                <w:color w:val="000000" w:themeColor="text1"/>
                <w:sz w:val="20"/>
                <w:szCs w:val="20"/>
              </w:rPr>
              <w:t>c) Achieved. Have inputted into in relevant ICF updates/FCDO bulletins</w:t>
            </w:r>
          </w:p>
          <w:p w14:paraId="7E4B996C" w14:textId="38117BAC" w:rsidR="476B7224" w:rsidRPr="0047272A" w:rsidRDefault="476B7224" w:rsidP="00E84DC0">
            <w:pPr>
              <w:ind w:left="263"/>
              <w:rPr>
                <w:rFonts w:eastAsia="Arial" w:cs="Arial"/>
                <w:color w:val="000000" w:themeColor="text1"/>
                <w:sz w:val="20"/>
                <w:szCs w:val="20"/>
              </w:rPr>
            </w:pPr>
          </w:p>
          <w:p w14:paraId="549A44D3" w14:textId="4D26745F" w:rsidR="034C4F81" w:rsidRPr="0047272A" w:rsidRDefault="034C4F81" w:rsidP="00E84DC0">
            <w:pPr>
              <w:ind w:left="263"/>
              <w:rPr>
                <w:rFonts w:eastAsia="Arial" w:cs="Arial"/>
                <w:color w:val="000000" w:themeColor="text1"/>
                <w:sz w:val="20"/>
                <w:szCs w:val="20"/>
              </w:rPr>
            </w:pPr>
            <w:r w:rsidRPr="0047272A">
              <w:rPr>
                <w:rFonts w:eastAsia="Arial" w:cs="Arial"/>
                <w:color w:val="000000" w:themeColor="text1"/>
                <w:sz w:val="20"/>
                <w:szCs w:val="20"/>
              </w:rPr>
              <w:t>d)</w:t>
            </w:r>
            <w:r w:rsidR="009B25F8" w:rsidRPr="0047272A">
              <w:rPr>
                <w:rFonts w:eastAsia="Arial" w:cs="Arial"/>
                <w:color w:val="000000" w:themeColor="text1"/>
                <w:sz w:val="20"/>
                <w:szCs w:val="20"/>
              </w:rPr>
              <w:t xml:space="preserve"> </w:t>
            </w:r>
            <w:r w:rsidRPr="0047272A">
              <w:rPr>
                <w:rFonts w:eastAsia="Arial" w:cs="Arial"/>
                <w:color w:val="000000" w:themeColor="text1"/>
                <w:sz w:val="20"/>
                <w:szCs w:val="20"/>
              </w:rPr>
              <w:t xml:space="preserve">Achieved. We have been upskilling programme leads across DESNZ, DEFRA </w:t>
            </w:r>
            <w:r w:rsidR="20BCB03A" w:rsidRPr="0047272A">
              <w:rPr>
                <w:rFonts w:eastAsia="Arial" w:cs="Arial"/>
                <w:color w:val="000000" w:themeColor="text1"/>
                <w:sz w:val="20"/>
                <w:szCs w:val="20"/>
              </w:rPr>
              <w:t>and FCDO</w:t>
            </w:r>
            <w:r w:rsidRPr="0047272A">
              <w:rPr>
                <w:rFonts w:eastAsia="Arial" w:cs="Arial"/>
                <w:color w:val="000000" w:themeColor="text1"/>
                <w:sz w:val="20"/>
                <w:szCs w:val="20"/>
              </w:rPr>
              <w:t xml:space="preserve"> to ensure awareness of NDC</w:t>
            </w:r>
            <w:r w:rsidR="00810DD8" w:rsidRPr="0047272A">
              <w:rPr>
                <w:rFonts w:eastAsia="Arial" w:cs="Arial"/>
                <w:color w:val="000000" w:themeColor="text1"/>
                <w:sz w:val="20"/>
                <w:szCs w:val="20"/>
              </w:rPr>
              <w:t xml:space="preserve"> Partnership</w:t>
            </w:r>
          </w:p>
          <w:p w14:paraId="706C7487" w14:textId="2E27BD9E" w:rsidR="634492A8" w:rsidRPr="0047272A" w:rsidRDefault="634492A8" w:rsidP="00E84DC0">
            <w:pPr>
              <w:ind w:left="263"/>
              <w:rPr>
                <w:rFonts w:eastAsia="Arial" w:cs="Arial"/>
                <w:color w:val="000000" w:themeColor="text1"/>
                <w:sz w:val="20"/>
                <w:szCs w:val="20"/>
              </w:rPr>
            </w:pPr>
          </w:p>
          <w:p w14:paraId="6ECAAF44" w14:textId="452BE787" w:rsidR="00505495" w:rsidRPr="0047272A" w:rsidRDefault="6E23262F" w:rsidP="00E84DC0">
            <w:pPr>
              <w:ind w:left="263"/>
              <w:rPr>
                <w:rFonts w:eastAsia="Arial" w:cs="Arial"/>
                <w:sz w:val="20"/>
                <w:szCs w:val="20"/>
              </w:rPr>
            </w:pPr>
            <w:r w:rsidRPr="0047272A">
              <w:rPr>
                <w:rFonts w:eastAsia="Arial" w:cs="Arial"/>
                <w:color w:val="000000" w:themeColor="text1"/>
                <w:sz w:val="20"/>
                <w:szCs w:val="20"/>
              </w:rPr>
              <w:t>e) Not achieved (consider whether possible to follow up this reporting year)</w:t>
            </w:r>
          </w:p>
          <w:p w14:paraId="6FFC7160" w14:textId="1F104A8D" w:rsidR="00505495" w:rsidRPr="0047272A" w:rsidRDefault="00505495" w:rsidP="00E84DC0">
            <w:pPr>
              <w:ind w:left="720"/>
              <w:rPr>
                <w:rFonts w:eastAsia="Arial" w:cs="Arial"/>
                <w:b/>
                <w:bCs/>
                <w:sz w:val="20"/>
                <w:szCs w:val="20"/>
              </w:rPr>
            </w:pPr>
          </w:p>
          <w:p w14:paraId="52B09DD7" w14:textId="5CA42CA0" w:rsidR="001E586B" w:rsidRDefault="00505495" w:rsidP="001E586B">
            <w:pPr>
              <w:pStyle w:val="ListParagraph"/>
              <w:numPr>
                <w:ilvl w:val="0"/>
                <w:numId w:val="5"/>
              </w:numPr>
              <w:rPr>
                <w:rFonts w:cs="Arial"/>
                <w:b/>
                <w:bCs/>
                <w:sz w:val="20"/>
              </w:rPr>
            </w:pPr>
            <w:r w:rsidRPr="0047272A">
              <w:rPr>
                <w:rFonts w:cs="Arial"/>
                <w:b/>
                <w:bCs/>
                <w:sz w:val="20"/>
              </w:rPr>
              <w:t>Achieved</w:t>
            </w:r>
          </w:p>
          <w:p w14:paraId="18A3B843" w14:textId="47744610" w:rsidR="00505495" w:rsidRPr="001E586B" w:rsidRDefault="25E36896" w:rsidP="001E586B">
            <w:pPr>
              <w:ind w:left="360"/>
              <w:rPr>
                <w:rFonts w:cs="Arial"/>
                <w:b/>
                <w:bCs/>
                <w:sz w:val="20"/>
              </w:rPr>
            </w:pPr>
            <w:r w:rsidRPr="001E586B">
              <w:rPr>
                <w:rFonts w:eastAsia="Arial" w:cs="Arial"/>
                <w:color w:val="000000" w:themeColor="text1"/>
                <w:sz w:val="20"/>
              </w:rPr>
              <w:t>We</w:t>
            </w:r>
            <w:r w:rsidR="42C29EB8" w:rsidRPr="001E586B">
              <w:rPr>
                <w:rFonts w:eastAsia="Arial" w:cs="Arial"/>
                <w:color w:val="000000" w:themeColor="text1"/>
                <w:sz w:val="20"/>
              </w:rPr>
              <w:t xml:space="preserve"> hav</w:t>
            </w:r>
            <w:r w:rsidRPr="001E586B">
              <w:rPr>
                <w:rFonts w:eastAsia="Arial" w:cs="Arial"/>
                <w:color w:val="000000" w:themeColor="text1"/>
                <w:sz w:val="20"/>
              </w:rPr>
              <w:t xml:space="preserve">e improved </w:t>
            </w:r>
            <w:r w:rsidR="7382781C" w:rsidRPr="001E586B">
              <w:rPr>
                <w:rFonts w:eastAsia="Arial" w:cs="Arial"/>
                <w:color w:val="000000" w:themeColor="text1"/>
                <w:sz w:val="20"/>
              </w:rPr>
              <w:t>the</w:t>
            </w:r>
            <w:r w:rsidRPr="001E586B">
              <w:rPr>
                <w:rFonts w:eastAsia="Arial" w:cs="Arial"/>
                <w:color w:val="000000" w:themeColor="text1"/>
                <w:sz w:val="20"/>
              </w:rPr>
              <w:t xml:space="preserve"> NDC Partnership programme management and governance processes to reflect the “portfolio approach” of all the new funding mechanisms </w:t>
            </w:r>
            <w:r w:rsidR="3463E9C0" w:rsidRPr="001E586B">
              <w:rPr>
                <w:rFonts w:eastAsia="Arial" w:cs="Arial"/>
                <w:color w:val="000000" w:themeColor="text1"/>
                <w:sz w:val="20"/>
              </w:rPr>
              <w:t xml:space="preserve">by </w:t>
            </w:r>
            <w:r w:rsidR="6AFD13A9" w:rsidRPr="001E586B">
              <w:rPr>
                <w:rFonts w:eastAsia="Arial" w:cs="Arial"/>
                <w:color w:val="000000" w:themeColor="text1"/>
                <w:sz w:val="20"/>
              </w:rPr>
              <w:t>establishing</w:t>
            </w:r>
            <w:r w:rsidR="3463E9C0" w:rsidRPr="001E586B">
              <w:rPr>
                <w:rFonts w:eastAsia="Arial" w:cs="Arial"/>
                <w:color w:val="000000" w:themeColor="text1"/>
                <w:sz w:val="20"/>
              </w:rPr>
              <w:t xml:space="preserve"> a monthly programme team dashboard, updating our programme management and tracker tools and </w:t>
            </w:r>
            <w:r w:rsidR="37869307" w:rsidRPr="001E586B">
              <w:rPr>
                <w:rFonts w:eastAsia="Arial" w:cs="Arial"/>
                <w:color w:val="000000" w:themeColor="text1"/>
                <w:sz w:val="20"/>
              </w:rPr>
              <w:t xml:space="preserve">establishing governance and reporting structures with all our delivery partners. </w:t>
            </w:r>
          </w:p>
          <w:p w14:paraId="49823DA6" w14:textId="7E3FE508" w:rsidR="00505495" w:rsidRPr="0047272A" w:rsidRDefault="00505495" w:rsidP="00E84DC0">
            <w:pPr>
              <w:tabs>
                <w:tab w:val="num" w:pos="263"/>
              </w:tabs>
              <w:ind w:left="263"/>
              <w:rPr>
                <w:rFonts w:eastAsia="Arial" w:cs="Arial"/>
                <w:color w:val="000000" w:themeColor="text1"/>
                <w:sz w:val="20"/>
                <w:szCs w:val="20"/>
              </w:rPr>
            </w:pPr>
          </w:p>
        </w:tc>
      </w:tr>
      <w:tr w:rsidR="00D0302B" w:rsidRPr="003C5BF3" w14:paraId="76F25969" w14:textId="77777777" w:rsidTr="2D1ABD07">
        <w:tc>
          <w:tcPr>
            <w:tcW w:w="5210" w:type="dxa"/>
          </w:tcPr>
          <w:p w14:paraId="6DA0BA51" w14:textId="77777777" w:rsidR="007E0DC0" w:rsidRPr="0047272A" w:rsidRDefault="007E0DC0" w:rsidP="00E84DC0">
            <w:pPr>
              <w:pStyle w:val="paragraph"/>
              <w:rPr>
                <w:rFonts w:ascii="Arial" w:eastAsia="Arial" w:hAnsi="Arial" w:cs="Arial"/>
                <w:b/>
                <w:color w:val="000000" w:themeColor="text1"/>
                <w:sz w:val="20"/>
                <w:szCs w:val="20"/>
              </w:rPr>
            </w:pPr>
            <w:r w:rsidRPr="0047272A">
              <w:rPr>
                <w:rFonts w:ascii="Arial" w:eastAsia="Arial" w:hAnsi="Arial" w:cs="Arial"/>
                <w:b/>
                <w:color w:val="000000" w:themeColor="text1"/>
                <w:sz w:val="20"/>
                <w:szCs w:val="20"/>
              </w:rPr>
              <w:lastRenderedPageBreak/>
              <w:t>To help support transformational climate action at the country level by being more engaged in the Partnership’s model, DESNZ should:</w:t>
            </w:r>
          </w:p>
          <w:p w14:paraId="7A61D06C" w14:textId="0CE736A5" w:rsidR="007E0DC0" w:rsidRPr="0047272A" w:rsidRDefault="007E0DC0" w:rsidP="00E84DC0">
            <w:pPr>
              <w:pStyle w:val="paragraph"/>
              <w:numPr>
                <w:ilvl w:val="0"/>
                <w:numId w:val="59"/>
              </w:numPr>
              <w:rPr>
                <w:rFonts w:ascii="Arial" w:eastAsia="Arial" w:hAnsi="Arial" w:cs="Arial"/>
                <w:b/>
                <w:color w:val="000000" w:themeColor="text1"/>
                <w:sz w:val="20"/>
                <w:szCs w:val="20"/>
              </w:rPr>
            </w:pPr>
            <w:r w:rsidRPr="0047272A">
              <w:rPr>
                <w:rFonts w:ascii="Arial" w:eastAsia="Arial" w:hAnsi="Arial" w:cs="Arial"/>
                <w:color w:val="000000" w:themeColor="text1"/>
                <w:sz w:val="20"/>
                <w:szCs w:val="20"/>
              </w:rPr>
              <w:t>Utilise the UK’s role as a Steering Committee member and leadership of the Access to Climate Finance Taskforce to drive improvements in the Partnership’s country engagement strategy, including international coordination on country platforms and efforts to simplify the climate finance architecture. - by March 2025</w:t>
            </w:r>
          </w:p>
          <w:p w14:paraId="76FFE955" w14:textId="3C3DF748" w:rsidR="00D0302B" w:rsidRPr="0047272A" w:rsidRDefault="007E0DC0" w:rsidP="00E84DC0">
            <w:pPr>
              <w:pStyle w:val="paragraph"/>
              <w:numPr>
                <w:ilvl w:val="0"/>
                <w:numId w:val="59"/>
              </w:numPr>
              <w:rPr>
                <w:rFonts w:ascii="Arial" w:eastAsia="Arial" w:hAnsi="Arial" w:cs="Arial"/>
                <w:b/>
                <w:color w:val="000000" w:themeColor="text1"/>
                <w:sz w:val="20"/>
                <w:szCs w:val="20"/>
              </w:rPr>
            </w:pPr>
            <w:r w:rsidRPr="0047272A">
              <w:rPr>
                <w:rFonts w:ascii="Arial" w:eastAsia="Arial" w:hAnsi="Arial" w:cs="Arial"/>
                <w:color w:val="000000" w:themeColor="text1"/>
                <w:sz w:val="20"/>
                <w:szCs w:val="20"/>
              </w:rPr>
              <w:t>Join the “country platform taskforce” managed by the Support Unit, to discuss and identify ways to support accelerated implementation of NDCs through strengthened collaboration. – by August 2024</w:t>
            </w:r>
          </w:p>
        </w:tc>
        <w:tc>
          <w:tcPr>
            <w:tcW w:w="5210" w:type="dxa"/>
          </w:tcPr>
          <w:p w14:paraId="781CF858" w14:textId="72DF3D30" w:rsidR="00505495" w:rsidRPr="0047272A" w:rsidRDefault="00505495" w:rsidP="00E84DC0">
            <w:pPr>
              <w:pStyle w:val="ListParagraph"/>
              <w:numPr>
                <w:ilvl w:val="0"/>
                <w:numId w:val="60"/>
              </w:numPr>
              <w:tabs>
                <w:tab w:val="clear" w:pos="720"/>
                <w:tab w:val="num" w:pos="546"/>
              </w:tabs>
              <w:ind w:left="263" w:firstLine="0"/>
              <w:rPr>
                <w:rFonts w:cs="Arial"/>
                <w:b/>
                <w:bCs/>
                <w:sz w:val="20"/>
              </w:rPr>
            </w:pPr>
            <w:r w:rsidRPr="0047272A">
              <w:rPr>
                <w:rFonts w:cs="Arial"/>
                <w:b/>
                <w:bCs/>
                <w:sz w:val="20"/>
              </w:rPr>
              <w:t>Achieved</w:t>
            </w:r>
          </w:p>
          <w:p w14:paraId="7D4E6477" w14:textId="491C67AF" w:rsidR="6F3FFAF4" w:rsidRPr="0047272A" w:rsidRDefault="6FCADDEB" w:rsidP="00E84DC0">
            <w:pPr>
              <w:tabs>
                <w:tab w:val="num" w:pos="546"/>
              </w:tabs>
              <w:ind w:left="263"/>
              <w:rPr>
                <w:rFonts w:cs="Arial"/>
                <w:sz w:val="20"/>
                <w:szCs w:val="20"/>
              </w:rPr>
            </w:pPr>
            <w:r w:rsidRPr="0047272A">
              <w:rPr>
                <w:rFonts w:cs="Arial"/>
                <w:sz w:val="20"/>
                <w:szCs w:val="20"/>
              </w:rPr>
              <w:t xml:space="preserve">The UK’s representatives to the Steering Committee have been active participants in the country platform taskforce, as well as the access to climate finance taskforce and by contributing to the UNDP and the World Bank, the UK team has been a key driver in ensuring a better link between the objectives of the Partnership, supporting developing countries in their NDC 3.0 and utilizing the capabilities of its member institutions. </w:t>
            </w:r>
          </w:p>
          <w:p w14:paraId="33AE3BA1" w14:textId="3E430A92" w:rsidR="00505495" w:rsidRPr="0047272A" w:rsidRDefault="00505495" w:rsidP="00E84DC0">
            <w:pPr>
              <w:rPr>
                <w:rFonts w:cs="Arial"/>
                <w:iCs/>
                <w:sz w:val="20"/>
                <w:szCs w:val="20"/>
              </w:rPr>
            </w:pPr>
          </w:p>
          <w:p w14:paraId="2EDF9A56" w14:textId="77777777" w:rsidR="00B74A71" w:rsidRPr="0047272A" w:rsidRDefault="00505495" w:rsidP="00E84DC0">
            <w:pPr>
              <w:pStyle w:val="ListParagraph"/>
              <w:numPr>
                <w:ilvl w:val="0"/>
                <w:numId w:val="60"/>
              </w:numPr>
              <w:tabs>
                <w:tab w:val="clear" w:pos="720"/>
                <w:tab w:val="num" w:pos="546"/>
              </w:tabs>
              <w:ind w:hanging="457"/>
              <w:rPr>
                <w:rFonts w:cs="Arial"/>
                <w:b/>
                <w:bCs/>
                <w:sz w:val="20"/>
              </w:rPr>
            </w:pPr>
            <w:r w:rsidRPr="0047272A">
              <w:rPr>
                <w:rFonts w:cs="Arial"/>
                <w:b/>
                <w:bCs/>
                <w:sz w:val="20"/>
              </w:rPr>
              <w:t>Achieved</w:t>
            </w:r>
          </w:p>
          <w:p w14:paraId="52A74AED" w14:textId="1325DEC3" w:rsidR="00505495" w:rsidRPr="0047272A" w:rsidRDefault="5E19B40D" w:rsidP="00E84DC0">
            <w:pPr>
              <w:tabs>
                <w:tab w:val="num" w:pos="546"/>
              </w:tabs>
              <w:ind w:left="263"/>
              <w:rPr>
                <w:rFonts w:cs="Arial"/>
                <w:b/>
                <w:bCs/>
                <w:sz w:val="20"/>
                <w:szCs w:val="20"/>
              </w:rPr>
            </w:pPr>
            <w:r w:rsidRPr="0047272A">
              <w:rPr>
                <w:rFonts w:cs="Arial"/>
                <w:sz w:val="20"/>
                <w:szCs w:val="20"/>
              </w:rPr>
              <w:t xml:space="preserve">The UK has joined the country platform taskforce and has been active in promoting collaboration among members and supporting linking up of member institutions and countries. </w:t>
            </w:r>
          </w:p>
        </w:tc>
      </w:tr>
      <w:tr w:rsidR="000756DA" w:rsidRPr="003C5BF3" w14:paraId="6C666C13" w14:textId="77777777" w:rsidTr="2D1ABD07">
        <w:tc>
          <w:tcPr>
            <w:tcW w:w="5210" w:type="dxa"/>
          </w:tcPr>
          <w:p w14:paraId="08ADC9AA" w14:textId="77777777" w:rsidR="00C229FC" w:rsidRPr="0047272A" w:rsidRDefault="00C229FC" w:rsidP="00E84DC0">
            <w:pPr>
              <w:pStyle w:val="paragraph"/>
              <w:rPr>
                <w:rFonts w:ascii="Arial" w:eastAsia="Arial" w:hAnsi="Arial" w:cs="Arial"/>
                <w:b/>
                <w:bCs/>
                <w:color w:val="000000" w:themeColor="text1"/>
                <w:sz w:val="20"/>
                <w:szCs w:val="20"/>
              </w:rPr>
            </w:pPr>
            <w:r w:rsidRPr="0047272A">
              <w:rPr>
                <w:rFonts w:ascii="Arial" w:eastAsia="Arial" w:hAnsi="Arial" w:cs="Arial"/>
                <w:b/>
                <w:bCs/>
                <w:color w:val="000000" w:themeColor="text1"/>
                <w:sz w:val="20"/>
                <w:szCs w:val="20"/>
              </w:rPr>
              <w:t>To support the Partnership’s needs to move up the political ladder, DESNZ should:</w:t>
            </w:r>
          </w:p>
          <w:p w14:paraId="7B1FA385" w14:textId="3D12EAB2" w:rsidR="00C229FC" w:rsidRPr="0047272A" w:rsidRDefault="00C229FC" w:rsidP="00E84DC0">
            <w:pPr>
              <w:pStyle w:val="paragraph"/>
              <w:numPr>
                <w:ilvl w:val="0"/>
                <w:numId w:val="61"/>
              </w:numPr>
              <w:rPr>
                <w:rFonts w:ascii="Arial" w:eastAsia="Arial" w:hAnsi="Arial" w:cs="Arial"/>
                <w:color w:val="000000" w:themeColor="text1"/>
                <w:sz w:val="20"/>
                <w:szCs w:val="20"/>
              </w:rPr>
            </w:pPr>
            <w:r w:rsidRPr="0047272A">
              <w:rPr>
                <w:rFonts w:ascii="Arial" w:eastAsia="Arial" w:hAnsi="Arial" w:cs="Arial"/>
                <w:color w:val="000000" w:themeColor="text1"/>
                <w:sz w:val="20"/>
                <w:szCs w:val="20"/>
              </w:rPr>
              <w:t xml:space="preserve">Support Co-Chairs’ efforts to continue to move NDCs up the political agenda, including continuing to increase </w:t>
            </w:r>
            <w:r w:rsidR="00C01FD0" w:rsidRPr="0047272A">
              <w:rPr>
                <w:rFonts w:ascii="Arial" w:eastAsia="Arial" w:hAnsi="Arial" w:cs="Arial"/>
                <w:color w:val="000000" w:themeColor="text1"/>
                <w:sz w:val="20"/>
                <w:szCs w:val="20"/>
              </w:rPr>
              <w:t xml:space="preserve">cross- </w:t>
            </w:r>
            <w:r w:rsidRPr="0047272A">
              <w:rPr>
                <w:rFonts w:ascii="Arial" w:eastAsia="Arial" w:hAnsi="Arial" w:cs="Arial"/>
                <w:color w:val="000000" w:themeColor="text1"/>
                <w:sz w:val="20"/>
                <w:szCs w:val="20"/>
              </w:rPr>
              <w:t>W</w:t>
            </w:r>
            <w:r w:rsidR="00C01FD0" w:rsidRPr="0047272A">
              <w:rPr>
                <w:rFonts w:ascii="Arial" w:eastAsia="Arial" w:hAnsi="Arial" w:cs="Arial"/>
                <w:color w:val="000000" w:themeColor="text1"/>
                <w:sz w:val="20"/>
                <w:szCs w:val="20"/>
              </w:rPr>
              <w:t>hitehall</w:t>
            </w:r>
            <w:r w:rsidRPr="0047272A">
              <w:rPr>
                <w:rFonts w:ascii="Arial" w:eastAsia="Arial" w:hAnsi="Arial" w:cs="Arial"/>
                <w:color w:val="000000" w:themeColor="text1"/>
                <w:sz w:val="20"/>
                <w:szCs w:val="20"/>
              </w:rPr>
              <w:t xml:space="preserve"> engagement to increased understanding of the Partnership and its objectives/messaging at a senior level. – by March 2025</w:t>
            </w:r>
          </w:p>
          <w:p w14:paraId="6FC6EBB7" w14:textId="0EE71827" w:rsidR="000756DA" w:rsidRPr="0047272A" w:rsidRDefault="00C229FC" w:rsidP="00E84DC0">
            <w:pPr>
              <w:pStyle w:val="paragraph"/>
              <w:numPr>
                <w:ilvl w:val="0"/>
                <w:numId w:val="61"/>
              </w:numPr>
              <w:rPr>
                <w:rFonts w:ascii="Arial" w:hAnsi="Arial" w:cs="Arial"/>
                <w:color w:val="000000" w:themeColor="text1"/>
                <w:sz w:val="20"/>
                <w:szCs w:val="20"/>
              </w:rPr>
            </w:pPr>
            <w:r w:rsidRPr="0047272A">
              <w:rPr>
                <w:rFonts w:ascii="Arial" w:eastAsia="Arial" w:hAnsi="Arial" w:cs="Arial"/>
                <w:color w:val="000000" w:themeColor="text1"/>
                <w:sz w:val="20"/>
                <w:szCs w:val="20"/>
              </w:rPr>
              <w:t>Ensure NDC Partnership forms a key part of the UK offer on support for NDC development, enhancement and engagement for developing countries and that it forms part of the UK’s UNFCCC negotiations strategy. – by March 2025</w:t>
            </w:r>
          </w:p>
        </w:tc>
        <w:tc>
          <w:tcPr>
            <w:tcW w:w="5210" w:type="dxa"/>
          </w:tcPr>
          <w:p w14:paraId="65EE1BD6" w14:textId="0C177889" w:rsidR="000756DA" w:rsidRPr="0047272A" w:rsidRDefault="00D63109" w:rsidP="00E84DC0">
            <w:pPr>
              <w:pStyle w:val="ListParagraph"/>
              <w:numPr>
                <w:ilvl w:val="0"/>
                <w:numId w:val="62"/>
              </w:numPr>
              <w:tabs>
                <w:tab w:val="clear" w:pos="720"/>
                <w:tab w:val="num" w:pos="263"/>
              </w:tabs>
              <w:ind w:left="263" w:firstLine="0"/>
              <w:rPr>
                <w:rFonts w:cs="Arial"/>
                <w:b/>
                <w:sz w:val="20"/>
              </w:rPr>
            </w:pPr>
            <w:r w:rsidRPr="0047272A">
              <w:rPr>
                <w:rFonts w:cs="Arial"/>
                <w:b/>
                <w:sz w:val="20"/>
              </w:rPr>
              <w:t>Achieved</w:t>
            </w:r>
          </w:p>
          <w:p w14:paraId="6334D4EE" w14:textId="0580EFC9" w:rsidR="00D63109" w:rsidRPr="0047272A" w:rsidRDefault="60895756" w:rsidP="00303317">
            <w:pPr>
              <w:pStyle w:val="ListParagraph"/>
              <w:tabs>
                <w:tab w:val="num" w:pos="263"/>
              </w:tabs>
              <w:ind w:left="263"/>
              <w:rPr>
                <w:rFonts w:cs="Arial"/>
                <w:sz w:val="20"/>
              </w:rPr>
            </w:pPr>
            <w:r w:rsidRPr="0047272A">
              <w:rPr>
                <w:rFonts w:cs="Arial"/>
                <w:sz w:val="20"/>
              </w:rPr>
              <w:t>The team has engaged with seniors across ICF to promote the role of the programme in the wider offer of UK Technical Assistance, presenting our approach to the new Work Programme and ensuring that is in al</w:t>
            </w:r>
            <w:r w:rsidR="2A469714" w:rsidRPr="0047272A">
              <w:rPr>
                <w:rFonts w:cs="Arial"/>
                <w:sz w:val="20"/>
              </w:rPr>
              <w:t xml:space="preserve">ignment with wider ICF priorities. </w:t>
            </w:r>
          </w:p>
          <w:p w14:paraId="40CDFA74" w14:textId="77777777" w:rsidR="007B2A0C" w:rsidRPr="0047272A" w:rsidRDefault="007B2A0C" w:rsidP="00303317">
            <w:pPr>
              <w:pStyle w:val="ListParagraph"/>
              <w:tabs>
                <w:tab w:val="num" w:pos="263"/>
              </w:tabs>
              <w:ind w:left="263"/>
              <w:rPr>
                <w:rFonts w:cs="Arial"/>
                <w:sz w:val="20"/>
              </w:rPr>
            </w:pPr>
          </w:p>
          <w:p w14:paraId="4528447A" w14:textId="0525CF90" w:rsidR="00D63109" w:rsidRPr="0047272A" w:rsidRDefault="00D63109" w:rsidP="00E84DC0">
            <w:pPr>
              <w:pStyle w:val="ListParagraph"/>
              <w:numPr>
                <w:ilvl w:val="0"/>
                <w:numId w:val="62"/>
              </w:numPr>
              <w:tabs>
                <w:tab w:val="clear" w:pos="720"/>
                <w:tab w:val="num" w:pos="263"/>
              </w:tabs>
              <w:spacing w:after="0"/>
              <w:ind w:left="261" w:firstLine="0"/>
              <w:rPr>
                <w:rFonts w:cs="Arial"/>
                <w:b/>
                <w:sz w:val="20"/>
              </w:rPr>
            </w:pPr>
            <w:r w:rsidRPr="0047272A">
              <w:rPr>
                <w:rFonts w:cs="Arial"/>
                <w:b/>
                <w:sz w:val="20"/>
              </w:rPr>
              <w:t>Achieved</w:t>
            </w:r>
          </w:p>
          <w:p w14:paraId="41B84EB5" w14:textId="2B2C7A74" w:rsidR="00D63109" w:rsidRPr="0047272A" w:rsidRDefault="6AAAE9F6" w:rsidP="00E84DC0">
            <w:pPr>
              <w:tabs>
                <w:tab w:val="num" w:pos="263"/>
              </w:tabs>
              <w:ind w:left="261"/>
              <w:rPr>
                <w:rFonts w:eastAsia="Arial" w:cs="Arial"/>
                <w:color w:val="000000" w:themeColor="text1"/>
                <w:sz w:val="20"/>
                <w:szCs w:val="20"/>
              </w:rPr>
            </w:pPr>
            <w:r w:rsidRPr="0047272A">
              <w:rPr>
                <w:rFonts w:eastAsia="Arial" w:cs="Arial"/>
                <w:color w:val="000000" w:themeColor="text1"/>
                <w:sz w:val="20"/>
                <w:szCs w:val="20"/>
              </w:rPr>
              <w:t xml:space="preserve">In the first year of the new business case, the team developed a strategic approach to x-WH engagement, delivered five Teach-Ins to colleagues in DESNZ, FCDO as well as embassy and High Commission teams abroad, there was also increased engagement with the UK PACT team, to ensure better alignment between the two programmes. </w:t>
            </w:r>
          </w:p>
          <w:p w14:paraId="3D4DCAB6" w14:textId="45D49996" w:rsidR="00D63109" w:rsidRPr="0047272A" w:rsidRDefault="00D63109" w:rsidP="00E84DC0">
            <w:pPr>
              <w:tabs>
                <w:tab w:val="num" w:pos="263"/>
              </w:tabs>
              <w:ind w:left="263"/>
              <w:rPr>
                <w:rFonts w:eastAsia="Arial" w:cs="Arial"/>
                <w:color w:val="000000" w:themeColor="text1"/>
                <w:sz w:val="20"/>
                <w:szCs w:val="20"/>
              </w:rPr>
            </w:pPr>
          </w:p>
        </w:tc>
      </w:tr>
      <w:tr w:rsidR="000756DA" w:rsidRPr="003C5BF3" w14:paraId="7B2C808B" w14:textId="77777777" w:rsidTr="2D1ABD07">
        <w:tc>
          <w:tcPr>
            <w:tcW w:w="5210" w:type="dxa"/>
          </w:tcPr>
          <w:p w14:paraId="54636389" w14:textId="77777777" w:rsidR="00E07B9B" w:rsidRPr="0047272A" w:rsidDel="00B16324" w:rsidRDefault="00E07B9B" w:rsidP="00E84DC0">
            <w:pPr>
              <w:pStyle w:val="paragraph"/>
              <w:rPr>
                <w:rFonts w:ascii="Arial" w:eastAsia="Arial" w:hAnsi="Arial" w:cs="Arial"/>
                <w:b/>
                <w:bCs/>
                <w:color w:val="000000" w:themeColor="text1"/>
                <w:sz w:val="20"/>
                <w:szCs w:val="20"/>
              </w:rPr>
            </w:pPr>
            <w:r w:rsidRPr="0047272A">
              <w:rPr>
                <w:rFonts w:ascii="Arial" w:eastAsia="Arial" w:hAnsi="Arial" w:cs="Arial"/>
                <w:b/>
                <w:bCs/>
                <w:color w:val="000000" w:themeColor="text1"/>
                <w:sz w:val="20"/>
                <w:szCs w:val="20"/>
              </w:rPr>
              <w:t>To strengthen its MEL system, DESNZ should:</w:t>
            </w:r>
          </w:p>
          <w:p w14:paraId="03EE6A98" w14:textId="24F49D33" w:rsidR="00E07B9B" w:rsidRPr="0047272A" w:rsidRDefault="00E07B9B" w:rsidP="00E84DC0">
            <w:pPr>
              <w:pStyle w:val="paragraph"/>
              <w:numPr>
                <w:ilvl w:val="0"/>
                <w:numId w:val="63"/>
              </w:numPr>
              <w:rPr>
                <w:rFonts w:ascii="Arial" w:eastAsia="Arial" w:hAnsi="Arial" w:cs="Arial"/>
                <w:color w:val="000000" w:themeColor="text1"/>
                <w:sz w:val="20"/>
                <w:szCs w:val="20"/>
              </w:rPr>
            </w:pPr>
            <w:r w:rsidRPr="0047272A">
              <w:rPr>
                <w:rFonts w:ascii="Arial" w:hAnsi="Arial" w:cs="Arial"/>
                <w:color w:val="000000" w:themeColor="text1"/>
                <w:sz w:val="20"/>
                <w:szCs w:val="20"/>
              </w:rPr>
              <w:t>Update the KPI 15 methodology for NDC Partnership, to better include G</w:t>
            </w:r>
            <w:r w:rsidR="000D75CF" w:rsidRPr="0047272A">
              <w:rPr>
                <w:rFonts w:ascii="Arial" w:hAnsi="Arial" w:cs="Arial"/>
                <w:color w:val="000000" w:themeColor="text1"/>
                <w:sz w:val="20"/>
                <w:szCs w:val="20"/>
              </w:rPr>
              <w:t xml:space="preserve">ender </w:t>
            </w:r>
            <w:r w:rsidRPr="0047272A">
              <w:rPr>
                <w:rFonts w:ascii="Arial" w:hAnsi="Arial" w:cs="Arial"/>
                <w:color w:val="000000" w:themeColor="text1"/>
                <w:sz w:val="20"/>
                <w:szCs w:val="20"/>
              </w:rPr>
              <w:lastRenderedPageBreak/>
              <w:t>E</w:t>
            </w:r>
            <w:r w:rsidR="000D75CF" w:rsidRPr="0047272A">
              <w:rPr>
                <w:rFonts w:ascii="Arial" w:hAnsi="Arial" w:cs="Arial"/>
                <w:color w:val="000000" w:themeColor="text1"/>
                <w:sz w:val="20"/>
                <w:szCs w:val="20"/>
              </w:rPr>
              <w:t xml:space="preserve">quality </w:t>
            </w:r>
            <w:r w:rsidRPr="0047272A">
              <w:rPr>
                <w:rFonts w:ascii="Arial" w:hAnsi="Arial" w:cs="Arial"/>
                <w:color w:val="000000" w:themeColor="text1"/>
                <w:sz w:val="20"/>
                <w:szCs w:val="20"/>
              </w:rPr>
              <w:t>S</w:t>
            </w:r>
            <w:r w:rsidR="000D75CF" w:rsidRPr="0047272A">
              <w:rPr>
                <w:rFonts w:ascii="Arial" w:hAnsi="Arial" w:cs="Arial"/>
                <w:color w:val="000000" w:themeColor="text1"/>
                <w:sz w:val="20"/>
                <w:szCs w:val="20"/>
              </w:rPr>
              <w:t xml:space="preserve">ocial Inclusion (GESI) </w:t>
            </w:r>
            <w:r w:rsidRPr="0047272A">
              <w:rPr>
                <w:rFonts w:ascii="Arial" w:hAnsi="Arial" w:cs="Arial"/>
                <w:color w:val="000000" w:themeColor="text1"/>
                <w:sz w:val="20"/>
                <w:szCs w:val="20"/>
              </w:rPr>
              <w:t xml:space="preserve"> considerations for example. - by September 2024.</w:t>
            </w:r>
          </w:p>
          <w:p w14:paraId="6C7C0B4E" w14:textId="68B54BFC" w:rsidR="00E07B9B" w:rsidRPr="0047272A" w:rsidRDefault="00E07B9B" w:rsidP="00E84DC0">
            <w:pPr>
              <w:pStyle w:val="ListParagraph"/>
              <w:numPr>
                <w:ilvl w:val="0"/>
                <w:numId w:val="63"/>
              </w:numPr>
              <w:spacing w:after="0"/>
              <w:rPr>
                <w:rFonts w:cs="Arial"/>
                <w:color w:val="000000" w:themeColor="text1"/>
                <w:sz w:val="20"/>
              </w:rPr>
            </w:pPr>
            <w:r w:rsidRPr="0047272A">
              <w:rPr>
                <w:rFonts w:cs="Arial"/>
                <w:sz w:val="20"/>
              </w:rPr>
              <w:t xml:space="preserve">Create a UK specific </w:t>
            </w:r>
            <w:r w:rsidR="00A3148B">
              <w:rPr>
                <w:rFonts w:cs="Arial"/>
                <w:sz w:val="20"/>
              </w:rPr>
              <w:t>logframe</w:t>
            </w:r>
            <w:r w:rsidRPr="0047272A">
              <w:rPr>
                <w:rFonts w:cs="Arial"/>
                <w:sz w:val="20"/>
              </w:rPr>
              <w:t xml:space="preserve"> and theory of change which allow the UK to measure and showcase the impact it is having as a member of the partnership (also including GESI considerations). - by May 2025. </w:t>
            </w:r>
          </w:p>
          <w:p w14:paraId="6DCA911D" w14:textId="77777777" w:rsidR="00E07B9B" w:rsidRPr="0047272A" w:rsidRDefault="00E07B9B" w:rsidP="00E84DC0">
            <w:pPr>
              <w:pStyle w:val="ListParagraph"/>
              <w:numPr>
                <w:ilvl w:val="0"/>
                <w:numId w:val="63"/>
              </w:numPr>
              <w:spacing w:after="0"/>
              <w:rPr>
                <w:rFonts w:cs="Arial"/>
                <w:color w:val="000000" w:themeColor="text1"/>
                <w:sz w:val="20"/>
              </w:rPr>
            </w:pPr>
            <w:r w:rsidRPr="0047272A">
              <w:rPr>
                <w:rStyle w:val="normaltextrun"/>
                <w:rFonts w:eastAsia="Arial" w:cs="Arial"/>
                <w:color w:val="000000" w:themeColor="text1"/>
                <w:sz w:val="20"/>
              </w:rPr>
              <w:t>Ensure to understand the relevance and effectiveness of both the UK’s contribution and membership to the Partnership by having</w:t>
            </w:r>
            <w:r w:rsidRPr="0047272A">
              <w:rPr>
                <w:rFonts w:eastAsia="Arial" w:cs="Arial"/>
                <w:color w:val="000000" w:themeColor="text1"/>
                <w:sz w:val="20"/>
              </w:rPr>
              <w:t xml:space="preserve"> an external independent MEL partner competitively procured – by May 2025</w:t>
            </w:r>
          </w:p>
          <w:p w14:paraId="5F9E71EB" w14:textId="58416EA5" w:rsidR="000756DA" w:rsidRPr="0047272A" w:rsidRDefault="000756DA" w:rsidP="00E84DC0">
            <w:pPr>
              <w:rPr>
                <w:rFonts w:cs="Arial"/>
                <w:color w:val="000000" w:themeColor="text1"/>
                <w:sz w:val="20"/>
                <w:szCs w:val="20"/>
              </w:rPr>
            </w:pPr>
          </w:p>
        </w:tc>
        <w:tc>
          <w:tcPr>
            <w:tcW w:w="5210" w:type="dxa"/>
          </w:tcPr>
          <w:p w14:paraId="5080C943" w14:textId="1B5093E4" w:rsidR="000756DA" w:rsidRPr="0047272A" w:rsidRDefault="20053B51" w:rsidP="00E84DC0">
            <w:pPr>
              <w:pStyle w:val="ListParagraph"/>
              <w:numPr>
                <w:ilvl w:val="2"/>
                <w:numId w:val="63"/>
              </w:numPr>
              <w:ind w:left="342" w:firstLine="0"/>
              <w:rPr>
                <w:rFonts w:cs="Arial"/>
                <w:b/>
                <w:bCs/>
                <w:sz w:val="20"/>
              </w:rPr>
            </w:pPr>
            <w:r w:rsidRPr="0047272A">
              <w:rPr>
                <w:rFonts w:cs="Arial"/>
                <w:b/>
                <w:bCs/>
                <w:sz w:val="20"/>
              </w:rPr>
              <w:lastRenderedPageBreak/>
              <w:t>Achieved</w:t>
            </w:r>
          </w:p>
          <w:p w14:paraId="0E117AD0" w14:textId="1ABD8CFE" w:rsidR="41289B88" w:rsidRPr="0047272A" w:rsidRDefault="6081B3EC" w:rsidP="00E84DC0">
            <w:pPr>
              <w:pStyle w:val="ListParagraph"/>
              <w:ind w:left="263"/>
              <w:rPr>
                <w:rFonts w:eastAsia="Arial" w:cs="Arial"/>
                <w:sz w:val="20"/>
              </w:rPr>
            </w:pPr>
            <w:r w:rsidRPr="0047272A">
              <w:rPr>
                <w:rFonts w:eastAsia="Arial" w:cs="Arial"/>
                <w:sz w:val="20"/>
              </w:rPr>
              <w:t xml:space="preserve">We have updated KPI 15 methodology due to the new Business Case and having to update the indicators to reflect the two </w:t>
            </w:r>
            <w:r w:rsidRPr="0047272A">
              <w:rPr>
                <w:rFonts w:eastAsia="Arial" w:cs="Arial"/>
                <w:sz w:val="20"/>
              </w:rPr>
              <w:lastRenderedPageBreak/>
              <w:t>different levels that the NDC Partnership operates in and gets evaluated on. Indicators are classified as measuring UK inputs or focusing on the higher whole Partnership level.</w:t>
            </w:r>
          </w:p>
          <w:p w14:paraId="19FD2745" w14:textId="77777777" w:rsidR="00D63109" w:rsidRPr="0047272A" w:rsidRDefault="00D63109" w:rsidP="00E84DC0">
            <w:pPr>
              <w:pStyle w:val="ListParagraph"/>
              <w:rPr>
                <w:rFonts w:cs="Arial"/>
                <w:sz w:val="20"/>
              </w:rPr>
            </w:pPr>
          </w:p>
          <w:p w14:paraId="5FF6B594" w14:textId="006B831D" w:rsidR="000756DA" w:rsidRPr="0047272A" w:rsidRDefault="35435D51" w:rsidP="00E84DC0">
            <w:pPr>
              <w:pStyle w:val="ListParagraph"/>
              <w:numPr>
                <w:ilvl w:val="2"/>
                <w:numId w:val="63"/>
              </w:numPr>
              <w:ind w:left="280" w:hanging="17"/>
              <w:rPr>
                <w:rFonts w:cs="Arial"/>
                <w:b/>
                <w:bCs/>
                <w:sz w:val="20"/>
              </w:rPr>
            </w:pPr>
            <w:r w:rsidRPr="0047272A">
              <w:rPr>
                <w:rFonts w:cs="Arial"/>
                <w:b/>
                <w:bCs/>
                <w:sz w:val="20"/>
              </w:rPr>
              <w:t>Partially achieved</w:t>
            </w:r>
          </w:p>
          <w:p w14:paraId="3800192B" w14:textId="55F35CBE" w:rsidR="70C8F07C" w:rsidRPr="0047272A" w:rsidRDefault="7ED4EB54" w:rsidP="00E84DC0">
            <w:pPr>
              <w:pStyle w:val="ListParagraph"/>
              <w:ind w:left="263"/>
              <w:rPr>
                <w:rFonts w:cs="Arial"/>
                <w:sz w:val="20"/>
              </w:rPr>
            </w:pPr>
            <w:r w:rsidRPr="0047272A">
              <w:rPr>
                <w:rFonts w:cs="Arial"/>
                <w:sz w:val="20"/>
              </w:rPr>
              <w:t xml:space="preserve">Strengthening the GESI element of reporting needs to be carried over to 2025 /26 as this year there has not been an explicit recognition of GESI as a factor in the </w:t>
            </w:r>
            <w:r w:rsidR="00A3148B">
              <w:rPr>
                <w:rFonts w:cs="Arial"/>
                <w:sz w:val="20"/>
              </w:rPr>
              <w:t>logframe</w:t>
            </w:r>
            <w:r w:rsidRPr="0047272A">
              <w:rPr>
                <w:rFonts w:cs="Arial"/>
                <w:sz w:val="20"/>
              </w:rPr>
              <w:t xml:space="preserve">. </w:t>
            </w:r>
            <w:r w:rsidR="00A3148B">
              <w:rPr>
                <w:rFonts w:cs="Arial"/>
                <w:sz w:val="20"/>
              </w:rPr>
              <w:t>Logframe</w:t>
            </w:r>
            <w:r w:rsidRPr="0047272A">
              <w:rPr>
                <w:rFonts w:cs="Arial"/>
                <w:sz w:val="20"/>
              </w:rPr>
              <w:t xml:space="preserve"> has been updated since the previous business case in order</w:t>
            </w:r>
            <w:r w:rsidR="4DEA7AC0" w:rsidRPr="0047272A">
              <w:rPr>
                <w:rFonts w:cs="Arial"/>
                <w:sz w:val="20"/>
              </w:rPr>
              <w:t xml:space="preserve"> </w:t>
            </w:r>
            <w:r w:rsidRPr="0047272A">
              <w:rPr>
                <w:rFonts w:cs="Arial"/>
                <w:sz w:val="20"/>
              </w:rPr>
              <w:t>to reflect the different avenues of delivery and the two different reporting levels, UK and Partnership</w:t>
            </w:r>
            <w:r w:rsidR="70D04CC6" w:rsidRPr="0047272A">
              <w:rPr>
                <w:rFonts w:cs="Arial"/>
                <w:sz w:val="20"/>
              </w:rPr>
              <w:t>. ToC was updated from the previous business case as part of the new Business Case drafting process</w:t>
            </w:r>
          </w:p>
          <w:p w14:paraId="794132BD" w14:textId="77777777" w:rsidR="00D63109" w:rsidRPr="0047272A" w:rsidRDefault="00D63109" w:rsidP="00E84DC0">
            <w:pPr>
              <w:pStyle w:val="ListParagraph"/>
              <w:rPr>
                <w:rFonts w:cs="Arial"/>
                <w:sz w:val="20"/>
              </w:rPr>
            </w:pPr>
          </w:p>
          <w:p w14:paraId="3FAAB1C0" w14:textId="169059A3" w:rsidR="000756DA" w:rsidRPr="0047272A" w:rsidRDefault="35435D51" w:rsidP="00E84DC0">
            <w:pPr>
              <w:pStyle w:val="ListParagraph"/>
              <w:numPr>
                <w:ilvl w:val="2"/>
                <w:numId w:val="63"/>
              </w:numPr>
              <w:ind w:left="280" w:firstLine="0"/>
              <w:rPr>
                <w:rFonts w:cs="Arial"/>
                <w:b/>
                <w:sz w:val="20"/>
              </w:rPr>
            </w:pPr>
            <w:r w:rsidRPr="0047272A">
              <w:rPr>
                <w:rFonts w:cs="Arial"/>
                <w:b/>
                <w:bCs/>
                <w:sz w:val="20"/>
              </w:rPr>
              <w:t>Not achieved</w:t>
            </w:r>
          </w:p>
          <w:p w14:paraId="5C8526C0" w14:textId="7EEE9361" w:rsidR="000756DA" w:rsidRPr="0047272A" w:rsidRDefault="5C3ADF13" w:rsidP="00E84DC0">
            <w:pPr>
              <w:pStyle w:val="ListParagraph"/>
              <w:ind w:left="263"/>
              <w:rPr>
                <w:rFonts w:cs="Arial"/>
                <w:sz w:val="20"/>
              </w:rPr>
            </w:pPr>
            <w:r w:rsidRPr="0047272A">
              <w:rPr>
                <w:rFonts w:cs="Arial"/>
                <w:sz w:val="20"/>
              </w:rPr>
              <w:t>The programme team</w:t>
            </w:r>
            <w:r w:rsidR="623650F4" w:rsidRPr="0047272A">
              <w:rPr>
                <w:rFonts w:cs="Arial"/>
                <w:sz w:val="20"/>
              </w:rPr>
              <w:t xml:space="preserve"> along with DESNZ colleagues</w:t>
            </w:r>
            <w:r w:rsidRPr="0047272A">
              <w:rPr>
                <w:rFonts w:cs="Arial"/>
                <w:sz w:val="20"/>
              </w:rPr>
              <w:t xml:space="preserve"> drafted the I</w:t>
            </w:r>
            <w:r w:rsidR="007B27FF" w:rsidRPr="0047272A">
              <w:rPr>
                <w:rFonts w:cs="Arial"/>
                <w:sz w:val="20"/>
              </w:rPr>
              <w:t>nvitation to Tender (ITT)</w:t>
            </w:r>
            <w:r w:rsidRPr="0047272A">
              <w:rPr>
                <w:rFonts w:cs="Arial"/>
                <w:sz w:val="20"/>
              </w:rPr>
              <w:t xml:space="preserve"> for procuring an independent MEL partner</w:t>
            </w:r>
            <w:r w:rsidR="4D79CC1C" w:rsidRPr="0047272A">
              <w:rPr>
                <w:rFonts w:cs="Arial"/>
                <w:sz w:val="20"/>
              </w:rPr>
              <w:t xml:space="preserve"> and was ready to go out</w:t>
            </w:r>
            <w:r w:rsidR="33B805B9" w:rsidRPr="0047272A">
              <w:rPr>
                <w:rFonts w:cs="Arial"/>
                <w:sz w:val="20"/>
              </w:rPr>
              <w:t xml:space="preserve"> </w:t>
            </w:r>
            <w:r w:rsidR="69B21FE3" w:rsidRPr="0047272A">
              <w:rPr>
                <w:rFonts w:cs="Arial"/>
                <w:sz w:val="20"/>
              </w:rPr>
              <w:t>to the market for procurement</w:t>
            </w:r>
            <w:r w:rsidRPr="0047272A">
              <w:rPr>
                <w:rFonts w:cs="Arial"/>
                <w:sz w:val="20"/>
              </w:rPr>
              <w:t>, however this work was paused due to announcement on ODA cuts from 202</w:t>
            </w:r>
            <w:r w:rsidR="2DD048A2" w:rsidRPr="0047272A">
              <w:rPr>
                <w:rFonts w:cs="Arial"/>
                <w:sz w:val="20"/>
              </w:rPr>
              <w:t>7, which meant that we could not proceed with going out for</w:t>
            </w:r>
            <w:r w:rsidR="000D7F00">
              <w:rPr>
                <w:rFonts w:cs="Arial"/>
                <w:sz w:val="20"/>
              </w:rPr>
              <w:t xml:space="preserve"> </w:t>
            </w:r>
            <w:r w:rsidR="2DD048A2" w:rsidRPr="0047272A">
              <w:rPr>
                <w:rFonts w:cs="Arial"/>
                <w:sz w:val="20"/>
              </w:rPr>
              <w:t xml:space="preserve">procurement. </w:t>
            </w:r>
            <w:r w:rsidR="00D3796F" w:rsidRPr="0047272A">
              <w:rPr>
                <w:rFonts w:cs="Arial"/>
                <w:sz w:val="20"/>
              </w:rPr>
              <w:t xml:space="preserve">A </w:t>
            </w:r>
            <w:r w:rsidR="00590727" w:rsidRPr="0047272A">
              <w:rPr>
                <w:rFonts w:cs="Arial"/>
                <w:sz w:val="20"/>
              </w:rPr>
              <w:t>modified recommendation has been carried over to the reporting year 25/26.</w:t>
            </w:r>
          </w:p>
        </w:tc>
      </w:tr>
    </w:tbl>
    <w:p w14:paraId="3267A006" w14:textId="77777777" w:rsidR="006E2E69" w:rsidRPr="003C5BF3" w:rsidRDefault="006E2E69" w:rsidP="004D5FD5">
      <w:pPr>
        <w:jc w:val="both"/>
        <w:rPr>
          <w:rStyle w:val="Heading2Char"/>
        </w:rPr>
      </w:pPr>
    </w:p>
    <w:p w14:paraId="3261AB52" w14:textId="77777777" w:rsidR="00E84DC0" w:rsidRDefault="00E84DC0">
      <w:pPr>
        <w:spacing w:after="160" w:line="259" w:lineRule="auto"/>
        <w:rPr>
          <w:rStyle w:val="Heading2Char"/>
        </w:rPr>
      </w:pPr>
      <w:bookmarkStart w:id="5" w:name="_Toc199421657"/>
      <w:r>
        <w:rPr>
          <w:rStyle w:val="Heading2Char"/>
        </w:rPr>
        <w:br w:type="page"/>
      </w:r>
    </w:p>
    <w:p w14:paraId="6BEB7D3B" w14:textId="77777777" w:rsidR="00E84DC0" w:rsidRDefault="00E84DC0" w:rsidP="004D5FD5">
      <w:pPr>
        <w:jc w:val="both"/>
        <w:rPr>
          <w:rStyle w:val="Heading2Char"/>
        </w:rPr>
      </w:pPr>
    </w:p>
    <w:p w14:paraId="788BE7E1" w14:textId="67F638BC" w:rsidR="003D222C" w:rsidRPr="003C5BF3" w:rsidRDefault="003D222C" w:rsidP="004D5FD5">
      <w:pPr>
        <w:jc w:val="both"/>
      </w:pPr>
      <w:r w:rsidRPr="003C5BF3">
        <w:rPr>
          <w:rStyle w:val="Heading2Char"/>
        </w:rPr>
        <w:t>Major lessons and recommendations for the year ahead</w:t>
      </w:r>
      <w:bookmarkEnd w:id="5"/>
      <w:r w:rsidRPr="003C5BF3">
        <w:t xml:space="preserve"> </w:t>
      </w:r>
    </w:p>
    <w:p w14:paraId="2A4B8A97" w14:textId="77777777" w:rsidR="003D222C" w:rsidRPr="003C5BF3" w:rsidRDefault="003D222C" w:rsidP="004D5FD5">
      <w:pPr>
        <w:tabs>
          <w:tab w:val="left" w:pos="6915"/>
          <w:tab w:val="left" w:pos="9495"/>
        </w:tabs>
        <w:jc w:val="both"/>
        <w:rPr>
          <w:rFonts w:cs="Arial"/>
          <w:i/>
          <w:color w:val="FF0000"/>
          <w:sz w:val="22"/>
          <w:szCs w:val="22"/>
        </w:rPr>
      </w:pPr>
    </w:p>
    <w:p w14:paraId="773A77CC" w14:textId="1912BB68" w:rsidR="00D0302B" w:rsidRPr="003C5BF3" w:rsidRDefault="00D0302B" w:rsidP="004D5FD5">
      <w:pPr>
        <w:jc w:val="both"/>
        <w:rPr>
          <w:rFonts w:cs="Arial"/>
          <w:sz w:val="22"/>
          <w:szCs w:val="22"/>
        </w:rPr>
      </w:pPr>
    </w:p>
    <w:tbl>
      <w:tblPr>
        <w:tblStyle w:val="TableGrid"/>
        <w:tblW w:w="0" w:type="auto"/>
        <w:tblLook w:val="04A0" w:firstRow="1" w:lastRow="0" w:firstColumn="1" w:lastColumn="0" w:noHBand="0" w:noVBand="1"/>
      </w:tblPr>
      <w:tblGrid>
        <w:gridCol w:w="7083"/>
        <w:gridCol w:w="1933"/>
      </w:tblGrid>
      <w:tr w:rsidR="00D0302B" w:rsidRPr="003C5BF3" w14:paraId="4B25CB90" w14:textId="77777777" w:rsidTr="1474E4A2">
        <w:tc>
          <w:tcPr>
            <w:tcW w:w="7083" w:type="dxa"/>
            <w:shd w:val="clear" w:color="auto" w:fill="DEEAF6" w:themeFill="accent5" w:themeFillTint="33"/>
          </w:tcPr>
          <w:p w14:paraId="321EF4D2" w14:textId="2258826C" w:rsidR="00D0302B" w:rsidRPr="0047272A" w:rsidRDefault="00D0302B" w:rsidP="007B2A0C">
            <w:pPr>
              <w:rPr>
                <w:rFonts w:cs="Arial"/>
                <w:b/>
                <w:sz w:val="20"/>
                <w:szCs w:val="20"/>
              </w:rPr>
            </w:pPr>
            <w:r w:rsidRPr="0047272A">
              <w:rPr>
                <w:rFonts w:cs="Arial"/>
                <w:b/>
                <w:sz w:val="20"/>
                <w:szCs w:val="20"/>
              </w:rPr>
              <w:t>Recommendation</w:t>
            </w:r>
          </w:p>
        </w:tc>
        <w:tc>
          <w:tcPr>
            <w:tcW w:w="1933" w:type="dxa"/>
            <w:shd w:val="clear" w:color="auto" w:fill="DEEAF6" w:themeFill="accent5" w:themeFillTint="33"/>
          </w:tcPr>
          <w:p w14:paraId="68A2DDD9" w14:textId="3FAD9E3D" w:rsidR="00D0302B" w:rsidRPr="0047272A" w:rsidRDefault="00D0302B" w:rsidP="00E84DC0">
            <w:pPr>
              <w:rPr>
                <w:rFonts w:cs="Arial"/>
                <w:b/>
                <w:sz w:val="20"/>
                <w:szCs w:val="20"/>
              </w:rPr>
            </w:pPr>
            <w:r w:rsidRPr="0047272A">
              <w:rPr>
                <w:rFonts w:cs="Arial"/>
                <w:b/>
                <w:sz w:val="20"/>
                <w:szCs w:val="20"/>
              </w:rPr>
              <w:t>Deadline</w:t>
            </w:r>
          </w:p>
        </w:tc>
      </w:tr>
      <w:tr w:rsidR="00B31A5E" w:rsidRPr="003C5BF3" w14:paraId="248DF5D2" w14:textId="77777777" w:rsidTr="1474E4A2">
        <w:tc>
          <w:tcPr>
            <w:tcW w:w="9016" w:type="dxa"/>
            <w:gridSpan w:val="2"/>
          </w:tcPr>
          <w:p w14:paraId="648384E3" w14:textId="4DB0515C" w:rsidR="00B31A5E" w:rsidRPr="0047272A" w:rsidRDefault="00A3148B" w:rsidP="007B2A0C">
            <w:pPr>
              <w:rPr>
                <w:rFonts w:cs="Arial"/>
                <w:b/>
                <w:bCs/>
                <w:i/>
                <w:iCs/>
                <w:sz w:val="20"/>
                <w:szCs w:val="20"/>
              </w:rPr>
            </w:pPr>
            <w:r>
              <w:rPr>
                <w:rFonts w:cs="Arial"/>
                <w:b/>
                <w:bCs/>
                <w:sz w:val="20"/>
                <w:szCs w:val="20"/>
              </w:rPr>
              <w:t>Logframe</w:t>
            </w:r>
            <w:r w:rsidR="00B31A5E" w:rsidRPr="0047272A">
              <w:rPr>
                <w:rFonts w:cs="Arial"/>
                <w:b/>
                <w:bCs/>
                <w:sz w:val="20"/>
                <w:szCs w:val="20"/>
              </w:rPr>
              <w:t xml:space="preserve"> and ToC recommendations</w:t>
            </w:r>
          </w:p>
        </w:tc>
      </w:tr>
      <w:tr w:rsidR="00D0302B" w:rsidRPr="003C5BF3" w14:paraId="2775F316" w14:textId="77777777" w:rsidTr="1474E4A2">
        <w:trPr>
          <w:trHeight w:val="1830"/>
        </w:trPr>
        <w:tc>
          <w:tcPr>
            <w:tcW w:w="7083" w:type="dxa"/>
          </w:tcPr>
          <w:p w14:paraId="6AA0E4F0" w14:textId="77777777" w:rsidR="00226482" w:rsidRPr="0047272A" w:rsidRDefault="00226482" w:rsidP="007B2A0C">
            <w:pPr>
              <w:rPr>
                <w:rFonts w:cs="Arial"/>
                <w:sz w:val="20"/>
                <w:szCs w:val="20"/>
              </w:rPr>
            </w:pPr>
          </w:p>
          <w:p w14:paraId="7AE462FB" w14:textId="009A4C6B" w:rsidR="00226482" w:rsidRPr="0047272A" w:rsidRDefault="00226482" w:rsidP="007B2A0C">
            <w:pPr>
              <w:rPr>
                <w:rFonts w:cs="Arial"/>
                <w:sz w:val="20"/>
                <w:szCs w:val="20"/>
              </w:rPr>
            </w:pPr>
            <w:r w:rsidRPr="0047272A">
              <w:rPr>
                <w:rFonts w:cs="Arial"/>
                <w:sz w:val="20"/>
                <w:szCs w:val="20"/>
              </w:rPr>
              <w:t>The programme team will set targets for all indicators</w:t>
            </w:r>
            <w:r w:rsidR="00403A9C" w:rsidRPr="0047272A">
              <w:rPr>
                <w:rFonts w:cs="Arial"/>
                <w:sz w:val="20"/>
                <w:szCs w:val="20"/>
              </w:rPr>
              <w:t xml:space="preserve"> that do not have them and update the language in cases, where it has been established to not be sufficiently clear.</w:t>
            </w:r>
            <w:r w:rsidR="00E417C1" w:rsidRPr="0047272A">
              <w:rPr>
                <w:rFonts w:cs="Arial"/>
                <w:sz w:val="20"/>
                <w:szCs w:val="20"/>
              </w:rPr>
              <w:t xml:space="preserve"> </w:t>
            </w:r>
            <w:r w:rsidR="00403A9C" w:rsidRPr="0047272A">
              <w:rPr>
                <w:rFonts w:cs="Arial"/>
                <w:sz w:val="20"/>
                <w:szCs w:val="20"/>
              </w:rPr>
              <w:t xml:space="preserve">The programme team </w:t>
            </w:r>
            <w:r w:rsidR="0076772B" w:rsidRPr="0047272A">
              <w:rPr>
                <w:rFonts w:cs="Arial"/>
                <w:sz w:val="20"/>
                <w:szCs w:val="20"/>
              </w:rPr>
              <w:t xml:space="preserve">will utilize the programme’s available data </w:t>
            </w:r>
            <w:r w:rsidR="00A84384" w:rsidRPr="0047272A">
              <w:rPr>
                <w:rFonts w:cs="Arial"/>
                <w:sz w:val="20"/>
                <w:szCs w:val="20"/>
              </w:rPr>
              <w:t>for this year to set the baseline for the following reporting years, starting with the next annual review</w:t>
            </w:r>
            <w:r w:rsidR="005B30BC" w:rsidRPr="0047272A">
              <w:rPr>
                <w:rFonts w:cs="Arial"/>
                <w:sz w:val="20"/>
                <w:szCs w:val="20"/>
              </w:rPr>
              <w:t xml:space="preserve"> for the reporting year 2025 / 2026.</w:t>
            </w:r>
          </w:p>
          <w:p w14:paraId="3A68B429" w14:textId="77777777" w:rsidR="00722E3C" w:rsidRPr="0047272A" w:rsidRDefault="00722E3C" w:rsidP="007B2A0C">
            <w:pPr>
              <w:rPr>
                <w:rFonts w:cs="Arial"/>
                <w:sz w:val="20"/>
                <w:szCs w:val="20"/>
              </w:rPr>
            </w:pPr>
          </w:p>
          <w:p w14:paraId="03FF2537" w14:textId="2DB44127" w:rsidR="00D0302B" w:rsidRPr="0047272A" w:rsidRDefault="00D0302B" w:rsidP="007B2A0C">
            <w:pPr>
              <w:rPr>
                <w:rFonts w:cs="Arial"/>
                <w:sz w:val="20"/>
                <w:szCs w:val="20"/>
              </w:rPr>
            </w:pPr>
          </w:p>
        </w:tc>
        <w:tc>
          <w:tcPr>
            <w:tcW w:w="1933" w:type="dxa"/>
          </w:tcPr>
          <w:p w14:paraId="6E43508C" w14:textId="2CE0550E" w:rsidR="00D0302B" w:rsidRPr="0047272A" w:rsidRDefault="00AF26B1" w:rsidP="00E84DC0">
            <w:pPr>
              <w:rPr>
                <w:rFonts w:cs="Arial"/>
                <w:i/>
                <w:iCs/>
                <w:sz w:val="20"/>
                <w:szCs w:val="20"/>
              </w:rPr>
            </w:pPr>
            <w:r w:rsidRPr="0047272A">
              <w:rPr>
                <w:rFonts w:cs="Arial"/>
                <w:i/>
                <w:iCs/>
                <w:sz w:val="20"/>
                <w:szCs w:val="20"/>
              </w:rPr>
              <w:t xml:space="preserve">September </w:t>
            </w:r>
            <w:r w:rsidR="6827CFB1" w:rsidRPr="0047272A">
              <w:rPr>
                <w:rFonts w:cs="Arial"/>
                <w:i/>
                <w:iCs/>
                <w:sz w:val="20"/>
                <w:szCs w:val="20"/>
              </w:rPr>
              <w:t>2025</w:t>
            </w:r>
          </w:p>
        </w:tc>
      </w:tr>
      <w:tr w:rsidR="006B37BD" w:rsidRPr="003C5BF3" w14:paraId="12EF8694" w14:textId="77777777" w:rsidTr="1474E4A2">
        <w:tc>
          <w:tcPr>
            <w:tcW w:w="9016" w:type="dxa"/>
            <w:gridSpan w:val="2"/>
          </w:tcPr>
          <w:p w14:paraId="183DB904" w14:textId="7B1646A7" w:rsidR="006B37BD" w:rsidRPr="0047272A" w:rsidRDefault="006B37BD" w:rsidP="007B2A0C">
            <w:pPr>
              <w:rPr>
                <w:rFonts w:cs="Arial"/>
                <w:i/>
                <w:iCs/>
                <w:sz w:val="20"/>
                <w:szCs w:val="20"/>
              </w:rPr>
            </w:pPr>
            <w:r w:rsidRPr="0047272A">
              <w:rPr>
                <w:rFonts w:cs="Arial"/>
                <w:b/>
                <w:bCs/>
                <w:sz w:val="20"/>
                <w:szCs w:val="20"/>
              </w:rPr>
              <w:t>Working with the SU to align MEL a</w:t>
            </w:r>
            <w:r w:rsidR="00C4619F" w:rsidRPr="0047272A">
              <w:rPr>
                <w:rFonts w:cs="Arial"/>
                <w:b/>
                <w:bCs/>
                <w:sz w:val="20"/>
                <w:szCs w:val="20"/>
              </w:rPr>
              <w:t xml:space="preserve">nd update the Work </w:t>
            </w:r>
            <w:r w:rsidR="00E417C1" w:rsidRPr="0047272A">
              <w:rPr>
                <w:rFonts w:cs="Arial"/>
                <w:b/>
                <w:bCs/>
                <w:sz w:val="20"/>
                <w:szCs w:val="20"/>
              </w:rPr>
              <w:t>Programme</w:t>
            </w:r>
          </w:p>
        </w:tc>
      </w:tr>
      <w:tr w:rsidR="006B37BD" w:rsidRPr="003C5BF3" w14:paraId="7DF7DAE8" w14:textId="77777777" w:rsidTr="1474E4A2">
        <w:tc>
          <w:tcPr>
            <w:tcW w:w="7083" w:type="dxa"/>
          </w:tcPr>
          <w:p w14:paraId="4B3521EA" w14:textId="4AD4D829" w:rsidR="006B37BD" w:rsidRPr="0047272A" w:rsidRDefault="006B37BD" w:rsidP="007B2A0C">
            <w:pPr>
              <w:rPr>
                <w:rFonts w:cs="Arial"/>
                <w:sz w:val="20"/>
                <w:szCs w:val="20"/>
              </w:rPr>
            </w:pPr>
            <w:r w:rsidRPr="0047272A">
              <w:rPr>
                <w:rFonts w:cs="Arial"/>
                <w:sz w:val="20"/>
                <w:szCs w:val="20"/>
              </w:rPr>
              <w:t>The programme team will organize a MEL focused session between the NDC Partnership’s Support Unit and the UK NDC Partnership programme team to enable more effective and complementary collaboration on MEL and ensure a shared understanding,</w:t>
            </w:r>
          </w:p>
        </w:tc>
        <w:tc>
          <w:tcPr>
            <w:tcW w:w="1933" w:type="dxa"/>
          </w:tcPr>
          <w:p w14:paraId="5062EBAB" w14:textId="62757C47" w:rsidR="006B37BD" w:rsidRPr="0047272A" w:rsidRDefault="006B37BD" w:rsidP="00E84DC0">
            <w:pPr>
              <w:rPr>
                <w:rFonts w:cs="Arial"/>
                <w:i/>
                <w:iCs/>
                <w:sz w:val="20"/>
                <w:szCs w:val="20"/>
              </w:rPr>
            </w:pPr>
            <w:r w:rsidRPr="0047272A">
              <w:rPr>
                <w:rFonts w:cs="Arial"/>
                <w:i/>
                <w:iCs/>
                <w:sz w:val="20"/>
                <w:szCs w:val="20"/>
              </w:rPr>
              <w:t>September 2025</w:t>
            </w:r>
          </w:p>
        </w:tc>
      </w:tr>
      <w:tr w:rsidR="00C4619F" w:rsidRPr="003C5BF3" w14:paraId="2BFA9838" w14:textId="77777777" w:rsidTr="1474E4A2">
        <w:tc>
          <w:tcPr>
            <w:tcW w:w="7083" w:type="dxa"/>
          </w:tcPr>
          <w:p w14:paraId="0FE09ED0" w14:textId="56747478" w:rsidR="00C4619F" w:rsidRPr="0047272A" w:rsidRDefault="00DC69EC" w:rsidP="007B2A0C">
            <w:pPr>
              <w:rPr>
                <w:rFonts w:cs="Arial"/>
                <w:sz w:val="20"/>
                <w:szCs w:val="20"/>
              </w:rPr>
            </w:pPr>
            <w:r w:rsidRPr="0047272A">
              <w:rPr>
                <w:rFonts w:cs="Arial"/>
                <w:sz w:val="20"/>
                <w:szCs w:val="20"/>
              </w:rPr>
              <w:t xml:space="preserve">The programme team will be working closely </w:t>
            </w:r>
            <w:r w:rsidR="00BF73C3" w:rsidRPr="0047272A">
              <w:rPr>
                <w:rFonts w:cs="Arial"/>
                <w:sz w:val="20"/>
                <w:szCs w:val="20"/>
              </w:rPr>
              <w:t>with the Support Unit to ensure that the UK’s views are captured and reflected in the new Work Programme (2026-2031)</w:t>
            </w:r>
            <w:r w:rsidR="00987014" w:rsidRPr="0047272A">
              <w:rPr>
                <w:rFonts w:cs="Arial"/>
                <w:sz w:val="20"/>
                <w:szCs w:val="20"/>
              </w:rPr>
              <w:t xml:space="preserve">, which will include a </w:t>
            </w:r>
            <w:r w:rsidR="000B66ED" w:rsidRPr="0047272A">
              <w:rPr>
                <w:rFonts w:cs="Arial"/>
                <w:sz w:val="20"/>
                <w:szCs w:val="20"/>
              </w:rPr>
              <w:t>focus on the building blocks approach for climate</w:t>
            </w:r>
            <w:r w:rsidR="006D69E9" w:rsidRPr="0047272A">
              <w:rPr>
                <w:rFonts w:cs="Arial"/>
                <w:sz w:val="20"/>
                <w:szCs w:val="20"/>
              </w:rPr>
              <w:t xml:space="preserve"> action.</w:t>
            </w:r>
          </w:p>
        </w:tc>
        <w:tc>
          <w:tcPr>
            <w:tcW w:w="1933" w:type="dxa"/>
          </w:tcPr>
          <w:p w14:paraId="37394AE2" w14:textId="7E59465B" w:rsidR="00C4619F" w:rsidRPr="0047272A" w:rsidRDefault="00773AA1" w:rsidP="00E84DC0">
            <w:pPr>
              <w:rPr>
                <w:rFonts w:cs="Arial"/>
                <w:i/>
                <w:iCs/>
                <w:sz w:val="20"/>
                <w:szCs w:val="20"/>
              </w:rPr>
            </w:pPr>
            <w:r w:rsidRPr="0047272A">
              <w:rPr>
                <w:rFonts w:cs="Arial"/>
                <w:i/>
                <w:iCs/>
                <w:sz w:val="20"/>
                <w:szCs w:val="20"/>
              </w:rPr>
              <w:t>October 2025</w:t>
            </w:r>
          </w:p>
        </w:tc>
      </w:tr>
      <w:tr w:rsidR="006B37BD" w:rsidRPr="003C5BF3" w14:paraId="35D8FCEC" w14:textId="77777777" w:rsidTr="1474E4A2">
        <w:tc>
          <w:tcPr>
            <w:tcW w:w="7083" w:type="dxa"/>
          </w:tcPr>
          <w:p w14:paraId="5570824D" w14:textId="0357DED3" w:rsidR="006B37BD" w:rsidRPr="0047272A" w:rsidRDefault="006B37BD" w:rsidP="007B2A0C">
            <w:pPr>
              <w:rPr>
                <w:rFonts w:cs="Arial"/>
                <w:sz w:val="20"/>
                <w:szCs w:val="20"/>
              </w:rPr>
            </w:pPr>
            <w:r w:rsidRPr="0047272A">
              <w:rPr>
                <w:rFonts w:cs="Arial"/>
                <w:sz w:val="20"/>
                <w:szCs w:val="20"/>
              </w:rPr>
              <w:t>As part of the wider MEL engagement process with the Support Unit, the programme team will ensure that the programme follows the latest GE</w:t>
            </w:r>
            <w:r w:rsidR="00C37FA3" w:rsidRPr="0047272A">
              <w:rPr>
                <w:rFonts w:cs="Arial"/>
                <w:sz w:val="20"/>
                <w:szCs w:val="20"/>
              </w:rPr>
              <w:t>S</w:t>
            </w:r>
            <w:r w:rsidRPr="0047272A">
              <w:rPr>
                <w:rFonts w:cs="Arial"/>
                <w:sz w:val="20"/>
                <w:szCs w:val="20"/>
              </w:rPr>
              <w:t>I guidance from the</w:t>
            </w:r>
            <w:r w:rsidR="00DE5785" w:rsidRPr="0047272A">
              <w:rPr>
                <w:rFonts w:cs="Arial"/>
                <w:sz w:val="20"/>
                <w:szCs w:val="20"/>
              </w:rPr>
              <w:t xml:space="preserve"> portfolio management</w:t>
            </w:r>
            <w:r w:rsidRPr="0047272A">
              <w:rPr>
                <w:rFonts w:cs="Arial"/>
                <w:sz w:val="20"/>
                <w:szCs w:val="20"/>
              </w:rPr>
              <w:t xml:space="preserve"> team and incorporates GE</w:t>
            </w:r>
            <w:r w:rsidR="00C37FA3" w:rsidRPr="0047272A">
              <w:rPr>
                <w:rFonts w:cs="Arial"/>
                <w:sz w:val="20"/>
                <w:szCs w:val="20"/>
              </w:rPr>
              <w:t>S</w:t>
            </w:r>
            <w:r w:rsidRPr="0047272A">
              <w:rPr>
                <w:rFonts w:cs="Arial"/>
                <w:sz w:val="20"/>
                <w:szCs w:val="20"/>
              </w:rPr>
              <w:t xml:space="preserve">I in the </w:t>
            </w:r>
            <w:r w:rsidR="00A3148B">
              <w:rPr>
                <w:rFonts w:cs="Arial"/>
                <w:sz w:val="20"/>
                <w:szCs w:val="20"/>
              </w:rPr>
              <w:t>logframe</w:t>
            </w:r>
            <w:r w:rsidRPr="0047272A">
              <w:rPr>
                <w:rFonts w:cs="Arial"/>
                <w:sz w:val="20"/>
                <w:szCs w:val="20"/>
              </w:rPr>
              <w:t xml:space="preserve"> to enable more equitable delivery across the programme’s multiple delivery elements.</w:t>
            </w:r>
          </w:p>
        </w:tc>
        <w:tc>
          <w:tcPr>
            <w:tcW w:w="1933" w:type="dxa"/>
          </w:tcPr>
          <w:p w14:paraId="5843A335" w14:textId="60B65D9B" w:rsidR="006B37BD" w:rsidRPr="0047272A" w:rsidRDefault="006B37BD" w:rsidP="00E84DC0">
            <w:pPr>
              <w:rPr>
                <w:rFonts w:cs="Arial"/>
                <w:i/>
                <w:iCs/>
                <w:sz w:val="20"/>
                <w:szCs w:val="20"/>
              </w:rPr>
            </w:pPr>
            <w:r w:rsidRPr="0047272A">
              <w:rPr>
                <w:rFonts w:cs="Arial"/>
                <w:i/>
                <w:iCs/>
                <w:sz w:val="20"/>
                <w:szCs w:val="20"/>
              </w:rPr>
              <w:t>September 2025</w:t>
            </w:r>
          </w:p>
        </w:tc>
      </w:tr>
      <w:tr w:rsidR="006B37BD" w:rsidRPr="003C5BF3" w14:paraId="7B77629A" w14:textId="77777777" w:rsidTr="1474E4A2">
        <w:tc>
          <w:tcPr>
            <w:tcW w:w="7083" w:type="dxa"/>
          </w:tcPr>
          <w:p w14:paraId="422811C6" w14:textId="60245CA6" w:rsidR="006B37BD" w:rsidRPr="0047272A" w:rsidRDefault="00E13596" w:rsidP="007B2A0C">
            <w:pPr>
              <w:rPr>
                <w:rFonts w:cs="Arial"/>
                <w:sz w:val="20"/>
                <w:szCs w:val="20"/>
              </w:rPr>
            </w:pPr>
            <w:r w:rsidRPr="0047272A">
              <w:rPr>
                <w:rFonts w:cs="Arial"/>
                <w:sz w:val="20"/>
                <w:szCs w:val="20"/>
              </w:rPr>
              <w:t xml:space="preserve">The </w:t>
            </w:r>
            <w:r w:rsidR="006B37BD" w:rsidRPr="0047272A">
              <w:rPr>
                <w:rFonts w:cs="Arial"/>
                <w:sz w:val="20"/>
                <w:szCs w:val="20"/>
              </w:rPr>
              <w:t xml:space="preserve">NDC Partnership level </w:t>
            </w:r>
            <w:r w:rsidR="00A3148B">
              <w:rPr>
                <w:rFonts w:cs="Arial"/>
                <w:sz w:val="20"/>
                <w:szCs w:val="20"/>
              </w:rPr>
              <w:t>logframe</w:t>
            </w:r>
            <w:r w:rsidR="006B37BD" w:rsidRPr="0047272A">
              <w:rPr>
                <w:rFonts w:cs="Arial"/>
                <w:sz w:val="20"/>
                <w:szCs w:val="20"/>
              </w:rPr>
              <w:t xml:space="preserve"> and Theory of Change are updated in parallel to the new Work Programme</w:t>
            </w:r>
            <w:r w:rsidRPr="0047272A">
              <w:rPr>
                <w:rFonts w:cs="Arial"/>
                <w:sz w:val="20"/>
                <w:szCs w:val="20"/>
              </w:rPr>
              <w:t xml:space="preserve"> and this process will b</w:t>
            </w:r>
            <w:r w:rsidR="00E7434B" w:rsidRPr="0047272A">
              <w:rPr>
                <w:rFonts w:cs="Arial"/>
                <w:sz w:val="20"/>
                <w:szCs w:val="20"/>
              </w:rPr>
              <w:t xml:space="preserve">e taking place towards the </w:t>
            </w:r>
            <w:r w:rsidR="00F223C9" w:rsidRPr="0047272A">
              <w:rPr>
                <w:rFonts w:cs="Arial"/>
                <w:sz w:val="20"/>
                <w:szCs w:val="20"/>
              </w:rPr>
              <w:t xml:space="preserve">end of </w:t>
            </w:r>
            <w:r w:rsidR="00E461D6" w:rsidRPr="0047272A">
              <w:rPr>
                <w:rFonts w:cs="Arial"/>
                <w:sz w:val="20"/>
                <w:szCs w:val="20"/>
              </w:rPr>
              <w:t xml:space="preserve">the </w:t>
            </w:r>
            <w:r w:rsidR="00F223C9" w:rsidRPr="0047272A">
              <w:rPr>
                <w:rFonts w:cs="Arial"/>
                <w:sz w:val="20"/>
                <w:szCs w:val="20"/>
              </w:rPr>
              <w:t xml:space="preserve">2025 /2026 reporting period. We will be inputting into the refreshing of the </w:t>
            </w:r>
            <w:r w:rsidR="00A3148B">
              <w:rPr>
                <w:rFonts w:cs="Arial"/>
                <w:sz w:val="20"/>
                <w:szCs w:val="20"/>
              </w:rPr>
              <w:t>logframe</w:t>
            </w:r>
            <w:r w:rsidR="00F223C9" w:rsidRPr="0047272A">
              <w:rPr>
                <w:rFonts w:cs="Arial"/>
                <w:sz w:val="20"/>
                <w:szCs w:val="20"/>
              </w:rPr>
              <w:t xml:space="preserve"> and ToC to ensure that donors can effectively track output, outcomes and </w:t>
            </w:r>
            <w:r w:rsidR="000C0FB0" w:rsidRPr="0047272A">
              <w:rPr>
                <w:rFonts w:cs="Arial"/>
                <w:sz w:val="20"/>
                <w:szCs w:val="20"/>
              </w:rPr>
              <w:t>impact. Once an updated ToC</w:t>
            </w:r>
            <w:r w:rsidR="001177CB" w:rsidRPr="0047272A">
              <w:rPr>
                <w:rFonts w:cs="Arial"/>
                <w:sz w:val="20"/>
                <w:szCs w:val="20"/>
              </w:rPr>
              <w:t xml:space="preserve"> </w:t>
            </w:r>
            <w:r w:rsidR="000C0FB0" w:rsidRPr="0047272A">
              <w:rPr>
                <w:rFonts w:cs="Arial"/>
                <w:sz w:val="20"/>
                <w:szCs w:val="20"/>
              </w:rPr>
              <w:t xml:space="preserve">and </w:t>
            </w:r>
            <w:r w:rsidR="00A3148B">
              <w:rPr>
                <w:rFonts w:cs="Arial"/>
                <w:sz w:val="20"/>
                <w:szCs w:val="20"/>
              </w:rPr>
              <w:t>logframe</w:t>
            </w:r>
            <w:r w:rsidR="000C0FB0" w:rsidRPr="0047272A">
              <w:rPr>
                <w:rFonts w:cs="Arial"/>
                <w:sz w:val="20"/>
                <w:szCs w:val="20"/>
              </w:rPr>
              <w:t xml:space="preserve"> has been </w:t>
            </w:r>
            <w:r w:rsidR="00DD4A3F" w:rsidRPr="0047272A">
              <w:rPr>
                <w:rFonts w:cs="Arial"/>
                <w:sz w:val="20"/>
                <w:szCs w:val="20"/>
              </w:rPr>
              <w:t xml:space="preserve">agreed upon at the Partnership level, we will proceed with updating our </w:t>
            </w:r>
            <w:r w:rsidR="00076F0A" w:rsidRPr="0047272A">
              <w:rPr>
                <w:rFonts w:cs="Arial"/>
                <w:sz w:val="20"/>
                <w:szCs w:val="20"/>
              </w:rPr>
              <w:t xml:space="preserve">ToC and </w:t>
            </w:r>
            <w:r w:rsidR="00A3148B">
              <w:rPr>
                <w:rFonts w:cs="Arial"/>
                <w:sz w:val="20"/>
                <w:szCs w:val="20"/>
              </w:rPr>
              <w:t>logframe</w:t>
            </w:r>
            <w:r w:rsidR="00076F0A" w:rsidRPr="0047272A">
              <w:rPr>
                <w:rFonts w:cs="Arial"/>
                <w:sz w:val="20"/>
                <w:szCs w:val="20"/>
              </w:rPr>
              <w:t xml:space="preserve"> at the UK level</w:t>
            </w:r>
            <w:r w:rsidR="00B72B9B" w:rsidRPr="0047272A">
              <w:rPr>
                <w:rFonts w:cs="Arial"/>
                <w:sz w:val="20"/>
                <w:szCs w:val="20"/>
              </w:rPr>
              <w:t xml:space="preserve">. </w:t>
            </w:r>
            <w:r w:rsidR="00215A41" w:rsidRPr="0047272A">
              <w:rPr>
                <w:rFonts w:cs="Arial"/>
                <w:sz w:val="20"/>
                <w:szCs w:val="20"/>
              </w:rPr>
              <w:t xml:space="preserve">This is likely to happen </w:t>
            </w:r>
            <w:r w:rsidR="00E461D6" w:rsidRPr="0047272A">
              <w:rPr>
                <w:rFonts w:cs="Arial"/>
                <w:sz w:val="20"/>
                <w:szCs w:val="20"/>
              </w:rPr>
              <w:t>early in the reporting period of 2026 /2027.</w:t>
            </w:r>
          </w:p>
        </w:tc>
        <w:tc>
          <w:tcPr>
            <w:tcW w:w="1933" w:type="dxa"/>
          </w:tcPr>
          <w:p w14:paraId="163E9F71" w14:textId="77315D17" w:rsidR="006B37BD" w:rsidRPr="0047272A" w:rsidRDefault="00076F0A" w:rsidP="00E84DC0">
            <w:pPr>
              <w:rPr>
                <w:rFonts w:cs="Arial"/>
                <w:i/>
                <w:iCs/>
                <w:sz w:val="20"/>
                <w:szCs w:val="20"/>
              </w:rPr>
            </w:pPr>
            <w:bookmarkStart w:id="6" w:name="_Int_CmvfX27L"/>
            <w:r w:rsidRPr="0047272A">
              <w:rPr>
                <w:rFonts w:cs="Arial"/>
                <w:i/>
                <w:iCs/>
                <w:sz w:val="20"/>
                <w:szCs w:val="20"/>
              </w:rPr>
              <w:t>February,</w:t>
            </w:r>
            <w:bookmarkEnd w:id="6"/>
            <w:r w:rsidRPr="0047272A">
              <w:rPr>
                <w:rFonts w:cs="Arial"/>
                <w:i/>
                <w:iCs/>
                <w:sz w:val="20"/>
                <w:szCs w:val="20"/>
              </w:rPr>
              <w:t xml:space="preserve"> 2026</w:t>
            </w:r>
          </w:p>
        </w:tc>
      </w:tr>
      <w:tr w:rsidR="006B37BD" w:rsidRPr="003C5BF3" w14:paraId="76100055" w14:textId="77777777" w:rsidTr="1474E4A2">
        <w:tc>
          <w:tcPr>
            <w:tcW w:w="9016" w:type="dxa"/>
            <w:gridSpan w:val="2"/>
          </w:tcPr>
          <w:p w14:paraId="333E3F52" w14:textId="0A2CBCB9" w:rsidR="006B37BD" w:rsidRPr="0047272A" w:rsidRDefault="006B37BD" w:rsidP="007B2A0C">
            <w:pPr>
              <w:rPr>
                <w:rFonts w:cs="Arial"/>
                <w:b/>
                <w:bCs/>
                <w:i/>
                <w:iCs/>
                <w:sz w:val="20"/>
                <w:szCs w:val="20"/>
              </w:rPr>
            </w:pPr>
            <w:r w:rsidRPr="0047272A">
              <w:rPr>
                <w:rFonts w:cs="Arial"/>
                <w:b/>
                <w:bCs/>
                <w:sz w:val="20"/>
                <w:szCs w:val="20"/>
              </w:rPr>
              <w:t>MEL review recommendation</w:t>
            </w:r>
          </w:p>
        </w:tc>
      </w:tr>
      <w:tr w:rsidR="006B37BD" w:rsidRPr="003C5BF3" w14:paraId="46D75E0D" w14:textId="77777777" w:rsidTr="1474E4A2">
        <w:tc>
          <w:tcPr>
            <w:tcW w:w="7083" w:type="dxa"/>
          </w:tcPr>
          <w:p w14:paraId="1F9F65B6" w14:textId="2F40E841" w:rsidR="006B37BD" w:rsidRPr="0047272A" w:rsidRDefault="006B37BD" w:rsidP="007B2A0C">
            <w:pPr>
              <w:rPr>
                <w:rFonts w:cs="Arial"/>
                <w:sz w:val="20"/>
                <w:szCs w:val="20"/>
              </w:rPr>
            </w:pPr>
            <w:r w:rsidRPr="0047272A">
              <w:rPr>
                <w:rFonts w:cs="Arial"/>
                <w:sz w:val="20"/>
                <w:szCs w:val="20"/>
              </w:rPr>
              <w:t>The programme team will assess the MEL needs and requirements of the programme, based on the new ODA landscape, as well as available budget, which will become clear after the Spending Review process will have concluded. The programme team will then decide about the programme’s overall MEL approach and the best way to proceed with the MEL element of programme delivery.</w:t>
            </w:r>
          </w:p>
        </w:tc>
        <w:tc>
          <w:tcPr>
            <w:tcW w:w="1933" w:type="dxa"/>
          </w:tcPr>
          <w:p w14:paraId="410DBB4D" w14:textId="5834B53A" w:rsidR="006B37BD" w:rsidRPr="0047272A" w:rsidRDefault="006B37BD" w:rsidP="00E84DC0">
            <w:pPr>
              <w:rPr>
                <w:rFonts w:cs="Arial"/>
                <w:i/>
                <w:iCs/>
                <w:sz w:val="20"/>
                <w:szCs w:val="20"/>
              </w:rPr>
            </w:pPr>
            <w:r w:rsidRPr="0047272A">
              <w:rPr>
                <w:rFonts w:cs="Arial"/>
                <w:i/>
                <w:iCs/>
                <w:sz w:val="20"/>
                <w:szCs w:val="20"/>
              </w:rPr>
              <w:t>December,2025</w:t>
            </w:r>
          </w:p>
        </w:tc>
      </w:tr>
      <w:tr w:rsidR="006B37BD" w:rsidRPr="003C5BF3" w14:paraId="689AFFE3" w14:textId="77777777" w:rsidTr="1474E4A2">
        <w:tc>
          <w:tcPr>
            <w:tcW w:w="9016" w:type="dxa"/>
            <w:gridSpan w:val="2"/>
          </w:tcPr>
          <w:p w14:paraId="1B640EDD" w14:textId="0BF85087" w:rsidR="006B37BD" w:rsidRPr="0047272A" w:rsidRDefault="006B37BD" w:rsidP="007B2A0C">
            <w:pPr>
              <w:rPr>
                <w:rFonts w:cs="Arial"/>
                <w:i/>
                <w:iCs/>
                <w:sz w:val="20"/>
                <w:szCs w:val="20"/>
              </w:rPr>
            </w:pPr>
            <w:r w:rsidRPr="0047272A">
              <w:rPr>
                <w:rFonts w:cs="Arial"/>
                <w:b/>
                <w:bCs/>
                <w:sz w:val="20"/>
                <w:szCs w:val="20"/>
              </w:rPr>
              <w:t>Stakeholder engagement recommendations</w:t>
            </w:r>
          </w:p>
        </w:tc>
      </w:tr>
      <w:tr w:rsidR="006B37BD" w:rsidRPr="003C5BF3" w14:paraId="1A7BBA1B" w14:textId="77777777" w:rsidTr="1474E4A2">
        <w:tc>
          <w:tcPr>
            <w:tcW w:w="7083" w:type="dxa"/>
          </w:tcPr>
          <w:p w14:paraId="055F8F7E" w14:textId="0E6FF65A" w:rsidR="006B37BD" w:rsidRPr="0047272A" w:rsidRDefault="006B37BD" w:rsidP="007B2A0C">
            <w:pPr>
              <w:rPr>
                <w:rFonts w:cs="Arial"/>
                <w:sz w:val="20"/>
                <w:szCs w:val="20"/>
              </w:rPr>
            </w:pPr>
            <w:r w:rsidRPr="0047272A">
              <w:rPr>
                <w:rFonts w:cs="Arial"/>
                <w:sz w:val="20"/>
                <w:szCs w:val="20"/>
              </w:rPr>
              <w:t xml:space="preserve">The UK NDC Partnership team will be focused on ensuring that the programme’s delivery partners are aligned with and informed of UK’s </w:t>
            </w:r>
            <w:r w:rsidR="00A3148B">
              <w:rPr>
                <w:rFonts w:cs="Arial"/>
                <w:sz w:val="20"/>
                <w:szCs w:val="20"/>
              </w:rPr>
              <w:t>logframe</w:t>
            </w:r>
            <w:r w:rsidRPr="0047272A">
              <w:rPr>
                <w:rFonts w:cs="Arial"/>
                <w:sz w:val="20"/>
                <w:szCs w:val="20"/>
              </w:rPr>
              <w:t xml:space="preserve"> and MEL approach and reporting provided will respond to the programme’s UK level MEL requirements. </w:t>
            </w:r>
          </w:p>
        </w:tc>
        <w:tc>
          <w:tcPr>
            <w:tcW w:w="1933" w:type="dxa"/>
          </w:tcPr>
          <w:p w14:paraId="3E1082EE" w14:textId="06D355CC" w:rsidR="006B37BD" w:rsidRPr="0047272A" w:rsidRDefault="006B37BD" w:rsidP="00E84DC0">
            <w:pPr>
              <w:rPr>
                <w:rFonts w:cs="Arial"/>
                <w:i/>
                <w:iCs/>
                <w:sz w:val="20"/>
                <w:szCs w:val="20"/>
              </w:rPr>
            </w:pPr>
            <w:r w:rsidRPr="0047272A">
              <w:rPr>
                <w:rFonts w:cs="Arial"/>
                <w:i/>
                <w:iCs/>
                <w:sz w:val="20"/>
                <w:szCs w:val="20"/>
              </w:rPr>
              <w:t>August 2025</w:t>
            </w:r>
          </w:p>
        </w:tc>
      </w:tr>
      <w:tr w:rsidR="006B37BD" w:rsidRPr="003C5BF3" w14:paraId="17890428" w14:textId="77777777" w:rsidTr="1474E4A2">
        <w:tc>
          <w:tcPr>
            <w:tcW w:w="7083" w:type="dxa"/>
          </w:tcPr>
          <w:p w14:paraId="681C531D" w14:textId="3ADDE4E7" w:rsidR="006B37BD" w:rsidRPr="0047272A" w:rsidRDefault="006B37BD" w:rsidP="007B2A0C">
            <w:pPr>
              <w:rPr>
                <w:rFonts w:cs="Arial"/>
                <w:sz w:val="20"/>
                <w:szCs w:val="20"/>
              </w:rPr>
            </w:pPr>
            <w:r w:rsidRPr="0047272A">
              <w:rPr>
                <w:rFonts w:cs="Arial"/>
                <w:sz w:val="20"/>
                <w:szCs w:val="20"/>
              </w:rPr>
              <w:t xml:space="preserve">Building on this year’s performance, the programme team will deliver additional sessions to DESNZ programme teams and continue embedding UK’s contribution to the NDC Partnership in our ICF capacity building offer. </w:t>
            </w:r>
          </w:p>
        </w:tc>
        <w:tc>
          <w:tcPr>
            <w:tcW w:w="1933" w:type="dxa"/>
          </w:tcPr>
          <w:p w14:paraId="21AD7C5F" w14:textId="6DA33FB1" w:rsidR="006B37BD" w:rsidRPr="0047272A" w:rsidRDefault="006B37BD" w:rsidP="00E84DC0">
            <w:pPr>
              <w:rPr>
                <w:rFonts w:cs="Arial"/>
                <w:i/>
                <w:iCs/>
                <w:sz w:val="20"/>
                <w:szCs w:val="20"/>
              </w:rPr>
            </w:pPr>
            <w:r w:rsidRPr="0047272A">
              <w:rPr>
                <w:rFonts w:cs="Arial"/>
                <w:i/>
                <w:iCs/>
                <w:sz w:val="20"/>
                <w:szCs w:val="20"/>
              </w:rPr>
              <w:t>January 2026</w:t>
            </w:r>
          </w:p>
        </w:tc>
      </w:tr>
      <w:tr w:rsidR="006B37BD" w:rsidRPr="003C5BF3" w14:paraId="309D3137" w14:textId="77777777" w:rsidTr="1474E4A2">
        <w:tc>
          <w:tcPr>
            <w:tcW w:w="9016" w:type="dxa"/>
            <w:gridSpan w:val="2"/>
          </w:tcPr>
          <w:p w14:paraId="10B95276" w14:textId="52AB5CE7" w:rsidR="006B37BD" w:rsidRPr="0047272A" w:rsidRDefault="006B37BD" w:rsidP="007B2A0C">
            <w:pPr>
              <w:rPr>
                <w:rFonts w:cs="Arial"/>
                <w:b/>
                <w:bCs/>
                <w:i/>
                <w:iCs/>
                <w:sz w:val="20"/>
                <w:szCs w:val="20"/>
              </w:rPr>
            </w:pPr>
            <w:r w:rsidRPr="0047272A">
              <w:rPr>
                <w:rFonts w:cs="Arial"/>
                <w:b/>
                <w:bCs/>
                <w:sz w:val="20"/>
                <w:szCs w:val="20"/>
              </w:rPr>
              <w:t>NDC Partnership Programme Management Recommendations</w:t>
            </w:r>
          </w:p>
        </w:tc>
      </w:tr>
      <w:tr w:rsidR="006B37BD" w:rsidRPr="003C5BF3" w14:paraId="50A30B87" w14:textId="77777777" w:rsidTr="1474E4A2">
        <w:tc>
          <w:tcPr>
            <w:tcW w:w="7083" w:type="dxa"/>
          </w:tcPr>
          <w:p w14:paraId="44098FC0" w14:textId="373239D5" w:rsidR="006B37BD" w:rsidRPr="0047272A" w:rsidRDefault="006B37BD" w:rsidP="007B2A0C">
            <w:pPr>
              <w:rPr>
                <w:rFonts w:cs="Arial"/>
                <w:sz w:val="20"/>
                <w:szCs w:val="20"/>
              </w:rPr>
            </w:pPr>
            <w:r w:rsidRPr="0047272A">
              <w:rPr>
                <w:rFonts w:cs="Arial"/>
                <w:sz w:val="20"/>
                <w:szCs w:val="20"/>
              </w:rPr>
              <w:t>The NDC Partnership UK Programme Team will improve the C</w:t>
            </w:r>
            <w:r w:rsidR="002A238E" w:rsidRPr="0047272A">
              <w:rPr>
                <w:rFonts w:cs="Arial"/>
                <w:sz w:val="20"/>
                <w:szCs w:val="20"/>
              </w:rPr>
              <w:t xml:space="preserve">EF </w:t>
            </w:r>
            <w:r w:rsidRPr="0047272A">
              <w:rPr>
                <w:rFonts w:cs="Arial"/>
                <w:sz w:val="20"/>
                <w:szCs w:val="20"/>
              </w:rPr>
              <w:t xml:space="preserve">process by following the developed guidance on sharing the Requests for Support and obtaining approval for priority countries within a </w:t>
            </w:r>
            <w:r w:rsidR="008A16AD" w:rsidRPr="0047272A">
              <w:rPr>
                <w:rFonts w:cs="Arial"/>
                <w:sz w:val="20"/>
                <w:szCs w:val="20"/>
              </w:rPr>
              <w:t>six-week</w:t>
            </w:r>
            <w:r w:rsidRPr="0047272A">
              <w:rPr>
                <w:rFonts w:cs="Arial"/>
                <w:sz w:val="20"/>
                <w:szCs w:val="20"/>
              </w:rPr>
              <w:t xml:space="preserve"> period and working closely with the Support Unit to deliver a responsive and efficient bilateral offer. </w:t>
            </w:r>
          </w:p>
        </w:tc>
        <w:tc>
          <w:tcPr>
            <w:tcW w:w="1933" w:type="dxa"/>
          </w:tcPr>
          <w:p w14:paraId="3DDC89E6" w14:textId="16728B63" w:rsidR="006B37BD" w:rsidRPr="0047272A" w:rsidRDefault="006B37BD" w:rsidP="00E84DC0">
            <w:pPr>
              <w:rPr>
                <w:rFonts w:cs="Arial"/>
                <w:i/>
                <w:iCs/>
                <w:sz w:val="20"/>
                <w:szCs w:val="20"/>
              </w:rPr>
            </w:pPr>
            <w:r w:rsidRPr="0047272A">
              <w:rPr>
                <w:rFonts w:cs="Arial"/>
                <w:i/>
                <w:iCs/>
                <w:sz w:val="20"/>
                <w:szCs w:val="20"/>
              </w:rPr>
              <w:t>October 2025</w:t>
            </w:r>
          </w:p>
        </w:tc>
      </w:tr>
      <w:tr w:rsidR="006B37BD" w:rsidRPr="003C5BF3" w14:paraId="7D250460" w14:textId="77777777" w:rsidTr="1474E4A2">
        <w:trPr>
          <w:trHeight w:val="300"/>
        </w:trPr>
        <w:tc>
          <w:tcPr>
            <w:tcW w:w="7083" w:type="dxa"/>
          </w:tcPr>
          <w:p w14:paraId="59ECA34C" w14:textId="602ABD98" w:rsidR="006B37BD" w:rsidRPr="0047272A" w:rsidRDefault="00EB1677" w:rsidP="007B2A0C">
            <w:pPr>
              <w:rPr>
                <w:rFonts w:cs="Arial"/>
                <w:sz w:val="20"/>
                <w:szCs w:val="20"/>
              </w:rPr>
            </w:pPr>
            <w:r w:rsidRPr="0047272A">
              <w:rPr>
                <w:rFonts w:cs="Arial"/>
                <w:sz w:val="20"/>
                <w:szCs w:val="20"/>
              </w:rPr>
              <w:t xml:space="preserve">The </w:t>
            </w:r>
            <w:r w:rsidR="003C75DF" w:rsidRPr="0047272A">
              <w:rPr>
                <w:rFonts w:cs="Arial"/>
                <w:sz w:val="20"/>
                <w:szCs w:val="20"/>
              </w:rPr>
              <w:t>programme team will d</w:t>
            </w:r>
            <w:r w:rsidR="006B37BD" w:rsidRPr="0047272A">
              <w:rPr>
                <w:rFonts w:cs="Arial"/>
                <w:sz w:val="20"/>
                <w:szCs w:val="20"/>
              </w:rPr>
              <w:t>eliver a refresh of Requests for Support tracker to ensure that it provides an overview of RfS from other country partners and contributes to more effective coordination of country level support across ICF.</w:t>
            </w:r>
          </w:p>
        </w:tc>
        <w:tc>
          <w:tcPr>
            <w:tcW w:w="1933" w:type="dxa"/>
          </w:tcPr>
          <w:p w14:paraId="1BA29948" w14:textId="79C975C7" w:rsidR="006B37BD" w:rsidRPr="0047272A" w:rsidRDefault="006B37BD" w:rsidP="00E84DC0">
            <w:pPr>
              <w:rPr>
                <w:rFonts w:cs="Arial"/>
                <w:i/>
                <w:iCs/>
                <w:sz w:val="20"/>
                <w:szCs w:val="20"/>
              </w:rPr>
            </w:pPr>
            <w:r w:rsidRPr="0047272A">
              <w:rPr>
                <w:rFonts w:cs="Arial"/>
                <w:i/>
                <w:iCs/>
                <w:sz w:val="20"/>
                <w:szCs w:val="20"/>
              </w:rPr>
              <w:t>July 2025</w:t>
            </w:r>
          </w:p>
        </w:tc>
      </w:tr>
    </w:tbl>
    <w:p w14:paraId="7F17C967" w14:textId="4E965DD7" w:rsidR="00CB2873" w:rsidRPr="003C5BF3" w:rsidRDefault="00CB2873" w:rsidP="004D5FD5">
      <w:pPr>
        <w:jc w:val="both"/>
      </w:pPr>
    </w:p>
    <w:tbl>
      <w:tblPr>
        <w:tblStyle w:val="TableGrid"/>
        <w:tblW w:w="0" w:type="auto"/>
        <w:tblLook w:val="04A0" w:firstRow="1" w:lastRow="0" w:firstColumn="1" w:lastColumn="0" w:noHBand="0" w:noVBand="1"/>
      </w:tblPr>
      <w:tblGrid>
        <w:gridCol w:w="9016"/>
      </w:tblGrid>
      <w:tr w:rsidR="00CB2873" w:rsidRPr="003C5BF3" w14:paraId="3D63871C" w14:textId="77777777" w:rsidTr="527A8EFF">
        <w:tc>
          <w:tcPr>
            <w:tcW w:w="9016" w:type="dxa"/>
            <w:shd w:val="clear" w:color="auto" w:fill="DEEAF6" w:themeFill="accent5" w:themeFillTint="33"/>
          </w:tcPr>
          <w:p w14:paraId="3A432808" w14:textId="1D068169" w:rsidR="00CB2873" w:rsidRPr="003C5BF3" w:rsidRDefault="00CB2873" w:rsidP="004D5FD5">
            <w:pPr>
              <w:jc w:val="both"/>
            </w:pPr>
            <w:bookmarkStart w:id="7" w:name="_Toc199421658"/>
            <w:bookmarkStart w:id="8" w:name="_Hlk110858960"/>
            <w:r w:rsidRPr="003C5BF3">
              <w:rPr>
                <w:rStyle w:val="Heading1Char"/>
                <w:rFonts w:ascii="Arial" w:hAnsi="Arial" w:cs="Arial"/>
                <w:b/>
                <w:bCs/>
                <w:color w:val="auto"/>
              </w:rPr>
              <w:t xml:space="preserve">Section B: Theory of </w:t>
            </w:r>
            <w:r w:rsidR="20262009" w:rsidRPr="003C5BF3">
              <w:rPr>
                <w:rStyle w:val="Heading1Char"/>
                <w:rFonts w:ascii="Arial" w:hAnsi="Arial" w:cs="Arial"/>
                <w:b/>
                <w:bCs/>
                <w:color w:val="auto"/>
              </w:rPr>
              <w:t>c</w:t>
            </w:r>
            <w:r w:rsidRPr="003C5BF3">
              <w:rPr>
                <w:rStyle w:val="Heading1Char"/>
                <w:rFonts w:ascii="Arial" w:hAnsi="Arial" w:cs="Arial"/>
                <w:b/>
                <w:bCs/>
                <w:color w:val="auto"/>
              </w:rPr>
              <w:t>hange and progress towards outcomes</w:t>
            </w:r>
            <w:bookmarkEnd w:id="7"/>
            <w:r w:rsidRPr="003C5BF3">
              <w:t xml:space="preserve"> </w:t>
            </w:r>
          </w:p>
        </w:tc>
      </w:tr>
      <w:bookmarkEnd w:id="8"/>
    </w:tbl>
    <w:p w14:paraId="799AF0D2" w14:textId="77777777" w:rsidR="00CB2873" w:rsidRPr="003C5BF3" w:rsidRDefault="00CB2873" w:rsidP="004D5FD5">
      <w:pPr>
        <w:jc w:val="both"/>
      </w:pPr>
    </w:p>
    <w:p w14:paraId="25478844" w14:textId="0F08E6C9" w:rsidR="003D222C" w:rsidRPr="003C5BF3" w:rsidRDefault="00AA718D" w:rsidP="004D5FD5">
      <w:pPr>
        <w:jc w:val="both"/>
      </w:pPr>
      <w:bookmarkStart w:id="9" w:name="_Toc199421659"/>
      <w:r w:rsidRPr="003C5BF3">
        <w:rPr>
          <w:rStyle w:val="Heading2Char"/>
        </w:rPr>
        <w:t>Summary of the</w:t>
      </w:r>
      <w:r w:rsidR="007D6095" w:rsidRPr="003C5BF3">
        <w:rPr>
          <w:rStyle w:val="Heading2Char"/>
        </w:rPr>
        <w:t xml:space="preserve"> </w:t>
      </w:r>
      <w:r w:rsidR="003D222C" w:rsidRPr="003C5BF3">
        <w:rPr>
          <w:rStyle w:val="Heading2Char"/>
        </w:rPr>
        <w:t>programme’s theory of change, including any changes to outcome and impact indicators from the original business case</w:t>
      </w:r>
      <w:bookmarkEnd w:id="9"/>
      <w:r w:rsidR="003D222C" w:rsidRPr="003C5BF3">
        <w:t xml:space="preserve"> </w:t>
      </w:r>
    </w:p>
    <w:p w14:paraId="2A0560AD" w14:textId="77777777" w:rsidR="003161BA" w:rsidRPr="003C5BF3" w:rsidRDefault="003161BA" w:rsidP="00FC58D0"/>
    <w:p w14:paraId="03D0D441" w14:textId="602E74CB" w:rsidR="00AD09B9" w:rsidRPr="0047272A" w:rsidRDefault="00161EC9" w:rsidP="00FC58D0">
      <w:pPr>
        <w:ind w:firstLine="720"/>
        <w:rPr>
          <w:b/>
          <w:bCs/>
          <w:sz w:val="22"/>
          <w:szCs w:val="22"/>
        </w:rPr>
      </w:pPr>
      <w:r w:rsidRPr="0047272A">
        <w:rPr>
          <w:sz w:val="22"/>
          <w:szCs w:val="22"/>
        </w:rPr>
        <w:t xml:space="preserve">The </w:t>
      </w:r>
      <w:r w:rsidR="19BE1A7F" w:rsidRPr="0047272A">
        <w:rPr>
          <w:sz w:val="22"/>
          <w:szCs w:val="22"/>
        </w:rPr>
        <w:t xml:space="preserve">objectives of the </w:t>
      </w:r>
      <w:r w:rsidRPr="0047272A">
        <w:rPr>
          <w:sz w:val="22"/>
          <w:szCs w:val="22"/>
        </w:rPr>
        <w:t xml:space="preserve">UK’s NDC </w:t>
      </w:r>
      <w:r w:rsidR="000A0B6B" w:rsidRPr="0047272A">
        <w:rPr>
          <w:sz w:val="22"/>
          <w:szCs w:val="22"/>
        </w:rPr>
        <w:t>s</w:t>
      </w:r>
      <w:r w:rsidRPr="0047272A">
        <w:rPr>
          <w:sz w:val="22"/>
          <w:szCs w:val="22"/>
        </w:rPr>
        <w:t xml:space="preserve">upport </w:t>
      </w:r>
      <w:r w:rsidR="00314618" w:rsidRPr="0047272A">
        <w:rPr>
          <w:sz w:val="22"/>
          <w:szCs w:val="22"/>
        </w:rPr>
        <w:t>through NDC Partnership</w:t>
      </w:r>
      <w:r w:rsidR="005C73C7" w:rsidRPr="0047272A">
        <w:rPr>
          <w:sz w:val="22"/>
          <w:szCs w:val="22"/>
        </w:rPr>
        <w:t xml:space="preserve"> </w:t>
      </w:r>
      <w:r w:rsidR="4DA27359" w:rsidRPr="0047272A">
        <w:rPr>
          <w:sz w:val="22"/>
          <w:szCs w:val="22"/>
        </w:rPr>
        <w:t>are set out</w:t>
      </w:r>
      <w:r w:rsidR="005C73C7" w:rsidRPr="0047272A">
        <w:rPr>
          <w:sz w:val="22"/>
          <w:szCs w:val="22"/>
        </w:rPr>
        <w:t xml:space="preserve"> through the Theory of Change </w:t>
      </w:r>
      <w:r w:rsidR="00E626B4" w:rsidRPr="0047272A">
        <w:rPr>
          <w:sz w:val="22"/>
          <w:szCs w:val="22"/>
        </w:rPr>
        <w:t>(ToC)</w:t>
      </w:r>
      <w:r w:rsidR="1BF22757" w:rsidRPr="0047272A">
        <w:rPr>
          <w:sz w:val="22"/>
          <w:szCs w:val="22"/>
        </w:rPr>
        <w:t xml:space="preserve">, and monitored through a </w:t>
      </w:r>
      <w:r w:rsidR="00A3148B">
        <w:rPr>
          <w:sz w:val="22"/>
          <w:szCs w:val="22"/>
        </w:rPr>
        <w:t>logframe</w:t>
      </w:r>
      <w:r w:rsidR="1BF22757" w:rsidRPr="0047272A">
        <w:rPr>
          <w:sz w:val="22"/>
          <w:szCs w:val="22"/>
        </w:rPr>
        <w:t xml:space="preserve"> based on the outputs, outcomes and impacts described in the </w:t>
      </w:r>
      <w:r w:rsidR="009F20BC" w:rsidRPr="0047272A">
        <w:rPr>
          <w:sz w:val="22"/>
          <w:szCs w:val="22"/>
        </w:rPr>
        <w:t>ToC.</w:t>
      </w:r>
      <w:r w:rsidR="005C73C7" w:rsidRPr="0047272A">
        <w:rPr>
          <w:sz w:val="22"/>
          <w:szCs w:val="22"/>
        </w:rPr>
        <w:t xml:space="preserve"> The </w:t>
      </w:r>
      <w:r w:rsidR="00E626B4" w:rsidRPr="0047272A">
        <w:rPr>
          <w:sz w:val="22"/>
          <w:szCs w:val="22"/>
        </w:rPr>
        <w:t>ToC</w:t>
      </w:r>
      <w:r w:rsidR="005C73C7" w:rsidRPr="0047272A">
        <w:rPr>
          <w:sz w:val="22"/>
          <w:szCs w:val="22"/>
        </w:rPr>
        <w:t xml:space="preserve"> has two key inputs</w:t>
      </w:r>
      <w:r w:rsidR="00196B0D" w:rsidRPr="0047272A">
        <w:rPr>
          <w:sz w:val="22"/>
          <w:szCs w:val="22"/>
        </w:rPr>
        <w:t xml:space="preserve">, </w:t>
      </w:r>
      <w:r w:rsidR="00196B0D" w:rsidRPr="004A0C5E">
        <w:rPr>
          <w:b/>
          <w:bCs/>
          <w:sz w:val="22"/>
          <w:szCs w:val="22"/>
        </w:rPr>
        <w:t xml:space="preserve">the </w:t>
      </w:r>
      <w:r w:rsidR="00196B0D" w:rsidRPr="0047272A">
        <w:rPr>
          <w:b/>
          <w:bCs/>
          <w:sz w:val="22"/>
          <w:szCs w:val="22"/>
        </w:rPr>
        <w:t xml:space="preserve">funding </w:t>
      </w:r>
      <w:r w:rsidR="007167E7" w:rsidRPr="0047272A">
        <w:rPr>
          <w:b/>
          <w:bCs/>
          <w:sz w:val="22"/>
          <w:szCs w:val="22"/>
        </w:rPr>
        <w:t>provided through the ‘funded elements’</w:t>
      </w:r>
      <w:r w:rsidR="00D83418" w:rsidRPr="0047272A">
        <w:rPr>
          <w:sz w:val="22"/>
          <w:szCs w:val="22"/>
        </w:rPr>
        <w:t xml:space="preserve"> (</w:t>
      </w:r>
      <w:r w:rsidR="007167E7" w:rsidRPr="0047272A">
        <w:rPr>
          <w:sz w:val="22"/>
          <w:szCs w:val="22"/>
        </w:rPr>
        <w:t xml:space="preserve">which </w:t>
      </w:r>
      <w:r w:rsidR="000A0B6B" w:rsidRPr="0047272A">
        <w:rPr>
          <w:sz w:val="22"/>
          <w:szCs w:val="22"/>
        </w:rPr>
        <w:t xml:space="preserve">includes </w:t>
      </w:r>
      <w:r w:rsidR="007167E7" w:rsidRPr="0047272A">
        <w:rPr>
          <w:sz w:val="22"/>
          <w:szCs w:val="22"/>
        </w:rPr>
        <w:t>funds for the Support Unit</w:t>
      </w:r>
      <w:r w:rsidR="00D83418" w:rsidRPr="0047272A">
        <w:rPr>
          <w:sz w:val="22"/>
          <w:szCs w:val="22"/>
        </w:rPr>
        <w:t>,</w:t>
      </w:r>
      <w:r w:rsidR="007167E7" w:rsidRPr="0047272A">
        <w:rPr>
          <w:sz w:val="22"/>
          <w:szCs w:val="22"/>
        </w:rPr>
        <w:t xml:space="preserve"> funds for the Country Engagement Fund,</w:t>
      </w:r>
      <w:r w:rsidR="000A0B6B" w:rsidRPr="0047272A">
        <w:rPr>
          <w:sz w:val="22"/>
          <w:szCs w:val="22"/>
        </w:rPr>
        <w:t xml:space="preserve"> </w:t>
      </w:r>
      <w:r w:rsidR="007167E7" w:rsidRPr="0047272A">
        <w:rPr>
          <w:sz w:val="22"/>
          <w:szCs w:val="22"/>
        </w:rPr>
        <w:t>funds for institutional members of the NDC Partnership and funds for the PAF</w:t>
      </w:r>
      <w:r w:rsidR="00D83418" w:rsidRPr="0047272A">
        <w:rPr>
          <w:sz w:val="22"/>
          <w:szCs w:val="22"/>
        </w:rPr>
        <w:t>),</w:t>
      </w:r>
      <w:r w:rsidR="000A0B6B" w:rsidRPr="0047272A">
        <w:rPr>
          <w:sz w:val="22"/>
          <w:szCs w:val="22"/>
        </w:rPr>
        <w:t xml:space="preserve"> </w:t>
      </w:r>
      <w:r w:rsidR="00747AB8" w:rsidRPr="0047272A">
        <w:rPr>
          <w:sz w:val="22"/>
          <w:szCs w:val="22"/>
        </w:rPr>
        <w:t xml:space="preserve">and the </w:t>
      </w:r>
      <w:r w:rsidR="00747AB8" w:rsidRPr="0047272A">
        <w:rPr>
          <w:b/>
          <w:bCs/>
          <w:sz w:val="22"/>
          <w:szCs w:val="22"/>
        </w:rPr>
        <w:t>UK’s membership of NDC Partnership.</w:t>
      </w:r>
    </w:p>
    <w:p w14:paraId="37A9DA5D" w14:textId="77777777" w:rsidR="000A0B6B" w:rsidRPr="0047272A" w:rsidRDefault="000A0B6B" w:rsidP="000A0B6B">
      <w:pPr>
        <w:jc w:val="both"/>
        <w:rPr>
          <w:b/>
          <w:sz w:val="22"/>
          <w:szCs w:val="22"/>
        </w:rPr>
      </w:pPr>
    </w:p>
    <w:p w14:paraId="4D079EA6" w14:textId="3FE05485" w:rsidR="003161BA" w:rsidRPr="0047272A" w:rsidRDefault="00747AB8" w:rsidP="007B2A0C">
      <w:pPr>
        <w:ind w:firstLine="360"/>
        <w:jc w:val="both"/>
        <w:rPr>
          <w:sz w:val="22"/>
          <w:szCs w:val="22"/>
        </w:rPr>
      </w:pPr>
      <w:r w:rsidRPr="0047272A">
        <w:rPr>
          <w:sz w:val="22"/>
          <w:szCs w:val="22"/>
        </w:rPr>
        <w:t xml:space="preserve">The activities from these inputs, which include </w:t>
      </w:r>
      <w:r w:rsidR="0027551E" w:rsidRPr="0047272A">
        <w:rPr>
          <w:sz w:val="22"/>
          <w:szCs w:val="22"/>
        </w:rPr>
        <w:t xml:space="preserve">the Support Unit’s main </w:t>
      </w:r>
      <w:r w:rsidR="00B02F2A" w:rsidRPr="0047272A">
        <w:rPr>
          <w:sz w:val="22"/>
          <w:szCs w:val="22"/>
        </w:rPr>
        <w:t>activities</w:t>
      </w:r>
      <w:r w:rsidR="0027551E" w:rsidRPr="0047272A">
        <w:rPr>
          <w:sz w:val="22"/>
          <w:szCs w:val="22"/>
        </w:rPr>
        <w:t xml:space="preserve"> as described in section </w:t>
      </w:r>
      <w:r w:rsidR="00AD1289" w:rsidRPr="0047272A">
        <w:rPr>
          <w:sz w:val="22"/>
          <w:szCs w:val="22"/>
        </w:rPr>
        <w:t>A</w:t>
      </w:r>
      <w:r w:rsidR="0027551E" w:rsidRPr="0047272A">
        <w:rPr>
          <w:sz w:val="22"/>
          <w:szCs w:val="22"/>
        </w:rPr>
        <w:t xml:space="preserve">, the recruitment of embedded advisors and facilitators, delivery of relevant technical assistance, as well as </w:t>
      </w:r>
      <w:r w:rsidR="005941A7" w:rsidRPr="0047272A">
        <w:rPr>
          <w:sz w:val="22"/>
          <w:szCs w:val="22"/>
        </w:rPr>
        <w:t xml:space="preserve">engagement in membership </w:t>
      </w:r>
      <w:r w:rsidR="00B02F2A" w:rsidRPr="0047272A">
        <w:rPr>
          <w:sz w:val="22"/>
          <w:szCs w:val="22"/>
        </w:rPr>
        <w:t>activities</w:t>
      </w:r>
      <w:r w:rsidR="005941A7" w:rsidRPr="0047272A">
        <w:rPr>
          <w:sz w:val="22"/>
          <w:szCs w:val="22"/>
        </w:rPr>
        <w:t xml:space="preserve"> (such as being active participants of the Steering Committee) and </w:t>
      </w:r>
      <w:r w:rsidR="007527C8" w:rsidRPr="0047272A">
        <w:rPr>
          <w:sz w:val="22"/>
          <w:szCs w:val="22"/>
        </w:rPr>
        <w:t xml:space="preserve">significant </w:t>
      </w:r>
      <w:r w:rsidR="00275B22" w:rsidRPr="0047272A">
        <w:rPr>
          <w:sz w:val="22"/>
          <w:szCs w:val="22"/>
        </w:rPr>
        <w:t xml:space="preserve">cross Whitehall and embassy engagement </w:t>
      </w:r>
      <w:r w:rsidR="00B02F2A" w:rsidRPr="0047272A">
        <w:rPr>
          <w:sz w:val="22"/>
          <w:szCs w:val="22"/>
        </w:rPr>
        <w:t xml:space="preserve">- </w:t>
      </w:r>
      <w:r w:rsidR="00275B22" w:rsidRPr="0047272A">
        <w:rPr>
          <w:sz w:val="22"/>
          <w:szCs w:val="22"/>
        </w:rPr>
        <w:t>work together to deliver the following outputs:</w:t>
      </w:r>
    </w:p>
    <w:p w14:paraId="48CCA03B" w14:textId="77777777" w:rsidR="00275B22" w:rsidRPr="0047272A" w:rsidRDefault="00275B22" w:rsidP="004D5FD5">
      <w:pPr>
        <w:jc w:val="both"/>
        <w:rPr>
          <w:sz w:val="22"/>
          <w:szCs w:val="22"/>
        </w:rPr>
      </w:pPr>
    </w:p>
    <w:p w14:paraId="17B91F77" w14:textId="17EA5672" w:rsidR="00A13A5D" w:rsidRPr="0047272A" w:rsidRDefault="00A13A5D" w:rsidP="0055496C">
      <w:pPr>
        <w:pStyle w:val="ListParagraph"/>
        <w:numPr>
          <w:ilvl w:val="0"/>
          <w:numId w:val="25"/>
        </w:numPr>
        <w:rPr>
          <w:sz w:val="22"/>
          <w:szCs w:val="22"/>
        </w:rPr>
      </w:pPr>
      <w:r w:rsidRPr="0047272A">
        <w:rPr>
          <w:b/>
          <w:sz w:val="22"/>
          <w:szCs w:val="22"/>
        </w:rPr>
        <w:t xml:space="preserve">Improved </w:t>
      </w:r>
      <w:r w:rsidR="00D4559B" w:rsidRPr="0047272A">
        <w:rPr>
          <w:b/>
          <w:sz w:val="22"/>
          <w:szCs w:val="22"/>
        </w:rPr>
        <w:t>coordination</w:t>
      </w:r>
      <w:r w:rsidRPr="0047272A">
        <w:rPr>
          <w:b/>
          <w:sz w:val="22"/>
          <w:szCs w:val="22"/>
        </w:rPr>
        <w:t xml:space="preserve"> and </w:t>
      </w:r>
      <w:r w:rsidR="00D4559B" w:rsidRPr="0047272A">
        <w:rPr>
          <w:b/>
          <w:sz w:val="22"/>
          <w:szCs w:val="22"/>
        </w:rPr>
        <w:t>quality</w:t>
      </w:r>
      <w:r w:rsidRPr="0047272A">
        <w:rPr>
          <w:b/>
          <w:sz w:val="22"/>
          <w:szCs w:val="22"/>
        </w:rPr>
        <w:t xml:space="preserve"> of demand and </w:t>
      </w:r>
      <w:r w:rsidR="00D4559B" w:rsidRPr="0047272A">
        <w:rPr>
          <w:b/>
          <w:sz w:val="22"/>
          <w:szCs w:val="22"/>
        </w:rPr>
        <w:t>supply</w:t>
      </w:r>
      <w:r w:rsidRPr="0047272A">
        <w:rPr>
          <w:b/>
          <w:sz w:val="22"/>
          <w:szCs w:val="22"/>
        </w:rPr>
        <w:t xml:space="preserve"> of support</w:t>
      </w:r>
      <w:r w:rsidRPr="0047272A">
        <w:rPr>
          <w:sz w:val="22"/>
          <w:szCs w:val="22"/>
        </w:rPr>
        <w:t xml:space="preserve"> through the SU’s </w:t>
      </w:r>
      <w:r w:rsidR="00D4559B" w:rsidRPr="0047272A">
        <w:rPr>
          <w:sz w:val="22"/>
          <w:szCs w:val="22"/>
        </w:rPr>
        <w:t>matchmaking efforts and in-country engagement</w:t>
      </w:r>
      <w:r w:rsidR="001F73A8" w:rsidRPr="0047272A">
        <w:rPr>
          <w:sz w:val="22"/>
          <w:szCs w:val="22"/>
        </w:rPr>
        <w:t>.</w:t>
      </w:r>
    </w:p>
    <w:p w14:paraId="3B9775E2" w14:textId="0BFA2C75" w:rsidR="00D4559B" w:rsidRPr="0047272A" w:rsidRDefault="00D4559B" w:rsidP="0055496C">
      <w:pPr>
        <w:pStyle w:val="ListParagraph"/>
        <w:numPr>
          <w:ilvl w:val="0"/>
          <w:numId w:val="25"/>
        </w:numPr>
        <w:rPr>
          <w:sz w:val="22"/>
          <w:szCs w:val="22"/>
        </w:rPr>
      </w:pPr>
      <w:r w:rsidRPr="0047272A">
        <w:rPr>
          <w:b/>
          <w:sz w:val="22"/>
          <w:szCs w:val="22"/>
        </w:rPr>
        <w:t>Capacity and capability of developing countries increases</w:t>
      </w:r>
      <w:r w:rsidRPr="0047272A">
        <w:rPr>
          <w:sz w:val="22"/>
          <w:szCs w:val="22"/>
        </w:rPr>
        <w:t xml:space="preserve"> through the deployment of embedded advisory support that builds institutional capacity, as well as dedicated and relevant technical assistance on NDC development, enhancement and implementation. </w:t>
      </w:r>
    </w:p>
    <w:p w14:paraId="603465B7" w14:textId="46274E3A" w:rsidR="00D4559B" w:rsidRPr="0047272A" w:rsidRDefault="00D4559B" w:rsidP="0055496C">
      <w:pPr>
        <w:pStyle w:val="ListParagraph"/>
        <w:numPr>
          <w:ilvl w:val="0"/>
          <w:numId w:val="25"/>
        </w:numPr>
        <w:rPr>
          <w:sz w:val="22"/>
          <w:szCs w:val="22"/>
        </w:rPr>
      </w:pPr>
      <w:r w:rsidRPr="0047272A">
        <w:rPr>
          <w:b/>
          <w:sz w:val="22"/>
          <w:szCs w:val="22"/>
        </w:rPr>
        <w:t>Developing countries establish and enhance climate plans, policies, and processes</w:t>
      </w:r>
      <w:r w:rsidRPr="0047272A">
        <w:rPr>
          <w:sz w:val="22"/>
          <w:szCs w:val="22"/>
        </w:rPr>
        <w:t xml:space="preserve"> </w:t>
      </w:r>
      <w:r w:rsidR="005E53D2" w:rsidRPr="0047272A">
        <w:rPr>
          <w:sz w:val="22"/>
          <w:szCs w:val="22"/>
        </w:rPr>
        <w:t>through technical assistance and the development of institutional capacity t</w:t>
      </w:r>
      <w:r w:rsidR="001F73A8" w:rsidRPr="0047272A">
        <w:rPr>
          <w:sz w:val="22"/>
          <w:szCs w:val="22"/>
        </w:rPr>
        <w:t xml:space="preserve">hrough the recruitment of embedded advisory support. </w:t>
      </w:r>
    </w:p>
    <w:p w14:paraId="3AE37454" w14:textId="661148E1" w:rsidR="001F73A8" w:rsidRPr="0047272A" w:rsidRDefault="001F73A8" w:rsidP="0055496C">
      <w:pPr>
        <w:pStyle w:val="ListParagraph"/>
        <w:numPr>
          <w:ilvl w:val="0"/>
          <w:numId w:val="25"/>
        </w:numPr>
        <w:rPr>
          <w:sz w:val="22"/>
          <w:szCs w:val="22"/>
        </w:rPr>
      </w:pPr>
      <w:r w:rsidRPr="0047272A">
        <w:rPr>
          <w:b/>
          <w:sz w:val="22"/>
          <w:szCs w:val="22"/>
        </w:rPr>
        <w:t>More effective and joined up UK support driven by the Partnership</w:t>
      </w:r>
      <w:r w:rsidRPr="0047272A">
        <w:rPr>
          <w:sz w:val="22"/>
          <w:szCs w:val="22"/>
        </w:rPr>
        <w:t>, which is powered by our internal cross Whitehall and embassy engagement which supports the coordination of our programmatic offer on NDCs.</w:t>
      </w:r>
    </w:p>
    <w:p w14:paraId="6D522E53" w14:textId="1570D65C" w:rsidR="001F73A8" w:rsidRPr="0047272A" w:rsidRDefault="001F73A8" w:rsidP="0055496C">
      <w:pPr>
        <w:ind w:firstLine="360"/>
        <w:rPr>
          <w:sz w:val="22"/>
          <w:szCs w:val="22"/>
        </w:rPr>
      </w:pPr>
      <w:r w:rsidRPr="0047272A">
        <w:rPr>
          <w:sz w:val="22"/>
          <w:szCs w:val="22"/>
        </w:rPr>
        <w:t xml:space="preserve">These outputs then lead to </w:t>
      </w:r>
      <w:r w:rsidR="00971E3B" w:rsidRPr="0047272A">
        <w:rPr>
          <w:sz w:val="22"/>
          <w:szCs w:val="22"/>
        </w:rPr>
        <w:t>two</w:t>
      </w:r>
      <w:r w:rsidR="006E27E5" w:rsidRPr="0047272A">
        <w:rPr>
          <w:sz w:val="22"/>
          <w:szCs w:val="22"/>
        </w:rPr>
        <w:t xml:space="preserve"> intermediate outcomes</w:t>
      </w:r>
      <w:r w:rsidR="00D83418" w:rsidRPr="0047272A">
        <w:rPr>
          <w:sz w:val="22"/>
          <w:szCs w:val="22"/>
        </w:rPr>
        <w:t>;</w:t>
      </w:r>
      <w:r w:rsidR="009B4BA6" w:rsidRPr="0047272A">
        <w:rPr>
          <w:sz w:val="22"/>
          <w:szCs w:val="22"/>
        </w:rPr>
        <w:t xml:space="preserve"> </w:t>
      </w:r>
      <w:r w:rsidR="006E27E5" w:rsidRPr="0047272A">
        <w:rPr>
          <w:b/>
          <w:sz w:val="22"/>
          <w:szCs w:val="22"/>
        </w:rPr>
        <w:t xml:space="preserve">increased access to climate finance </w:t>
      </w:r>
      <w:r w:rsidR="006E27E5" w:rsidRPr="0047272A">
        <w:rPr>
          <w:sz w:val="22"/>
          <w:szCs w:val="22"/>
        </w:rPr>
        <w:t>and</w:t>
      </w:r>
      <w:r w:rsidR="006E27E5" w:rsidRPr="0047272A">
        <w:rPr>
          <w:b/>
          <w:sz w:val="22"/>
          <w:szCs w:val="22"/>
        </w:rPr>
        <w:t xml:space="preserve"> NDCs are </w:t>
      </w:r>
      <w:r w:rsidR="009B4BA6" w:rsidRPr="0047272A">
        <w:rPr>
          <w:b/>
          <w:sz w:val="22"/>
          <w:szCs w:val="22"/>
        </w:rPr>
        <w:t>mainstreamed into development plans and budgets</w:t>
      </w:r>
      <w:r w:rsidR="009B4BA6" w:rsidRPr="0047272A">
        <w:rPr>
          <w:sz w:val="22"/>
          <w:szCs w:val="22"/>
        </w:rPr>
        <w:t xml:space="preserve">, and </w:t>
      </w:r>
      <w:r w:rsidR="009F1FEA" w:rsidRPr="0047272A">
        <w:rPr>
          <w:sz w:val="22"/>
          <w:szCs w:val="22"/>
        </w:rPr>
        <w:t>then to</w:t>
      </w:r>
      <w:r w:rsidR="009B4BA6" w:rsidRPr="0047272A">
        <w:rPr>
          <w:sz w:val="22"/>
          <w:szCs w:val="22"/>
        </w:rPr>
        <w:t xml:space="preserve"> </w:t>
      </w:r>
      <w:r w:rsidR="00971E3B" w:rsidRPr="0047272A">
        <w:rPr>
          <w:sz w:val="22"/>
          <w:szCs w:val="22"/>
        </w:rPr>
        <w:t>two</w:t>
      </w:r>
      <w:r w:rsidR="009B4BA6" w:rsidRPr="0047272A">
        <w:rPr>
          <w:sz w:val="22"/>
          <w:szCs w:val="22"/>
        </w:rPr>
        <w:t xml:space="preserve"> outcomes</w:t>
      </w:r>
      <w:r w:rsidR="009F1FEA" w:rsidRPr="0047272A">
        <w:rPr>
          <w:bCs/>
          <w:sz w:val="22"/>
          <w:szCs w:val="22"/>
        </w:rPr>
        <w:t>;</w:t>
      </w:r>
      <w:r w:rsidR="00285D0B" w:rsidRPr="0047272A">
        <w:rPr>
          <w:sz w:val="22"/>
          <w:szCs w:val="22"/>
        </w:rPr>
        <w:t xml:space="preserve"> accelerated NDC implementation and raised ambition and quality of climate action. </w:t>
      </w:r>
      <w:r w:rsidR="0098232F" w:rsidRPr="0047272A">
        <w:rPr>
          <w:sz w:val="22"/>
          <w:szCs w:val="22"/>
        </w:rPr>
        <w:t>Finally</w:t>
      </w:r>
      <w:r w:rsidR="00841B3D" w:rsidRPr="0047272A">
        <w:rPr>
          <w:sz w:val="22"/>
          <w:szCs w:val="22"/>
        </w:rPr>
        <w:t xml:space="preserve">, </w:t>
      </w:r>
      <w:r w:rsidR="0015312F" w:rsidRPr="0047272A">
        <w:rPr>
          <w:sz w:val="22"/>
          <w:szCs w:val="22"/>
        </w:rPr>
        <w:t>t</w:t>
      </w:r>
      <w:r w:rsidR="00285D0B" w:rsidRPr="0047272A">
        <w:rPr>
          <w:sz w:val="22"/>
          <w:szCs w:val="22"/>
        </w:rPr>
        <w:t xml:space="preserve">hese then lead to an overarching </w:t>
      </w:r>
      <w:r w:rsidR="004F4249" w:rsidRPr="0047272A">
        <w:rPr>
          <w:sz w:val="22"/>
          <w:szCs w:val="22"/>
        </w:rPr>
        <w:t>impact</w:t>
      </w:r>
      <w:r w:rsidR="00285D0B" w:rsidRPr="0047272A">
        <w:rPr>
          <w:sz w:val="22"/>
          <w:szCs w:val="22"/>
        </w:rPr>
        <w:t xml:space="preserve"> of</w:t>
      </w:r>
      <w:r w:rsidR="00285D0B" w:rsidRPr="0047272A">
        <w:rPr>
          <w:b/>
          <w:sz w:val="22"/>
          <w:szCs w:val="22"/>
        </w:rPr>
        <w:t xml:space="preserve"> the goals of the Paris Agreement being achieved</w:t>
      </w:r>
      <w:r w:rsidR="00285D0B" w:rsidRPr="0047272A">
        <w:rPr>
          <w:sz w:val="22"/>
          <w:szCs w:val="22"/>
        </w:rPr>
        <w:t xml:space="preserve"> – i.e. Paris Agreements processes are followed</w:t>
      </w:r>
      <w:r w:rsidR="004F4249" w:rsidRPr="0047272A">
        <w:rPr>
          <w:sz w:val="22"/>
          <w:szCs w:val="22"/>
        </w:rPr>
        <w:t>,</w:t>
      </w:r>
      <w:r w:rsidR="00285D0B" w:rsidRPr="0047272A">
        <w:rPr>
          <w:sz w:val="22"/>
          <w:szCs w:val="22"/>
        </w:rPr>
        <w:t xml:space="preserve"> and</w:t>
      </w:r>
      <w:r w:rsidR="009B4BA6" w:rsidRPr="0047272A">
        <w:rPr>
          <w:sz w:val="22"/>
          <w:szCs w:val="22"/>
        </w:rPr>
        <w:t xml:space="preserve"> </w:t>
      </w:r>
      <w:r w:rsidR="004F4249" w:rsidRPr="0047272A">
        <w:rPr>
          <w:sz w:val="22"/>
          <w:szCs w:val="22"/>
        </w:rPr>
        <w:t>average global</w:t>
      </w:r>
      <w:r w:rsidR="00285D0B" w:rsidRPr="0047272A">
        <w:rPr>
          <w:sz w:val="22"/>
          <w:szCs w:val="22"/>
        </w:rPr>
        <w:t xml:space="preserve"> </w:t>
      </w:r>
      <w:r w:rsidR="009C4700" w:rsidRPr="0047272A">
        <w:rPr>
          <w:sz w:val="22"/>
          <w:szCs w:val="22"/>
        </w:rPr>
        <w:t>temperature ris</w:t>
      </w:r>
      <w:r w:rsidR="004F4249" w:rsidRPr="0047272A">
        <w:rPr>
          <w:sz w:val="22"/>
          <w:szCs w:val="22"/>
        </w:rPr>
        <w:t>e is limited to 1.5</w:t>
      </w:r>
      <w:r w:rsidR="004F4249" w:rsidRPr="0047272A">
        <w:rPr>
          <w:sz w:val="22"/>
          <w:szCs w:val="22"/>
          <w:vertAlign w:val="superscript"/>
        </w:rPr>
        <w:t>o</w:t>
      </w:r>
      <w:r w:rsidR="004F4249" w:rsidRPr="0047272A">
        <w:rPr>
          <w:sz w:val="22"/>
          <w:szCs w:val="22"/>
        </w:rPr>
        <w:t xml:space="preserve">C. </w:t>
      </w:r>
    </w:p>
    <w:p w14:paraId="3440D057" w14:textId="77777777" w:rsidR="0055496C" w:rsidRPr="0047272A" w:rsidRDefault="0055496C" w:rsidP="004D5FD5">
      <w:pPr>
        <w:jc w:val="both"/>
        <w:rPr>
          <w:sz w:val="22"/>
          <w:szCs w:val="22"/>
        </w:rPr>
      </w:pPr>
    </w:p>
    <w:p w14:paraId="3EFED11F" w14:textId="08E76A84" w:rsidR="005808DB" w:rsidRPr="0047272A" w:rsidRDefault="000A4F6E" w:rsidP="0055496C">
      <w:pPr>
        <w:ind w:firstLine="360"/>
        <w:rPr>
          <w:sz w:val="22"/>
          <w:szCs w:val="22"/>
        </w:rPr>
      </w:pPr>
      <w:r w:rsidRPr="0047272A">
        <w:rPr>
          <w:sz w:val="22"/>
          <w:szCs w:val="22"/>
        </w:rPr>
        <w:t>This</w:t>
      </w:r>
      <w:r w:rsidR="00873EB2" w:rsidRPr="0047272A">
        <w:rPr>
          <w:sz w:val="22"/>
          <w:szCs w:val="22"/>
        </w:rPr>
        <w:t xml:space="preserve"> </w:t>
      </w:r>
      <w:r w:rsidR="00C65423" w:rsidRPr="0047272A">
        <w:rPr>
          <w:sz w:val="22"/>
          <w:szCs w:val="22"/>
        </w:rPr>
        <w:t>ToC</w:t>
      </w:r>
      <w:r w:rsidRPr="0047272A">
        <w:rPr>
          <w:sz w:val="22"/>
          <w:szCs w:val="22"/>
        </w:rPr>
        <w:t>, although specific to the UK</w:t>
      </w:r>
      <w:r w:rsidR="009F1FEA" w:rsidRPr="0047272A">
        <w:rPr>
          <w:sz w:val="22"/>
          <w:szCs w:val="22"/>
        </w:rPr>
        <w:t xml:space="preserve"> support</w:t>
      </w:r>
      <w:r w:rsidR="000F3ADB" w:rsidRPr="0047272A">
        <w:rPr>
          <w:sz w:val="22"/>
          <w:szCs w:val="22"/>
        </w:rPr>
        <w:t xml:space="preserve"> is closely aligned</w:t>
      </w:r>
      <w:r w:rsidRPr="0047272A">
        <w:rPr>
          <w:sz w:val="22"/>
          <w:szCs w:val="22"/>
        </w:rPr>
        <w:t xml:space="preserve"> with the Partnership’s overarching T</w:t>
      </w:r>
      <w:r w:rsidR="00E03329" w:rsidRPr="0047272A">
        <w:rPr>
          <w:sz w:val="22"/>
          <w:szCs w:val="22"/>
        </w:rPr>
        <w:t>oC</w:t>
      </w:r>
      <w:r w:rsidRPr="0047272A">
        <w:rPr>
          <w:sz w:val="22"/>
          <w:szCs w:val="22"/>
        </w:rPr>
        <w:t xml:space="preserve"> and MEL framework</w:t>
      </w:r>
      <w:r w:rsidR="009F1FEA" w:rsidRPr="0047272A">
        <w:rPr>
          <w:sz w:val="22"/>
          <w:szCs w:val="22"/>
        </w:rPr>
        <w:t>,</w:t>
      </w:r>
      <w:r w:rsidR="00E03329" w:rsidRPr="0047272A">
        <w:rPr>
          <w:sz w:val="22"/>
          <w:szCs w:val="22"/>
        </w:rPr>
        <w:t xml:space="preserve"> especially</w:t>
      </w:r>
      <w:r w:rsidR="001E56CB" w:rsidRPr="0047272A">
        <w:rPr>
          <w:sz w:val="22"/>
          <w:szCs w:val="22"/>
        </w:rPr>
        <w:t xml:space="preserve"> at outcome and impact level. T</w:t>
      </w:r>
      <w:r w:rsidRPr="0047272A">
        <w:rPr>
          <w:sz w:val="22"/>
          <w:szCs w:val="22"/>
        </w:rPr>
        <w:t xml:space="preserve">his commonality between the two supports </w:t>
      </w:r>
      <w:r w:rsidR="000339E9" w:rsidRPr="0047272A">
        <w:rPr>
          <w:sz w:val="22"/>
          <w:szCs w:val="22"/>
        </w:rPr>
        <w:t xml:space="preserve">data gathering </w:t>
      </w:r>
      <w:r w:rsidR="001E56CB" w:rsidRPr="0047272A">
        <w:rPr>
          <w:sz w:val="22"/>
          <w:szCs w:val="22"/>
        </w:rPr>
        <w:t>and overall alignment of objectives, however for the purposes of this annual review</w:t>
      </w:r>
      <w:r w:rsidR="00BD7EB0" w:rsidRPr="0047272A">
        <w:rPr>
          <w:sz w:val="22"/>
          <w:szCs w:val="22"/>
        </w:rPr>
        <w:t>,</w:t>
      </w:r>
      <w:r w:rsidR="001E56CB" w:rsidRPr="0047272A">
        <w:rPr>
          <w:sz w:val="22"/>
          <w:szCs w:val="22"/>
        </w:rPr>
        <w:t xml:space="preserve"> we will only be assessing impact </w:t>
      </w:r>
      <w:r w:rsidR="009F1FEA" w:rsidRPr="0047272A">
        <w:rPr>
          <w:sz w:val="22"/>
          <w:szCs w:val="22"/>
        </w:rPr>
        <w:t>across the ToC</w:t>
      </w:r>
      <w:r w:rsidR="00BD7EB0" w:rsidRPr="0047272A">
        <w:rPr>
          <w:sz w:val="22"/>
          <w:szCs w:val="22"/>
        </w:rPr>
        <w:t xml:space="preserve"> </w:t>
      </w:r>
      <w:r w:rsidR="00A13A5D" w:rsidRPr="0047272A">
        <w:rPr>
          <w:sz w:val="22"/>
          <w:szCs w:val="22"/>
        </w:rPr>
        <w:t xml:space="preserve">using the UK specific </w:t>
      </w:r>
      <w:r w:rsidR="00BD7EB0" w:rsidRPr="0047272A">
        <w:rPr>
          <w:sz w:val="22"/>
          <w:szCs w:val="22"/>
        </w:rPr>
        <w:t>ToC</w:t>
      </w:r>
      <w:r w:rsidR="00A13A5D" w:rsidRPr="0047272A">
        <w:rPr>
          <w:sz w:val="22"/>
          <w:szCs w:val="22"/>
        </w:rPr>
        <w:t xml:space="preserve"> as described and summarised</w:t>
      </w:r>
      <w:r w:rsidR="005808DB" w:rsidRPr="0047272A">
        <w:rPr>
          <w:sz w:val="22"/>
          <w:szCs w:val="22"/>
        </w:rPr>
        <w:t xml:space="preserve"> </w:t>
      </w:r>
      <w:r w:rsidR="00C06F43" w:rsidRPr="0047272A">
        <w:rPr>
          <w:sz w:val="22"/>
          <w:szCs w:val="22"/>
        </w:rPr>
        <w:t xml:space="preserve">in </w:t>
      </w:r>
      <w:r w:rsidR="00C06F43" w:rsidRPr="0047272A">
        <w:rPr>
          <w:sz w:val="22"/>
          <w:szCs w:val="22"/>
        </w:rPr>
        <w:fldChar w:fldCharType="begin"/>
      </w:r>
      <w:r w:rsidR="00C06F43" w:rsidRPr="0047272A">
        <w:rPr>
          <w:sz w:val="22"/>
          <w:szCs w:val="22"/>
        </w:rPr>
        <w:instrText xml:space="preserve"> REF _Ref198030524 \h </w:instrText>
      </w:r>
      <w:r w:rsidR="00D71EA8" w:rsidRPr="0047272A">
        <w:rPr>
          <w:sz w:val="22"/>
          <w:szCs w:val="22"/>
        </w:rPr>
        <w:instrText xml:space="preserve"> \* MERGEFORMAT </w:instrText>
      </w:r>
      <w:r w:rsidR="00C06F43" w:rsidRPr="0047272A">
        <w:rPr>
          <w:sz w:val="22"/>
          <w:szCs w:val="22"/>
        </w:rPr>
      </w:r>
      <w:r w:rsidR="00C06F43" w:rsidRPr="0047272A">
        <w:rPr>
          <w:sz w:val="22"/>
          <w:szCs w:val="22"/>
        </w:rPr>
        <w:fldChar w:fldCharType="separate"/>
      </w:r>
      <w:r w:rsidR="00C06F43" w:rsidRPr="0047272A">
        <w:rPr>
          <w:sz w:val="22"/>
          <w:szCs w:val="22"/>
        </w:rPr>
        <w:t>Figure 1</w:t>
      </w:r>
      <w:r w:rsidR="00C06F43" w:rsidRPr="0047272A">
        <w:rPr>
          <w:sz w:val="22"/>
          <w:szCs w:val="22"/>
        </w:rPr>
        <w:fldChar w:fldCharType="end"/>
      </w:r>
      <w:r w:rsidR="00C06F43" w:rsidRPr="0047272A">
        <w:rPr>
          <w:sz w:val="22"/>
          <w:szCs w:val="22"/>
        </w:rPr>
        <w:t>.</w:t>
      </w:r>
    </w:p>
    <w:p w14:paraId="3235A67E" w14:textId="77777777" w:rsidR="005808DB" w:rsidRPr="003C5BF3" w:rsidRDefault="005808DB" w:rsidP="004D5FD5">
      <w:pPr>
        <w:jc w:val="both"/>
        <w:rPr>
          <w:sz w:val="22"/>
          <w:szCs w:val="22"/>
        </w:rPr>
      </w:pPr>
    </w:p>
    <w:p w14:paraId="28087BFA" w14:textId="77777777" w:rsidR="00C06F43" w:rsidRPr="003C5BF3" w:rsidRDefault="005808DB" w:rsidP="00C06F43">
      <w:pPr>
        <w:keepNext/>
        <w:jc w:val="both"/>
        <w:rPr>
          <w:sz w:val="22"/>
          <w:szCs w:val="22"/>
        </w:rPr>
      </w:pPr>
      <w:r w:rsidRPr="003C5BF3">
        <w:rPr>
          <w:noProof/>
          <w:sz w:val="22"/>
          <w:szCs w:val="22"/>
        </w:rPr>
        <w:lastRenderedPageBreak/>
        <w:drawing>
          <wp:inline distT="0" distB="0" distL="0" distR="0" wp14:anchorId="1E6C7B19" wp14:editId="38737211">
            <wp:extent cx="5731510" cy="1503187"/>
            <wp:effectExtent l="0" t="0" r="2540" b="1905"/>
            <wp:docPr id="1535874929" name="Picture 2" descr="A diagram of a process&#10;&#10;Description automatically generated with medium confidenc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diagram of a process&#10;&#10;Description automatically generated with medium confidence, Pict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1503187"/>
                    </a:xfrm>
                    <a:prstGeom prst="rect">
                      <a:avLst/>
                    </a:prstGeom>
                    <a:noFill/>
                    <a:ln>
                      <a:noFill/>
                    </a:ln>
                  </pic:spPr>
                </pic:pic>
              </a:graphicData>
            </a:graphic>
          </wp:inline>
        </w:drawing>
      </w:r>
    </w:p>
    <w:p w14:paraId="477D6215" w14:textId="68809832" w:rsidR="005808DB" w:rsidRPr="003C5BF3" w:rsidRDefault="00C06F43" w:rsidP="00C06F43">
      <w:pPr>
        <w:pStyle w:val="Caption"/>
        <w:jc w:val="both"/>
        <w:rPr>
          <w:sz w:val="22"/>
          <w:szCs w:val="22"/>
        </w:rPr>
      </w:pPr>
      <w:bookmarkStart w:id="10" w:name="_Ref198030524"/>
      <w:r w:rsidRPr="003C5BF3">
        <w:rPr>
          <w:sz w:val="22"/>
          <w:szCs w:val="22"/>
        </w:rPr>
        <w:t xml:space="preserve">Figure </w:t>
      </w:r>
      <w:r w:rsidRPr="003C5BF3">
        <w:rPr>
          <w:sz w:val="22"/>
          <w:szCs w:val="22"/>
        </w:rPr>
        <w:fldChar w:fldCharType="begin"/>
      </w:r>
      <w:r w:rsidRPr="003C5BF3">
        <w:rPr>
          <w:sz w:val="22"/>
          <w:szCs w:val="22"/>
        </w:rPr>
        <w:instrText xml:space="preserve"> SEQ Figure \* ARABIC </w:instrText>
      </w:r>
      <w:r w:rsidRPr="003C5BF3">
        <w:rPr>
          <w:sz w:val="22"/>
          <w:szCs w:val="22"/>
        </w:rPr>
        <w:fldChar w:fldCharType="separate"/>
      </w:r>
      <w:r w:rsidRPr="003C5BF3">
        <w:rPr>
          <w:sz w:val="22"/>
          <w:szCs w:val="22"/>
        </w:rPr>
        <w:t>1</w:t>
      </w:r>
      <w:r w:rsidRPr="003C5BF3">
        <w:rPr>
          <w:sz w:val="22"/>
          <w:szCs w:val="22"/>
        </w:rPr>
        <w:fldChar w:fldCharType="end"/>
      </w:r>
      <w:bookmarkEnd w:id="10"/>
      <w:r w:rsidRPr="003C5BF3">
        <w:rPr>
          <w:sz w:val="22"/>
          <w:szCs w:val="22"/>
        </w:rPr>
        <w:t xml:space="preserve"> - UK's NDC Support through NDC Partnership Theory of Change summary</w:t>
      </w:r>
    </w:p>
    <w:p w14:paraId="44435565" w14:textId="77777777" w:rsidR="003D222C" w:rsidRPr="003C5BF3" w:rsidRDefault="003D222C" w:rsidP="004D5FD5">
      <w:pPr>
        <w:jc w:val="both"/>
        <w:rPr>
          <w:rFonts w:cs="Arial"/>
          <w:b/>
          <w:sz w:val="22"/>
          <w:szCs w:val="22"/>
        </w:rPr>
      </w:pPr>
    </w:p>
    <w:p w14:paraId="16BDD8C8" w14:textId="60D93DF0" w:rsidR="00451A6D" w:rsidRPr="0047272A" w:rsidRDefault="00451A6D" w:rsidP="008D4E75">
      <w:pPr>
        <w:ind w:firstLine="720"/>
        <w:rPr>
          <w:rFonts w:cs="Arial"/>
          <w:sz w:val="22"/>
          <w:szCs w:val="22"/>
        </w:rPr>
      </w:pPr>
      <w:r w:rsidRPr="0047272A">
        <w:rPr>
          <w:rFonts w:cs="Arial"/>
          <w:sz w:val="22"/>
          <w:szCs w:val="22"/>
        </w:rPr>
        <w:t xml:space="preserve">All of the UK’s activities detailed though this ToC are in alignment with </w:t>
      </w:r>
      <w:r w:rsidR="0EC10BA1" w:rsidRPr="0047272A">
        <w:rPr>
          <w:rFonts w:cs="Arial"/>
          <w:sz w:val="22"/>
          <w:szCs w:val="22"/>
        </w:rPr>
        <w:t xml:space="preserve">UK </w:t>
      </w:r>
      <w:r w:rsidRPr="0047272A">
        <w:rPr>
          <w:rFonts w:cs="Arial"/>
          <w:sz w:val="22"/>
          <w:szCs w:val="22"/>
        </w:rPr>
        <w:t>ICF</w:t>
      </w:r>
      <w:r w:rsidR="003E18B8" w:rsidRPr="0047272A">
        <w:rPr>
          <w:rFonts w:cs="Arial"/>
          <w:sz w:val="22"/>
          <w:szCs w:val="22"/>
        </w:rPr>
        <w:t xml:space="preserve"> </w:t>
      </w:r>
      <w:r w:rsidRPr="0047272A">
        <w:rPr>
          <w:rFonts w:cs="Arial"/>
          <w:sz w:val="22"/>
          <w:szCs w:val="22"/>
        </w:rPr>
        <w:t>objectives</w:t>
      </w:r>
      <w:r w:rsidR="75FB5DB5" w:rsidRPr="0047272A">
        <w:rPr>
          <w:rFonts w:cs="Arial"/>
          <w:sz w:val="22"/>
          <w:szCs w:val="22"/>
        </w:rPr>
        <w:t>.</w:t>
      </w:r>
      <w:r w:rsidRPr="0047272A">
        <w:rPr>
          <w:rFonts w:cs="Arial"/>
          <w:sz w:val="22"/>
          <w:szCs w:val="22"/>
        </w:rPr>
        <w:t xml:space="preserve"> </w:t>
      </w:r>
      <w:r w:rsidR="3BA48029" w:rsidRPr="0047272A">
        <w:rPr>
          <w:rFonts w:cs="Arial"/>
          <w:sz w:val="22"/>
          <w:szCs w:val="22"/>
        </w:rPr>
        <w:t>The</w:t>
      </w:r>
      <w:r w:rsidR="007436A9" w:rsidRPr="0047272A">
        <w:rPr>
          <w:rFonts w:cs="Arial"/>
          <w:sz w:val="22"/>
          <w:szCs w:val="22"/>
        </w:rPr>
        <w:t xml:space="preserve"> </w:t>
      </w:r>
      <w:r w:rsidRPr="0047272A">
        <w:rPr>
          <w:rFonts w:cs="Arial"/>
          <w:sz w:val="22"/>
          <w:szCs w:val="22"/>
        </w:rPr>
        <w:t xml:space="preserve">UK’s contributions to the </w:t>
      </w:r>
      <w:r w:rsidR="03555761" w:rsidRPr="0047272A">
        <w:rPr>
          <w:rFonts w:cs="Arial"/>
          <w:sz w:val="22"/>
          <w:szCs w:val="22"/>
        </w:rPr>
        <w:t>Partnership</w:t>
      </w:r>
      <w:r w:rsidR="00AE01A8" w:rsidRPr="0047272A">
        <w:rPr>
          <w:rFonts w:cs="Arial"/>
          <w:sz w:val="22"/>
          <w:szCs w:val="22"/>
        </w:rPr>
        <w:t xml:space="preserve"> </w:t>
      </w:r>
      <w:r w:rsidRPr="0047272A">
        <w:rPr>
          <w:rFonts w:cs="Arial"/>
          <w:sz w:val="22"/>
          <w:szCs w:val="22"/>
        </w:rPr>
        <w:t xml:space="preserve">support the delivery of wider UK government objectives and </w:t>
      </w:r>
      <w:r w:rsidR="3DC1CD58" w:rsidRPr="0047272A">
        <w:rPr>
          <w:rFonts w:cs="Arial"/>
          <w:sz w:val="22"/>
          <w:szCs w:val="22"/>
        </w:rPr>
        <w:t>contribute to</w:t>
      </w:r>
      <w:r w:rsidRPr="0047272A">
        <w:rPr>
          <w:rFonts w:cs="Arial"/>
          <w:sz w:val="22"/>
          <w:szCs w:val="22"/>
        </w:rPr>
        <w:t xml:space="preserve"> its role as an international climate leader</w:t>
      </w:r>
      <w:r w:rsidR="00046B36" w:rsidRPr="0047272A">
        <w:rPr>
          <w:rFonts w:cs="Arial"/>
          <w:sz w:val="22"/>
          <w:szCs w:val="22"/>
        </w:rPr>
        <w:t xml:space="preserve"> </w:t>
      </w:r>
      <w:r w:rsidR="009F1FEA" w:rsidRPr="0047272A">
        <w:rPr>
          <w:rFonts w:cs="Arial"/>
          <w:sz w:val="22"/>
          <w:szCs w:val="22"/>
        </w:rPr>
        <w:t>that is</w:t>
      </w:r>
      <w:r w:rsidRPr="0047272A">
        <w:rPr>
          <w:rFonts w:cs="Arial"/>
          <w:sz w:val="22"/>
          <w:szCs w:val="22"/>
        </w:rPr>
        <w:t xml:space="preserve"> enabling ambitious climate action. This ToC builds on the ICF 3.0 ToC, emphasising supporting country engagement and strengthening institutional capacity through ambitious climate action.</w:t>
      </w:r>
    </w:p>
    <w:p w14:paraId="6E7A33C9" w14:textId="497FE4B2" w:rsidR="28430F59" w:rsidRPr="0047272A" w:rsidRDefault="28430F59" w:rsidP="28430F59">
      <w:pPr>
        <w:jc w:val="both"/>
        <w:rPr>
          <w:rFonts w:cs="Arial"/>
          <w:sz w:val="22"/>
          <w:szCs w:val="22"/>
        </w:rPr>
      </w:pPr>
    </w:p>
    <w:p w14:paraId="6744E67C" w14:textId="5C689657" w:rsidR="003D222C" w:rsidRPr="003C5BF3" w:rsidRDefault="007D6095" w:rsidP="527A8EFF">
      <w:pPr>
        <w:jc w:val="both"/>
        <w:rPr>
          <w:rFonts w:cs="Arial"/>
          <w:sz w:val="22"/>
          <w:szCs w:val="22"/>
        </w:rPr>
      </w:pPr>
      <w:bookmarkStart w:id="11" w:name="_Toc199421660"/>
      <w:r w:rsidRPr="003C5BF3">
        <w:rPr>
          <w:rStyle w:val="Heading2Char"/>
        </w:rPr>
        <w:t>Progress against</w:t>
      </w:r>
      <w:r w:rsidR="003D222C" w:rsidRPr="003C5BF3">
        <w:rPr>
          <w:rStyle w:val="Heading2Char"/>
        </w:rPr>
        <w:t xml:space="preserve"> the expected outcomes and </w:t>
      </w:r>
      <w:r w:rsidRPr="003C5BF3">
        <w:rPr>
          <w:rStyle w:val="Heading2Char"/>
        </w:rPr>
        <w:t>impact, and</w:t>
      </w:r>
      <w:r w:rsidR="003D222C" w:rsidRPr="003C5BF3">
        <w:rPr>
          <w:rStyle w:val="Heading2Char"/>
        </w:rPr>
        <w:t xml:space="preserve"> action</w:t>
      </w:r>
      <w:r w:rsidRPr="003C5BF3">
        <w:rPr>
          <w:rStyle w:val="Heading2Char"/>
        </w:rPr>
        <w:t>s</w:t>
      </w:r>
      <w:r w:rsidR="003D222C" w:rsidRPr="003C5BF3">
        <w:rPr>
          <w:rStyle w:val="Heading2Char"/>
        </w:rPr>
        <w:t xml:space="preserve"> planned </w:t>
      </w:r>
      <w:r w:rsidR="002D09A5" w:rsidRPr="003C5BF3">
        <w:rPr>
          <w:rStyle w:val="Heading2Char"/>
        </w:rPr>
        <w:t>for</w:t>
      </w:r>
      <w:r w:rsidR="003D222C" w:rsidRPr="003C5BF3">
        <w:rPr>
          <w:rStyle w:val="Heading2Char"/>
        </w:rPr>
        <w:t xml:space="preserve"> the year ahead</w:t>
      </w:r>
      <w:bookmarkEnd w:id="11"/>
      <w:r w:rsidR="003D222C" w:rsidRPr="003C5BF3">
        <w:rPr>
          <w:rFonts w:cs="Arial"/>
          <w:sz w:val="22"/>
          <w:szCs w:val="22"/>
        </w:rPr>
        <w:t xml:space="preserve"> </w:t>
      </w:r>
    </w:p>
    <w:p w14:paraId="1B24F677" w14:textId="77777777" w:rsidR="008A3B24" w:rsidRPr="003C5BF3" w:rsidRDefault="008A3B24" w:rsidP="527A8EFF">
      <w:pPr>
        <w:jc w:val="both"/>
        <w:rPr>
          <w:rFonts w:cs="Arial"/>
          <w:sz w:val="22"/>
          <w:szCs w:val="22"/>
        </w:rPr>
      </w:pPr>
    </w:p>
    <w:p w14:paraId="53FED42B" w14:textId="0A05D682" w:rsidR="00C03201" w:rsidRPr="0047272A" w:rsidRDefault="00602899" w:rsidP="004E6153">
      <w:pPr>
        <w:ind w:firstLine="720"/>
        <w:rPr>
          <w:rFonts w:cs="Arial"/>
          <w:sz w:val="22"/>
          <w:szCs w:val="22"/>
        </w:rPr>
      </w:pPr>
      <w:r w:rsidRPr="0047272A">
        <w:rPr>
          <w:rFonts w:cs="Arial"/>
          <w:sz w:val="22"/>
          <w:szCs w:val="22"/>
        </w:rPr>
        <w:t>The out</w:t>
      </w:r>
      <w:r w:rsidR="00E21211" w:rsidRPr="0047272A">
        <w:rPr>
          <w:rFonts w:cs="Arial"/>
          <w:sz w:val="22"/>
          <w:szCs w:val="22"/>
        </w:rPr>
        <w:t xml:space="preserve">comes and impact detailed in the ToC are measured at the </w:t>
      </w:r>
      <w:r w:rsidR="0034674C" w:rsidRPr="0047272A">
        <w:rPr>
          <w:rFonts w:cs="Arial"/>
          <w:sz w:val="22"/>
          <w:szCs w:val="22"/>
        </w:rPr>
        <w:t xml:space="preserve">both the </w:t>
      </w:r>
      <w:r w:rsidR="00E21211" w:rsidRPr="0047272A">
        <w:rPr>
          <w:rFonts w:cs="Arial"/>
          <w:sz w:val="22"/>
          <w:szCs w:val="22"/>
        </w:rPr>
        <w:t xml:space="preserve">Partnership </w:t>
      </w:r>
      <w:r w:rsidR="0034674C" w:rsidRPr="0047272A">
        <w:rPr>
          <w:rFonts w:cs="Arial"/>
          <w:sz w:val="22"/>
          <w:szCs w:val="22"/>
        </w:rPr>
        <w:t xml:space="preserve">and the UK-contribution level </w:t>
      </w:r>
      <w:r w:rsidR="00E21211" w:rsidRPr="0047272A">
        <w:rPr>
          <w:rFonts w:cs="Arial"/>
          <w:sz w:val="22"/>
          <w:szCs w:val="22"/>
        </w:rPr>
        <w:t xml:space="preserve">through the </w:t>
      </w:r>
      <w:r w:rsidR="00A3148B">
        <w:rPr>
          <w:rFonts w:cs="Arial"/>
          <w:sz w:val="22"/>
          <w:szCs w:val="22"/>
        </w:rPr>
        <w:t>logframe</w:t>
      </w:r>
      <w:r w:rsidR="00E21211" w:rsidRPr="0047272A">
        <w:rPr>
          <w:rFonts w:cs="Arial"/>
          <w:sz w:val="22"/>
          <w:szCs w:val="22"/>
        </w:rPr>
        <w:t xml:space="preserve">. The results for 2025 demonstrate that the Partnership as a whole is </w:t>
      </w:r>
      <w:r w:rsidR="00EF1F87" w:rsidRPr="0047272A">
        <w:rPr>
          <w:rFonts w:cs="Arial"/>
          <w:sz w:val="22"/>
          <w:szCs w:val="22"/>
        </w:rPr>
        <w:t xml:space="preserve">effectively </w:t>
      </w:r>
      <w:r w:rsidR="00E21211" w:rsidRPr="0047272A">
        <w:rPr>
          <w:rFonts w:cs="Arial"/>
          <w:sz w:val="22"/>
          <w:szCs w:val="22"/>
        </w:rPr>
        <w:t>leveraging</w:t>
      </w:r>
      <w:r w:rsidR="00EF1F87" w:rsidRPr="0047272A">
        <w:rPr>
          <w:rFonts w:cs="Arial"/>
          <w:sz w:val="22"/>
          <w:szCs w:val="22"/>
        </w:rPr>
        <w:t xml:space="preserve"> resources and fu</w:t>
      </w:r>
      <w:r w:rsidR="006F45C1" w:rsidRPr="0047272A">
        <w:rPr>
          <w:rFonts w:cs="Arial"/>
          <w:sz w:val="22"/>
          <w:szCs w:val="22"/>
        </w:rPr>
        <w:t>nding</w:t>
      </w:r>
      <w:r w:rsidR="00E21211" w:rsidRPr="0047272A">
        <w:rPr>
          <w:rFonts w:cs="Arial"/>
          <w:sz w:val="22"/>
          <w:szCs w:val="22"/>
        </w:rPr>
        <w:t xml:space="preserve"> with a total of US$1.8bn </w:t>
      </w:r>
      <w:r w:rsidR="009A38AE" w:rsidRPr="0047272A">
        <w:rPr>
          <w:rFonts w:cs="Arial"/>
          <w:sz w:val="22"/>
          <w:szCs w:val="22"/>
        </w:rPr>
        <w:t>o</w:t>
      </w:r>
      <w:r w:rsidR="00FE5E6F" w:rsidRPr="0047272A">
        <w:rPr>
          <w:rFonts w:cs="Arial"/>
          <w:sz w:val="22"/>
          <w:szCs w:val="22"/>
        </w:rPr>
        <w:t>f</w:t>
      </w:r>
      <w:r w:rsidR="009A38AE" w:rsidRPr="0047272A">
        <w:rPr>
          <w:rFonts w:cs="Arial"/>
          <w:sz w:val="22"/>
          <w:szCs w:val="22"/>
        </w:rPr>
        <w:t xml:space="preserve"> technical assistance being d</w:t>
      </w:r>
      <w:r w:rsidR="00976BAA" w:rsidRPr="0047272A">
        <w:rPr>
          <w:rFonts w:cs="Arial"/>
          <w:sz w:val="22"/>
          <w:szCs w:val="22"/>
        </w:rPr>
        <w:t xml:space="preserve">isbursed by partners to support </w:t>
      </w:r>
      <w:r w:rsidR="4C518C4E" w:rsidRPr="0047272A">
        <w:rPr>
          <w:rFonts w:cs="Arial"/>
          <w:sz w:val="22"/>
          <w:szCs w:val="22"/>
        </w:rPr>
        <w:t xml:space="preserve">requests developing countries have made through the </w:t>
      </w:r>
      <w:r w:rsidR="00976BAA" w:rsidRPr="0047272A">
        <w:rPr>
          <w:rFonts w:cs="Arial"/>
          <w:sz w:val="22"/>
          <w:szCs w:val="22"/>
        </w:rPr>
        <w:t xml:space="preserve">NDC Partnership. </w:t>
      </w:r>
      <w:r w:rsidR="00194AA9" w:rsidRPr="0047272A">
        <w:rPr>
          <w:rFonts w:cs="Arial"/>
          <w:sz w:val="22"/>
          <w:szCs w:val="22"/>
        </w:rPr>
        <w:t xml:space="preserve">For </w:t>
      </w:r>
      <w:r w:rsidR="00337EBF" w:rsidRPr="0047272A">
        <w:rPr>
          <w:rFonts w:cs="Arial"/>
          <w:sz w:val="22"/>
          <w:szCs w:val="22"/>
        </w:rPr>
        <w:t xml:space="preserve">the </w:t>
      </w:r>
      <w:r w:rsidR="00B371D0" w:rsidRPr="0047272A">
        <w:rPr>
          <w:rFonts w:cs="Arial"/>
          <w:sz w:val="22"/>
          <w:szCs w:val="22"/>
        </w:rPr>
        <w:t>reporting</w:t>
      </w:r>
      <w:r w:rsidR="00337EBF" w:rsidRPr="0047272A">
        <w:rPr>
          <w:rFonts w:cs="Arial"/>
          <w:sz w:val="22"/>
          <w:szCs w:val="22"/>
        </w:rPr>
        <w:t xml:space="preserve"> period </w:t>
      </w:r>
      <w:r w:rsidR="00B371D0" w:rsidRPr="0047272A">
        <w:rPr>
          <w:rFonts w:cs="Arial"/>
          <w:sz w:val="22"/>
          <w:szCs w:val="22"/>
        </w:rPr>
        <w:t xml:space="preserve">the UK </w:t>
      </w:r>
      <w:r w:rsidR="00194AA9" w:rsidRPr="0047272A">
        <w:rPr>
          <w:rFonts w:cs="Arial"/>
          <w:sz w:val="22"/>
          <w:szCs w:val="22"/>
        </w:rPr>
        <w:t>has</w:t>
      </w:r>
      <w:r w:rsidR="00AE77F3" w:rsidRPr="0047272A">
        <w:rPr>
          <w:rFonts w:cs="Arial"/>
          <w:sz w:val="22"/>
          <w:szCs w:val="22"/>
        </w:rPr>
        <w:t xml:space="preserve"> disbursed </w:t>
      </w:r>
      <w:r w:rsidR="00357B05" w:rsidRPr="0047272A">
        <w:rPr>
          <w:rFonts w:cs="Arial"/>
          <w:sz w:val="22"/>
          <w:szCs w:val="22"/>
        </w:rPr>
        <w:t>over £15m</w:t>
      </w:r>
      <w:r w:rsidR="00B371D0" w:rsidRPr="0047272A">
        <w:rPr>
          <w:rFonts w:cs="Arial"/>
          <w:sz w:val="22"/>
          <w:szCs w:val="22"/>
        </w:rPr>
        <w:t>, with</w:t>
      </w:r>
      <w:r w:rsidR="00194AA9" w:rsidRPr="0047272A">
        <w:rPr>
          <w:rFonts w:cs="Arial"/>
          <w:sz w:val="22"/>
          <w:szCs w:val="22"/>
        </w:rPr>
        <w:t xml:space="preserve"> </w:t>
      </w:r>
      <w:r w:rsidR="000A078C" w:rsidRPr="0047272A">
        <w:rPr>
          <w:rFonts w:cs="Arial"/>
          <w:sz w:val="22"/>
          <w:szCs w:val="22"/>
        </w:rPr>
        <w:t xml:space="preserve">£10m being focussed specifically to </w:t>
      </w:r>
      <w:r w:rsidR="000D3A8D" w:rsidRPr="0047272A">
        <w:rPr>
          <w:rFonts w:cs="Arial"/>
          <w:sz w:val="22"/>
          <w:szCs w:val="22"/>
        </w:rPr>
        <w:t>support countries</w:t>
      </w:r>
      <w:r w:rsidR="000A078C" w:rsidRPr="0047272A">
        <w:rPr>
          <w:rFonts w:cs="Arial"/>
          <w:sz w:val="22"/>
          <w:szCs w:val="22"/>
        </w:rPr>
        <w:t xml:space="preserve"> to write their NDC3.0</w:t>
      </w:r>
      <w:r w:rsidR="00332544" w:rsidRPr="0047272A">
        <w:rPr>
          <w:rFonts w:cs="Arial"/>
          <w:sz w:val="22"/>
          <w:szCs w:val="22"/>
        </w:rPr>
        <w:t>.</w:t>
      </w:r>
      <w:r w:rsidR="00A2013A" w:rsidRPr="0047272A">
        <w:rPr>
          <w:rFonts w:cs="Arial"/>
          <w:sz w:val="22"/>
          <w:szCs w:val="22"/>
        </w:rPr>
        <w:t xml:space="preserve"> </w:t>
      </w:r>
      <w:r w:rsidR="000D3A8D" w:rsidRPr="0047272A">
        <w:rPr>
          <w:rFonts w:cs="Arial"/>
          <w:sz w:val="22"/>
          <w:szCs w:val="22"/>
        </w:rPr>
        <w:t>1</w:t>
      </w:r>
      <w:r w:rsidR="00F61118">
        <w:rPr>
          <w:rFonts w:cs="Arial"/>
          <w:sz w:val="22"/>
          <w:szCs w:val="22"/>
        </w:rPr>
        <w:t>5</w:t>
      </w:r>
      <w:r w:rsidR="00E26278" w:rsidRPr="0047272A">
        <w:rPr>
          <w:rFonts w:cs="Arial"/>
          <w:sz w:val="22"/>
          <w:szCs w:val="22"/>
        </w:rPr>
        <w:t xml:space="preserve"> </w:t>
      </w:r>
      <w:r w:rsidR="00A2013A" w:rsidRPr="0047272A">
        <w:rPr>
          <w:rFonts w:cs="Arial"/>
          <w:sz w:val="22"/>
          <w:szCs w:val="22"/>
        </w:rPr>
        <w:t>countries</w:t>
      </w:r>
      <w:r w:rsidR="2B18C097" w:rsidRPr="0047272A">
        <w:rPr>
          <w:rFonts w:cs="Arial"/>
          <w:sz w:val="22"/>
          <w:szCs w:val="22"/>
        </w:rPr>
        <w:t>’</w:t>
      </w:r>
      <w:r w:rsidR="00A2013A" w:rsidRPr="0047272A">
        <w:rPr>
          <w:rFonts w:cs="Arial"/>
          <w:sz w:val="22"/>
          <w:szCs w:val="22"/>
        </w:rPr>
        <w:t xml:space="preserve"> </w:t>
      </w:r>
      <w:r w:rsidR="00E26278" w:rsidRPr="0047272A">
        <w:rPr>
          <w:rFonts w:cs="Arial"/>
          <w:sz w:val="22"/>
          <w:szCs w:val="22"/>
        </w:rPr>
        <w:t xml:space="preserve">NDC enhancement </w:t>
      </w:r>
      <w:r w:rsidR="00A2013A" w:rsidRPr="0047272A">
        <w:rPr>
          <w:rFonts w:cs="Arial"/>
          <w:sz w:val="22"/>
          <w:szCs w:val="22"/>
        </w:rPr>
        <w:t>ha</w:t>
      </w:r>
      <w:r w:rsidR="00E26278" w:rsidRPr="0047272A">
        <w:rPr>
          <w:rFonts w:cs="Arial"/>
          <w:sz w:val="22"/>
          <w:szCs w:val="22"/>
        </w:rPr>
        <w:t>s</w:t>
      </w:r>
      <w:r w:rsidR="00A2013A" w:rsidRPr="0047272A">
        <w:rPr>
          <w:rFonts w:cs="Arial"/>
          <w:sz w:val="22"/>
          <w:szCs w:val="22"/>
        </w:rPr>
        <w:t xml:space="preserve"> been </w:t>
      </w:r>
      <w:r w:rsidR="0047789E" w:rsidRPr="0047272A">
        <w:rPr>
          <w:rFonts w:cs="Arial"/>
          <w:sz w:val="22"/>
          <w:szCs w:val="22"/>
        </w:rPr>
        <w:t>supported</w:t>
      </w:r>
      <w:r w:rsidR="00DC2F29" w:rsidRPr="0047272A">
        <w:rPr>
          <w:rFonts w:cs="Arial"/>
          <w:sz w:val="22"/>
          <w:szCs w:val="22"/>
        </w:rPr>
        <w:t xml:space="preserve"> </w:t>
      </w:r>
      <w:r w:rsidR="00E26278" w:rsidRPr="0047272A">
        <w:rPr>
          <w:rFonts w:cs="Arial"/>
          <w:sz w:val="22"/>
          <w:szCs w:val="22"/>
        </w:rPr>
        <w:t xml:space="preserve">by the </w:t>
      </w:r>
      <w:r w:rsidR="0047789E" w:rsidRPr="0047272A">
        <w:rPr>
          <w:rFonts w:cs="Arial"/>
          <w:sz w:val="22"/>
          <w:szCs w:val="22"/>
        </w:rPr>
        <w:t>World Ban</w:t>
      </w:r>
      <w:r w:rsidR="00DC2F29" w:rsidRPr="0047272A">
        <w:rPr>
          <w:rFonts w:cs="Arial"/>
          <w:sz w:val="22"/>
          <w:szCs w:val="22"/>
        </w:rPr>
        <w:t>k</w:t>
      </w:r>
      <w:r w:rsidR="00183583" w:rsidRPr="0047272A">
        <w:rPr>
          <w:rFonts w:cs="Arial"/>
          <w:sz w:val="22"/>
          <w:szCs w:val="22"/>
        </w:rPr>
        <w:t xml:space="preserve"> and </w:t>
      </w:r>
      <w:r w:rsidR="00046663" w:rsidRPr="0047272A">
        <w:rPr>
          <w:rFonts w:cs="Arial"/>
          <w:sz w:val="22"/>
          <w:szCs w:val="22"/>
        </w:rPr>
        <w:t>1</w:t>
      </w:r>
      <w:r w:rsidR="00F61118">
        <w:rPr>
          <w:rFonts w:cs="Arial"/>
          <w:sz w:val="22"/>
          <w:szCs w:val="22"/>
        </w:rPr>
        <w:t>9</w:t>
      </w:r>
      <w:r w:rsidR="00046663" w:rsidRPr="0047272A">
        <w:rPr>
          <w:rFonts w:cs="Arial"/>
          <w:sz w:val="22"/>
          <w:szCs w:val="22"/>
        </w:rPr>
        <w:t xml:space="preserve"> countries</w:t>
      </w:r>
      <w:r w:rsidR="00E65C88" w:rsidRPr="0047272A">
        <w:rPr>
          <w:rFonts w:cs="Arial"/>
          <w:sz w:val="22"/>
          <w:szCs w:val="22"/>
        </w:rPr>
        <w:t>’ NDC Enhancement</w:t>
      </w:r>
      <w:r w:rsidR="00046663" w:rsidRPr="0047272A">
        <w:rPr>
          <w:rFonts w:cs="Arial"/>
          <w:sz w:val="22"/>
          <w:szCs w:val="22"/>
        </w:rPr>
        <w:t xml:space="preserve"> ha</w:t>
      </w:r>
      <w:r w:rsidR="00E65C88" w:rsidRPr="0047272A">
        <w:rPr>
          <w:rFonts w:cs="Arial"/>
          <w:sz w:val="22"/>
          <w:szCs w:val="22"/>
        </w:rPr>
        <w:t>s</w:t>
      </w:r>
      <w:r w:rsidR="00046663" w:rsidRPr="0047272A">
        <w:rPr>
          <w:rFonts w:cs="Arial"/>
          <w:sz w:val="22"/>
          <w:szCs w:val="22"/>
        </w:rPr>
        <w:t xml:space="preserve"> </w:t>
      </w:r>
      <w:r w:rsidR="009715DE" w:rsidRPr="0047272A">
        <w:rPr>
          <w:rFonts w:cs="Arial"/>
          <w:sz w:val="22"/>
          <w:szCs w:val="22"/>
        </w:rPr>
        <w:t>started to receive</w:t>
      </w:r>
      <w:r w:rsidR="00046663" w:rsidRPr="0047272A">
        <w:rPr>
          <w:rFonts w:cs="Arial"/>
          <w:sz w:val="22"/>
          <w:szCs w:val="22"/>
        </w:rPr>
        <w:t xml:space="preserve"> sup</w:t>
      </w:r>
      <w:r w:rsidR="009715DE" w:rsidRPr="0047272A">
        <w:rPr>
          <w:rFonts w:cs="Arial"/>
          <w:sz w:val="22"/>
          <w:szCs w:val="22"/>
        </w:rPr>
        <w:t xml:space="preserve">port from </w:t>
      </w:r>
      <w:r w:rsidR="000D3A8D" w:rsidRPr="0047272A">
        <w:rPr>
          <w:rFonts w:cs="Arial"/>
          <w:sz w:val="22"/>
          <w:szCs w:val="22"/>
        </w:rPr>
        <w:t>UNDP during</w:t>
      </w:r>
      <w:r w:rsidR="00046663" w:rsidRPr="0047272A">
        <w:rPr>
          <w:rFonts w:cs="Arial"/>
          <w:sz w:val="22"/>
          <w:szCs w:val="22"/>
        </w:rPr>
        <w:t xml:space="preserve"> this time</w:t>
      </w:r>
      <w:r w:rsidR="00FA2F3B" w:rsidRPr="0047272A">
        <w:rPr>
          <w:rFonts w:cs="Arial"/>
          <w:sz w:val="22"/>
          <w:szCs w:val="22"/>
        </w:rPr>
        <w:t>.</w:t>
      </w:r>
      <w:r w:rsidR="009715DE" w:rsidRPr="0047272A">
        <w:rPr>
          <w:rFonts w:cs="Arial"/>
          <w:sz w:val="22"/>
          <w:szCs w:val="22"/>
        </w:rPr>
        <w:t xml:space="preserve"> The UNDP</w:t>
      </w:r>
      <w:r w:rsidR="00691E1D" w:rsidRPr="0047272A">
        <w:rPr>
          <w:rFonts w:cs="Arial"/>
          <w:sz w:val="22"/>
          <w:szCs w:val="22"/>
        </w:rPr>
        <w:t xml:space="preserve"> has four other countries in the pipeline</w:t>
      </w:r>
      <w:r w:rsidR="00C6560B" w:rsidRPr="0047272A">
        <w:rPr>
          <w:rFonts w:cs="Arial"/>
          <w:sz w:val="22"/>
          <w:szCs w:val="22"/>
        </w:rPr>
        <w:t xml:space="preserve"> </w:t>
      </w:r>
      <w:r w:rsidR="000D3A8D" w:rsidRPr="0047272A">
        <w:rPr>
          <w:rFonts w:cs="Arial"/>
          <w:sz w:val="22"/>
          <w:szCs w:val="22"/>
        </w:rPr>
        <w:t xml:space="preserve">for NDC </w:t>
      </w:r>
      <w:r w:rsidR="003C1D86" w:rsidRPr="0047272A">
        <w:rPr>
          <w:rFonts w:cs="Arial"/>
          <w:sz w:val="22"/>
          <w:szCs w:val="22"/>
        </w:rPr>
        <w:t>enhancement,</w:t>
      </w:r>
      <w:r w:rsidR="000D3A8D" w:rsidRPr="0047272A">
        <w:rPr>
          <w:rFonts w:cs="Arial"/>
          <w:sz w:val="22"/>
          <w:szCs w:val="22"/>
        </w:rPr>
        <w:t xml:space="preserve"> </w:t>
      </w:r>
      <w:r w:rsidR="00C6560B" w:rsidRPr="0047272A">
        <w:rPr>
          <w:rFonts w:cs="Arial"/>
          <w:sz w:val="22"/>
          <w:szCs w:val="22"/>
        </w:rPr>
        <w:t xml:space="preserve">and the World </w:t>
      </w:r>
      <w:r w:rsidR="000D3A8D" w:rsidRPr="0047272A">
        <w:rPr>
          <w:rFonts w:cs="Arial"/>
          <w:sz w:val="22"/>
          <w:szCs w:val="22"/>
        </w:rPr>
        <w:t>Bank has three.</w:t>
      </w:r>
    </w:p>
    <w:p w14:paraId="51CEABB1" w14:textId="77777777" w:rsidR="001244C9" w:rsidRPr="0047272A" w:rsidRDefault="001244C9" w:rsidP="527A8EFF">
      <w:pPr>
        <w:jc w:val="both"/>
        <w:rPr>
          <w:rFonts w:cs="Arial"/>
          <w:sz w:val="22"/>
          <w:szCs w:val="22"/>
        </w:rPr>
      </w:pPr>
    </w:p>
    <w:p w14:paraId="55E9B502" w14:textId="12352495" w:rsidR="005D553B" w:rsidRPr="0047272A" w:rsidRDefault="001859F7" w:rsidP="004E6153">
      <w:pPr>
        <w:ind w:firstLine="720"/>
        <w:rPr>
          <w:rFonts w:cs="Arial"/>
          <w:sz w:val="22"/>
          <w:szCs w:val="22"/>
        </w:rPr>
      </w:pPr>
      <w:r w:rsidRPr="0047272A">
        <w:rPr>
          <w:rFonts w:cs="Arial"/>
          <w:sz w:val="22"/>
          <w:szCs w:val="22"/>
        </w:rPr>
        <w:t xml:space="preserve">The </w:t>
      </w:r>
      <w:r w:rsidR="00E74BB1" w:rsidRPr="0047272A">
        <w:rPr>
          <w:rFonts w:cs="Arial"/>
          <w:sz w:val="22"/>
          <w:szCs w:val="22"/>
        </w:rPr>
        <w:t xml:space="preserve">mainstreaming </w:t>
      </w:r>
      <w:r w:rsidRPr="0047272A">
        <w:rPr>
          <w:rFonts w:cs="Arial"/>
          <w:sz w:val="22"/>
          <w:szCs w:val="22"/>
        </w:rPr>
        <w:t>of NDCs into development plans and budgets i</w:t>
      </w:r>
      <w:r w:rsidR="00E74BB1" w:rsidRPr="0047272A">
        <w:rPr>
          <w:rFonts w:cs="Arial"/>
          <w:sz w:val="22"/>
          <w:szCs w:val="22"/>
        </w:rPr>
        <w:t xml:space="preserve">s also being demonstrated with </w:t>
      </w:r>
      <w:r w:rsidR="00D83277" w:rsidRPr="0047272A">
        <w:rPr>
          <w:rFonts w:cs="Arial"/>
          <w:sz w:val="22"/>
          <w:szCs w:val="22"/>
        </w:rPr>
        <w:t xml:space="preserve">61% of country </w:t>
      </w:r>
      <w:r w:rsidR="006D0ADB" w:rsidRPr="0047272A">
        <w:rPr>
          <w:rFonts w:cs="Arial"/>
          <w:sz w:val="22"/>
          <w:szCs w:val="22"/>
        </w:rPr>
        <w:t>members</w:t>
      </w:r>
      <w:r w:rsidR="00D83277" w:rsidRPr="0047272A">
        <w:rPr>
          <w:rFonts w:cs="Arial"/>
          <w:sz w:val="22"/>
          <w:szCs w:val="22"/>
        </w:rPr>
        <w:t xml:space="preserve"> reporting that they have integrate</w:t>
      </w:r>
      <w:r w:rsidR="00475B1F" w:rsidRPr="0047272A">
        <w:rPr>
          <w:rFonts w:cs="Arial"/>
          <w:sz w:val="22"/>
          <w:szCs w:val="22"/>
        </w:rPr>
        <w:t>d</w:t>
      </w:r>
      <w:r w:rsidR="00D83277" w:rsidRPr="0047272A">
        <w:rPr>
          <w:rFonts w:cs="Arial"/>
          <w:sz w:val="22"/>
          <w:szCs w:val="22"/>
        </w:rPr>
        <w:t xml:space="preserve"> NDC measures in </w:t>
      </w:r>
      <w:r w:rsidR="006D0ADB" w:rsidRPr="0047272A">
        <w:rPr>
          <w:rFonts w:cs="Arial"/>
          <w:sz w:val="22"/>
          <w:szCs w:val="22"/>
        </w:rPr>
        <w:t>the next cycle of national/subnational/sectoral development plans and/or budgets.</w:t>
      </w:r>
      <w:r w:rsidR="00DB572F" w:rsidRPr="0047272A">
        <w:rPr>
          <w:rFonts w:cs="Arial"/>
          <w:sz w:val="22"/>
          <w:szCs w:val="22"/>
        </w:rPr>
        <w:t xml:space="preserve"> </w:t>
      </w:r>
      <w:r w:rsidR="00656F83" w:rsidRPr="0047272A">
        <w:rPr>
          <w:rFonts w:cs="Arial"/>
          <w:sz w:val="22"/>
          <w:szCs w:val="22"/>
        </w:rPr>
        <w:t xml:space="preserve">This is double the baseline which was set in 2020 at the start of the 2020-2025 work programme demonstrating a significant shift, however further work is needed to ensure that </w:t>
      </w:r>
      <w:r w:rsidR="001C7635" w:rsidRPr="0047272A">
        <w:rPr>
          <w:rFonts w:cs="Arial"/>
          <w:sz w:val="22"/>
          <w:szCs w:val="22"/>
        </w:rPr>
        <w:t xml:space="preserve">more developing countries are actively </w:t>
      </w:r>
      <w:r w:rsidR="00AA2030" w:rsidRPr="0047272A">
        <w:rPr>
          <w:rFonts w:cs="Arial"/>
          <w:sz w:val="22"/>
          <w:szCs w:val="22"/>
        </w:rPr>
        <w:t>mainstreaming NDC measures across their planning</w:t>
      </w:r>
      <w:r w:rsidR="005D40BB" w:rsidRPr="0047272A">
        <w:rPr>
          <w:rFonts w:cs="Arial"/>
          <w:sz w:val="22"/>
          <w:szCs w:val="22"/>
        </w:rPr>
        <w:t xml:space="preserve"> and a focus on building the institutional capacity to do this should be continued. </w:t>
      </w:r>
    </w:p>
    <w:p w14:paraId="6E44FBDF" w14:textId="77777777" w:rsidR="00A04EAB" w:rsidRPr="0047272A" w:rsidRDefault="00A04EAB" w:rsidP="004D5FD5">
      <w:pPr>
        <w:jc w:val="both"/>
        <w:rPr>
          <w:rFonts w:cs="Arial"/>
          <w:sz w:val="22"/>
          <w:szCs w:val="22"/>
        </w:rPr>
      </w:pPr>
    </w:p>
    <w:p w14:paraId="5312F1B3" w14:textId="523363AD" w:rsidR="008A3B24" w:rsidRPr="0047272A" w:rsidRDefault="00232D59" w:rsidP="00A04EAB">
      <w:pPr>
        <w:ind w:firstLine="720"/>
        <w:rPr>
          <w:rFonts w:cs="Arial"/>
          <w:b/>
          <w:bCs/>
          <w:sz w:val="22"/>
          <w:szCs w:val="22"/>
        </w:rPr>
      </w:pPr>
      <w:r w:rsidRPr="0047272A">
        <w:rPr>
          <w:rFonts w:cs="Arial"/>
          <w:sz w:val="22"/>
          <w:szCs w:val="22"/>
        </w:rPr>
        <w:t>In terms of accelerated NDC implementation,</w:t>
      </w:r>
      <w:r w:rsidR="001238BB" w:rsidRPr="0047272A">
        <w:rPr>
          <w:rFonts w:cs="Arial"/>
          <w:sz w:val="22"/>
          <w:szCs w:val="22"/>
        </w:rPr>
        <w:t xml:space="preserve"> 80% of members have reporting being on track or ahead of schedule in meeting NDC mitigation and </w:t>
      </w:r>
      <w:r w:rsidR="00F54836" w:rsidRPr="0047272A">
        <w:rPr>
          <w:rFonts w:cs="Arial"/>
          <w:sz w:val="22"/>
          <w:szCs w:val="22"/>
        </w:rPr>
        <w:t>adaptation</w:t>
      </w:r>
      <w:r w:rsidR="001238BB" w:rsidRPr="0047272A">
        <w:rPr>
          <w:rFonts w:cs="Arial"/>
          <w:sz w:val="22"/>
          <w:szCs w:val="22"/>
        </w:rPr>
        <w:t xml:space="preserve"> targets. Although limited by </w:t>
      </w:r>
      <w:r w:rsidR="00F54836" w:rsidRPr="0047272A">
        <w:rPr>
          <w:rFonts w:cs="Arial"/>
          <w:sz w:val="22"/>
          <w:szCs w:val="22"/>
        </w:rPr>
        <w:t>self-reporting</w:t>
      </w:r>
      <w:r w:rsidR="001238BB" w:rsidRPr="0047272A">
        <w:rPr>
          <w:rFonts w:cs="Arial"/>
          <w:sz w:val="22"/>
          <w:szCs w:val="22"/>
        </w:rPr>
        <w:t>, this is encouraging and suggest</w:t>
      </w:r>
      <w:r w:rsidR="57CB3589" w:rsidRPr="0047272A">
        <w:rPr>
          <w:rFonts w:cs="Arial"/>
          <w:sz w:val="22"/>
          <w:szCs w:val="22"/>
        </w:rPr>
        <w:t>s</w:t>
      </w:r>
      <w:r w:rsidR="001238BB" w:rsidRPr="0047272A">
        <w:rPr>
          <w:rFonts w:cs="Arial"/>
          <w:sz w:val="22"/>
          <w:szCs w:val="22"/>
        </w:rPr>
        <w:t xml:space="preserve"> a </w:t>
      </w:r>
      <w:r w:rsidR="00F54836" w:rsidRPr="0047272A">
        <w:rPr>
          <w:rFonts w:cs="Arial"/>
          <w:sz w:val="22"/>
          <w:szCs w:val="22"/>
        </w:rPr>
        <w:t>dedication</w:t>
      </w:r>
      <w:r w:rsidR="001238BB" w:rsidRPr="0047272A">
        <w:rPr>
          <w:rFonts w:cs="Arial"/>
          <w:sz w:val="22"/>
          <w:szCs w:val="22"/>
        </w:rPr>
        <w:t xml:space="preserve"> and ambition to </w:t>
      </w:r>
      <w:r w:rsidR="00D4753D" w:rsidRPr="0047272A">
        <w:rPr>
          <w:rFonts w:cs="Arial"/>
          <w:sz w:val="22"/>
          <w:szCs w:val="22"/>
        </w:rPr>
        <w:t>implement</w:t>
      </w:r>
      <w:r w:rsidR="00F13AF8" w:rsidRPr="0047272A">
        <w:rPr>
          <w:rFonts w:cs="Arial"/>
          <w:sz w:val="22"/>
          <w:szCs w:val="22"/>
        </w:rPr>
        <w:t xml:space="preserve">. With 64 countries also </w:t>
      </w:r>
      <w:r w:rsidR="00F54836" w:rsidRPr="0047272A">
        <w:rPr>
          <w:rFonts w:cs="Arial"/>
          <w:sz w:val="22"/>
          <w:szCs w:val="22"/>
        </w:rPr>
        <w:t>receiving</w:t>
      </w:r>
      <w:r w:rsidR="00F13AF8" w:rsidRPr="0047272A">
        <w:rPr>
          <w:rFonts w:cs="Arial"/>
          <w:sz w:val="22"/>
          <w:szCs w:val="22"/>
        </w:rPr>
        <w:t xml:space="preserve"> support through </w:t>
      </w:r>
      <w:r w:rsidR="006369AC" w:rsidRPr="0047272A">
        <w:rPr>
          <w:rFonts w:cs="Arial"/>
          <w:sz w:val="22"/>
          <w:szCs w:val="22"/>
        </w:rPr>
        <w:t>‘</w:t>
      </w:r>
      <w:r w:rsidR="00F54836" w:rsidRPr="0047272A">
        <w:rPr>
          <w:rFonts w:cs="Arial"/>
          <w:sz w:val="22"/>
          <w:szCs w:val="22"/>
        </w:rPr>
        <w:t>Partnership</w:t>
      </w:r>
      <w:r w:rsidR="006369AC" w:rsidRPr="0047272A">
        <w:rPr>
          <w:rFonts w:cs="Arial"/>
          <w:sz w:val="22"/>
          <w:szCs w:val="22"/>
        </w:rPr>
        <w:t xml:space="preserve"> </w:t>
      </w:r>
      <w:r w:rsidR="5B622D1F" w:rsidRPr="0047272A">
        <w:rPr>
          <w:rFonts w:cs="Arial"/>
          <w:sz w:val="22"/>
          <w:szCs w:val="22"/>
        </w:rPr>
        <w:t>P</w:t>
      </w:r>
      <w:r w:rsidR="006369AC" w:rsidRPr="0047272A">
        <w:rPr>
          <w:rFonts w:cs="Arial"/>
          <w:sz w:val="22"/>
          <w:szCs w:val="22"/>
        </w:rPr>
        <w:t xml:space="preserve">lans’ </w:t>
      </w:r>
      <w:r w:rsidR="008752D3" w:rsidRPr="0047272A">
        <w:rPr>
          <w:rFonts w:cs="Arial"/>
          <w:sz w:val="22"/>
          <w:szCs w:val="22"/>
        </w:rPr>
        <w:t xml:space="preserve">there is </w:t>
      </w:r>
      <w:r w:rsidR="00F54836" w:rsidRPr="0047272A">
        <w:rPr>
          <w:rFonts w:cs="Arial"/>
          <w:sz w:val="22"/>
          <w:szCs w:val="22"/>
        </w:rPr>
        <w:t xml:space="preserve">momentum towards </w:t>
      </w:r>
      <w:r w:rsidR="7E3C6B96" w:rsidRPr="0047272A">
        <w:rPr>
          <w:rFonts w:cs="Arial"/>
          <w:sz w:val="22"/>
          <w:szCs w:val="22"/>
        </w:rPr>
        <w:t>NDC implementation and action</w:t>
      </w:r>
      <w:r w:rsidR="00F54836" w:rsidRPr="0047272A">
        <w:rPr>
          <w:rFonts w:cs="Arial"/>
          <w:sz w:val="22"/>
          <w:szCs w:val="22"/>
        </w:rPr>
        <w:t xml:space="preserve"> plans being created</w:t>
      </w:r>
      <w:r w:rsidR="1F42DF30" w:rsidRPr="0047272A">
        <w:rPr>
          <w:rFonts w:cs="Arial"/>
          <w:sz w:val="22"/>
          <w:szCs w:val="22"/>
        </w:rPr>
        <w:t>,</w:t>
      </w:r>
      <w:r w:rsidR="00F54836" w:rsidRPr="0047272A">
        <w:rPr>
          <w:rFonts w:cs="Arial"/>
          <w:sz w:val="22"/>
          <w:szCs w:val="22"/>
        </w:rPr>
        <w:t xml:space="preserve"> </w:t>
      </w:r>
      <w:r w:rsidR="4E70E11D" w:rsidRPr="0047272A">
        <w:rPr>
          <w:rFonts w:cs="Arial"/>
          <w:sz w:val="22"/>
          <w:szCs w:val="22"/>
        </w:rPr>
        <w:t xml:space="preserve">and </w:t>
      </w:r>
      <w:r w:rsidR="00F54836" w:rsidRPr="0047272A">
        <w:rPr>
          <w:rFonts w:cs="Arial"/>
          <w:sz w:val="22"/>
          <w:szCs w:val="22"/>
        </w:rPr>
        <w:t>provid</w:t>
      </w:r>
      <w:r w:rsidR="16F5C234" w:rsidRPr="0047272A">
        <w:rPr>
          <w:rFonts w:cs="Arial"/>
          <w:sz w:val="22"/>
          <w:szCs w:val="22"/>
        </w:rPr>
        <w:t>ing</w:t>
      </w:r>
      <w:r w:rsidR="00F54836" w:rsidRPr="0047272A">
        <w:rPr>
          <w:rFonts w:cs="Arial"/>
          <w:sz w:val="22"/>
          <w:szCs w:val="22"/>
        </w:rPr>
        <w:t xml:space="preserve"> the basis for implementation</w:t>
      </w:r>
      <w:r w:rsidR="537AB212" w:rsidRPr="0047272A">
        <w:rPr>
          <w:rFonts w:cs="Arial"/>
          <w:sz w:val="22"/>
          <w:szCs w:val="22"/>
        </w:rPr>
        <w:t>, with</w:t>
      </w:r>
      <w:r w:rsidR="00F54836" w:rsidRPr="0047272A">
        <w:rPr>
          <w:rFonts w:cs="Arial"/>
          <w:sz w:val="22"/>
          <w:szCs w:val="22"/>
        </w:rPr>
        <w:t xml:space="preserve"> support from </w:t>
      </w:r>
      <w:r w:rsidR="6B2197FB" w:rsidRPr="0047272A">
        <w:rPr>
          <w:rFonts w:cs="Arial"/>
          <w:sz w:val="22"/>
          <w:szCs w:val="22"/>
        </w:rPr>
        <w:t xml:space="preserve">a large number of implementing members, including </w:t>
      </w:r>
      <w:r w:rsidR="00F54836" w:rsidRPr="0047272A">
        <w:rPr>
          <w:rFonts w:cs="Arial"/>
          <w:sz w:val="22"/>
          <w:szCs w:val="22"/>
        </w:rPr>
        <w:t xml:space="preserve">MDBs. </w:t>
      </w:r>
      <w:r w:rsidR="00412C2F" w:rsidRPr="0047272A">
        <w:rPr>
          <w:rFonts w:cs="Arial"/>
          <w:sz w:val="22"/>
          <w:szCs w:val="22"/>
        </w:rPr>
        <w:t xml:space="preserve">Further encouragement comes from the </w:t>
      </w:r>
      <w:r w:rsidR="006E2E69" w:rsidRPr="0047272A">
        <w:rPr>
          <w:rFonts w:cs="Arial"/>
          <w:sz w:val="22"/>
          <w:szCs w:val="22"/>
        </w:rPr>
        <w:t>self-reporting</w:t>
      </w:r>
      <w:r w:rsidR="00412C2F" w:rsidRPr="0047272A">
        <w:rPr>
          <w:rFonts w:cs="Arial"/>
          <w:sz w:val="22"/>
          <w:szCs w:val="22"/>
        </w:rPr>
        <w:t xml:space="preserve"> on NDC ambition where 100% of </w:t>
      </w:r>
      <w:r w:rsidR="008A3B24" w:rsidRPr="0047272A">
        <w:rPr>
          <w:rFonts w:cs="Arial"/>
          <w:sz w:val="22"/>
          <w:szCs w:val="22"/>
        </w:rPr>
        <w:t>countries</w:t>
      </w:r>
      <w:r w:rsidR="00412C2F" w:rsidRPr="0047272A">
        <w:rPr>
          <w:rFonts w:cs="Arial"/>
          <w:sz w:val="22"/>
          <w:szCs w:val="22"/>
        </w:rPr>
        <w:t xml:space="preserve"> being supported are </w:t>
      </w:r>
      <w:r w:rsidR="008A3B24" w:rsidRPr="0047272A">
        <w:rPr>
          <w:rFonts w:cs="Arial"/>
          <w:sz w:val="22"/>
          <w:szCs w:val="22"/>
        </w:rPr>
        <w:t>indicating</w:t>
      </w:r>
      <w:r w:rsidR="00412C2F" w:rsidRPr="0047272A">
        <w:rPr>
          <w:rFonts w:cs="Arial"/>
          <w:sz w:val="22"/>
          <w:szCs w:val="22"/>
        </w:rPr>
        <w:t xml:space="preserve"> that they will submit NDCs with </w:t>
      </w:r>
      <w:r w:rsidR="008A3B24" w:rsidRPr="0047272A">
        <w:rPr>
          <w:rFonts w:cs="Arial"/>
          <w:sz w:val="22"/>
          <w:szCs w:val="22"/>
        </w:rPr>
        <w:t>increased ambition this year. Some caution</w:t>
      </w:r>
      <w:r w:rsidR="65EDD345" w:rsidRPr="0047272A">
        <w:rPr>
          <w:rFonts w:cs="Arial"/>
          <w:sz w:val="22"/>
          <w:szCs w:val="22"/>
        </w:rPr>
        <w:t xml:space="preserve"> is</w:t>
      </w:r>
      <w:r w:rsidR="008A3B24" w:rsidRPr="0047272A">
        <w:rPr>
          <w:rFonts w:cs="Arial"/>
          <w:sz w:val="22"/>
          <w:szCs w:val="22"/>
        </w:rPr>
        <w:t xml:space="preserve"> applied here however</w:t>
      </w:r>
      <w:r w:rsidR="2DBC0177" w:rsidRPr="0047272A">
        <w:rPr>
          <w:rFonts w:cs="Arial"/>
          <w:sz w:val="22"/>
          <w:szCs w:val="22"/>
        </w:rPr>
        <w:t>,</w:t>
      </w:r>
      <w:r w:rsidR="008A3B24" w:rsidRPr="0047272A">
        <w:rPr>
          <w:rFonts w:cs="Arial"/>
          <w:sz w:val="22"/>
          <w:szCs w:val="22"/>
        </w:rPr>
        <w:t xml:space="preserve"> as we continue to await the submission of a significant number of NDCs ahead of COP30. </w:t>
      </w:r>
    </w:p>
    <w:p w14:paraId="3257BB07" w14:textId="77777777" w:rsidR="00EA2F9D" w:rsidRPr="003C5BF3" w:rsidRDefault="00EA2F9D" w:rsidP="004D5FD5">
      <w:pPr>
        <w:jc w:val="both"/>
        <w:rPr>
          <w:rFonts w:cs="Arial"/>
          <w:bCs/>
          <w:i/>
          <w:iCs/>
          <w:color w:val="FF0000"/>
          <w:sz w:val="22"/>
          <w:szCs w:val="22"/>
        </w:rPr>
      </w:pPr>
    </w:p>
    <w:p w14:paraId="5790062B" w14:textId="77777777" w:rsidR="00E11CA6" w:rsidRDefault="00E11CA6" w:rsidP="52F3285E">
      <w:pPr>
        <w:contextualSpacing/>
        <w:jc w:val="both"/>
        <w:rPr>
          <w:rStyle w:val="Heading2Char"/>
        </w:rPr>
      </w:pPr>
      <w:bookmarkStart w:id="12" w:name="_Toc199421661"/>
    </w:p>
    <w:p w14:paraId="5FAB142C" w14:textId="77777777" w:rsidR="00E11CA6" w:rsidRDefault="00E11CA6" w:rsidP="52F3285E">
      <w:pPr>
        <w:contextualSpacing/>
        <w:jc w:val="both"/>
        <w:rPr>
          <w:rStyle w:val="Heading2Char"/>
        </w:rPr>
      </w:pPr>
    </w:p>
    <w:p w14:paraId="2CAB9F38" w14:textId="77777777" w:rsidR="00E11CA6" w:rsidRDefault="00E11CA6" w:rsidP="52F3285E">
      <w:pPr>
        <w:contextualSpacing/>
        <w:jc w:val="both"/>
        <w:rPr>
          <w:rStyle w:val="Heading2Char"/>
        </w:rPr>
      </w:pPr>
    </w:p>
    <w:p w14:paraId="0ACF7E8D" w14:textId="10DE3808" w:rsidR="003D222C" w:rsidRPr="003C5BF3" w:rsidRDefault="00A3148B" w:rsidP="52F3285E">
      <w:pPr>
        <w:contextualSpacing/>
        <w:jc w:val="both"/>
        <w:rPr>
          <w:rFonts w:cs="Arial"/>
          <w:sz w:val="22"/>
          <w:szCs w:val="22"/>
        </w:rPr>
      </w:pPr>
      <w:r>
        <w:rPr>
          <w:rStyle w:val="Heading2Char"/>
        </w:rPr>
        <w:lastRenderedPageBreak/>
        <w:t>Logframe</w:t>
      </w:r>
      <w:r w:rsidR="00B34EB5" w:rsidRPr="1474E4A2">
        <w:rPr>
          <w:rStyle w:val="Heading2Char"/>
        </w:rPr>
        <w:t xml:space="preserve"> </w:t>
      </w:r>
      <w:r w:rsidR="003D222C" w:rsidRPr="1474E4A2">
        <w:rPr>
          <w:rStyle w:val="Heading2Char"/>
        </w:rPr>
        <w:t>update</w:t>
      </w:r>
      <w:r w:rsidR="00B34EB5" w:rsidRPr="1474E4A2">
        <w:rPr>
          <w:rStyle w:val="Heading2Char"/>
        </w:rPr>
        <w:t>s</w:t>
      </w:r>
      <w:r w:rsidR="003D222C" w:rsidRPr="1474E4A2">
        <w:rPr>
          <w:rStyle w:val="Heading2Char"/>
        </w:rPr>
        <w:t xml:space="preserve"> since the last review</w:t>
      </w:r>
      <w:bookmarkEnd w:id="12"/>
      <w:r w:rsidR="00F013F9" w:rsidRPr="1474E4A2">
        <w:rPr>
          <w:rFonts w:cs="Arial"/>
          <w:b/>
          <w:bCs/>
          <w:sz w:val="22"/>
          <w:szCs w:val="22"/>
        </w:rPr>
        <w:t xml:space="preserve"> </w:t>
      </w:r>
    </w:p>
    <w:p w14:paraId="2DD58E7C" w14:textId="4AD5ED86" w:rsidR="1474E4A2" w:rsidRDefault="1474E4A2" w:rsidP="1474E4A2">
      <w:pPr>
        <w:contextualSpacing/>
        <w:jc w:val="both"/>
        <w:rPr>
          <w:rFonts w:cs="Arial"/>
          <w:sz w:val="22"/>
          <w:szCs w:val="22"/>
        </w:rPr>
      </w:pPr>
    </w:p>
    <w:p w14:paraId="63CDC9F3" w14:textId="7DAAB38A" w:rsidR="00CB2873" w:rsidRPr="00E11CA6" w:rsidRDefault="00D87470" w:rsidP="00A04EAB">
      <w:pPr>
        <w:ind w:firstLine="720"/>
        <w:rPr>
          <w:rFonts w:cs="Arial"/>
          <w:sz w:val="22"/>
          <w:szCs w:val="22"/>
        </w:rPr>
      </w:pPr>
      <w:r w:rsidRPr="00E11CA6">
        <w:rPr>
          <w:rFonts w:cs="Arial"/>
          <w:sz w:val="22"/>
          <w:szCs w:val="22"/>
        </w:rPr>
        <w:t xml:space="preserve">The </w:t>
      </w:r>
      <w:r w:rsidR="00A3148B">
        <w:rPr>
          <w:rFonts w:cs="Arial"/>
          <w:sz w:val="22"/>
          <w:szCs w:val="22"/>
        </w:rPr>
        <w:t>logframe</w:t>
      </w:r>
      <w:r w:rsidRPr="00E11CA6">
        <w:rPr>
          <w:rFonts w:cs="Arial"/>
          <w:sz w:val="22"/>
          <w:szCs w:val="22"/>
        </w:rPr>
        <w:t xml:space="preserve"> being used to assess the </w:t>
      </w:r>
      <w:r w:rsidR="005E6E95" w:rsidRPr="00E11CA6">
        <w:rPr>
          <w:rFonts w:cs="Arial"/>
          <w:sz w:val="22"/>
          <w:szCs w:val="22"/>
        </w:rPr>
        <w:t xml:space="preserve">results </w:t>
      </w:r>
      <w:r w:rsidRPr="00E11CA6">
        <w:rPr>
          <w:rFonts w:cs="Arial"/>
          <w:sz w:val="22"/>
          <w:szCs w:val="22"/>
        </w:rPr>
        <w:t>of the UK’s NDC Support through NDC Partnership was developed</w:t>
      </w:r>
      <w:r w:rsidR="00782104" w:rsidRPr="00E11CA6">
        <w:rPr>
          <w:rFonts w:cs="Arial"/>
          <w:sz w:val="22"/>
          <w:szCs w:val="22"/>
        </w:rPr>
        <w:t xml:space="preserve"> </w:t>
      </w:r>
      <w:r w:rsidRPr="00E11CA6">
        <w:rPr>
          <w:rFonts w:cs="Arial"/>
          <w:sz w:val="22"/>
          <w:szCs w:val="22"/>
        </w:rPr>
        <w:t>during the business case process</w:t>
      </w:r>
      <w:r w:rsidR="00782104" w:rsidRPr="00E11CA6">
        <w:rPr>
          <w:rFonts w:cs="Arial"/>
          <w:sz w:val="22"/>
          <w:szCs w:val="22"/>
        </w:rPr>
        <w:t xml:space="preserve"> and finalised over the past year in collaboration with the NDC Partnership Support Unit</w:t>
      </w:r>
      <w:r w:rsidR="0034674C" w:rsidRPr="00E11CA6">
        <w:rPr>
          <w:rFonts w:cs="Arial"/>
          <w:sz w:val="22"/>
          <w:szCs w:val="22"/>
        </w:rPr>
        <w:t xml:space="preserve"> and internal</w:t>
      </w:r>
      <w:r w:rsidR="00771A7F" w:rsidRPr="00E11CA6">
        <w:rPr>
          <w:rFonts w:cs="Arial"/>
          <w:sz w:val="22"/>
          <w:szCs w:val="22"/>
        </w:rPr>
        <w:t xml:space="preserve"> DESNZ</w:t>
      </w:r>
      <w:r w:rsidR="0034674C" w:rsidRPr="00E11CA6">
        <w:rPr>
          <w:rFonts w:cs="Arial"/>
          <w:sz w:val="22"/>
          <w:szCs w:val="22"/>
        </w:rPr>
        <w:t xml:space="preserve"> analytical specialists</w:t>
      </w:r>
      <w:r w:rsidR="00782104" w:rsidRPr="00E11CA6">
        <w:rPr>
          <w:rFonts w:cs="Arial"/>
          <w:sz w:val="22"/>
          <w:szCs w:val="22"/>
        </w:rPr>
        <w:t xml:space="preserve">. The specific indicators have been agreed and targets set where able to, however </w:t>
      </w:r>
      <w:r w:rsidR="001F01D2" w:rsidRPr="00E11CA6">
        <w:rPr>
          <w:rFonts w:cs="Arial"/>
          <w:sz w:val="22"/>
          <w:szCs w:val="22"/>
        </w:rPr>
        <w:t>several</w:t>
      </w:r>
      <w:r w:rsidR="00782104" w:rsidRPr="00E11CA6">
        <w:rPr>
          <w:rFonts w:cs="Arial"/>
          <w:sz w:val="22"/>
          <w:szCs w:val="22"/>
        </w:rPr>
        <w:t xml:space="preserve"> of the indicators </w:t>
      </w:r>
      <w:r w:rsidR="001C120E" w:rsidRPr="00E11CA6">
        <w:rPr>
          <w:rFonts w:cs="Arial"/>
          <w:sz w:val="22"/>
          <w:szCs w:val="22"/>
        </w:rPr>
        <w:t>do not yet have specific targets</w:t>
      </w:r>
      <w:r w:rsidR="00B550CD" w:rsidRPr="00E11CA6">
        <w:rPr>
          <w:rFonts w:cs="Arial"/>
          <w:sz w:val="22"/>
          <w:szCs w:val="22"/>
        </w:rPr>
        <w:t xml:space="preserve"> beyond the baseline</w:t>
      </w:r>
      <w:r w:rsidR="001C120E" w:rsidRPr="00E11CA6">
        <w:rPr>
          <w:rFonts w:cs="Arial"/>
          <w:sz w:val="22"/>
          <w:szCs w:val="22"/>
        </w:rPr>
        <w:t xml:space="preserve"> </w:t>
      </w:r>
      <w:r w:rsidR="00B550CD" w:rsidRPr="00E11CA6">
        <w:rPr>
          <w:rFonts w:cs="Arial"/>
          <w:sz w:val="22"/>
          <w:szCs w:val="22"/>
        </w:rPr>
        <w:t>due to</w:t>
      </w:r>
      <w:r w:rsidR="00EB7FDE" w:rsidRPr="00E11CA6">
        <w:rPr>
          <w:rFonts w:cs="Arial"/>
          <w:sz w:val="22"/>
          <w:szCs w:val="22"/>
        </w:rPr>
        <w:t xml:space="preserve"> capacity constraints and </w:t>
      </w:r>
      <w:r w:rsidR="00B550CD" w:rsidRPr="00E11CA6">
        <w:rPr>
          <w:rFonts w:cs="Arial"/>
          <w:sz w:val="22"/>
          <w:szCs w:val="22"/>
        </w:rPr>
        <w:t>data availability issues.</w:t>
      </w:r>
      <w:r w:rsidR="00120817" w:rsidRPr="00E11CA6">
        <w:rPr>
          <w:rFonts w:cs="Arial"/>
          <w:sz w:val="22"/>
          <w:szCs w:val="22"/>
        </w:rPr>
        <w:t xml:space="preserve"> </w:t>
      </w:r>
      <w:r w:rsidR="00B550CD" w:rsidRPr="00E11CA6">
        <w:rPr>
          <w:rFonts w:cs="Arial"/>
          <w:sz w:val="22"/>
          <w:szCs w:val="22"/>
        </w:rPr>
        <w:t>In part this is due also to the Support Unit being in the process of developing a new MEL framework for the Partnership as whole, which will form part of the new 2026-203</w:t>
      </w:r>
      <w:r w:rsidR="68686A65" w:rsidRPr="00E11CA6">
        <w:rPr>
          <w:rFonts w:cs="Arial"/>
          <w:sz w:val="22"/>
          <w:szCs w:val="22"/>
        </w:rPr>
        <w:t xml:space="preserve">1 </w:t>
      </w:r>
      <w:r w:rsidR="00B550CD" w:rsidRPr="00E11CA6">
        <w:rPr>
          <w:rFonts w:cs="Arial"/>
          <w:sz w:val="22"/>
          <w:szCs w:val="22"/>
        </w:rPr>
        <w:t xml:space="preserve">work program which will be finalised this year, and several of the targets set at that level will read across to the UK specific </w:t>
      </w:r>
      <w:r w:rsidR="00A3148B">
        <w:rPr>
          <w:rFonts w:cs="Arial"/>
          <w:sz w:val="22"/>
          <w:szCs w:val="22"/>
        </w:rPr>
        <w:t>logframe</w:t>
      </w:r>
      <w:r w:rsidR="00B550CD" w:rsidRPr="00E11CA6">
        <w:rPr>
          <w:rFonts w:cs="Arial"/>
          <w:sz w:val="22"/>
          <w:szCs w:val="22"/>
        </w:rPr>
        <w:t xml:space="preserve">. The UK as a </w:t>
      </w:r>
      <w:r w:rsidR="00CD0CFF" w:rsidRPr="00E11CA6">
        <w:rPr>
          <w:rFonts w:cs="Arial"/>
          <w:sz w:val="22"/>
          <w:szCs w:val="22"/>
        </w:rPr>
        <w:t>S</w:t>
      </w:r>
      <w:r w:rsidR="00B550CD" w:rsidRPr="00E11CA6">
        <w:rPr>
          <w:rFonts w:cs="Arial"/>
          <w:sz w:val="22"/>
          <w:szCs w:val="22"/>
        </w:rPr>
        <w:t xml:space="preserve">teering </w:t>
      </w:r>
      <w:r w:rsidR="00CD0CFF" w:rsidRPr="00E11CA6">
        <w:rPr>
          <w:rFonts w:cs="Arial"/>
          <w:sz w:val="22"/>
          <w:szCs w:val="22"/>
        </w:rPr>
        <w:t>C</w:t>
      </w:r>
      <w:r w:rsidR="00B550CD" w:rsidRPr="00E11CA6">
        <w:rPr>
          <w:rFonts w:cs="Arial"/>
          <w:sz w:val="22"/>
          <w:szCs w:val="22"/>
        </w:rPr>
        <w:t>ommittee member will be</w:t>
      </w:r>
      <w:r w:rsidR="00AC35E3">
        <w:rPr>
          <w:rFonts w:cs="Arial"/>
          <w:sz w:val="22"/>
          <w:szCs w:val="22"/>
        </w:rPr>
        <w:t xml:space="preserve"> a</w:t>
      </w:r>
      <w:r w:rsidR="00B550CD" w:rsidRPr="00E11CA6">
        <w:rPr>
          <w:rFonts w:cs="Arial"/>
          <w:sz w:val="22"/>
          <w:szCs w:val="22"/>
        </w:rPr>
        <w:t xml:space="preserve"> part of the decision making and sign of</w:t>
      </w:r>
      <w:r w:rsidR="00EA1302" w:rsidRPr="00E11CA6">
        <w:rPr>
          <w:rFonts w:cs="Arial"/>
          <w:sz w:val="22"/>
          <w:szCs w:val="22"/>
        </w:rPr>
        <w:t xml:space="preserve">f </w:t>
      </w:r>
      <w:r w:rsidR="00B550CD" w:rsidRPr="00E11CA6">
        <w:rPr>
          <w:rFonts w:cs="Arial"/>
          <w:sz w:val="22"/>
          <w:szCs w:val="22"/>
        </w:rPr>
        <w:t xml:space="preserve">processes for the </w:t>
      </w:r>
      <w:r w:rsidR="00AE4CD9" w:rsidRPr="00E11CA6">
        <w:rPr>
          <w:rFonts w:cs="Arial"/>
          <w:sz w:val="22"/>
          <w:szCs w:val="22"/>
        </w:rPr>
        <w:t xml:space="preserve">Partnership’s </w:t>
      </w:r>
      <w:r w:rsidR="00B550CD" w:rsidRPr="00E11CA6">
        <w:rPr>
          <w:rFonts w:cs="Arial"/>
          <w:sz w:val="22"/>
          <w:szCs w:val="22"/>
        </w:rPr>
        <w:t xml:space="preserve">new </w:t>
      </w:r>
      <w:r w:rsidR="00AE4CD9" w:rsidRPr="00E11CA6">
        <w:rPr>
          <w:rFonts w:cs="Arial"/>
          <w:sz w:val="22"/>
          <w:szCs w:val="22"/>
        </w:rPr>
        <w:t xml:space="preserve">MEL framework and </w:t>
      </w:r>
      <w:r w:rsidR="00A3148B">
        <w:rPr>
          <w:rFonts w:cs="Arial"/>
          <w:sz w:val="22"/>
          <w:szCs w:val="22"/>
        </w:rPr>
        <w:t>logframe</w:t>
      </w:r>
      <w:r w:rsidR="00207DFD" w:rsidRPr="00E11CA6">
        <w:rPr>
          <w:rFonts w:cs="Arial"/>
          <w:sz w:val="22"/>
          <w:szCs w:val="22"/>
        </w:rPr>
        <w:t xml:space="preserve">, </w:t>
      </w:r>
      <w:r w:rsidR="00120817" w:rsidRPr="00E11CA6">
        <w:rPr>
          <w:rFonts w:cs="Arial"/>
          <w:sz w:val="22"/>
          <w:szCs w:val="22"/>
        </w:rPr>
        <w:t>which will be finalised in the next review period</w:t>
      </w:r>
      <w:r w:rsidR="00207DFD" w:rsidRPr="00E11CA6">
        <w:rPr>
          <w:rFonts w:cs="Arial"/>
          <w:sz w:val="22"/>
          <w:szCs w:val="22"/>
        </w:rPr>
        <w:t>. New</w:t>
      </w:r>
      <w:r w:rsidR="00120817" w:rsidRPr="00E11CA6">
        <w:rPr>
          <w:rFonts w:cs="Arial"/>
          <w:sz w:val="22"/>
          <w:szCs w:val="22"/>
        </w:rPr>
        <w:t xml:space="preserve"> </w:t>
      </w:r>
      <w:r w:rsidR="002A1E07" w:rsidRPr="00E11CA6">
        <w:rPr>
          <w:rFonts w:cs="Arial"/>
          <w:sz w:val="22"/>
          <w:szCs w:val="22"/>
        </w:rPr>
        <w:t>yearly and</w:t>
      </w:r>
      <w:r w:rsidR="00D71ED4" w:rsidRPr="00E11CA6">
        <w:rPr>
          <w:rFonts w:cs="Arial"/>
          <w:sz w:val="22"/>
          <w:szCs w:val="22"/>
        </w:rPr>
        <w:t xml:space="preserve"> 2031</w:t>
      </w:r>
      <w:r w:rsidR="00120817" w:rsidRPr="00E11CA6">
        <w:rPr>
          <w:rFonts w:cs="Arial"/>
          <w:sz w:val="22"/>
          <w:szCs w:val="22"/>
        </w:rPr>
        <w:t xml:space="preserve"> targets </w:t>
      </w:r>
      <w:r w:rsidR="008E4C74" w:rsidRPr="00E11CA6">
        <w:rPr>
          <w:rFonts w:cs="Arial"/>
          <w:sz w:val="22"/>
          <w:szCs w:val="22"/>
        </w:rPr>
        <w:t xml:space="preserve">will be developed </w:t>
      </w:r>
      <w:r w:rsidR="00120817" w:rsidRPr="00E11CA6">
        <w:rPr>
          <w:rFonts w:cs="Arial"/>
          <w:sz w:val="22"/>
          <w:szCs w:val="22"/>
        </w:rPr>
        <w:t>to assess results more effectively in the 2026 Annual Review</w:t>
      </w:r>
      <w:r w:rsidR="00D71ED4" w:rsidRPr="00E11CA6">
        <w:rPr>
          <w:rFonts w:cs="Arial"/>
          <w:sz w:val="22"/>
          <w:szCs w:val="22"/>
        </w:rPr>
        <w:t xml:space="preserve"> and </w:t>
      </w:r>
      <w:r w:rsidR="2AFE9239" w:rsidRPr="00E11CA6">
        <w:rPr>
          <w:rFonts w:cs="Arial"/>
          <w:sz w:val="22"/>
          <w:szCs w:val="22"/>
        </w:rPr>
        <w:t>going forward.</w:t>
      </w:r>
    </w:p>
    <w:p w14:paraId="7F6C5299" w14:textId="77777777" w:rsidR="00B550CD" w:rsidRPr="003C5BF3" w:rsidRDefault="00B550CD" w:rsidP="004D5FD5">
      <w:pPr>
        <w:jc w:val="both"/>
        <w:rPr>
          <w:rFonts w:cs="Arial"/>
          <w:sz w:val="22"/>
          <w:szCs w:val="22"/>
          <w:lang w:eastAsia="en-GB"/>
        </w:rPr>
      </w:pPr>
    </w:p>
    <w:tbl>
      <w:tblPr>
        <w:tblStyle w:val="TableGrid"/>
        <w:tblW w:w="0" w:type="auto"/>
        <w:tblLook w:val="04A0" w:firstRow="1" w:lastRow="0" w:firstColumn="1" w:lastColumn="0" w:noHBand="0" w:noVBand="1"/>
      </w:tblPr>
      <w:tblGrid>
        <w:gridCol w:w="9016"/>
      </w:tblGrid>
      <w:tr w:rsidR="00CB2873" w:rsidRPr="003C5BF3" w14:paraId="13F66B93" w14:textId="77777777" w:rsidTr="527A8EFF">
        <w:tc>
          <w:tcPr>
            <w:tcW w:w="9016" w:type="dxa"/>
            <w:shd w:val="clear" w:color="auto" w:fill="DEEAF6" w:themeFill="accent5" w:themeFillTint="33"/>
          </w:tcPr>
          <w:p w14:paraId="3D58D529" w14:textId="788F84C4" w:rsidR="00CB2873" w:rsidRPr="003C5BF3" w:rsidRDefault="00CB2873" w:rsidP="004D5FD5">
            <w:pPr>
              <w:jc w:val="both"/>
            </w:pPr>
            <w:bookmarkStart w:id="13" w:name="_Toc199421662"/>
            <w:r w:rsidRPr="003C5BF3">
              <w:rPr>
                <w:rStyle w:val="Heading1Char"/>
                <w:rFonts w:ascii="Arial" w:hAnsi="Arial" w:cs="Arial"/>
                <w:b/>
                <w:bCs/>
                <w:color w:val="auto"/>
              </w:rPr>
              <w:t xml:space="preserve">Section C: Output </w:t>
            </w:r>
            <w:r w:rsidR="4FB023D7" w:rsidRPr="003C5BF3">
              <w:rPr>
                <w:rStyle w:val="Heading1Char"/>
                <w:rFonts w:ascii="Arial" w:hAnsi="Arial" w:cs="Arial"/>
                <w:b/>
                <w:bCs/>
                <w:color w:val="auto"/>
              </w:rPr>
              <w:t>s</w:t>
            </w:r>
            <w:r w:rsidRPr="003C5BF3">
              <w:rPr>
                <w:rStyle w:val="Heading1Char"/>
                <w:rFonts w:ascii="Arial" w:hAnsi="Arial" w:cs="Arial"/>
                <w:b/>
                <w:bCs/>
                <w:color w:val="auto"/>
              </w:rPr>
              <w:t>coring</w:t>
            </w:r>
            <w:bookmarkEnd w:id="13"/>
            <w:r w:rsidRPr="003C5BF3">
              <w:t xml:space="preserve"> </w:t>
            </w:r>
          </w:p>
        </w:tc>
      </w:tr>
    </w:tbl>
    <w:p w14:paraId="452661DA" w14:textId="20736F44" w:rsidR="00953846" w:rsidRPr="003C5BF3" w:rsidRDefault="00953846" w:rsidP="004D5FD5">
      <w:pPr>
        <w:pStyle w:val="Heading2"/>
        <w:jc w:val="both"/>
        <w:rPr>
          <w:sz w:val="24"/>
          <w:szCs w:val="24"/>
        </w:rPr>
      </w:pPr>
      <w:bookmarkStart w:id="14" w:name="_Toc199421663"/>
      <w:r w:rsidRPr="003C5BF3">
        <w:t>Output 1</w:t>
      </w:r>
      <w:bookmarkEnd w:id="14"/>
    </w:p>
    <w:p w14:paraId="055FDF8F" w14:textId="77777777" w:rsidR="00C22C27" w:rsidRPr="003C5BF3" w:rsidRDefault="00C22C27" w:rsidP="004D5FD5">
      <w:pPr>
        <w:jc w:val="both"/>
        <w:rPr>
          <w:rFonts w:cs="Arial"/>
          <w:sz w:val="22"/>
          <w:szCs w:val="22"/>
        </w:rPr>
      </w:pPr>
    </w:p>
    <w:tbl>
      <w:tblPr>
        <w:tblStyle w:val="TableGrid"/>
        <w:tblW w:w="9072" w:type="dxa"/>
        <w:tblInd w:w="-5" w:type="dxa"/>
        <w:tblLook w:val="04A0" w:firstRow="1" w:lastRow="0" w:firstColumn="1" w:lastColumn="0" w:noHBand="0" w:noVBand="1"/>
      </w:tblPr>
      <w:tblGrid>
        <w:gridCol w:w="1566"/>
        <w:gridCol w:w="616"/>
        <w:gridCol w:w="937"/>
        <w:gridCol w:w="2977"/>
        <w:gridCol w:w="2976"/>
      </w:tblGrid>
      <w:tr w:rsidR="002F031D" w:rsidRPr="003C5BF3" w14:paraId="2102EB17" w14:textId="77777777" w:rsidTr="009A7D7F">
        <w:trPr>
          <w:trHeight w:val="489"/>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A85D6B2" w14:textId="77777777" w:rsidR="003D222C" w:rsidRPr="00317FEA" w:rsidRDefault="003D222C" w:rsidP="004D5FD5">
            <w:pPr>
              <w:jc w:val="both"/>
              <w:rPr>
                <w:rFonts w:cs="Arial"/>
                <w:b/>
                <w:bCs/>
                <w:sz w:val="20"/>
                <w:szCs w:val="20"/>
              </w:rPr>
            </w:pPr>
            <w:r w:rsidRPr="00317FEA">
              <w:rPr>
                <w:rFonts w:cs="Arial"/>
                <w:b/>
                <w:bCs/>
                <w:sz w:val="20"/>
                <w:szCs w:val="20"/>
              </w:rPr>
              <w:t xml:space="preserve">Output Title </w:t>
            </w:r>
          </w:p>
        </w:tc>
        <w:tc>
          <w:tcPr>
            <w:tcW w:w="75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B8A3AEA" w14:textId="2E52A850" w:rsidR="003D222C" w:rsidRPr="00317FEA" w:rsidRDefault="009213CE" w:rsidP="004D5FD5">
            <w:pPr>
              <w:jc w:val="both"/>
              <w:rPr>
                <w:rFonts w:cs="Arial"/>
                <w:b/>
                <w:iCs/>
                <w:sz w:val="20"/>
                <w:szCs w:val="20"/>
              </w:rPr>
            </w:pPr>
            <w:r w:rsidRPr="00317FEA">
              <w:rPr>
                <w:rFonts w:cs="Arial"/>
                <w:b/>
                <w:iCs/>
                <w:sz w:val="20"/>
                <w:szCs w:val="20"/>
              </w:rPr>
              <w:t>Improved coordination and quality of demand and supply of support.</w:t>
            </w:r>
          </w:p>
        </w:tc>
      </w:tr>
      <w:tr w:rsidR="002F031D" w:rsidRPr="003C5BF3" w14:paraId="0CA17513" w14:textId="77777777" w:rsidTr="001F2F19">
        <w:trPr>
          <w:trHeight w:val="347"/>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801A128" w14:textId="77777777" w:rsidR="003D222C" w:rsidRPr="00317FEA" w:rsidRDefault="003D222C" w:rsidP="004D5FD5">
            <w:pPr>
              <w:jc w:val="both"/>
              <w:rPr>
                <w:rFonts w:cs="Arial"/>
                <w:bCs/>
                <w:sz w:val="20"/>
                <w:szCs w:val="20"/>
              </w:rPr>
            </w:pPr>
            <w:r w:rsidRPr="00317FEA">
              <w:rPr>
                <w:rFonts w:cs="Arial"/>
                <w:bCs/>
                <w:sz w:val="20"/>
                <w:szCs w:val="20"/>
              </w:rPr>
              <w:t xml:space="preserve">Output number: </w:t>
            </w:r>
          </w:p>
        </w:tc>
        <w:tc>
          <w:tcPr>
            <w:tcW w:w="937" w:type="dxa"/>
            <w:tcBorders>
              <w:top w:val="single" w:sz="4" w:space="0" w:color="auto"/>
              <w:left w:val="single" w:sz="4" w:space="0" w:color="auto"/>
              <w:bottom w:val="single" w:sz="4" w:space="0" w:color="auto"/>
              <w:right w:val="single" w:sz="4" w:space="0" w:color="auto"/>
            </w:tcBorders>
          </w:tcPr>
          <w:p w14:paraId="4190402A" w14:textId="1E986CA3" w:rsidR="003D222C" w:rsidRPr="00317FEA" w:rsidRDefault="009213CE" w:rsidP="004D5FD5">
            <w:pPr>
              <w:jc w:val="both"/>
              <w:rPr>
                <w:rFonts w:cs="Arial"/>
                <w:sz w:val="20"/>
                <w:szCs w:val="20"/>
              </w:rPr>
            </w:pPr>
            <w:r w:rsidRPr="00317FEA">
              <w:rPr>
                <w:rFonts w:cs="Arial"/>
                <w:sz w:val="20"/>
                <w:szCs w:val="20"/>
              </w:rPr>
              <w:t>1</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5FA73C8" w14:textId="77777777" w:rsidR="003D222C" w:rsidRPr="00317FEA" w:rsidRDefault="003D222C" w:rsidP="004D5FD5">
            <w:pPr>
              <w:jc w:val="both"/>
              <w:rPr>
                <w:rFonts w:cs="Arial"/>
                <w:sz w:val="20"/>
                <w:szCs w:val="20"/>
              </w:rPr>
            </w:pPr>
            <w:r w:rsidRPr="00317FEA">
              <w:rPr>
                <w:rFonts w:cs="Arial"/>
                <w:bCs/>
                <w:sz w:val="20"/>
                <w:szCs w:val="20"/>
              </w:rPr>
              <w:t xml:space="preserve">Output Score: </w:t>
            </w:r>
          </w:p>
        </w:tc>
        <w:tc>
          <w:tcPr>
            <w:tcW w:w="2976" w:type="dxa"/>
            <w:tcBorders>
              <w:top w:val="single" w:sz="4" w:space="0" w:color="auto"/>
              <w:left w:val="single" w:sz="4" w:space="0" w:color="auto"/>
              <w:bottom w:val="single" w:sz="4" w:space="0" w:color="auto"/>
              <w:right w:val="single" w:sz="4" w:space="0" w:color="auto"/>
            </w:tcBorders>
          </w:tcPr>
          <w:p w14:paraId="0438A869" w14:textId="3216ECDB" w:rsidR="003D222C" w:rsidRPr="00317FEA" w:rsidRDefault="00D74172" w:rsidP="004D5FD5">
            <w:pPr>
              <w:jc w:val="both"/>
              <w:rPr>
                <w:rFonts w:cs="Arial"/>
                <w:b/>
                <w:bCs/>
                <w:iCs/>
                <w:sz w:val="20"/>
                <w:szCs w:val="20"/>
              </w:rPr>
            </w:pPr>
            <w:r w:rsidRPr="00317FEA">
              <w:rPr>
                <w:rFonts w:cs="Arial"/>
                <w:b/>
                <w:bCs/>
                <w:iCs/>
                <w:sz w:val="20"/>
                <w:szCs w:val="20"/>
              </w:rPr>
              <w:t>A+</w:t>
            </w:r>
          </w:p>
        </w:tc>
      </w:tr>
      <w:tr w:rsidR="002F031D" w:rsidRPr="003C5BF3" w14:paraId="322D9463" w14:textId="77777777" w:rsidTr="001F2F19">
        <w:trPr>
          <w:trHeight w:val="345"/>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91524D5" w14:textId="77777777" w:rsidR="003D222C" w:rsidRPr="00317FEA" w:rsidRDefault="003D222C" w:rsidP="004D5FD5">
            <w:pPr>
              <w:jc w:val="both"/>
              <w:rPr>
                <w:rFonts w:cs="Arial"/>
                <w:sz w:val="20"/>
                <w:szCs w:val="20"/>
              </w:rPr>
            </w:pPr>
            <w:r w:rsidRPr="00317FEA">
              <w:rPr>
                <w:rFonts w:cs="Arial"/>
                <w:bCs/>
                <w:sz w:val="20"/>
                <w:szCs w:val="20"/>
              </w:rPr>
              <w:t xml:space="preserve">Impact weighting (%):  </w:t>
            </w:r>
          </w:p>
        </w:tc>
        <w:tc>
          <w:tcPr>
            <w:tcW w:w="937" w:type="dxa"/>
            <w:tcBorders>
              <w:top w:val="single" w:sz="4" w:space="0" w:color="auto"/>
              <w:left w:val="single" w:sz="4" w:space="0" w:color="auto"/>
              <w:bottom w:val="single" w:sz="4" w:space="0" w:color="auto"/>
              <w:right w:val="single" w:sz="4" w:space="0" w:color="auto"/>
            </w:tcBorders>
            <w:hideMark/>
          </w:tcPr>
          <w:p w14:paraId="2B32CB6F" w14:textId="717ECBD4" w:rsidR="003D222C" w:rsidRPr="00317FEA" w:rsidRDefault="00DE7BBB" w:rsidP="004D5FD5">
            <w:pPr>
              <w:jc w:val="both"/>
              <w:rPr>
                <w:rFonts w:cs="Arial"/>
                <w:bCs/>
                <w:sz w:val="20"/>
                <w:szCs w:val="20"/>
              </w:rPr>
            </w:pPr>
            <w:r w:rsidRPr="00317FEA">
              <w:rPr>
                <w:rFonts w:cs="Arial"/>
                <w:bCs/>
                <w:sz w:val="20"/>
                <w:szCs w:val="20"/>
              </w:rPr>
              <w:t>20</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6B322CF" w14:textId="77777777" w:rsidR="003D222C" w:rsidRPr="00317FEA" w:rsidRDefault="003D222C" w:rsidP="004D5FD5">
            <w:pPr>
              <w:jc w:val="both"/>
              <w:rPr>
                <w:rFonts w:cs="Arial"/>
                <w:bCs/>
                <w:sz w:val="20"/>
                <w:szCs w:val="20"/>
              </w:rPr>
            </w:pPr>
            <w:r w:rsidRPr="00317FEA">
              <w:rPr>
                <w:rFonts w:cs="Arial"/>
                <w:bCs/>
                <w:sz w:val="20"/>
                <w:szCs w:val="20"/>
              </w:rPr>
              <w:t xml:space="preserve">Weighting revised since last AR? </w:t>
            </w:r>
          </w:p>
        </w:tc>
        <w:tc>
          <w:tcPr>
            <w:tcW w:w="2976" w:type="dxa"/>
            <w:tcBorders>
              <w:top w:val="single" w:sz="4" w:space="0" w:color="auto"/>
              <w:left w:val="single" w:sz="4" w:space="0" w:color="auto"/>
              <w:bottom w:val="single" w:sz="4" w:space="0" w:color="auto"/>
              <w:right w:val="single" w:sz="4" w:space="0" w:color="auto"/>
            </w:tcBorders>
          </w:tcPr>
          <w:p w14:paraId="314B55F6" w14:textId="0B1FE069" w:rsidR="003D222C" w:rsidRPr="00317FEA" w:rsidRDefault="00F05E66" w:rsidP="004D5FD5">
            <w:pPr>
              <w:jc w:val="both"/>
              <w:rPr>
                <w:rFonts w:cs="Arial"/>
                <w:bCs/>
                <w:sz w:val="20"/>
                <w:szCs w:val="20"/>
              </w:rPr>
            </w:pPr>
            <w:r w:rsidRPr="00317FEA">
              <w:rPr>
                <w:rFonts w:cs="Arial"/>
                <w:bCs/>
                <w:sz w:val="20"/>
                <w:szCs w:val="20"/>
              </w:rPr>
              <w:t>N/A</w:t>
            </w:r>
          </w:p>
        </w:tc>
      </w:tr>
      <w:tr w:rsidR="002F031D" w:rsidRPr="003C5BF3" w14:paraId="49FF75D8" w14:textId="77777777" w:rsidTr="001F2F19">
        <w:trPr>
          <w:trHeight w:val="345"/>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9A26186" w14:textId="5C0E02AC" w:rsidR="003D222C" w:rsidRPr="00317FEA" w:rsidRDefault="003D222C" w:rsidP="004D5FD5">
            <w:pPr>
              <w:jc w:val="both"/>
              <w:rPr>
                <w:rFonts w:cs="Arial"/>
                <w:bCs/>
                <w:sz w:val="20"/>
                <w:szCs w:val="20"/>
              </w:rPr>
            </w:pPr>
            <w:r w:rsidRPr="00317FEA">
              <w:rPr>
                <w:rFonts w:cs="Arial"/>
                <w:bCs/>
                <w:sz w:val="20"/>
                <w:szCs w:val="20"/>
              </w:rPr>
              <w:t>Risk rating</w:t>
            </w:r>
            <w:r w:rsidR="00DB3B57" w:rsidRPr="00317FEA">
              <w:rPr>
                <w:rFonts w:cs="Arial"/>
                <w:bCs/>
                <w:sz w:val="20"/>
                <w:szCs w:val="20"/>
              </w:rPr>
              <w:t>:</w:t>
            </w:r>
          </w:p>
        </w:tc>
        <w:tc>
          <w:tcPr>
            <w:tcW w:w="937" w:type="dxa"/>
            <w:tcBorders>
              <w:top w:val="single" w:sz="4" w:space="0" w:color="auto"/>
              <w:left w:val="single" w:sz="4" w:space="0" w:color="auto"/>
              <w:bottom w:val="single" w:sz="4" w:space="0" w:color="auto"/>
              <w:right w:val="single" w:sz="4" w:space="0" w:color="auto"/>
            </w:tcBorders>
          </w:tcPr>
          <w:p w14:paraId="05841711" w14:textId="21D372B5" w:rsidR="003D222C" w:rsidRPr="00317FEA" w:rsidRDefault="00DB2BE5" w:rsidP="004D5FD5">
            <w:pPr>
              <w:jc w:val="both"/>
              <w:rPr>
                <w:rFonts w:cs="Arial"/>
                <w:bCs/>
                <w:sz w:val="20"/>
                <w:szCs w:val="20"/>
              </w:rPr>
            </w:pPr>
            <w:r w:rsidRPr="00317FEA">
              <w:rPr>
                <w:rFonts w:cs="Arial"/>
                <w:bCs/>
                <w:sz w:val="20"/>
                <w:szCs w:val="20"/>
              </w:rPr>
              <w:t>Minor</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75A24C" w14:textId="77777777" w:rsidR="003D222C" w:rsidRPr="00317FEA" w:rsidRDefault="003D222C" w:rsidP="004D5FD5">
            <w:pPr>
              <w:jc w:val="both"/>
              <w:rPr>
                <w:rFonts w:cs="Arial"/>
                <w:bCs/>
                <w:sz w:val="20"/>
                <w:szCs w:val="20"/>
              </w:rPr>
            </w:pPr>
            <w:r w:rsidRPr="00317FEA">
              <w:rPr>
                <w:rFonts w:cs="Arial"/>
                <w:bCs/>
                <w:sz w:val="20"/>
                <w:szCs w:val="20"/>
              </w:rPr>
              <w:t>Risk revised since last AR?</w:t>
            </w:r>
          </w:p>
        </w:tc>
        <w:tc>
          <w:tcPr>
            <w:tcW w:w="2976" w:type="dxa"/>
            <w:tcBorders>
              <w:top w:val="single" w:sz="4" w:space="0" w:color="auto"/>
              <w:left w:val="single" w:sz="4" w:space="0" w:color="auto"/>
              <w:bottom w:val="single" w:sz="4" w:space="0" w:color="auto"/>
              <w:right w:val="single" w:sz="4" w:space="0" w:color="auto"/>
            </w:tcBorders>
          </w:tcPr>
          <w:p w14:paraId="36DFFD26" w14:textId="2E3CA47E" w:rsidR="003D222C" w:rsidRPr="00317FEA" w:rsidRDefault="00F05E66" w:rsidP="004D5FD5">
            <w:pPr>
              <w:jc w:val="both"/>
              <w:rPr>
                <w:rFonts w:cs="Arial"/>
                <w:bCs/>
                <w:sz w:val="20"/>
                <w:szCs w:val="20"/>
              </w:rPr>
            </w:pPr>
            <w:r w:rsidRPr="00317FEA">
              <w:rPr>
                <w:rFonts w:cs="Arial"/>
                <w:bCs/>
                <w:sz w:val="20"/>
                <w:szCs w:val="20"/>
              </w:rPr>
              <w:t>N/A</w:t>
            </w:r>
          </w:p>
        </w:tc>
      </w:tr>
    </w:tbl>
    <w:tbl>
      <w:tblPr>
        <w:tblStyle w:val="TableGrid"/>
        <w:tblpPr w:leftFromText="180" w:rightFromText="180" w:vertAnchor="text" w:horzAnchor="margin" w:tblpY="154"/>
        <w:tblOverlap w:val="never"/>
        <w:tblW w:w="0" w:type="auto"/>
        <w:tblLook w:val="04A0" w:firstRow="1" w:lastRow="0" w:firstColumn="1" w:lastColumn="0" w:noHBand="0" w:noVBand="1"/>
      </w:tblPr>
      <w:tblGrid>
        <w:gridCol w:w="2420"/>
        <w:gridCol w:w="1492"/>
        <w:gridCol w:w="5104"/>
      </w:tblGrid>
      <w:tr w:rsidR="001E39C4" w:rsidRPr="003C5BF3" w14:paraId="40242A95" w14:textId="77777777" w:rsidTr="50E539E9">
        <w:trPr>
          <w:trHeight w:val="273"/>
        </w:trPr>
        <w:tc>
          <w:tcPr>
            <w:tcW w:w="297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F893E15" w14:textId="77777777" w:rsidR="001E39C4" w:rsidRPr="00317FEA" w:rsidRDefault="001E39C4" w:rsidP="00EA0F4D">
            <w:pPr>
              <w:rPr>
                <w:rFonts w:cs="Arial"/>
                <w:b/>
                <w:bCs/>
                <w:sz w:val="20"/>
                <w:szCs w:val="20"/>
              </w:rPr>
            </w:pPr>
            <w:r w:rsidRPr="00317FEA">
              <w:rPr>
                <w:rFonts w:cs="Arial"/>
                <w:b/>
                <w:bCs/>
                <w:sz w:val="20"/>
                <w:szCs w:val="20"/>
              </w:rPr>
              <w:t>Indicator(s)</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F1FB246" w14:textId="77777777" w:rsidR="001E39C4" w:rsidRPr="00317FEA" w:rsidRDefault="001E39C4" w:rsidP="00EA0F4D">
            <w:pPr>
              <w:rPr>
                <w:rFonts w:cs="Arial"/>
                <w:b/>
                <w:bCs/>
                <w:sz w:val="20"/>
                <w:szCs w:val="20"/>
              </w:rPr>
            </w:pPr>
            <w:r w:rsidRPr="00317FEA">
              <w:rPr>
                <w:rFonts w:cs="Arial"/>
                <w:b/>
                <w:bCs/>
                <w:sz w:val="20"/>
                <w:szCs w:val="20"/>
              </w:rPr>
              <w:t>Milestone(s) for this review</w:t>
            </w:r>
          </w:p>
        </w:tc>
        <w:tc>
          <w:tcPr>
            <w:tcW w:w="735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E071102" w14:textId="77777777" w:rsidR="001E39C4" w:rsidRPr="00317FEA" w:rsidRDefault="001E39C4" w:rsidP="00EA0F4D">
            <w:pPr>
              <w:rPr>
                <w:rFonts w:cs="Arial"/>
                <w:b/>
                <w:bCs/>
                <w:sz w:val="20"/>
                <w:szCs w:val="20"/>
              </w:rPr>
            </w:pPr>
            <w:r w:rsidRPr="00317FEA">
              <w:rPr>
                <w:rFonts w:cs="Arial"/>
                <w:b/>
                <w:bCs/>
                <w:sz w:val="20"/>
                <w:szCs w:val="20"/>
              </w:rPr>
              <w:t xml:space="preserve">Progress </w:t>
            </w:r>
          </w:p>
        </w:tc>
      </w:tr>
      <w:tr w:rsidR="001E39C4" w:rsidRPr="003C5BF3" w14:paraId="7459BDA6" w14:textId="77777777" w:rsidTr="50E539E9">
        <w:tc>
          <w:tcPr>
            <w:tcW w:w="2972" w:type="dxa"/>
            <w:tcBorders>
              <w:top w:val="single" w:sz="4" w:space="0" w:color="auto"/>
              <w:left w:val="single" w:sz="4" w:space="0" w:color="auto"/>
              <w:bottom w:val="single" w:sz="4" w:space="0" w:color="auto"/>
              <w:right w:val="single" w:sz="4" w:space="0" w:color="auto"/>
            </w:tcBorders>
          </w:tcPr>
          <w:p w14:paraId="5249E525" w14:textId="77777777" w:rsidR="003E6ECB" w:rsidRPr="00317FEA" w:rsidRDefault="003E6ECB" w:rsidP="00EA0F4D">
            <w:pPr>
              <w:rPr>
                <w:rFonts w:cs="Arial"/>
                <w:sz w:val="20"/>
                <w:szCs w:val="20"/>
              </w:rPr>
            </w:pPr>
            <w:r w:rsidRPr="00317FEA">
              <w:rPr>
                <w:rFonts w:cs="Arial"/>
                <w:sz w:val="20"/>
                <w:szCs w:val="20"/>
              </w:rPr>
              <w:t>1.1 Number</w:t>
            </w:r>
            <w:r w:rsidR="007E7E13" w:rsidRPr="00317FEA">
              <w:rPr>
                <w:rFonts w:cs="Arial"/>
                <w:sz w:val="20"/>
                <w:szCs w:val="20"/>
              </w:rPr>
              <w:t xml:space="preserve"> </w:t>
            </w:r>
            <w:r w:rsidRPr="00317FEA">
              <w:rPr>
                <w:rFonts w:cs="Arial"/>
                <w:sz w:val="20"/>
                <w:szCs w:val="20"/>
              </w:rPr>
              <w:t xml:space="preserve">of developing country members 'actively engaged'* in the Partnership -   </w:t>
            </w:r>
          </w:p>
          <w:p w14:paraId="77E88F29" w14:textId="77777777" w:rsidR="003E6ECB" w:rsidRPr="00317FEA" w:rsidRDefault="003E6ECB" w:rsidP="00EA0F4D">
            <w:pPr>
              <w:rPr>
                <w:rFonts w:cs="Arial"/>
                <w:sz w:val="20"/>
                <w:szCs w:val="20"/>
              </w:rPr>
            </w:pPr>
          </w:p>
          <w:p w14:paraId="2FC9061E" w14:textId="64D7A876" w:rsidR="003E6ECB" w:rsidRPr="00317FEA" w:rsidRDefault="003E6ECB" w:rsidP="00EA0F4D">
            <w:pPr>
              <w:rPr>
                <w:rFonts w:cs="Arial"/>
                <w:sz w:val="20"/>
                <w:szCs w:val="20"/>
              </w:rPr>
            </w:pPr>
            <w:r w:rsidRPr="00317FEA">
              <w:rPr>
                <w:rFonts w:cs="Arial"/>
                <w:sz w:val="20"/>
                <w:szCs w:val="20"/>
              </w:rPr>
              <w:t>*</w:t>
            </w:r>
            <w:r w:rsidR="007E7E13" w:rsidRPr="00317FEA">
              <w:rPr>
                <w:rFonts w:cs="Arial"/>
                <w:sz w:val="20"/>
                <w:szCs w:val="20"/>
              </w:rPr>
              <w:t>Defined</w:t>
            </w:r>
            <w:r w:rsidRPr="00317FEA">
              <w:rPr>
                <w:rFonts w:cs="Arial"/>
                <w:sz w:val="20"/>
                <w:szCs w:val="20"/>
              </w:rPr>
              <w:t xml:space="preserve"> as having submitted a request for support in the preceding 2 years.  </w:t>
            </w:r>
          </w:p>
          <w:p w14:paraId="4DFC67DE" w14:textId="77777777" w:rsidR="003E6ECB" w:rsidRPr="00317FEA" w:rsidRDefault="003E6ECB" w:rsidP="00EA0F4D">
            <w:pPr>
              <w:rPr>
                <w:rFonts w:cs="Arial"/>
                <w:sz w:val="20"/>
                <w:szCs w:val="20"/>
              </w:rPr>
            </w:pPr>
          </w:p>
          <w:p w14:paraId="05EFC106" w14:textId="6729879D" w:rsidR="001E39C4" w:rsidRPr="00317FEA" w:rsidRDefault="003E6ECB" w:rsidP="00EA0F4D">
            <w:pPr>
              <w:rPr>
                <w:rFonts w:cs="Arial"/>
                <w:b/>
                <w:bCs/>
                <w:sz w:val="20"/>
                <w:szCs w:val="20"/>
              </w:rPr>
            </w:pPr>
            <w:r w:rsidRPr="00317FEA">
              <w:rPr>
                <w:rFonts w:cs="Arial"/>
                <w:b/>
                <w:bCs/>
                <w:sz w:val="20"/>
                <w:szCs w:val="20"/>
              </w:rPr>
              <w:t xml:space="preserve">(Partnership level)  </w:t>
            </w:r>
          </w:p>
        </w:tc>
        <w:tc>
          <w:tcPr>
            <w:tcW w:w="1559" w:type="dxa"/>
            <w:tcBorders>
              <w:top w:val="single" w:sz="4" w:space="0" w:color="auto"/>
              <w:left w:val="single" w:sz="4" w:space="0" w:color="auto"/>
              <w:bottom w:val="single" w:sz="4" w:space="0" w:color="auto"/>
              <w:right w:val="single" w:sz="4" w:space="0" w:color="auto"/>
            </w:tcBorders>
          </w:tcPr>
          <w:p w14:paraId="2EE5ED17" w14:textId="77777777" w:rsidR="00EA5756" w:rsidRPr="00317FEA" w:rsidRDefault="00EA5756" w:rsidP="00EA0F4D">
            <w:pPr>
              <w:rPr>
                <w:rFonts w:cs="Arial"/>
                <w:sz w:val="20"/>
                <w:szCs w:val="20"/>
              </w:rPr>
            </w:pPr>
            <w:r w:rsidRPr="00317FEA">
              <w:rPr>
                <w:rFonts w:cs="Arial"/>
                <w:b/>
                <w:bCs/>
                <w:sz w:val="20"/>
                <w:szCs w:val="20"/>
              </w:rPr>
              <w:t>Baseline (Dec 2020)</w:t>
            </w:r>
            <w:r w:rsidRPr="00317FEA">
              <w:rPr>
                <w:rFonts w:cs="Arial"/>
                <w:sz w:val="20"/>
                <w:szCs w:val="20"/>
              </w:rPr>
              <w:t> </w:t>
            </w:r>
          </w:p>
          <w:p w14:paraId="04D652B1" w14:textId="77777777" w:rsidR="00D513A5" w:rsidRPr="00317FEA" w:rsidRDefault="00D513A5" w:rsidP="00EA0F4D">
            <w:pPr>
              <w:rPr>
                <w:rFonts w:cs="Arial"/>
                <w:sz w:val="20"/>
                <w:szCs w:val="20"/>
              </w:rPr>
            </w:pPr>
            <w:r w:rsidRPr="00317FEA">
              <w:rPr>
                <w:rFonts w:cs="Arial"/>
                <w:sz w:val="20"/>
                <w:szCs w:val="20"/>
              </w:rPr>
              <w:t>113 member countries </w:t>
            </w:r>
          </w:p>
          <w:p w14:paraId="2D2F03C7" w14:textId="77777777" w:rsidR="00D513A5" w:rsidRPr="00317FEA" w:rsidRDefault="00D513A5" w:rsidP="00EA0F4D">
            <w:pPr>
              <w:rPr>
                <w:rFonts w:cs="Arial"/>
                <w:sz w:val="20"/>
                <w:szCs w:val="20"/>
              </w:rPr>
            </w:pPr>
            <w:r w:rsidRPr="00317FEA">
              <w:rPr>
                <w:rFonts w:cs="Arial"/>
                <w:sz w:val="20"/>
                <w:szCs w:val="20"/>
              </w:rPr>
              <w:t>61 actively engaged </w:t>
            </w:r>
          </w:p>
          <w:p w14:paraId="3D108BA5" w14:textId="77777777" w:rsidR="00EA5756" w:rsidRPr="00317FEA" w:rsidRDefault="00EA5756" w:rsidP="00EA0F4D">
            <w:pPr>
              <w:rPr>
                <w:rFonts w:cs="Arial"/>
                <w:sz w:val="20"/>
                <w:szCs w:val="20"/>
              </w:rPr>
            </w:pPr>
            <w:r w:rsidRPr="00317FEA">
              <w:rPr>
                <w:rFonts w:cs="Arial"/>
                <w:sz w:val="20"/>
                <w:szCs w:val="20"/>
              </w:rPr>
              <w:t> </w:t>
            </w:r>
          </w:p>
          <w:p w14:paraId="3ECA0153" w14:textId="77777777" w:rsidR="00EA5756" w:rsidRPr="00317FEA" w:rsidRDefault="00EA5756" w:rsidP="00EA0F4D">
            <w:pPr>
              <w:rPr>
                <w:rFonts w:cs="Arial"/>
                <w:sz w:val="20"/>
                <w:szCs w:val="20"/>
              </w:rPr>
            </w:pPr>
            <w:r w:rsidRPr="00317FEA">
              <w:rPr>
                <w:rFonts w:cs="Arial"/>
                <w:b/>
                <w:bCs/>
                <w:sz w:val="20"/>
                <w:szCs w:val="20"/>
              </w:rPr>
              <w:t>2025 target</w:t>
            </w:r>
            <w:r w:rsidRPr="00317FEA">
              <w:rPr>
                <w:rFonts w:cs="Arial"/>
                <w:sz w:val="20"/>
                <w:szCs w:val="20"/>
              </w:rPr>
              <w:t> </w:t>
            </w:r>
          </w:p>
          <w:p w14:paraId="66A19275" w14:textId="72B26C42" w:rsidR="00EA5756" w:rsidRPr="00317FEA" w:rsidRDefault="006A00EE" w:rsidP="00EA0F4D">
            <w:pPr>
              <w:rPr>
                <w:rFonts w:cs="Arial"/>
                <w:sz w:val="20"/>
                <w:szCs w:val="20"/>
              </w:rPr>
            </w:pPr>
            <w:r w:rsidRPr="00317FEA">
              <w:rPr>
                <w:rFonts w:cs="Arial"/>
                <w:sz w:val="20"/>
                <w:szCs w:val="20"/>
              </w:rPr>
              <w:t>N/A</w:t>
            </w:r>
          </w:p>
          <w:p w14:paraId="59CCAC77" w14:textId="77777777" w:rsidR="001E39C4" w:rsidRPr="00317FEA" w:rsidRDefault="001E39C4" w:rsidP="00EA0F4D">
            <w:pPr>
              <w:rPr>
                <w:rFonts w:cs="Arial"/>
                <w:sz w:val="20"/>
                <w:szCs w:val="20"/>
              </w:rPr>
            </w:pPr>
          </w:p>
        </w:tc>
        <w:tc>
          <w:tcPr>
            <w:tcW w:w="7355" w:type="dxa"/>
            <w:tcBorders>
              <w:top w:val="single" w:sz="4" w:space="0" w:color="auto"/>
              <w:left w:val="single" w:sz="4" w:space="0" w:color="auto"/>
              <w:bottom w:val="single" w:sz="4" w:space="0" w:color="auto"/>
              <w:right w:val="single" w:sz="4" w:space="0" w:color="auto"/>
            </w:tcBorders>
          </w:tcPr>
          <w:p w14:paraId="2DB11342" w14:textId="53244F26" w:rsidR="001E39C4" w:rsidRPr="00317FEA" w:rsidRDefault="003F5681" w:rsidP="00EA0F4D">
            <w:pPr>
              <w:contextualSpacing/>
              <w:rPr>
                <w:rFonts w:cs="Arial"/>
                <w:sz w:val="20"/>
                <w:szCs w:val="20"/>
              </w:rPr>
            </w:pPr>
            <w:r w:rsidRPr="00317FEA">
              <w:rPr>
                <w:rFonts w:cs="Arial"/>
                <w:b/>
                <w:sz w:val="20"/>
                <w:szCs w:val="20"/>
              </w:rPr>
              <w:t>92</w:t>
            </w:r>
            <w:r w:rsidRPr="00317FEA">
              <w:rPr>
                <w:rFonts w:cs="Arial"/>
                <w:sz w:val="20"/>
                <w:szCs w:val="20"/>
              </w:rPr>
              <w:t xml:space="preserve"> </w:t>
            </w:r>
            <w:r w:rsidR="00055880" w:rsidRPr="00317FEA">
              <w:rPr>
                <w:rFonts w:cs="Arial"/>
                <w:sz w:val="20"/>
                <w:szCs w:val="20"/>
              </w:rPr>
              <w:t>d</w:t>
            </w:r>
            <w:r w:rsidRPr="00317FEA">
              <w:rPr>
                <w:rFonts w:cs="Arial"/>
                <w:sz w:val="20"/>
                <w:szCs w:val="20"/>
              </w:rPr>
              <w:t>eveloping country members were ‘actively engaged</w:t>
            </w:r>
            <w:r w:rsidR="0040408A" w:rsidRPr="00317FEA">
              <w:rPr>
                <w:rFonts w:cs="Arial"/>
                <w:sz w:val="20"/>
                <w:szCs w:val="20"/>
              </w:rPr>
              <w:t>’</w:t>
            </w:r>
            <w:r w:rsidRPr="00317FEA">
              <w:rPr>
                <w:rFonts w:cs="Arial"/>
                <w:sz w:val="20"/>
                <w:szCs w:val="20"/>
              </w:rPr>
              <w:t xml:space="preserve"> in the </w:t>
            </w:r>
            <w:r w:rsidR="00055880" w:rsidRPr="00317FEA">
              <w:rPr>
                <w:rFonts w:cs="Arial"/>
                <w:sz w:val="20"/>
                <w:szCs w:val="20"/>
              </w:rPr>
              <w:t>P</w:t>
            </w:r>
            <w:r w:rsidRPr="00317FEA">
              <w:rPr>
                <w:rFonts w:cs="Arial"/>
                <w:sz w:val="20"/>
                <w:szCs w:val="20"/>
              </w:rPr>
              <w:t>artnership</w:t>
            </w:r>
            <w:r w:rsidR="00B24A20" w:rsidRPr="00317FEA">
              <w:rPr>
                <w:rFonts w:cs="Arial"/>
                <w:sz w:val="20"/>
                <w:szCs w:val="20"/>
              </w:rPr>
              <w:t>.</w:t>
            </w:r>
            <w:r w:rsidR="005D4FA3" w:rsidRPr="00317FEA">
              <w:rPr>
                <w:rFonts w:cs="Arial"/>
                <w:sz w:val="20"/>
                <w:szCs w:val="20"/>
              </w:rPr>
              <w:t xml:space="preserve"> However, </w:t>
            </w:r>
            <w:r w:rsidR="00050CC3" w:rsidRPr="00317FEA">
              <w:rPr>
                <w:rFonts w:cs="Arial"/>
                <w:sz w:val="20"/>
                <w:szCs w:val="20"/>
              </w:rPr>
              <w:t xml:space="preserve">as this was the first year that the SU measured </w:t>
            </w:r>
            <w:r w:rsidR="00866B8C" w:rsidRPr="00317FEA">
              <w:rPr>
                <w:rFonts w:cs="Arial"/>
                <w:sz w:val="20"/>
                <w:szCs w:val="20"/>
              </w:rPr>
              <w:t xml:space="preserve">this, there is no baseline. </w:t>
            </w:r>
          </w:p>
          <w:p w14:paraId="160DEB55" w14:textId="77777777" w:rsidR="00866B8C" w:rsidRPr="00317FEA" w:rsidRDefault="00866B8C" w:rsidP="00EA0F4D">
            <w:pPr>
              <w:contextualSpacing/>
              <w:rPr>
                <w:rFonts w:cs="Arial"/>
                <w:sz w:val="20"/>
                <w:szCs w:val="20"/>
              </w:rPr>
            </w:pPr>
          </w:p>
          <w:p w14:paraId="74637F22" w14:textId="78160212" w:rsidR="00AF2AF9" w:rsidRPr="00317FEA" w:rsidRDefault="000B585A" w:rsidP="00EA0F4D">
            <w:pPr>
              <w:contextualSpacing/>
              <w:rPr>
                <w:rFonts w:cs="Arial"/>
                <w:sz w:val="20"/>
                <w:szCs w:val="20"/>
              </w:rPr>
            </w:pPr>
            <w:r w:rsidRPr="00317FEA">
              <w:rPr>
                <w:rFonts w:cs="Arial"/>
                <w:sz w:val="20"/>
                <w:szCs w:val="20"/>
              </w:rPr>
              <w:t>This</w:t>
            </w:r>
            <w:r w:rsidR="00B7700E" w:rsidRPr="00317FEA">
              <w:rPr>
                <w:rFonts w:cs="Arial"/>
                <w:sz w:val="20"/>
                <w:szCs w:val="20"/>
              </w:rPr>
              <w:t xml:space="preserve"> year’s result will be used as </w:t>
            </w:r>
            <w:r w:rsidR="004A453E" w:rsidRPr="00317FEA">
              <w:rPr>
                <w:rFonts w:cs="Arial"/>
                <w:sz w:val="20"/>
                <w:szCs w:val="20"/>
              </w:rPr>
              <w:t xml:space="preserve">the baseline </w:t>
            </w:r>
            <w:r w:rsidR="00F80A48" w:rsidRPr="00317FEA">
              <w:rPr>
                <w:rFonts w:cs="Arial"/>
                <w:sz w:val="20"/>
                <w:szCs w:val="20"/>
              </w:rPr>
              <w:t>for</w:t>
            </w:r>
            <w:r w:rsidR="004A453E" w:rsidRPr="00317FEA">
              <w:rPr>
                <w:rFonts w:cs="Arial"/>
                <w:sz w:val="20"/>
                <w:szCs w:val="20"/>
              </w:rPr>
              <w:t xml:space="preserve"> future </w:t>
            </w:r>
            <w:r w:rsidR="00E50003" w:rsidRPr="00317FEA">
              <w:rPr>
                <w:rFonts w:cs="Arial"/>
                <w:sz w:val="20"/>
                <w:szCs w:val="20"/>
              </w:rPr>
              <w:t>years,</w:t>
            </w:r>
            <w:r w:rsidR="004A453E" w:rsidRPr="00317FEA">
              <w:rPr>
                <w:rFonts w:cs="Arial"/>
                <w:sz w:val="20"/>
                <w:szCs w:val="20"/>
              </w:rPr>
              <w:t xml:space="preserve"> and </w:t>
            </w:r>
            <w:r w:rsidR="00AF2AF9" w:rsidRPr="00317FEA">
              <w:rPr>
                <w:rFonts w:cs="Arial"/>
                <w:sz w:val="20"/>
                <w:szCs w:val="20"/>
              </w:rPr>
              <w:t xml:space="preserve">we plan to influence the SU as Steering Committee members to set ambitious targets for next year as they develop their new MEL framework as part of the 2026-2030 Work Programme.   </w:t>
            </w:r>
          </w:p>
          <w:p w14:paraId="4A978BF1" w14:textId="77777777" w:rsidR="00A21E3C" w:rsidRPr="00317FEA" w:rsidRDefault="00A21E3C" w:rsidP="00EA0F4D">
            <w:pPr>
              <w:contextualSpacing/>
              <w:rPr>
                <w:rFonts w:cs="Arial"/>
                <w:sz w:val="20"/>
                <w:szCs w:val="20"/>
              </w:rPr>
            </w:pPr>
          </w:p>
          <w:p w14:paraId="6ADC8CF6" w14:textId="77777777" w:rsidR="00AF2AF9" w:rsidRPr="00317FEA" w:rsidRDefault="00AF2AF9" w:rsidP="00EA0F4D">
            <w:pPr>
              <w:contextualSpacing/>
              <w:rPr>
                <w:rFonts w:cs="Arial"/>
                <w:sz w:val="20"/>
                <w:szCs w:val="20"/>
              </w:rPr>
            </w:pPr>
          </w:p>
          <w:p w14:paraId="1C012E4B" w14:textId="75C52DE7" w:rsidR="00AF2AF9" w:rsidRPr="00317FEA" w:rsidRDefault="002F56E6" w:rsidP="00EA0F4D">
            <w:pPr>
              <w:contextualSpacing/>
              <w:rPr>
                <w:rFonts w:cs="Arial"/>
                <w:b/>
                <w:bCs/>
                <w:sz w:val="20"/>
                <w:szCs w:val="20"/>
              </w:rPr>
            </w:pPr>
            <w:r w:rsidRPr="00317FEA">
              <w:rPr>
                <w:rFonts w:cs="Arial"/>
                <w:b/>
                <w:bCs/>
                <w:sz w:val="20"/>
                <w:szCs w:val="20"/>
              </w:rPr>
              <w:t xml:space="preserve">Unscored </w:t>
            </w:r>
            <w:r w:rsidR="00C82CE6" w:rsidRPr="00317FEA">
              <w:rPr>
                <w:rFonts w:cs="Arial"/>
                <w:b/>
                <w:bCs/>
                <w:sz w:val="20"/>
                <w:szCs w:val="20"/>
              </w:rPr>
              <w:t>(Progress cannot be assessed)</w:t>
            </w:r>
          </w:p>
        </w:tc>
      </w:tr>
      <w:tr w:rsidR="001E39C4" w:rsidRPr="003C5BF3" w14:paraId="277B49A6" w14:textId="77777777" w:rsidTr="50E539E9">
        <w:tc>
          <w:tcPr>
            <w:tcW w:w="2972" w:type="dxa"/>
            <w:tcBorders>
              <w:top w:val="single" w:sz="4" w:space="0" w:color="auto"/>
              <w:left w:val="single" w:sz="4" w:space="0" w:color="auto"/>
              <w:bottom w:val="single" w:sz="4" w:space="0" w:color="auto"/>
              <w:right w:val="single" w:sz="4" w:space="0" w:color="auto"/>
            </w:tcBorders>
          </w:tcPr>
          <w:p w14:paraId="11810425" w14:textId="77777777" w:rsidR="00641CD4" w:rsidRPr="00317FEA" w:rsidRDefault="00641CD4" w:rsidP="00EA0F4D">
            <w:pPr>
              <w:rPr>
                <w:rFonts w:cs="Arial"/>
                <w:sz w:val="20"/>
                <w:szCs w:val="20"/>
              </w:rPr>
            </w:pPr>
            <w:r w:rsidRPr="00317FEA">
              <w:rPr>
                <w:rFonts w:cs="Arial"/>
                <w:sz w:val="20"/>
                <w:szCs w:val="20"/>
              </w:rPr>
              <w:t xml:space="preserve">1.2 Number of developing country members receiving support via the Partnership.  </w:t>
            </w:r>
          </w:p>
          <w:p w14:paraId="1D88AA14" w14:textId="77777777" w:rsidR="00641CD4" w:rsidRPr="00317FEA" w:rsidRDefault="00641CD4" w:rsidP="00EA0F4D">
            <w:pPr>
              <w:rPr>
                <w:rFonts w:cs="Arial"/>
                <w:sz w:val="20"/>
                <w:szCs w:val="20"/>
              </w:rPr>
            </w:pPr>
          </w:p>
          <w:p w14:paraId="31CD714E" w14:textId="1EF1824E" w:rsidR="001E39C4" w:rsidRPr="00317FEA" w:rsidRDefault="00641CD4" w:rsidP="00EA0F4D">
            <w:pPr>
              <w:rPr>
                <w:rFonts w:cs="Arial"/>
                <w:b/>
                <w:bCs/>
                <w:i/>
                <w:iCs/>
                <w:sz w:val="20"/>
                <w:szCs w:val="20"/>
              </w:rPr>
            </w:pPr>
            <w:r w:rsidRPr="00317FEA">
              <w:rPr>
                <w:rFonts w:cs="Arial"/>
                <w:b/>
                <w:bCs/>
                <w:sz w:val="20"/>
                <w:szCs w:val="20"/>
              </w:rPr>
              <w:t>(Partnership level)</w:t>
            </w:r>
            <w:r w:rsidRPr="00317FEA">
              <w:rPr>
                <w:rFonts w:cs="Arial"/>
                <w:b/>
                <w:bCs/>
                <w:i/>
                <w:iCs/>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29DDE1D3" w14:textId="77777777" w:rsidR="00E10969" w:rsidRPr="00317FEA" w:rsidRDefault="00E10969" w:rsidP="00EA0F4D">
            <w:pPr>
              <w:rPr>
                <w:rFonts w:cs="Arial"/>
                <w:sz w:val="20"/>
                <w:szCs w:val="20"/>
              </w:rPr>
            </w:pPr>
            <w:r w:rsidRPr="00317FEA">
              <w:rPr>
                <w:rFonts w:cs="Arial"/>
                <w:b/>
                <w:bCs/>
                <w:sz w:val="20"/>
                <w:szCs w:val="20"/>
              </w:rPr>
              <w:t>Baseline (Dec 2020)</w:t>
            </w:r>
            <w:r w:rsidRPr="00317FEA">
              <w:rPr>
                <w:rFonts w:cs="Arial"/>
                <w:sz w:val="20"/>
                <w:szCs w:val="20"/>
              </w:rPr>
              <w:t> </w:t>
            </w:r>
          </w:p>
          <w:p w14:paraId="402D290E" w14:textId="77777777" w:rsidR="00E10969" w:rsidRPr="00317FEA" w:rsidRDefault="00E10969" w:rsidP="00EA0F4D">
            <w:pPr>
              <w:rPr>
                <w:rFonts w:cs="Arial"/>
                <w:sz w:val="20"/>
                <w:szCs w:val="20"/>
              </w:rPr>
            </w:pPr>
            <w:r w:rsidRPr="00317FEA">
              <w:rPr>
                <w:rFonts w:cs="Arial"/>
                <w:sz w:val="20"/>
                <w:szCs w:val="20"/>
              </w:rPr>
              <w:t>74 countries </w:t>
            </w:r>
          </w:p>
          <w:p w14:paraId="1F8CC9EA" w14:textId="77777777" w:rsidR="00E10969" w:rsidRPr="00317FEA" w:rsidRDefault="00E10969" w:rsidP="00EA0F4D">
            <w:pPr>
              <w:rPr>
                <w:rFonts w:cs="Arial"/>
                <w:sz w:val="20"/>
                <w:szCs w:val="20"/>
              </w:rPr>
            </w:pPr>
            <w:r w:rsidRPr="00317FEA">
              <w:rPr>
                <w:rFonts w:cs="Arial"/>
                <w:sz w:val="20"/>
                <w:szCs w:val="20"/>
              </w:rPr>
              <w:t> </w:t>
            </w:r>
          </w:p>
          <w:p w14:paraId="772AE8F3" w14:textId="77777777" w:rsidR="00E10969" w:rsidRPr="00317FEA" w:rsidRDefault="00E10969" w:rsidP="00EA0F4D">
            <w:pPr>
              <w:rPr>
                <w:rFonts w:cs="Arial"/>
                <w:sz w:val="20"/>
                <w:szCs w:val="20"/>
              </w:rPr>
            </w:pPr>
            <w:r w:rsidRPr="00317FEA">
              <w:rPr>
                <w:rFonts w:cs="Arial"/>
                <w:b/>
                <w:bCs/>
                <w:sz w:val="20"/>
                <w:szCs w:val="20"/>
              </w:rPr>
              <w:t>2025 target</w:t>
            </w:r>
            <w:r w:rsidRPr="00317FEA">
              <w:rPr>
                <w:rFonts w:cs="Arial"/>
                <w:sz w:val="20"/>
                <w:szCs w:val="20"/>
              </w:rPr>
              <w:t> </w:t>
            </w:r>
          </w:p>
          <w:p w14:paraId="4437B567" w14:textId="77777777" w:rsidR="00E10969" w:rsidRPr="00317FEA" w:rsidRDefault="00E10969" w:rsidP="00EA0F4D">
            <w:pPr>
              <w:rPr>
                <w:rFonts w:cs="Arial"/>
                <w:sz w:val="20"/>
                <w:szCs w:val="20"/>
              </w:rPr>
            </w:pPr>
            <w:r w:rsidRPr="00317FEA">
              <w:rPr>
                <w:rFonts w:cs="Arial"/>
                <w:sz w:val="20"/>
                <w:szCs w:val="20"/>
              </w:rPr>
              <w:t>90 countries  </w:t>
            </w:r>
          </w:p>
          <w:p w14:paraId="31809BAC" w14:textId="77777777" w:rsidR="001E39C4" w:rsidRPr="00317FEA" w:rsidRDefault="001E39C4" w:rsidP="00EA0F4D">
            <w:pPr>
              <w:rPr>
                <w:rFonts w:cs="Arial"/>
                <w:sz w:val="20"/>
                <w:szCs w:val="20"/>
              </w:rPr>
            </w:pPr>
          </w:p>
        </w:tc>
        <w:tc>
          <w:tcPr>
            <w:tcW w:w="7355" w:type="dxa"/>
            <w:tcBorders>
              <w:top w:val="single" w:sz="4" w:space="0" w:color="auto"/>
              <w:left w:val="single" w:sz="4" w:space="0" w:color="auto"/>
              <w:bottom w:val="single" w:sz="4" w:space="0" w:color="auto"/>
              <w:right w:val="single" w:sz="4" w:space="0" w:color="auto"/>
            </w:tcBorders>
          </w:tcPr>
          <w:p w14:paraId="0194CED1" w14:textId="7CDEB47E" w:rsidR="001E39C4" w:rsidRPr="00317FEA" w:rsidRDefault="004C47B4" w:rsidP="00EA0F4D">
            <w:pPr>
              <w:contextualSpacing/>
              <w:rPr>
                <w:rFonts w:cs="Arial"/>
                <w:sz w:val="20"/>
                <w:szCs w:val="20"/>
              </w:rPr>
            </w:pPr>
            <w:r w:rsidRPr="00317FEA">
              <w:rPr>
                <w:rFonts w:cs="Arial"/>
                <w:b/>
                <w:sz w:val="20"/>
                <w:szCs w:val="20"/>
              </w:rPr>
              <w:t>101</w:t>
            </w:r>
            <w:r w:rsidRPr="00317FEA">
              <w:rPr>
                <w:rFonts w:cs="Arial"/>
                <w:sz w:val="20"/>
                <w:szCs w:val="20"/>
              </w:rPr>
              <w:t xml:space="preserve"> developing countr</w:t>
            </w:r>
            <w:r w:rsidR="00654F74" w:rsidRPr="00317FEA">
              <w:rPr>
                <w:rFonts w:cs="Arial"/>
                <w:sz w:val="20"/>
                <w:szCs w:val="20"/>
              </w:rPr>
              <w:t xml:space="preserve">y members received support via the </w:t>
            </w:r>
            <w:r w:rsidR="00E466DC" w:rsidRPr="00317FEA">
              <w:rPr>
                <w:rFonts w:cs="Arial"/>
                <w:sz w:val="20"/>
                <w:szCs w:val="20"/>
              </w:rPr>
              <w:t>P</w:t>
            </w:r>
            <w:r w:rsidR="00654F74" w:rsidRPr="00317FEA">
              <w:rPr>
                <w:rFonts w:cs="Arial"/>
                <w:sz w:val="20"/>
                <w:szCs w:val="20"/>
              </w:rPr>
              <w:t>artnership.</w:t>
            </w:r>
            <w:r w:rsidR="004750D1" w:rsidRPr="00317FEA">
              <w:rPr>
                <w:rFonts w:cs="Arial"/>
                <w:sz w:val="20"/>
                <w:szCs w:val="20"/>
              </w:rPr>
              <w:t xml:space="preserve"> </w:t>
            </w:r>
            <w:r w:rsidR="007602C2" w:rsidRPr="00317FEA">
              <w:rPr>
                <w:rFonts w:cs="Arial"/>
                <w:sz w:val="20"/>
                <w:szCs w:val="20"/>
              </w:rPr>
              <w:t>Since 2020</w:t>
            </w:r>
            <w:r w:rsidR="00B11AF8" w:rsidRPr="00317FEA">
              <w:rPr>
                <w:rFonts w:cs="Arial"/>
                <w:sz w:val="20"/>
                <w:szCs w:val="20"/>
              </w:rPr>
              <w:t>,</w:t>
            </w:r>
            <w:r w:rsidR="007602C2" w:rsidRPr="00317FEA">
              <w:rPr>
                <w:rFonts w:cs="Arial"/>
                <w:sz w:val="20"/>
                <w:szCs w:val="20"/>
              </w:rPr>
              <w:t xml:space="preserve"> the </w:t>
            </w:r>
            <w:r w:rsidR="00B11AF8" w:rsidRPr="00317FEA">
              <w:rPr>
                <w:rFonts w:cs="Arial"/>
                <w:sz w:val="20"/>
                <w:szCs w:val="20"/>
              </w:rPr>
              <w:t>P</w:t>
            </w:r>
            <w:r w:rsidR="007602C2" w:rsidRPr="00317FEA">
              <w:rPr>
                <w:rFonts w:cs="Arial"/>
                <w:sz w:val="20"/>
                <w:szCs w:val="20"/>
              </w:rPr>
              <w:t xml:space="preserve">artnership has consistently increased </w:t>
            </w:r>
            <w:r w:rsidR="00D6452C" w:rsidRPr="00317FEA">
              <w:rPr>
                <w:rFonts w:cs="Arial"/>
                <w:sz w:val="20"/>
                <w:szCs w:val="20"/>
              </w:rPr>
              <w:t>the number of supported developing countrie</w:t>
            </w:r>
            <w:r w:rsidR="00597A44" w:rsidRPr="00317FEA">
              <w:rPr>
                <w:rFonts w:cs="Arial"/>
                <w:sz w:val="20"/>
                <w:szCs w:val="20"/>
              </w:rPr>
              <w:t xml:space="preserve">s. </w:t>
            </w:r>
          </w:p>
          <w:p w14:paraId="4E2B76F2" w14:textId="77777777" w:rsidR="00913558" w:rsidRPr="00317FEA" w:rsidRDefault="00913558" w:rsidP="00EA0F4D">
            <w:pPr>
              <w:contextualSpacing/>
              <w:rPr>
                <w:rFonts w:cs="Arial"/>
                <w:sz w:val="20"/>
                <w:szCs w:val="20"/>
              </w:rPr>
            </w:pPr>
          </w:p>
          <w:p w14:paraId="2DE0E343" w14:textId="13F8DE73" w:rsidR="00913558" w:rsidRPr="00317FEA" w:rsidRDefault="00913558" w:rsidP="00EA0F4D">
            <w:pPr>
              <w:rPr>
                <w:rFonts w:cs="Arial"/>
                <w:b/>
                <w:bCs/>
                <w:sz w:val="20"/>
                <w:szCs w:val="20"/>
              </w:rPr>
            </w:pPr>
            <w:r w:rsidRPr="00317FEA">
              <w:rPr>
                <w:rFonts w:cs="Arial"/>
                <w:b/>
                <w:bCs/>
                <w:sz w:val="20"/>
                <w:szCs w:val="20"/>
              </w:rPr>
              <w:t>A</w:t>
            </w:r>
            <w:r w:rsidR="00312E78" w:rsidRPr="00317FEA">
              <w:rPr>
                <w:rFonts w:cs="Arial"/>
                <w:b/>
                <w:bCs/>
                <w:sz w:val="20"/>
                <w:szCs w:val="20"/>
              </w:rPr>
              <w:t>+ (Progress</w:t>
            </w:r>
            <w:r w:rsidR="0092590E" w:rsidRPr="00317FEA">
              <w:rPr>
                <w:rFonts w:cs="Arial"/>
                <w:b/>
                <w:bCs/>
                <w:sz w:val="20"/>
                <w:szCs w:val="20"/>
              </w:rPr>
              <w:t xml:space="preserve"> moderately </w:t>
            </w:r>
            <w:r w:rsidR="005759CD" w:rsidRPr="00317FEA">
              <w:rPr>
                <w:rFonts w:cs="Arial"/>
                <w:b/>
                <w:bCs/>
                <w:sz w:val="20"/>
                <w:szCs w:val="20"/>
              </w:rPr>
              <w:t>exceeded</w:t>
            </w:r>
            <w:r w:rsidR="0092590E" w:rsidRPr="00317FEA">
              <w:rPr>
                <w:rFonts w:cs="Arial"/>
                <w:b/>
                <w:bCs/>
                <w:sz w:val="20"/>
                <w:szCs w:val="20"/>
              </w:rPr>
              <w:t xml:space="preserve"> expectation</w:t>
            </w:r>
            <w:r w:rsidR="00312E78" w:rsidRPr="00317FEA">
              <w:rPr>
                <w:rFonts w:cs="Arial"/>
                <w:b/>
                <w:bCs/>
                <w:sz w:val="20"/>
                <w:szCs w:val="20"/>
              </w:rPr>
              <w:t>)</w:t>
            </w:r>
          </w:p>
        </w:tc>
      </w:tr>
      <w:tr w:rsidR="001E39C4" w:rsidRPr="003C5BF3" w14:paraId="3B7464E8" w14:textId="77777777" w:rsidTr="50E539E9">
        <w:tc>
          <w:tcPr>
            <w:tcW w:w="2972" w:type="dxa"/>
            <w:tcBorders>
              <w:top w:val="single" w:sz="4" w:space="0" w:color="auto"/>
              <w:left w:val="single" w:sz="4" w:space="0" w:color="auto"/>
              <w:bottom w:val="single" w:sz="4" w:space="0" w:color="auto"/>
              <w:right w:val="single" w:sz="4" w:space="0" w:color="auto"/>
            </w:tcBorders>
          </w:tcPr>
          <w:p w14:paraId="0B0C3DDB" w14:textId="77777777" w:rsidR="00D3632C" w:rsidRPr="00317FEA" w:rsidRDefault="00D3632C" w:rsidP="00EA0F4D">
            <w:pPr>
              <w:rPr>
                <w:rFonts w:cs="Arial"/>
                <w:sz w:val="20"/>
                <w:szCs w:val="20"/>
              </w:rPr>
            </w:pPr>
            <w:r w:rsidRPr="00317FEA">
              <w:rPr>
                <w:rFonts w:cs="Arial"/>
                <w:sz w:val="20"/>
                <w:szCs w:val="20"/>
              </w:rPr>
              <w:t xml:space="preserve">1.3 Total number of partners providing support to requests by member countries, disaggregated by members and non-members  </w:t>
            </w:r>
          </w:p>
          <w:p w14:paraId="618682B6" w14:textId="77777777" w:rsidR="00D3632C" w:rsidRPr="00317FEA" w:rsidRDefault="00D3632C" w:rsidP="00EA0F4D">
            <w:pPr>
              <w:rPr>
                <w:rFonts w:cs="Arial"/>
                <w:sz w:val="20"/>
                <w:szCs w:val="20"/>
              </w:rPr>
            </w:pPr>
          </w:p>
          <w:p w14:paraId="3FC523A5" w14:textId="6FADC14A" w:rsidR="001E39C4" w:rsidRPr="00317FEA" w:rsidRDefault="00D3632C" w:rsidP="00EA0F4D">
            <w:pPr>
              <w:rPr>
                <w:rFonts w:cs="Arial"/>
                <w:b/>
                <w:bCs/>
                <w:sz w:val="20"/>
                <w:szCs w:val="20"/>
              </w:rPr>
            </w:pPr>
            <w:r w:rsidRPr="00317FEA">
              <w:rPr>
                <w:rFonts w:cs="Arial"/>
                <w:b/>
                <w:bCs/>
                <w:sz w:val="20"/>
                <w:szCs w:val="20"/>
              </w:rPr>
              <w:t>(Partnership level indicator)</w:t>
            </w:r>
          </w:p>
        </w:tc>
        <w:tc>
          <w:tcPr>
            <w:tcW w:w="1559" w:type="dxa"/>
            <w:tcBorders>
              <w:top w:val="single" w:sz="4" w:space="0" w:color="auto"/>
              <w:left w:val="single" w:sz="4" w:space="0" w:color="auto"/>
              <w:bottom w:val="single" w:sz="4" w:space="0" w:color="auto"/>
              <w:right w:val="single" w:sz="4" w:space="0" w:color="auto"/>
            </w:tcBorders>
          </w:tcPr>
          <w:p w14:paraId="1C765F7C" w14:textId="77777777" w:rsidR="00BC3D43" w:rsidRPr="00317FEA" w:rsidRDefault="00BC3D43" w:rsidP="00EA0F4D">
            <w:pPr>
              <w:rPr>
                <w:rFonts w:cs="Arial"/>
                <w:b/>
                <w:bCs/>
                <w:sz w:val="20"/>
                <w:szCs w:val="20"/>
              </w:rPr>
            </w:pPr>
            <w:r w:rsidRPr="00317FEA">
              <w:rPr>
                <w:rFonts w:cs="Arial"/>
                <w:b/>
                <w:bCs/>
                <w:sz w:val="20"/>
                <w:szCs w:val="20"/>
              </w:rPr>
              <w:lastRenderedPageBreak/>
              <w:t xml:space="preserve">Baseline (Dec 2020) </w:t>
            </w:r>
          </w:p>
          <w:p w14:paraId="22E3D8AE" w14:textId="5F475046" w:rsidR="0037337B" w:rsidRPr="00317FEA" w:rsidRDefault="00800617" w:rsidP="00EA0F4D">
            <w:pPr>
              <w:rPr>
                <w:rFonts w:cs="Arial"/>
                <w:sz w:val="20"/>
                <w:szCs w:val="20"/>
              </w:rPr>
            </w:pPr>
            <w:r w:rsidRPr="00317FEA">
              <w:rPr>
                <w:rFonts w:cs="Arial"/>
                <w:sz w:val="20"/>
                <w:szCs w:val="20"/>
              </w:rPr>
              <w:t>M</w:t>
            </w:r>
            <w:r w:rsidR="00BC3D43" w:rsidRPr="00317FEA">
              <w:rPr>
                <w:rFonts w:cs="Arial"/>
                <w:sz w:val="20"/>
                <w:szCs w:val="20"/>
              </w:rPr>
              <w:t>embers</w:t>
            </w:r>
            <w:r w:rsidRPr="00317FEA">
              <w:rPr>
                <w:rFonts w:cs="Arial"/>
                <w:sz w:val="20"/>
                <w:szCs w:val="20"/>
              </w:rPr>
              <w:t>: 5</w:t>
            </w:r>
            <w:r w:rsidR="008569D8" w:rsidRPr="00317FEA">
              <w:rPr>
                <w:rFonts w:cs="Arial"/>
                <w:sz w:val="20"/>
                <w:szCs w:val="20"/>
              </w:rPr>
              <w:t>3</w:t>
            </w:r>
          </w:p>
          <w:p w14:paraId="29ACC5E3" w14:textId="1922C8C1" w:rsidR="00BC3D43" w:rsidRPr="00317FEA" w:rsidRDefault="00800617" w:rsidP="00EA0F4D">
            <w:pPr>
              <w:rPr>
                <w:rFonts w:cs="Arial"/>
                <w:sz w:val="20"/>
                <w:szCs w:val="20"/>
              </w:rPr>
            </w:pPr>
            <w:r w:rsidRPr="00317FEA">
              <w:rPr>
                <w:rFonts w:cs="Arial"/>
                <w:sz w:val="20"/>
                <w:szCs w:val="20"/>
              </w:rPr>
              <w:t>Non-members:84</w:t>
            </w:r>
          </w:p>
          <w:p w14:paraId="64307166" w14:textId="77777777" w:rsidR="00BC3D43" w:rsidRPr="00317FEA" w:rsidRDefault="00BC3D43" w:rsidP="00EA0F4D">
            <w:pPr>
              <w:rPr>
                <w:rFonts w:cs="Arial"/>
                <w:sz w:val="20"/>
                <w:szCs w:val="20"/>
              </w:rPr>
            </w:pPr>
            <w:r w:rsidRPr="00317FEA">
              <w:rPr>
                <w:rFonts w:cs="Arial"/>
                <w:sz w:val="20"/>
                <w:szCs w:val="20"/>
              </w:rPr>
              <w:t xml:space="preserve"> </w:t>
            </w:r>
          </w:p>
          <w:p w14:paraId="317B5163" w14:textId="77777777" w:rsidR="00BC3D43" w:rsidRPr="00317FEA" w:rsidRDefault="00BC3D43" w:rsidP="00EA0F4D">
            <w:pPr>
              <w:rPr>
                <w:rFonts w:cs="Arial"/>
                <w:sz w:val="20"/>
                <w:szCs w:val="20"/>
              </w:rPr>
            </w:pPr>
          </w:p>
          <w:p w14:paraId="62EE1C0E" w14:textId="77777777" w:rsidR="00BC3D43" w:rsidRPr="00317FEA" w:rsidRDefault="00BC3D43" w:rsidP="00EA0F4D">
            <w:pPr>
              <w:rPr>
                <w:rFonts w:cs="Arial"/>
                <w:b/>
                <w:bCs/>
                <w:sz w:val="20"/>
                <w:szCs w:val="20"/>
              </w:rPr>
            </w:pPr>
            <w:r w:rsidRPr="00317FEA">
              <w:rPr>
                <w:rFonts w:cs="Arial"/>
                <w:b/>
                <w:bCs/>
                <w:sz w:val="20"/>
                <w:szCs w:val="20"/>
              </w:rPr>
              <w:lastRenderedPageBreak/>
              <w:t xml:space="preserve">2025 Target </w:t>
            </w:r>
          </w:p>
          <w:p w14:paraId="02FF1DB7" w14:textId="34C24241" w:rsidR="00BC3D43" w:rsidRPr="00317FEA" w:rsidRDefault="00BC3D43" w:rsidP="00EA0F4D">
            <w:pPr>
              <w:rPr>
                <w:rFonts w:cs="Arial"/>
                <w:sz w:val="20"/>
                <w:szCs w:val="20"/>
              </w:rPr>
            </w:pPr>
            <w:r w:rsidRPr="00317FEA">
              <w:rPr>
                <w:rFonts w:cs="Arial"/>
                <w:sz w:val="20"/>
                <w:szCs w:val="20"/>
              </w:rPr>
              <w:t xml:space="preserve">Members:70  </w:t>
            </w:r>
          </w:p>
          <w:p w14:paraId="08F54F94" w14:textId="40C84B31" w:rsidR="001E39C4" w:rsidRPr="00317FEA" w:rsidRDefault="00BC3D43" w:rsidP="00EA0F4D">
            <w:pPr>
              <w:rPr>
                <w:rFonts w:cs="Arial"/>
                <w:sz w:val="20"/>
                <w:szCs w:val="20"/>
              </w:rPr>
            </w:pPr>
            <w:r w:rsidRPr="00317FEA">
              <w:rPr>
                <w:rFonts w:cs="Arial"/>
                <w:sz w:val="20"/>
                <w:szCs w:val="20"/>
              </w:rPr>
              <w:t xml:space="preserve">Non-members: N/A   </w:t>
            </w:r>
          </w:p>
        </w:tc>
        <w:tc>
          <w:tcPr>
            <w:tcW w:w="7355" w:type="dxa"/>
            <w:tcBorders>
              <w:top w:val="single" w:sz="4" w:space="0" w:color="auto"/>
              <w:left w:val="single" w:sz="4" w:space="0" w:color="auto"/>
              <w:bottom w:val="single" w:sz="4" w:space="0" w:color="auto"/>
              <w:right w:val="single" w:sz="4" w:space="0" w:color="auto"/>
            </w:tcBorders>
          </w:tcPr>
          <w:p w14:paraId="3B87281C" w14:textId="0C9C3C7E" w:rsidR="001E39C4" w:rsidRPr="00317FEA" w:rsidRDefault="004F4E6E" w:rsidP="00EA0F4D">
            <w:pPr>
              <w:contextualSpacing/>
              <w:rPr>
                <w:rFonts w:cs="Arial"/>
                <w:sz w:val="20"/>
                <w:szCs w:val="20"/>
              </w:rPr>
            </w:pPr>
            <w:r w:rsidRPr="00317FEA">
              <w:rPr>
                <w:rFonts w:cs="Arial"/>
                <w:b/>
                <w:bCs/>
                <w:sz w:val="20"/>
                <w:szCs w:val="20"/>
              </w:rPr>
              <w:lastRenderedPageBreak/>
              <w:t>81</w:t>
            </w:r>
            <w:r w:rsidRPr="00317FEA">
              <w:rPr>
                <w:rFonts w:cs="Arial"/>
                <w:sz w:val="20"/>
                <w:szCs w:val="20"/>
              </w:rPr>
              <w:t xml:space="preserve"> member</w:t>
            </w:r>
            <w:r w:rsidR="00210D9F" w:rsidRPr="00317FEA">
              <w:rPr>
                <w:rFonts w:cs="Arial"/>
                <w:sz w:val="20"/>
                <w:szCs w:val="20"/>
              </w:rPr>
              <w:t xml:space="preserve">s and </w:t>
            </w:r>
            <w:r w:rsidR="005738C5" w:rsidRPr="00317FEA">
              <w:rPr>
                <w:rFonts w:cs="Arial"/>
                <w:b/>
                <w:bCs/>
                <w:sz w:val="20"/>
                <w:szCs w:val="20"/>
              </w:rPr>
              <w:t>229</w:t>
            </w:r>
            <w:r w:rsidR="005738C5" w:rsidRPr="00317FEA">
              <w:rPr>
                <w:rFonts w:cs="Arial"/>
                <w:sz w:val="20"/>
                <w:szCs w:val="20"/>
              </w:rPr>
              <w:t xml:space="preserve"> non-members provided support to </w:t>
            </w:r>
            <w:r w:rsidR="004E1CF9" w:rsidRPr="00317FEA">
              <w:rPr>
                <w:rFonts w:cs="Arial"/>
                <w:sz w:val="20"/>
                <w:szCs w:val="20"/>
              </w:rPr>
              <w:t>country r</w:t>
            </w:r>
            <w:r w:rsidR="005738C5" w:rsidRPr="00317FEA">
              <w:rPr>
                <w:rFonts w:cs="Arial"/>
                <w:sz w:val="20"/>
                <w:szCs w:val="20"/>
              </w:rPr>
              <w:t xml:space="preserve">equests </w:t>
            </w:r>
            <w:r w:rsidR="004E1CF9" w:rsidRPr="00317FEA">
              <w:rPr>
                <w:rFonts w:cs="Arial"/>
                <w:sz w:val="20"/>
                <w:szCs w:val="20"/>
              </w:rPr>
              <w:t>circulated by NDC Partnership.</w:t>
            </w:r>
            <w:r w:rsidR="005738C5" w:rsidRPr="00317FEA">
              <w:rPr>
                <w:rFonts w:cs="Arial"/>
                <w:sz w:val="20"/>
                <w:szCs w:val="20"/>
              </w:rPr>
              <w:t xml:space="preserve"> </w:t>
            </w:r>
            <w:r w:rsidR="00A3612E" w:rsidRPr="00317FEA">
              <w:rPr>
                <w:rFonts w:cs="Arial"/>
                <w:sz w:val="20"/>
                <w:szCs w:val="20"/>
              </w:rPr>
              <w:t xml:space="preserve">Therefore, the </w:t>
            </w:r>
            <w:r w:rsidR="00830986" w:rsidRPr="00317FEA">
              <w:rPr>
                <w:rFonts w:cs="Arial"/>
                <w:sz w:val="20"/>
                <w:szCs w:val="20"/>
              </w:rPr>
              <w:t>result</w:t>
            </w:r>
            <w:r w:rsidR="00A3612E" w:rsidRPr="00317FEA">
              <w:rPr>
                <w:rFonts w:cs="Arial"/>
                <w:sz w:val="20"/>
                <w:szCs w:val="20"/>
              </w:rPr>
              <w:t xml:space="preserve"> exceeded our expectations</w:t>
            </w:r>
            <w:r w:rsidR="001166E3" w:rsidRPr="00317FEA">
              <w:rPr>
                <w:rFonts w:cs="Arial"/>
                <w:sz w:val="20"/>
                <w:szCs w:val="20"/>
              </w:rPr>
              <w:t xml:space="preserve">, </w:t>
            </w:r>
            <w:r w:rsidR="00830986" w:rsidRPr="00317FEA">
              <w:rPr>
                <w:rFonts w:cs="Arial"/>
                <w:sz w:val="20"/>
                <w:szCs w:val="20"/>
              </w:rPr>
              <w:t xml:space="preserve">with the SU </w:t>
            </w:r>
            <w:r w:rsidR="001166E3" w:rsidRPr="00317FEA">
              <w:rPr>
                <w:rFonts w:cs="Arial"/>
                <w:sz w:val="20"/>
                <w:szCs w:val="20"/>
              </w:rPr>
              <w:t>significantly increasing th</w:t>
            </w:r>
            <w:r w:rsidR="003438F5" w:rsidRPr="00317FEA">
              <w:rPr>
                <w:rFonts w:cs="Arial"/>
                <w:sz w:val="20"/>
                <w:szCs w:val="20"/>
              </w:rPr>
              <w:t xml:space="preserve">eir </w:t>
            </w:r>
            <w:r w:rsidR="00AC4EB6" w:rsidRPr="00317FEA">
              <w:rPr>
                <w:rFonts w:cs="Arial"/>
                <w:sz w:val="20"/>
                <w:szCs w:val="20"/>
              </w:rPr>
              <w:t xml:space="preserve">support </w:t>
            </w:r>
            <w:r w:rsidR="00222DEF" w:rsidRPr="00317FEA">
              <w:rPr>
                <w:rFonts w:cs="Arial"/>
                <w:sz w:val="20"/>
                <w:szCs w:val="20"/>
              </w:rPr>
              <w:t xml:space="preserve">beyond the baseline. </w:t>
            </w:r>
          </w:p>
          <w:p w14:paraId="0E19251A" w14:textId="77777777" w:rsidR="001F58D5" w:rsidRPr="00317FEA" w:rsidRDefault="001F58D5" w:rsidP="00EA0F4D">
            <w:pPr>
              <w:contextualSpacing/>
              <w:rPr>
                <w:rFonts w:cs="Arial"/>
                <w:sz w:val="20"/>
                <w:szCs w:val="20"/>
              </w:rPr>
            </w:pPr>
          </w:p>
          <w:p w14:paraId="087C32E5" w14:textId="0F59F065" w:rsidR="00E03F64" w:rsidRPr="00317FEA" w:rsidRDefault="00E03F64" w:rsidP="00EA0F4D">
            <w:pPr>
              <w:contextualSpacing/>
              <w:rPr>
                <w:rFonts w:cs="Arial"/>
                <w:sz w:val="20"/>
                <w:szCs w:val="20"/>
              </w:rPr>
            </w:pPr>
            <w:r w:rsidRPr="00317FEA">
              <w:rPr>
                <w:rFonts w:cs="Arial"/>
                <w:sz w:val="20"/>
                <w:szCs w:val="20"/>
              </w:rPr>
              <w:lastRenderedPageBreak/>
              <w:t>This year’s result will be used as the baseline in future years</w:t>
            </w:r>
            <w:r w:rsidR="00DA29B3" w:rsidRPr="00317FEA">
              <w:rPr>
                <w:rFonts w:cs="Arial"/>
                <w:sz w:val="20"/>
                <w:szCs w:val="20"/>
              </w:rPr>
              <w:t xml:space="preserve">. We plan to influence the SU as Steering Committee members to set more ambitious targets for next year as they develop their new MEL framework as part of the 2026-2030 Work Programme.   </w:t>
            </w:r>
          </w:p>
          <w:p w14:paraId="1D116B25" w14:textId="77777777" w:rsidR="00A04EAB" w:rsidRPr="00317FEA" w:rsidRDefault="00A04EAB" w:rsidP="00EA0F4D">
            <w:pPr>
              <w:contextualSpacing/>
              <w:rPr>
                <w:rFonts w:cs="Arial"/>
                <w:sz w:val="20"/>
                <w:szCs w:val="20"/>
              </w:rPr>
            </w:pPr>
          </w:p>
          <w:p w14:paraId="1397F9D2" w14:textId="77777777" w:rsidR="009103D9" w:rsidRPr="00317FEA" w:rsidRDefault="00770019" w:rsidP="00EA0F4D">
            <w:pPr>
              <w:contextualSpacing/>
              <w:rPr>
                <w:rFonts w:cs="Arial"/>
                <w:b/>
                <w:bCs/>
                <w:sz w:val="20"/>
                <w:szCs w:val="20"/>
              </w:rPr>
            </w:pPr>
            <w:r w:rsidRPr="00317FEA">
              <w:rPr>
                <w:rFonts w:cs="Arial"/>
                <w:b/>
                <w:bCs/>
                <w:sz w:val="20"/>
                <w:szCs w:val="20"/>
              </w:rPr>
              <w:t>A+ (Progress moderately exceeded expectation)</w:t>
            </w:r>
          </w:p>
          <w:p w14:paraId="45FAA40D" w14:textId="2011567E" w:rsidR="007F42E0" w:rsidRPr="00317FEA" w:rsidRDefault="007F42E0" w:rsidP="00EA0F4D">
            <w:pPr>
              <w:contextualSpacing/>
              <w:rPr>
                <w:rFonts w:cs="Arial"/>
                <w:sz w:val="20"/>
                <w:szCs w:val="20"/>
              </w:rPr>
            </w:pPr>
          </w:p>
        </w:tc>
      </w:tr>
      <w:tr w:rsidR="001E39C4" w:rsidRPr="003C5BF3" w14:paraId="57A4BF88" w14:textId="77777777" w:rsidTr="50E539E9">
        <w:tc>
          <w:tcPr>
            <w:tcW w:w="2972" w:type="dxa"/>
            <w:tcBorders>
              <w:top w:val="single" w:sz="4" w:space="0" w:color="auto"/>
              <w:left w:val="single" w:sz="4" w:space="0" w:color="auto"/>
              <w:bottom w:val="single" w:sz="4" w:space="0" w:color="auto"/>
              <w:right w:val="single" w:sz="4" w:space="0" w:color="auto"/>
            </w:tcBorders>
          </w:tcPr>
          <w:p w14:paraId="69724580" w14:textId="77777777" w:rsidR="003B55FD" w:rsidRPr="00317FEA" w:rsidRDefault="003B55FD" w:rsidP="00EA0F4D">
            <w:pPr>
              <w:rPr>
                <w:rFonts w:cs="Arial"/>
                <w:sz w:val="20"/>
                <w:szCs w:val="20"/>
              </w:rPr>
            </w:pPr>
            <w:r w:rsidRPr="00317FEA">
              <w:rPr>
                <w:rFonts w:cs="Arial"/>
                <w:sz w:val="20"/>
                <w:szCs w:val="20"/>
              </w:rPr>
              <w:lastRenderedPageBreak/>
              <w:t>1.4 Number of requests supported by development partners that the UK had engaged with and influenced to utilise the Partnership and/or funded.</w:t>
            </w:r>
          </w:p>
          <w:p w14:paraId="68C245CC" w14:textId="7DBA26DF" w:rsidR="003B55FD" w:rsidRPr="00317FEA" w:rsidRDefault="003B55FD" w:rsidP="00EA0F4D">
            <w:pPr>
              <w:rPr>
                <w:rFonts w:cs="Arial"/>
                <w:sz w:val="20"/>
                <w:szCs w:val="20"/>
              </w:rPr>
            </w:pPr>
            <w:r w:rsidRPr="00317FEA">
              <w:rPr>
                <w:rFonts w:cs="Arial"/>
                <w:sz w:val="20"/>
                <w:szCs w:val="20"/>
              </w:rPr>
              <w:t> </w:t>
            </w:r>
          </w:p>
          <w:p w14:paraId="7FFC8A82" w14:textId="77777777" w:rsidR="003B55FD" w:rsidRPr="00317FEA" w:rsidRDefault="003B55FD" w:rsidP="00EA0F4D">
            <w:pPr>
              <w:rPr>
                <w:rFonts w:cs="Arial"/>
                <w:sz w:val="20"/>
                <w:szCs w:val="20"/>
              </w:rPr>
            </w:pPr>
            <w:r w:rsidRPr="00317FEA">
              <w:rPr>
                <w:rFonts w:cs="Arial"/>
                <w:b/>
                <w:bCs/>
                <w:sz w:val="20"/>
                <w:szCs w:val="20"/>
              </w:rPr>
              <w:t>(UK level indicator)</w:t>
            </w:r>
            <w:r w:rsidRPr="00317FEA">
              <w:rPr>
                <w:rFonts w:cs="Arial"/>
                <w:sz w:val="20"/>
                <w:szCs w:val="20"/>
              </w:rPr>
              <w:t> </w:t>
            </w:r>
          </w:p>
          <w:p w14:paraId="7B4FFE7B" w14:textId="77777777" w:rsidR="001E39C4" w:rsidRPr="00317FEA" w:rsidRDefault="001E39C4" w:rsidP="00EA0F4D">
            <w:pP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4186B08" w14:textId="77777777" w:rsidR="0037337B" w:rsidRPr="00317FEA" w:rsidRDefault="0037337B" w:rsidP="00EA0F4D">
            <w:pPr>
              <w:rPr>
                <w:rFonts w:cs="Arial"/>
                <w:b/>
                <w:bCs/>
                <w:sz w:val="20"/>
                <w:szCs w:val="20"/>
              </w:rPr>
            </w:pPr>
            <w:r w:rsidRPr="00317FEA">
              <w:rPr>
                <w:rFonts w:cs="Arial"/>
                <w:b/>
                <w:bCs/>
                <w:sz w:val="20"/>
                <w:szCs w:val="20"/>
              </w:rPr>
              <w:t xml:space="preserve">Baseline (Dec 2020) </w:t>
            </w:r>
          </w:p>
          <w:p w14:paraId="14050401" w14:textId="371DE309" w:rsidR="0037337B" w:rsidRPr="00317FEA" w:rsidRDefault="0055641A" w:rsidP="00EA0F4D">
            <w:pPr>
              <w:rPr>
                <w:rFonts w:cs="Arial"/>
                <w:sz w:val="20"/>
                <w:szCs w:val="20"/>
              </w:rPr>
            </w:pPr>
            <w:r w:rsidRPr="00317FEA">
              <w:rPr>
                <w:rFonts w:cs="Arial"/>
                <w:sz w:val="20"/>
                <w:szCs w:val="20"/>
              </w:rPr>
              <w:t>N/A</w:t>
            </w:r>
          </w:p>
          <w:p w14:paraId="1F77460C" w14:textId="77777777" w:rsidR="0037337B" w:rsidRPr="00317FEA" w:rsidRDefault="0037337B" w:rsidP="00EA0F4D">
            <w:pPr>
              <w:rPr>
                <w:rFonts w:cs="Arial"/>
                <w:sz w:val="20"/>
                <w:szCs w:val="20"/>
              </w:rPr>
            </w:pPr>
            <w:r w:rsidRPr="00317FEA">
              <w:rPr>
                <w:rFonts w:cs="Arial"/>
                <w:sz w:val="20"/>
                <w:szCs w:val="20"/>
              </w:rPr>
              <w:t xml:space="preserve"> </w:t>
            </w:r>
          </w:p>
          <w:p w14:paraId="3DC7103A" w14:textId="77777777" w:rsidR="0037337B" w:rsidRPr="00317FEA" w:rsidRDefault="0037337B" w:rsidP="00EA0F4D">
            <w:pPr>
              <w:rPr>
                <w:rFonts w:cs="Arial"/>
                <w:sz w:val="20"/>
                <w:szCs w:val="20"/>
              </w:rPr>
            </w:pPr>
          </w:p>
          <w:p w14:paraId="18C6610E" w14:textId="77777777" w:rsidR="0037337B" w:rsidRPr="00317FEA" w:rsidRDefault="0037337B" w:rsidP="00EA0F4D">
            <w:pPr>
              <w:rPr>
                <w:rFonts w:cs="Arial"/>
                <w:b/>
                <w:bCs/>
                <w:sz w:val="20"/>
                <w:szCs w:val="20"/>
              </w:rPr>
            </w:pPr>
            <w:r w:rsidRPr="00317FEA">
              <w:rPr>
                <w:rFonts w:cs="Arial"/>
                <w:b/>
                <w:bCs/>
                <w:sz w:val="20"/>
                <w:szCs w:val="20"/>
              </w:rPr>
              <w:t xml:space="preserve">2025 Target  </w:t>
            </w:r>
          </w:p>
          <w:p w14:paraId="10958124" w14:textId="406AC961" w:rsidR="00E220AF" w:rsidRPr="00317FEA" w:rsidRDefault="001B626B" w:rsidP="00EA0F4D">
            <w:pPr>
              <w:rPr>
                <w:rFonts w:cs="Arial"/>
                <w:sz w:val="20"/>
                <w:szCs w:val="20"/>
              </w:rPr>
            </w:pPr>
            <w:r w:rsidRPr="00317FEA">
              <w:rPr>
                <w:rFonts w:cs="Arial"/>
                <w:sz w:val="20"/>
                <w:szCs w:val="20"/>
              </w:rPr>
              <w:t>2</w:t>
            </w:r>
          </w:p>
          <w:p w14:paraId="46E2AB98" w14:textId="58996A72" w:rsidR="001E39C4" w:rsidRPr="00317FEA" w:rsidRDefault="001E39C4" w:rsidP="00EA0F4D">
            <w:pPr>
              <w:rPr>
                <w:rFonts w:cs="Arial"/>
                <w:i/>
                <w:iCs/>
                <w:sz w:val="20"/>
                <w:szCs w:val="20"/>
              </w:rPr>
            </w:pPr>
          </w:p>
        </w:tc>
        <w:tc>
          <w:tcPr>
            <w:tcW w:w="7355" w:type="dxa"/>
            <w:tcBorders>
              <w:top w:val="single" w:sz="4" w:space="0" w:color="auto"/>
              <w:left w:val="single" w:sz="4" w:space="0" w:color="auto"/>
              <w:bottom w:val="single" w:sz="4" w:space="0" w:color="auto"/>
              <w:right w:val="single" w:sz="4" w:space="0" w:color="auto"/>
            </w:tcBorders>
          </w:tcPr>
          <w:p w14:paraId="7E1DC567" w14:textId="621FA795" w:rsidR="00992BB1" w:rsidRPr="00317FEA" w:rsidRDefault="006A387E" w:rsidP="00EA0F4D">
            <w:pPr>
              <w:contextualSpacing/>
              <w:rPr>
                <w:rFonts w:cs="Arial"/>
                <w:sz w:val="20"/>
                <w:szCs w:val="20"/>
              </w:rPr>
            </w:pPr>
            <w:r w:rsidRPr="00317FEA">
              <w:rPr>
                <w:rFonts w:cs="Arial"/>
                <w:b/>
                <w:bCs/>
                <w:sz w:val="20"/>
                <w:szCs w:val="20"/>
              </w:rPr>
              <w:t>30</w:t>
            </w:r>
            <w:r w:rsidR="00A1544E" w:rsidRPr="00317FEA">
              <w:rPr>
                <w:rFonts w:cs="Arial"/>
                <w:b/>
                <w:bCs/>
                <w:sz w:val="20"/>
                <w:szCs w:val="20"/>
              </w:rPr>
              <w:t xml:space="preserve"> </w:t>
            </w:r>
            <w:r w:rsidR="00A1544E" w:rsidRPr="00317FEA">
              <w:rPr>
                <w:rFonts w:cs="Arial"/>
                <w:sz w:val="20"/>
                <w:szCs w:val="20"/>
              </w:rPr>
              <w:t>requests were supported by development partners that the UK had engaged with</w:t>
            </w:r>
            <w:r w:rsidR="00D65EC1" w:rsidRPr="00317FEA">
              <w:rPr>
                <w:rFonts w:cs="Arial"/>
                <w:sz w:val="20"/>
                <w:szCs w:val="20"/>
              </w:rPr>
              <w:t xml:space="preserve"> </w:t>
            </w:r>
            <w:r w:rsidR="00F0019C" w:rsidRPr="00317FEA">
              <w:rPr>
                <w:rFonts w:cs="Arial"/>
                <w:sz w:val="20"/>
                <w:szCs w:val="20"/>
              </w:rPr>
              <w:t>to utilise the Partnership</w:t>
            </w:r>
            <w:r w:rsidR="00C309B4" w:rsidRPr="00317FEA">
              <w:rPr>
                <w:rFonts w:cs="Arial"/>
                <w:sz w:val="20"/>
                <w:szCs w:val="20"/>
              </w:rPr>
              <w:t xml:space="preserve">. This includes </w:t>
            </w:r>
            <w:r w:rsidR="00287CDA" w:rsidRPr="00E36567">
              <w:rPr>
                <w:rFonts w:cs="Arial"/>
                <w:b/>
                <w:bCs/>
                <w:sz w:val="20"/>
                <w:szCs w:val="20"/>
              </w:rPr>
              <w:t>1</w:t>
            </w:r>
            <w:r w:rsidR="007A370E">
              <w:rPr>
                <w:rFonts w:cs="Arial"/>
                <w:b/>
                <w:bCs/>
                <w:sz w:val="20"/>
                <w:szCs w:val="20"/>
              </w:rPr>
              <w:t xml:space="preserve">9 </w:t>
            </w:r>
            <w:r w:rsidR="00287CDA" w:rsidRPr="00317FEA">
              <w:rPr>
                <w:rFonts w:cs="Arial"/>
                <w:sz w:val="20"/>
                <w:szCs w:val="20"/>
              </w:rPr>
              <w:t xml:space="preserve">countries </w:t>
            </w:r>
            <w:r w:rsidR="00913286" w:rsidRPr="00317FEA">
              <w:rPr>
                <w:rFonts w:cs="Arial"/>
                <w:sz w:val="20"/>
                <w:szCs w:val="20"/>
              </w:rPr>
              <w:t>supported</w:t>
            </w:r>
            <w:r w:rsidR="00513B39" w:rsidRPr="00317FEA">
              <w:rPr>
                <w:rFonts w:cs="Arial"/>
                <w:sz w:val="20"/>
                <w:szCs w:val="20"/>
              </w:rPr>
              <w:t xml:space="preserve"> by </w:t>
            </w:r>
            <w:r w:rsidR="00913286" w:rsidRPr="00317FEA">
              <w:rPr>
                <w:rFonts w:cs="Arial"/>
                <w:sz w:val="20"/>
                <w:szCs w:val="20"/>
              </w:rPr>
              <w:t xml:space="preserve">UNDP’s Climate Promise and </w:t>
            </w:r>
            <w:r w:rsidR="00FA2F3B" w:rsidRPr="00E36567">
              <w:rPr>
                <w:rFonts w:cs="Arial"/>
                <w:b/>
                <w:bCs/>
                <w:sz w:val="20"/>
                <w:szCs w:val="20"/>
              </w:rPr>
              <w:t>1</w:t>
            </w:r>
            <w:r w:rsidR="007A370E">
              <w:rPr>
                <w:rFonts w:cs="Arial"/>
                <w:b/>
                <w:bCs/>
                <w:sz w:val="20"/>
                <w:szCs w:val="20"/>
              </w:rPr>
              <w:t>5</w:t>
            </w:r>
            <w:r w:rsidR="001E42E7" w:rsidRPr="00317FEA">
              <w:rPr>
                <w:rFonts w:cs="Arial"/>
                <w:sz w:val="20"/>
                <w:szCs w:val="20"/>
              </w:rPr>
              <w:t xml:space="preserve"> countries supported through the </w:t>
            </w:r>
            <w:r w:rsidR="00913286" w:rsidRPr="00317FEA">
              <w:rPr>
                <w:rFonts w:cs="Arial"/>
                <w:sz w:val="20"/>
                <w:szCs w:val="20"/>
              </w:rPr>
              <w:t>World Bank’s Climate Support Facilit</w:t>
            </w:r>
            <w:r w:rsidR="001E42E7" w:rsidRPr="00317FEA">
              <w:rPr>
                <w:rFonts w:cs="Arial"/>
                <w:sz w:val="20"/>
                <w:szCs w:val="20"/>
              </w:rPr>
              <w:t xml:space="preserve">y. </w:t>
            </w:r>
            <w:r w:rsidR="00913286" w:rsidRPr="00317FEA">
              <w:rPr>
                <w:rFonts w:cs="Arial"/>
                <w:sz w:val="20"/>
                <w:szCs w:val="20"/>
              </w:rPr>
              <w:t xml:space="preserve"> </w:t>
            </w:r>
          </w:p>
          <w:p w14:paraId="251A643C" w14:textId="1DEFF255" w:rsidR="001E1D01" w:rsidRPr="00317FEA" w:rsidRDefault="001E1D01" w:rsidP="00EA0F4D">
            <w:pPr>
              <w:contextualSpacing/>
              <w:rPr>
                <w:rFonts w:cs="Arial"/>
                <w:b/>
                <w:bCs/>
                <w:sz w:val="20"/>
                <w:szCs w:val="20"/>
              </w:rPr>
            </w:pPr>
          </w:p>
          <w:p w14:paraId="71285B7A" w14:textId="1465CB0A" w:rsidR="00A9032C" w:rsidRPr="00317FEA" w:rsidRDefault="00A9032C" w:rsidP="00EA0F4D">
            <w:pPr>
              <w:rPr>
                <w:rFonts w:cs="Arial"/>
                <w:sz w:val="20"/>
                <w:szCs w:val="20"/>
              </w:rPr>
            </w:pPr>
            <w:r w:rsidRPr="00317FEA">
              <w:rPr>
                <w:rFonts w:cs="Arial"/>
                <w:sz w:val="20"/>
                <w:szCs w:val="20"/>
              </w:rPr>
              <w:t>For this indicator</w:t>
            </w:r>
            <w:r w:rsidR="006A2183" w:rsidRPr="00317FEA">
              <w:rPr>
                <w:rFonts w:cs="Arial"/>
                <w:sz w:val="20"/>
                <w:szCs w:val="20"/>
              </w:rPr>
              <w:t xml:space="preserve">, </w:t>
            </w:r>
            <w:r w:rsidR="00D615E6" w:rsidRPr="00317FEA">
              <w:rPr>
                <w:rFonts w:cs="Arial"/>
                <w:sz w:val="20"/>
                <w:szCs w:val="20"/>
              </w:rPr>
              <w:t xml:space="preserve">a modest target was set as </w:t>
            </w:r>
            <w:r w:rsidR="00B56493" w:rsidRPr="00317FEA">
              <w:rPr>
                <w:rFonts w:cs="Arial"/>
                <w:sz w:val="20"/>
                <w:szCs w:val="20"/>
              </w:rPr>
              <w:t xml:space="preserve">the team hadn’t anticipated that </w:t>
            </w:r>
            <w:r w:rsidR="00F412A8" w:rsidRPr="00317FEA">
              <w:rPr>
                <w:rFonts w:cs="Arial"/>
                <w:sz w:val="20"/>
                <w:szCs w:val="20"/>
              </w:rPr>
              <w:t xml:space="preserve">we would have a full list of countries that the WB and UNDP were supporting through the </w:t>
            </w:r>
            <w:r w:rsidR="3758F41B" w:rsidRPr="00317FEA">
              <w:rPr>
                <w:rFonts w:cs="Arial"/>
                <w:sz w:val="20"/>
                <w:szCs w:val="20"/>
              </w:rPr>
              <w:t>P</w:t>
            </w:r>
            <w:r w:rsidR="00F412A8" w:rsidRPr="00317FEA">
              <w:rPr>
                <w:rFonts w:cs="Arial"/>
                <w:sz w:val="20"/>
                <w:szCs w:val="20"/>
              </w:rPr>
              <w:t xml:space="preserve">artnership at this stage. </w:t>
            </w:r>
            <w:r w:rsidR="00732FA8" w:rsidRPr="00317FEA">
              <w:rPr>
                <w:rFonts w:cs="Arial"/>
                <w:sz w:val="20"/>
                <w:szCs w:val="20"/>
              </w:rPr>
              <w:t xml:space="preserve">The target will be revaluated for next year’s annual review to reflect the </w:t>
            </w:r>
            <w:r w:rsidR="00D833E2" w:rsidRPr="00317FEA">
              <w:rPr>
                <w:rFonts w:cs="Arial"/>
                <w:sz w:val="20"/>
                <w:szCs w:val="20"/>
              </w:rPr>
              <w:t xml:space="preserve">full number of countries that we </w:t>
            </w:r>
            <w:r w:rsidR="00FF643E" w:rsidRPr="00317FEA">
              <w:rPr>
                <w:rFonts w:cs="Arial"/>
                <w:sz w:val="20"/>
                <w:szCs w:val="20"/>
              </w:rPr>
              <w:t>plan to support</w:t>
            </w:r>
            <w:r w:rsidR="00D833E2" w:rsidRPr="00317FEA">
              <w:rPr>
                <w:rFonts w:cs="Arial"/>
                <w:sz w:val="20"/>
                <w:szCs w:val="20"/>
              </w:rPr>
              <w:t xml:space="preserve"> through both institutional partners. </w:t>
            </w:r>
          </w:p>
          <w:p w14:paraId="4868E4A3" w14:textId="20A9ACF7" w:rsidR="000615EF" w:rsidRPr="00317FEA" w:rsidRDefault="000615EF" w:rsidP="00EA0F4D">
            <w:pPr>
              <w:rPr>
                <w:rFonts w:cs="Arial"/>
                <w:sz w:val="20"/>
                <w:szCs w:val="20"/>
              </w:rPr>
            </w:pPr>
          </w:p>
          <w:p w14:paraId="6717B6A7" w14:textId="3F50C5B4" w:rsidR="000615EF" w:rsidRPr="00317FEA" w:rsidRDefault="000615EF" w:rsidP="00EA0F4D">
            <w:pPr>
              <w:rPr>
                <w:rFonts w:cs="Arial"/>
                <w:sz w:val="20"/>
                <w:szCs w:val="20"/>
              </w:rPr>
            </w:pPr>
            <w:r w:rsidRPr="00317FEA">
              <w:rPr>
                <w:rFonts w:cs="Arial"/>
                <w:b/>
                <w:bCs/>
                <w:sz w:val="20"/>
                <w:szCs w:val="20"/>
              </w:rPr>
              <w:t>A++ (Progress significantly exceeded expectation)</w:t>
            </w:r>
          </w:p>
          <w:p w14:paraId="00DDCA41" w14:textId="7205FADC" w:rsidR="00D833E2" w:rsidRPr="00317FEA" w:rsidRDefault="00D833E2" w:rsidP="00EA0F4D">
            <w:pPr>
              <w:rPr>
                <w:rFonts w:cs="Arial"/>
                <w:sz w:val="20"/>
                <w:szCs w:val="20"/>
              </w:rPr>
            </w:pPr>
          </w:p>
        </w:tc>
      </w:tr>
      <w:tr w:rsidR="007E0D6C" w:rsidRPr="003C5BF3" w14:paraId="187CF417" w14:textId="77777777" w:rsidTr="50E539E9">
        <w:tc>
          <w:tcPr>
            <w:tcW w:w="2972" w:type="dxa"/>
            <w:tcBorders>
              <w:top w:val="single" w:sz="4" w:space="0" w:color="auto"/>
              <w:left w:val="single" w:sz="4" w:space="0" w:color="auto"/>
              <w:bottom w:val="single" w:sz="4" w:space="0" w:color="auto"/>
              <w:right w:val="single" w:sz="4" w:space="0" w:color="auto"/>
            </w:tcBorders>
          </w:tcPr>
          <w:p w14:paraId="001B675E" w14:textId="396580C3" w:rsidR="00B57531" w:rsidRPr="00317FEA" w:rsidRDefault="00B57531" w:rsidP="00EA0F4D">
            <w:pPr>
              <w:rPr>
                <w:rFonts w:cs="Arial"/>
                <w:sz w:val="20"/>
                <w:szCs w:val="20"/>
              </w:rPr>
            </w:pPr>
            <w:r w:rsidRPr="00317FEA">
              <w:rPr>
                <w:rFonts w:cs="Arial"/>
                <w:sz w:val="20"/>
                <w:szCs w:val="20"/>
              </w:rPr>
              <w:t xml:space="preserve">1.5 </w:t>
            </w:r>
            <w:r w:rsidRPr="00317FEA">
              <w:rPr>
                <w:rFonts w:cs="Arial"/>
                <w:color w:val="000000"/>
                <w:sz w:val="20"/>
                <w:szCs w:val="20"/>
              </w:rPr>
              <w:t>Number</w:t>
            </w:r>
            <w:r w:rsidRPr="00317FEA">
              <w:rPr>
                <w:rFonts w:cs="Arial"/>
                <w:sz w:val="20"/>
                <w:szCs w:val="20"/>
              </w:rPr>
              <w:t xml:space="preserve"> of knowledge and learning products produced or convenings held that make use of the knowledge gaps identified through the partnership. </w:t>
            </w:r>
          </w:p>
          <w:p w14:paraId="7EF2B205" w14:textId="77777777" w:rsidR="00B57531" w:rsidRPr="00317FEA" w:rsidRDefault="00B57531" w:rsidP="00EA0F4D">
            <w:pPr>
              <w:rPr>
                <w:rFonts w:cs="Arial"/>
                <w:sz w:val="20"/>
                <w:szCs w:val="20"/>
              </w:rPr>
            </w:pPr>
          </w:p>
          <w:p w14:paraId="36592FD4" w14:textId="77777777" w:rsidR="00B57531" w:rsidRPr="00317FEA" w:rsidRDefault="00B57531" w:rsidP="00EA0F4D">
            <w:pPr>
              <w:rPr>
                <w:rFonts w:cs="Arial"/>
                <w:sz w:val="20"/>
                <w:szCs w:val="20"/>
              </w:rPr>
            </w:pPr>
            <w:r w:rsidRPr="00317FEA">
              <w:rPr>
                <w:rFonts w:cs="Arial"/>
                <w:b/>
                <w:bCs/>
                <w:sz w:val="20"/>
                <w:szCs w:val="20"/>
              </w:rPr>
              <w:t>(Partnership level) </w:t>
            </w:r>
            <w:r w:rsidRPr="00317FEA">
              <w:rPr>
                <w:rFonts w:cs="Arial"/>
                <w:sz w:val="20"/>
                <w:szCs w:val="20"/>
              </w:rPr>
              <w:t> </w:t>
            </w:r>
          </w:p>
          <w:p w14:paraId="677B826F" w14:textId="168CB814" w:rsidR="007E0D6C" w:rsidRPr="00317FEA" w:rsidRDefault="007E0D6C" w:rsidP="00EA0F4D">
            <w:pP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9230F6A" w14:textId="77777777" w:rsidR="00CD31A8" w:rsidRPr="00317FEA" w:rsidRDefault="00CD31A8" w:rsidP="00EA0F4D">
            <w:pPr>
              <w:rPr>
                <w:rFonts w:cs="Arial"/>
                <w:b/>
                <w:bCs/>
                <w:sz w:val="20"/>
                <w:szCs w:val="20"/>
              </w:rPr>
            </w:pPr>
            <w:r w:rsidRPr="00317FEA">
              <w:rPr>
                <w:rFonts w:cs="Arial"/>
                <w:b/>
                <w:bCs/>
                <w:sz w:val="20"/>
                <w:szCs w:val="20"/>
              </w:rPr>
              <w:t>Baseline (Dec 2020) </w:t>
            </w:r>
          </w:p>
          <w:p w14:paraId="611324DB" w14:textId="77777777" w:rsidR="00CD31A8" w:rsidRPr="00317FEA" w:rsidRDefault="00CD31A8" w:rsidP="00EA0F4D">
            <w:pPr>
              <w:rPr>
                <w:rFonts w:cs="Arial"/>
                <w:sz w:val="20"/>
                <w:szCs w:val="20"/>
              </w:rPr>
            </w:pPr>
            <w:r w:rsidRPr="00317FEA">
              <w:rPr>
                <w:rFonts w:cs="Arial"/>
                <w:sz w:val="20"/>
                <w:szCs w:val="20"/>
              </w:rPr>
              <w:t>N/A </w:t>
            </w:r>
          </w:p>
          <w:p w14:paraId="3679CD1C" w14:textId="77777777" w:rsidR="00CD31A8" w:rsidRPr="00317FEA" w:rsidRDefault="00CD31A8" w:rsidP="00EA0F4D">
            <w:pPr>
              <w:rPr>
                <w:rFonts w:cs="Arial"/>
                <w:b/>
                <w:bCs/>
                <w:sz w:val="20"/>
                <w:szCs w:val="20"/>
              </w:rPr>
            </w:pPr>
            <w:r w:rsidRPr="00317FEA">
              <w:rPr>
                <w:rFonts w:cs="Arial"/>
                <w:b/>
                <w:bCs/>
                <w:sz w:val="20"/>
                <w:szCs w:val="20"/>
              </w:rPr>
              <w:t> </w:t>
            </w:r>
          </w:p>
          <w:p w14:paraId="79BE860F" w14:textId="77777777" w:rsidR="00CD31A8" w:rsidRPr="00317FEA" w:rsidRDefault="00CD31A8" w:rsidP="00EA0F4D">
            <w:pPr>
              <w:rPr>
                <w:rFonts w:cs="Arial"/>
                <w:b/>
                <w:bCs/>
                <w:sz w:val="20"/>
                <w:szCs w:val="20"/>
              </w:rPr>
            </w:pPr>
            <w:r w:rsidRPr="00317FEA">
              <w:rPr>
                <w:rFonts w:cs="Arial"/>
                <w:b/>
                <w:bCs/>
                <w:sz w:val="20"/>
                <w:szCs w:val="20"/>
              </w:rPr>
              <w:t>2025 Target </w:t>
            </w:r>
          </w:p>
          <w:p w14:paraId="615EFD99" w14:textId="4AEDCBC5" w:rsidR="00C25414" w:rsidRPr="00317FEA" w:rsidRDefault="00C25414" w:rsidP="00EA0F4D">
            <w:pPr>
              <w:rPr>
                <w:rFonts w:cs="Arial"/>
                <w:sz w:val="20"/>
                <w:szCs w:val="20"/>
              </w:rPr>
            </w:pPr>
            <w:r w:rsidRPr="00317FEA">
              <w:rPr>
                <w:rFonts w:cs="Arial"/>
                <w:sz w:val="20"/>
                <w:szCs w:val="20"/>
              </w:rPr>
              <w:t>50</w:t>
            </w:r>
          </w:p>
          <w:p w14:paraId="0847BB7D" w14:textId="77777777" w:rsidR="007E0D6C" w:rsidRPr="00317FEA" w:rsidRDefault="007E0D6C" w:rsidP="00EA0F4D">
            <w:pPr>
              <w:rPr>
                <w:rFonts w:cs="Arial"/>
                <w:b/>
                <w:bCs/>
                <w:sz w:val="20"/>
                <w:szCs w:val="20"/>
              </w:rPr>
            </w:pPr>
          </w:p>
        </w:tc>
        <w:tc>
          <w:tcPr>
            <w:tcW w:w="7355" w:type="dxa"/>
            <w:tcBorders>
              <w:top w:val="single" w:sz="4" w:space="0" w:color="auto"/>
              <w:left w:val="single" w:sz="4" w:space="0" w:color="auto"/>
              <w:bottom w:val="single" w:sz="4" w:space="0" w:color="auto"/>
              <w:right w:val="single" w:sz="4" w:space="0" w:color="auto"/>
            </w:tcBorders>
          </w:tcPr>
          <w:p w14:paraId="3219E51C" w14:textId="47C467D0" w:rsidR="00EA0F4D" w:rsidRPr="00317FEA" w:rsidRDefault="009214FA" w:rsidP="00EA0F4D">
            <w:pPr>
              <w:contextualSpacing/>
              <w:rPr>
                <w:rFonts w:cs="Arial"/>
                <w:sz w:val="20"/>
                <w:szCs w:val="20"/>
              </w:rPr>
            </w:pPr>
            <w:r w:rsidRPr="00317FEA">
              <w:rPr>
                <w:rFonts w:cs="Arial"/>
                <w:b/>
                <w:bCs/>
                <w:sz w:val="20"/>
                <w:szCs w:val="20"/>
              </w:rPr>
              <w:t>298</w:t>
            </w:r>
            <w:r w:rsidRPr="00317FEA">
              <w:rPr>
                <w:rFonts w:cs="Arial"/>
                <w:sz w:val="20"/>
                <w:szCs w:val="20"/>
              </w:rPr>
              <w:t xml:space="preserve"> learning products </w:t>
            </w:r>
            <w:r w:rsidR="00367C94" w:rsidRPr="00317FEA">
              <w:rPr>
                <w:rFonts w:cs="Arial"/>
                <w:sz w:val="20"/>
                <w:szCs w:val="20"/>
              </w:rPr>
              <w:t>and/or conven</w:t>
            </w:r>
            <w:r w:rsidR="001B091F" w:rsidRPr="00317FEA">
              <w:rPr>
                <w:rFonts w:cs="Arial"/>
                <w:sz w:val="20"/>
                <w:szCs w:val="20"/>
              </w:rPr>
              <w:t>ings were held to fill</w:t>
            </w:r>
            <w:r w:rsidR="00092A20" w:rsidRPr="00317FEA">
              <w:rPr>
                <w:rFonts w:cs="Arial"/>
                <w:sz w:val="20"/>
                <w:szCs w:val="20"/>
              </w:rPr>
              <w:t xml:space="preserve"> </w:t>
            </w:r>
            <w:r w:rsidR="001B091F" w:rsidRPr="00317FEA">
              <w:rPr>
                <w:rFonts w:cs="Arial"/>
                <w:sz w:val="20"/>
                <w:szCs w:val="20"/>
              </w:rPr>
              <w:t xml:space="preserve">identified knowledge gaps. </w:t>
            </w:r>
            <w:r w:rsidR="00CB6E34" w:rsidRPr="00317FEA">
              <w:rPr>
                <w:rFonts w:cs="Arial"/>
                <w:sz w:val="20"/>
                <w:szCs w:val="20"/>
              </w:rPr>
              <w:t xml:space="preserve">Due to increased capacity, the SU has significantly exceeded </w:t>
            </w:r>
            <w:r w:rsidR="00B15C90" w:rsidRPr="00317FEA">
              <w:rPr>
                <w:rFonts w:cs="Arial"/>
                <w:sz w:val="20"/>
                <w:szCs w:val="20"/>
              </w:rPr>
              <w:t>the</w:t>
            </w:r>
            <w:r w:rsidR="00092A20" w:rsidRPr="00317FEA">
              <w:rPr>
                <w:rFonts w:cs="Arial"/>
                <w:sz w:val="20"/>
                <w:szCs w:val="20"/>
              </w:rPr>
              <w:t xml:space="preserve"> target. </w:t>
            </w:r>
            <w:r w:rsidR="004B3CA4" w:rsidRPr="00317FEA">
              <w:rPr>
                <w:rFonts w:cs="Arial"/>
                <w:sz w:val="20"/>
                <w:szCs w:val="20"/>
              </w:rPr>
              <w:t>The target was set based on the experience of the Partnership’s last work program (2018-2020). Since then, the Support Unit’s ability to draw out learning from across its engagement in country has expanded substantiall</w:t>
            </w:r>
            <w:r w:rsidR="006457AA" w:rsidRPr="00317FEA">
              <w:rPr>
                <w:rFonts w:cs="Arial"/>
                <w:sz w:val="20"/>
                <w:szCs w:val="20"/>
              </w:rPr>
              <w:t xml:space="preserve">y. </w:t>
            </w:r>
          </w:p>
          <w:p w14:paraId="67EE5D0E" w14:textId="41618D4A" w:rsidR="002D50EE" w:rsidRPr="00317FEA" w:rsidRDefault="00092A20" w:rsidP="00EA0F4D">
            <w:pPr>
              <w:contextualSpacing/>
              <w:rPr>
                <w:rFonts w:cs="Arial"/>
                <w:sz w:val="20"/>
                <w:szCs w:val="20"/>
              </w:rPr>
            </w:pPr>
            <w:r w:rsidRPr="00317FEA">
              <w:rPr>
                <w:rFonts w:cs="Arial"/>
                <w:sz w:val="20"/>
                <w:szCs w:val="20"/>
              </w:rPr>
              <w:t xml:space="preserve">We </w:t>
            </w:r>
            <w:r w:rsidR="000D68D3" w:rsidRPr="00317FEA">
              <w:rPr>
                <w:rFonts w:cs="Arial"/>
                <w:sz w:val="20"/>
                <w:szCs w:val="20"/>
              </w:rPr>
              <w:t>plan to influence the SU as Steering Committee members to set more ambitious targets for next year as they develop their new MEL framework as part of the 2026-</w:t>
            </w:r>
            <w:r w:rsidR="00206A06" w:rsidRPr="00317FEA">
              <w:rPr>
                <w:rFonts w:cs="Arial"/>
                <w:sz w:val="20"/>
                <w:szCs w:val="20"/>
              </w:rPr>
              <w:t xml:space="preserve">2030 Work Programme. </w:t>
            </w:r>
            <w:r w:rsidR="000D68D3" w:rsidRPr="00317FEA">
              <w:rPr>
                <w:rFonts w:cs="Arial"/>
                <w:sz w:val="20"/>
                <w:szCs w:val="20"/>
              </w:rPr>
              <w:t xml:space="preserve"> </w:t>
            </w:r>
            <w:r w:rsidRPr="00317FEA">
              <w:rPr>
                <w:rFonts w:cs="Arial"/>
                <w:sz w:val="20"/>
                <w:szCs w:val="20"/>
              </w:rPr>
              <w:t xml:space="preserve"> </w:t>
            </w:r>
          </w:p>
          <w:p w14:paraId="23C6E8D2" w14:textId="77777777" w:rsidR="002D50EE" w:rsidRPr="00317FEA" w:rsidRDefault="002D50EE" w:rsidP="00EA0F4D">
            <w:pPr>
              <w:contextualSpacing/>
              <w:rPr>
                <w:rFonts w:cs="Arial"/>
                <w:sz w:val="20"/>
                <w:szCs w:val="20"/>
              </w:rPr>
            </w:pPr>
          </w:p>
          <w:p w14:paraId="42F051BF" w14:textId="50F50591" w:rsidR="007E0D6C" w:rsidRPr="00317FEA" w:rsidRDefault="00992BB1" w:rsidP="00EA0F4D">
            <w:pPr>
              <w:rPr>
                <w:rFonts w:cs="Arial"/>
                <w:b/>
                <w:bCs/>
                <w:sz w:val="20"/>
                <w:szCs w:val="20"/>
              </w:rPr>
            </w:pPr>
            <w:r w:rsidRPr="00317FEA">
              <w:rPr>
                <w:rFonts w:cs="Arial"/>
                <w:b/>
                <w:bCs/>
                <w:sz w:val="20"/>
                <w:szCs w:val="20"/>
              </w:rPr>
              <w:t>A++</w:t>
            </w:r>
            <w:r w:rsidR="007F42E0" w:rsidRPr="00317FEA">
              <w:rPr>
                <w:rFonts w:cs="Arial"/>
                <w:b/>
                <w:bCs/>
                <w:sz w:val="20"/>
                <w:szCs w:val="20"/>
              </w:rPr>
              <w:t xml:space="preserve"> </w:t>
            </w:r>
            <w:r w:rsidR="00A824C8" w:rsidRPr="00317FEA">
              <w:rPr>
                <w:rFonts w:cs="Arial"/>
                <w:b/>
                <w:bCs/>
                <w:sz w:val="20"/>
                <w:szCs w:val="20"/>
              </w:rPr>
              <w:t>(</w:t>
            </w:r>
            <w:r w:rsidRPr="00317FEA">
              <w:rPr>
                <w:rFonts w:cs="Arial"/>
                <w:b/>
                <w:bCs/>
                <w:sz w:val="20"/>
                <w:szCs w:val="20"/>
              </w:rPr>
              <w:t>Progress significantly exceeded expectation</w:t>
            </w:r>
            <w:r w:rsidR="00A824C8" w:rsidRPr="00317FEA">
              <w:rPr>
                <w:rFonts w:cs="Arial"/>
                <w:b/>
                <w:bCs/>
                <w:sz w:val="20"/>
                <w:szCs w:val="20"/>
              </w:rPr>
              <w:t>)</w:t>
            </w:r>
            <w:r w:rsidRPr="00317FEA">
              <w:rPr>
                <w:rFonts w:cs="Arial"/>
                <w:b/>
                <w:bCs/>
                <w:sz w:val="20"/>
                <w:szCs w:val="20"/>
              </w:rPr>
              <w:t xml:space="preserve"> </w:t>
            </w:r>
          </w:p>
        </w:tc>
      </w:tr>
      <w:tr w:rsidR="007B279B" w:rsidRPr="003C5BF3" w14:paraId="0A21B730" w14:textId="77777777" w:rsidTr="50E539E9">
        <w:tc>
          <w:tcPr>
            <w:tcW w:w="2972" w:type="dxa"/>
            <w:tcBorders>
              <w:top w:val="single" w:sz="4" w:space="0" w:color="auto"/>
              <w:left w:val="single" w:sz="4" w:space="0" w:color="auto"/>
              <w:bottom w:val="single" w:sz="4" w:space="0" w:color="auto"/>
              <w:right w:val="single" w:sz="4" w:space="0" w:color="auto"/>
            </w:tcBorders>
          </w:tcPr>
          <w:p w14:paraId="6C6DAB57" w14:textId="0DF22B88" w:rsidR="0096147B" w:rsidRPr="00317FEA" w:rsidRDefault="2F917D57" w:rsidP="00EA0F4D">
            <w:pPr>
              <w:rPr>
                <w:rFonts w:cs="Arial"/>
                <w:sz w:val="20"/>
                <w:szCs w:val="20"/>
              </w:rPr>
            </w:pPr>
            <w:r w:rsidRPr="00317FEA">
              <w:rPr>
                <w:rFonts w:cs="Arial"/>
                <w:sz w:val="20"/>
                <w:szCs w:val="20"/>
              </w:rPr>
              <w:t xml:space="preserve">1.6 a) </w:t>
            </w:r>
            <w:r w:rsidR="603ED15C" w:rsidRPr="00317FEA">
              <w:rPr>
                <w:rFonts w:cs="Arial"/>
                <w:sz w:val="20"/>
                <w:szCs w:val="20"/>
              </w:rPr>
              <w:t>Number of</w:t>
            </w:r>
            <w:r w:rsidRPr="00317FEA">
              <w:rPr>
                <w:rFonts w:cs="Arial"/>
                <w:sz w:val="20"/>
                <w:szCs w:val="20"/>
              </w:rPr>
              <w:t xml:space="preserve"> member countries receiving Partnership support through R</w:t>
            </w:r>
            <w:r w:rsidR="101698DD" w:rsidRPr="00317FEA">
              <w:rPr>
                <w:rFonts w:cs="Arial"/>
                <w:sz w:val="20"/>
                <w:szCs w:val="20"/>
              </w:rPr>
              <w:t>equest for Support Letters (</w:t>
            </w:r>
            <w:r w:rsidR="059BFF7A" w:rsidRPr="00317FEA">
              <w:rPr>
                <w:rFonts w:cs="Arial"/>
                <w:sz w:val="20"/>
                <w:szCs w:val="20"/>
              </w:rPr>
              <w:t>RSLs</w:t>
            </w:r>
            <w:r w:rsidR="033A9719" w:rsidRPr="00317FEA">
              <w:rPr>
                <w:rFonts w:cs="Arial"/>
                <w:sz w:val="20"/>
                <w:szCs w:val="20"/>
              </w:rPr>
              <w:t>)</w:t>
            </w:r>
            <w:r w:rsidRPr="00317FEA">
              <w:rPr>
                <w:rFonts w:cs="Arial"/>
                <w:sz w:val="20"/>
                <w:szCs w:val="20"/>
              </w:rPr>
              <w:t xml:space="preserve">. </w:t>
            </w:r>
            <w:r w:rsidRPr="00317FEA">
              <w:rPr>
                <w:rFonts w:cs="Arial"/>
                <w:b/>
                <w:bCs/>
                <w:sz w:val="20"/>
                <w:szCs w:val="20"/>
              </w:rPr>
              <w:t>(Partnership level</w:t>
            </w:r>
            <w:r w:rsidRPr="00317FEA">
              <w:rPr>
                <w:rFonts w:cs="Arial"/>
                <w:b/>
                <w:bCs/>
                <w:sz w:val="20"/>
                <w:szCs w:val="20"/>
                <w:u w:val="single"/>
              </w:rPr>
              <w:t xml:space="preserve"> </w:t>
            </w:r>
            <w:r w:rsidRPr="00317FEA">
              <w:rPr>
                <w:rFonts w:cs="Arial"/>
                <w:b/>
                <w:bCs/>
                <w:sz w:val="20"/>
                <w:szCs w:val="20"/>
              </w:rPr>
              <w:t>indicator)</w:t>
            </w:r>
            <w:r w:rsidRPr="00317FEA">
              <w:rPr>
                <w:rFonts w:cs="Arial"/>
                <w:sz w:val="20"/>
                <w:szCs w:val="20"/>
              </w:rPr>
              <w:t>  </w:t>
            </w:r>
          </w:p>
          <w:p w14:paraId="71EF3A0C" w14:textId="420EF511" w:rsidR="0096147B" w:rsidRPr="00317FEA" w:rsidRDefault="0096147B" w:rsidP="00EA0F4D">
            <w:pPr>
              <w:rPr>
                <w:rFonts w:cs="Arial"/>
                <w:sz w:val="20"/>
                <w:szCs w:val="20"/>
              </w:rPr>
            </w:pPr>
            <w:r w:rsidRPr="00317FEA">
              <w:rPr>
                <w:rFonts w:cs="Arial"/>
                <w:sz w:val="20"/>
                <w:szCs w:val="20"/>
              </w:rPr>
              <w:t xml:space="preserve">b) </w:t>
            </w:r>
            <w:r w:rsidR="004724AA" w:rsidRPr="00317FEA">
              <w:rPr>
                <w:rFonts w:cs="Arial"/>
                <w:sz w:val="20"/>
                <w:szCs w:val="20"/>
              </w:rPr>
              <w:t>Number of</w:t>
            </w:r>
            <w:r w:rsidRPr="00317FEA">
              <w:rPr>
                <w:rFonts w:cs="Arial"/>
                <w:sz w:val="20"/>
                <w:szCs w:val="20"/>
              </w:rPr>
              <w:t xml:space="preserve"> member countries receiving UK support through RSLs </w:t>
            </w:r>
          </w:p>
          <w:p w14:paraId="46530CDC" w14:textId="5F1CE0F7" w:rsidR="0096147B" w:rsidRPr="00317FEA" w:rsidRDefault="0096147B" w:rsidP="00EA0F4D">
            <w:pPr>
              <w:rPr>
                <w:rFonts w:cs="Arial"/>
                <w:sz w:val="20"/>
                <w:szCs w:val="20"/>
              </w:rPr>
            </w:pPr>
            <w:r w:rsidRPr="00317FEA">
              <w:rPr>
                <w:rFonts w:cs="Arial"/>
                <w:b/>
                <w:bCs/>
                <w:sz w:val="20"/>
                <w:szCs w:val="20"/>
              </w:rPr>
              <w:t>(UK level indicator)</w:t>
            </w:r>
            <w:r w:rsidRPr="00317FEA">
              <w:rPr>
                <w:rFonts w:cs="Arial"/>
                <w:sz w:val="20"/>
                <w:szCs w:val="20"/>
              </w:rPr>
              <w:t> </w:t>
            </w:r>
          </w:p>
          <w:p w14:paraId="7C652B36" w14:textId="77777777" w:rsidR="007B279B" w:rsidRPr="00317FEA" w:rsidRDefault="007B279B" w:rsidP="00EA0F4D">
            <w:pP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AFA85AD" w14:textId="77777777" w:rsidR="005101AB" w:rsidRPr="00317FEA" w:rsidRDefault="005101AB" w:rsidP="00EA0F4D">
            <w:pPr>
              <w:rPr>
                <w:rFonts w:cs="Arial"/>
                <w:b/>
                <w:bCs/>
                <w:sz w:val="20"/>
                <w:szCs w:val="20"/>
              </w:rPr>
            </w:pPr>
            <w:r w:rsidRPr="00317FEA">
              <w:rPr>
                <w:rFonts w:cs="Arial"/>
                <w:b/>
                <w:bCs/>
                <w:sz w:val="20"/>
                <w:szCs w:val="20"/>
              </w:rPr>
              <w:t xml:space="preserve">Baseline (Dec 2020) </w:t>
            </w:r>
          </w:p>
          <w:p w14:paraId="07E72A1F" w14:textId="77777777" w:rsidR="005101AB" w:rsidRPr="00317FEA" w:rsidRDefault="005101AB" w:rsidP="00EA0F4D">
            <w:pPr>
              <w:rPr>
                <w:rFonts w:cs="Arial"/>
                <w:b/>
                <w:bCs/>
                <w:sz w:val="20"/>
                <w:szCs w:val="20"/>
              </w:rPr>
            </w:pPr>
          </w:p>
          <w:p w14:paraId="3ABCD72A" w14:textId="6109E083" w:rsidR="005101AB" w:rsidRPr="00317FEA" w:rsidRDefault="005101AB" w:rsidP="00EA0F4D">
            <w:pPr>
              <w:pStyle w:val="ListParagraph"/>
              <w:numPr>
                <w:ilvl w:val="0"/>
                <w:numId w:val="27"/>
              </w:numPr>
              <w:rPr>
                <w:rFonts w:cs="Arial"/>
                <w:sz w:val="20"/>
              </w:rPr>
            </w:pPr>
            <w:r w:rsidRPr="00317FEA">
              <w:rPr>
                <w:rFonts w:cs="Arial"/>
                <w:sz w:val="20"/>
              </w:rPr>
              <w:t xml:space="preserve">20 </w:t>
            </w:r>
          </w:p>
          <w:p w14:paraId="799743EA" w14:textId="1280D54A" w:rsidR="005101AB" w:rsidRPr="00317FEA" w:rsidRDefault="005101AB" w:rsidP="00EA0F4D">
            <w:pPr>
              <w:pStyle w:val="ListParagraph"/>
              <w:numPr>
                <w:ilvl w:val="0"/>
                <w:numId w:val="27"/>
              </w:numPr>
              <w:rPr>
                <w:rFonts w:cs="Arial"/>
                <w:sz w:val="20"/>
              </w:rPr>
            </w:pPr>
            <w:r w:rsidRPr="00317FEA">
              <w:rPr>
                <w:rFonts w:cs="Arial"/>
                <w:sz w:val="20"/>
              </w:rPr>
              <w:t xml:space="preserve">N/A </w:t>
            </w:r>
          </w:p>
          <w:p w14:paraId="346CB9EF" w14:textId="6E7A7F42" w:rsidR="005101AB" w:rsidRPr="00317FEA" w:rsidRDefault="005101AB" w:rsidP="00EA0F4D">
            <w:pPr>
              <w:rPr>
                <w:rFonts w:cs="Arial"/>
                <w:b/>
                <w:bCs/>
                <w:sz w:val="20"/>
                <w:szCs w:val="20"/>
              </w:rPr>
            </w:pPr>
            <w:r w:rsidRPr="00317FEA">
              <w:rPr>
                <w:rFonts w:cs="Arial"/>
                <w:b/>
                <w:bCs/>
                <w:sz w:val="20"/>
                <w:szCs w:val="20"/>
              </w:rPr>
              <w:t xml:space="preserve">2025 Target </w:t>
            </w:r>
          </w:p>
          <w:p w14:paraId="45027A7E" w14:textId="77777777" w:rsidR="005101AB" w:rsidRPr="00317FEA" w:rsidRDefault="005101AB" w:rsidP="00EA0F4D">
            <w:pPr>
              <w:rPr>
                <w:rFonts w:cs="Arial"/>
                <w:b/>
                <w:bCs/>
                <w:sz w:val="20"/>
                <w:szCs w:val="20"/>
              </w:rPr>
            </w:pPr>
          </w:p>
          <w:p w14:paraId="771ED376" w14:textId="387BF015" w:rsidR="005101AB" w:rsidRPr="00317FEA" w:rsidRDefault="003E7336" w:rsidP="00EA0F4D">
            <w:pPr>
              <w:pStyle w:val="ListParagraph"/>
              <w:numPr>
                <w:ilvl w:val="0"/>
                <w:numId w:val="28"/>
              </w:numPr>
              <w:rPr>
                <w:rFonts w:cs="Arial"/>
                <w:sz w:val="20"/>
              </w:rPr>
            </w:pPr>
            <w:r w:rsidRPr="00317FEA">
              <w:rPr>
                <w:rFonts w:cs="Arial"/>
                <w:sz w:val="20"/>
              </w:rPr>
              <w:t>N/A</w:t>
            </w:r>
          </w:p>
          <w:p w14:paraId="3A9C9187" w14:textId="29B26EEB" w:rsidR="005101AB" w:rsidRPr="00317FEA" w:rsidRDefault="005101AB" w:rsidP="00EA0F4D">
            <w:pPr>
              <w:pStyle w:val="ListParagraph"/>
              <w:numPr>
                <w:ilvl w:val="0"/>
                <w:numId w:val="28"/>
              </w:numPr>
              <w:rPr>
                <w:rFonts w:cs="Arial"/>
                <w:sz w:val="20"/>
              </w:rPr>
            </w:pPr>
            <w:r w:rsidRPr="00317FEA">
              <w:rPr>
                <w:rFonts w:cs="Arial"/>
                <w:sz w:val="20"/>
              </w:rPr>
              <w:t>N/A</w:t>
            </w:r>
          </w:p>
          <w:p w14:paraId="5037AD87" w14:textId="2881A50A" w:rsidR="007B279B" w:rsidRPr="00317FEA" w:rsidRDefault="005101AB" w:rsidP="00EA0F4D">
            <w:pPr>
              <w:rPr>
                <w:rFonts w:cs="Arial"/>
                <w:b/>
                <w:bCs/>
                <w:sz w:val="20"/>
                <w:szCs w:val="20"/>
              </w:rPr>
            </w:pPr>
            <w:r w:rsidRPr="00317FEA">
              <w:rPr>
                <w:rFonts w:cs="Arial"/>
                <w:sz w:val="20"/>
                <w:szCs w:val="20"/>
              </w:rPr>
              <w:t xml:space="preserve"> </w:t>
            </w:r>
          </w:p>
        </w:tc>
        <w:tc>
          <w:tcPr>
            <w:tcW w:w="7355" w:type="dxa"/>
            <w:tcBorders>
              <w:top w:val="single" w:sz="4" w:space="0" w:color="auto"/>
              <w:left w:val="single" w:sz="4" w:space="0" w:color="auto"/>
              <w:bottom w:val="single" w:sz="4" w:space="0" w:color="auto"/>
              <w:right w:val="single" w:sz="4" w:space="0" w:color="auto"/>
            </w:tcBorders>
          </w:tcPr>
          <w:p w14:paraId="72A17066" w14:textId="53AC0A5B" w:rsidR="007B279B" w:rsidRPr="00317FEA" w:rsidRDefault="00240436" w:rsidP="00EA0F4D">
            <w:pPr>
              <w:contextualSpacing/>
              <w:rPr>
                <w:rFonts w:cs="Arial"/>
                <w:sz w:val="20"/>
                <w:szCs w:val="20"/>
              </w:rPr>
            </w:pPr>
            <w:r w:rsidRPr="00317FEA">
              <w:rPr>
                <w:rFonts w:cs="Arial"/>
                <w:b/>
                <w:bCs/>
                <w:sz w:val="20"/>
                <w:szCs w:val="20"/>
              </w:rPr>
              <w:t>30</w:t>
            </w:r>
            <w:r w:rsidR="005D3410" w:rsidRPr="00317FEA">
              <w:rPr>
                <w:rFonts w:cs="Arial"/>
                <w:sz w:val="20"/>
                <w:szCs w:val="20"/>
              </w:rPr>
              <w:t xml:space="preserve"> member countries </w:t>
            </w:r>
            <w:r w:rsidR="00767E85" w:rsidRPr="00317FEA">
              <w:rPr>
                <w:rFonts w:cs="Arial"/>
                <w:sz w:val="20"/>
                <w:szCs w:val="20"/>
              </w:rPr>
              <w:t>received</w:t>
            </w:r>
            <w:r w:rsidR="005D3410" w:rsidRPr="00317FEA">
              <w:rPr>
                <w:rFonts w:cs="Arial"/>
                <w:sz w:val="20"/>
                <w:szCs w:val="20"/>
              </w:rPr>
              <w:t xml:space="preserve"> partnership support through </w:t>
            </w:r>
            <w:r w:rsidR="004D2B55" w:rsidRPr="00317FEA">
              <w:rPr>
                <w:rFonts w:cs="Arial"/>
                <w:sz w:val="20"/>
                <w:szCs w:val="20"/>
              </w:rPr>
              <w:t xml:space="preserve">RSLs due to increased focus on coordination between Implementing and Development Partners. </w:t>
            </w:r>
            <w:r w:rsidR="00C679FB" w:rsidRPr="00317FEA">
              <w:rPr>
                <w:rFonts w:cs="Arial"/>
                <w:sz w:val="20"/>
                <w:szCs w:val="20"/>
              </w:rPr>
              <w:t xml:space="preserve">While no target was set for this sub-indicator, there has been a 50% increase </w:t>
            </w:r>
            <w:r w:rsidR="004E4F5D" w:rsidRPr="00317FEA">
              <w:rPr>
                <w:rFonts w:cs="Arial"/>
                <w:sz w:val="20"/>
                <w:szCs w:val="20"/>
              </w:rPr>
              <w:t xml:space="preserve">in </w:t>
            </w:r>
            <w:r w:rsidR="00EA6E52" w:rsidRPr="00317FEA">
              <w:rPr>
                <w:rFonts w:cs="Arial"/>
                <w:sz w:val="20"/>
                <w:szCs w:val="20"/>
              </w:rPr>
              <w:t>partnership support</w:t>
            </w:r>
            <w:r w:rsidR="00907A77" w:rsidRPr="00317FEA">
              <w:rPr>
                <w:rFonts w:cs="Arial"/>
                <w:sz w:val="20"/>
                <w:szCs w:val="20"/>
              </w:rPr>
              <w:t xml:space="preserve"> </w:t>
            </w:r>
            <w:r w:rsidR="00EA6E52" w:rsidRPr="00317FEA">
              <w:rPr>
                <w:rFonts w:cs="Arial"/>
                <w:sz w:val="20"/>
                <w:szCs w:val="20"/>
              </w:rPr>
              <w:t>through RSL</w:t>
            </w:r>
            <w:r w:rsidR="00305355" w:rsidRPr="00317FEA">
              <w:rPr>
                <w:rFonts w:cs="Arial"/>
                <w:sz w:val="20"/>
                <w:szCs w:val="20"/>
              </w:rPr>
              <w:t xml:space="preserve"> from the baseline in 2020, </w:t>
            </w:r>
            <w:r w:rsidR="00EA6E52" w:rsidRPr="00317FEA">
              <w:rPr>
                <w:rFonts w:cs="Arial"/>
                <w:sz w:val="20"/>
                <w:szCs w:val="20"/>
              </w:rPr>
              <w:t>which is promising.</w:t>
            </w:r>
            <w:r w:rsidR="00E32A42" w:rsidRPr="00317FEA">
              <w:rPr>
                <w:rFonts w:cs="Arial"/>
                <w:sz w:val="20"/>
                <w:szCs w:val="20"/>
              </w:rPr>
              <w:t xml:space="preserve"> </w:t>
            </w:r>
          </w:p>
          <w:p w14:paraId="67A70A84" w14:textId="77777777" w:rsidR="00E32A42" w:rsidRPr="00317FEA" w:rsidRDefault="00E32A42" w:rsidP="00EA0F4D">
            <w:pPr>
              <w:contextualSpacing/>
              <w:rPr>
                <w:rFonts w:cs="Arial"/>
                <w:sz w:val="20"/>
                <w:szCs w:val="20"/>
              </w:rPr>
            </w:pPr>
          </w:p>
          <w:p w14:paraId="644E068B" w14:textId="627310DD" w:rsidR="00767E85" w:rsidRPr="00317FEA" w:rsidRDefault="004E5580" w:rsidP="00EA0F4D">
            <w:pPr>
              <w:contextualSpacing/>
              <w:rPr>
                <w:rFonts w:cs="Arial"/>
                <w:sz w:val="20"/>
                <w:szCs w:val="20"/>
              </w:rPr>
            </w:pPr>
            <w:r w:rsidRPr="00317FEA">
              <w:rPr>
                <w:rFonts w:cs="Arial"/>
                <w:b/>
                <w:bCs/>
                <w:sz w:val="20"/>
                <w:szCs w:val="20"/>
              </w:rPr>
              <w:t>21</w:t>
            </w:r>
            <w:r w:rsidRPr="00317FEA">
              <w:rPr>
                <w:rFonts w:cs="Arial"/>
                <w:sz w:val="20"/>
                <w:szCs w:val="20"/>
              </w:rPr>
              <w:t xml:space="preserve"> member countries received UK support through RSLs</w:t>
            </w:r>
            <w:r w:rsidR="00840A7C" w:rsidRPr="00317FEA">
              <w:rPr>
                <w:rFonts w:cs="Arial"/>
                <w:sz w:val="20"/>
                <w:szCs w:val="20"/>
              </w:rPr>
              <w:t xml:space="preserve">. However, there was no baseline or target set as this was the first year of reporting </w:t>
            </w:r>
            <w:r w:rsidR="00A32C93" w:rsidRPr="00317FEA">
              <w:rPr>
                <w:rFonts w:cs="Arial"/>
                <w:sz w:val="20"/>
                <w:szCs w:val="20"/>
              </w:rPr>
              <w:t>on this</w:t>
            </w:r>
            <w:r w:rsidR="00030F69" w:rsidRPr="00317FEA">
              <w:rPr>
                <w:rFonts w:cs="Arial"/>
                <w:sz w:val="20"/>
                <w:szCs w:val="20"/>
              </w:rPr>
              <w:t xml:space="preserve"> sub-</w:t>
            </w:r>
            <w:r w:rsidR="00A32C93" w:rsidRPr="00317FEA">
              <w:rPr>
                <w:rFonts w:cs="Arial"/>
                <w:sz w:val="20"/>
                <w:szCs w:val="20"/>
              </w:rPr>
              <w:t xml:space="preserve"> indicator</w:t>
            </w:r>
            <w:r w:rsidR="005D2094" w:rsidRPr="00317FEA">
              <w:rPr>
                <w:rFonts w:cs="Arial"/>
                <w:sz w:val="20"/>
                <w:szCs w:val="20"/>
              </w:rPr>
              <w:t xml:space="preserve">. </w:t>
            </w:r>
            <w:r w:rsidR="00D52446" w:rsidRPr="00317FEA">
              <w:rPr>
                <w:rFonts w:cs="Arial"/>
                <w:sz w:val="20"/>
                <w:szCs w:val="20"/>
              </w:rPr>
              <w:t>This year’s result will be used as the baseline in future years</w:t>
            </w:r>
            <w:r w:rsidR="008677B0" w:rsidRPr="00317FEA">
              <w:rPr>
                <w:rFonts w:cs="Arial"/>
                <w:sz w:val="20"/>
                <w:szCs w:val="20"/>
              </w:rPr>
              <w:t xml:space="preserve"> and will help us establish targets at the UK level. </w:t>
            </w:r>
          </w:p>
          <w:p w14:paraId="56AE83EB" w14:textId="420E7250" w:rsidR="00D2146F" w:rsidRPr="00317FEA" w:rsidRDefault="00D2146F" w:rsidP="00EA0F4D">
            <w:pPr>
              <w:contextualSpacing/>
              <w:rPr>
                <w:rFonts w:cs="Arial"/>
                <w:sz w:val="20"/>
                <w:szCs w:val="20"/>
              </w:rPr>
            </w:pPr>
          </w:p>
          <w:p w14:paraId="49FB35A9" w14:textId="0CFFAE17" w:rsidR="00E32A42" w:rsidRPr="00317FEA" w:rsidRDefault="00C82CE6" w:rsidP="00EA0F4D">
            <w:pPr>
              <w:contextualSpacing/>
              <w:rPr>
                <w:rFonts w:cs="Arial"/>
                <w:b/>
                <w:bCs/>
                <w:sz w:val="20"/>
                <w:szCs w:val="20"/>
              </w:rPr>
            </w:pPr>
            <w:r w:rsidRPr="00317FEA">
              <w:rPr>
                <w:rFonts w:cs="Arial"/>
                <w:b/>
                <w:bCs/>
                <w:sz w:val="20"/>
                <w:szCs w:val="20"/>
              </w:rPr>
              <w:t>Unscored (Progress cannot be assessed)</w:t>
            </w:r>
          </w:p>
          <w:p w14:paraId="0308F814" w14:textId="7680CAF9" w:rsidR="00C82CE6" w:rsidRPr="00317FEA" w:rsidRDefault="00C82CE6" w:rsidP="00EA0F4D">
            <w:pPr>
              <w:contextualSpacing/>
              <w:rPr>
                <w:rFonts w:cs="Arial"/>
                <w:sz w:val="20"/>
                <w:szCs w:val="20"/>
              </w:rPr>
            </w:pPr>
          </w:p>
        </w:tc>
      </w:tr>
      <w:tr w:rsidR="005E66B6" w:rsidRPr="003C5BF3" w14:paraId="3D4A136E" w14:textId="77777777" w:rsidTr="50E539E9">
        <w:tc>
          <w:tcPr>
            <w:tcW w:w="2972" w:type="dxa"/>
            <w:tcBorders>
              <w:top w:val="single" w:sz="4" w:space="0" w:color="auto"/>
              <w:left w:val="single" w:sz="4" w:space="0" w:color="auto"/>
              <w:bottom w:val="single" w:sz="4" w:space="0" w:color="auto"/>
              <w:right w:val="single" w:sz="4" w:space="0" w:color="auto"/>
            </w:tcBorders>
          </w:tcPr>
          <w:p w14:paraId="560BA280" w14:textId="106D156C" w:rsidR="005E66B6" w:rsidRPr="00317FEA" w:rsidRDefault="005E66B6" w:rsidP="00EA0F4D">
            <w:pPr>
              <w:rPr>
                <w:rFonts w:cs="Arial"/>
                <w:sz w:val="20"/>
                <w:szCs w:val="20"/>
              </w:rPr>
            </w:pPr>
            <w:r w:rsidRPr="00317FEA">
              <w:rPr>
                <w:rFonts w:cs="Arial"/>
                <w:sz w:val="20"/>
                <w:szCs w:val="20"/>
              </w:rPr>
              <w:t xml:space="preserve">1.7 Number of </w:t>
            </w:r>
            <w:r w:rsidR="00B12B07" w:rsidRPr="00317FEA">
              <w:rPr>
                <w:rFonts w:cs="Arial"/>
                <w:sz w:val="20"/>
                <w:szCs w:val="20"/>
              </w:rPr>
              <w:t>organisations supported by the UK’s contribution to the partnership</w:t>
            </w:r>
          </w:p>
          <w:p w14:paraId="30556A63" w14:textId="012C9703" w:rsidR="00B12B07" w:rsidRPr="00317FEA" w:rsidRDefault="00B12B07" w:rsidP="00EA0F4D">
            <w:pPr>
              <w:rPr>
                <w:rFonts w:cs="Arial"/>
                <w:b/>
                <w:bCs/>
                <w:sz w:val="20"/>
                <w:szCs w:val="20"/>
              </w:rPr>
            </w:pPr>
            <w:r w:rsidRPr="00317FEA">
              <w:rPr>
                <w:rFonts w:cs="Arial"/>
                <w:b/>
                <w:bCs/>
                <w:sz w:val="20"/>
                <w:szCs w:val="20"/>
              </w:rPr>
              <w:t>(UK Level)</w:t>
            </w:r>
          </w:p>
        </w:tc>
        <w:tc>
          <w:tcPr>
            <w:tcW w:w="1559" w:type="dxa"/>
            <w:tcBorders>
              <w:top w:val="single" w:sz="4" w:space="0" w:color="auto"/>
              <w:left w:val="single" w:sz="4" w:space="0" w:color="auto"/>
              <w:bottom w:val="single" w:sz="4" w:space="0" w:color="auto"/>
              <w:right w:val="single" w:sz="4" w:space="0" w:color="auto"/>
            </w:tcBorders>
          </w:tcPr>
          <w:p w14:paraId="38A7F116" w14:textId="77777777" w:rsidR="00816EF0" w:rsidRPr="00317FEA" w:rsidRDefault="00816EF0" w:rsidP="00EA0F4D">
            <w:pPr>
              <w:rPr>
                <w:rFonts w:cs="Arial"/>
                <w:b/>
                <w:bCs/>
                <w:sz w:val="20"/>
                <w:szCs w:val="20"/>
              </w:rPr>
            </w:pPr>
            <w:r w:rsidRPr="00317FEA">
              <w:rPr>
                <w:rFonts w:cs="Arial"/>
                <w:b/>
                <w:bCs/>
                <w:sz w:val="20"/>
                <w:szCs w:val="20"/>
              </w:rPr>
              <w:t>Baseline (Dec 2020)</w:t>
            </w:r>
          </w:p>
          <w:p w14:paraId="1DD89AA2" w14:textId="77777777" w:rsidR="00816EF0" w:rsidRPr="00317FEA" w:rsidRDefault="00816EF0" w:rsidP="00EA0F4D">
            <w:pPr>
              <w:rPr>
                <w:rFonts w:eastAsia="Arial" w:cs="Arial"/>
                <w:sz w:val="20"/>
                <w:szCs w:val="20"/>
              </w:rPr>
            </w:pPr>
            <w:r w:rsidRPr="00317FEA">
              <w:rPr>
                <w:rFonts w:eastAsia="Arial" w:cs="Arial"/>
                <w:sz w:val="20"/>
                <w:szCs w:val="20"/>
              </w:rPr>
              <w:t>N/A</w:t>
            </w:r>
          </w:p>
          <w:p w14:paraId="19B0F0D3" w14:textId="77777777" w:rsidR="00816EF0" w:rsidRPr="00317FEA" w:rsidRDefault="00816EF0" w:rsidP="00EA0F4D">
            <w:pPr>
              <w:rPr>
                <w:rFonts w:eastAsia="Arial" w:cs="Arial"/>
                <w:sz w:val="20"/>
                <w:szCs w:val="20"/>
              </w:rPr>
            </w:pPr>
          </w:p>
          <w:p w14:paraId="34139C6E" w14:textId="77777777" w:rsidR="00816EF0" w:rsidRPr="00317FEA" w:rsidRDefault="00816EF0" w:rsidP="00EA0F4D">
            <w:pPr>
              <w:rPr>
                <w:rFonts w:eastAsia="Arial" w:cs="Arial"/>
                <w:b/>
                <w:bCs/>
                <w:sz w:val="20"/>
                <w:szCs w:val="20"/>
              </w:rPr>
            </w:pPr>
            <w:r w:rsidRPr="00317FEA">
              <w:rPr>
                <w:rFonts w:eastAsia="Arial" w:cs="Arial"/>
                <w:b/>
                <w:bCs/>
                <w:sz w:val="20"/>
                <w:szCs w:val="20"/>
              </w:rPr>
              <w:t>2025 Target</w:t>
            </w:r>
          </w:p>
          <w:p w14:paraId="6F64F044" w14:textId="5C20DBFF" w:rsidR="00816EF0" w:rsidRPr="00317FEA" w:rsidRDefault="34268502" w:rsidP="00EA0F4D">
            <w:pPr>
              <w:rPr>
                <w:rFonts w:eastAsia="Arial" w:cs="Arial"/>
                <w:sz w:val="20"/>
                <w:szCs w:val="20"/>
              </w:rPr>
            </w:pPr>
            <w:r w:rsidRPr="00317FEA">
              <w:rPr>
                <w:rFonts w:eastAsia="Arial" w:cs="Arial"/>
                <w:sz w:val="20"/>
                <w:szCs w:val="20"/>
              </w:rPr>
              <w:t>14</w:t>
            </w:r>
          </w:p>
          <w:p w14:paraId="57DF127C" w14:textId="77777777" w:rsidR="005E66B6" w:rsidRPr="00317FEA" w:rsidRDefault="005E66B6" w:rsidP="00EA0F4D">
            <w:pPr>
              <w:rPr>
                <w:rFonts w:cs="Arial"/>
                <w:b/>
                <w:bCs/>
                <w:sz w:val="20"/>
                <w:szCs w:val="20"/>
              </w:rPr>
            </w:pPr>
          </w:p>
        </w:tc>
        <w:tc>
          <w:tcPr>
            <w:tcW w:w="7355" w:type="dxa"/>
            <w:tcBorders>
              <w:top w:val="single" w:sz="4" w:space="0" w:color="auto"/>
              <w:left w:val="single" w:sz="4" w:space="0" w:color="auto"/>
              <w:bottom w:val="single" w:sz="4" w:space="0" w:color="auto"/>
              <w:right w:val="single" w:sz="4" w:space="0" w:color="auto"/>
            </w:tcBorders>
          </w:tcPr>
          <w:p w14:paraId="0597D6EB" w14:textId="39CEDCE1" w:rsidR="00667385" w:rsidRPr="00317FEA" w:rsidRDefault="00A80FBF" w:rsidP="00EA0F4D">
            <w:pPr>
              <w:contextualSpacing/>
              <w:rPr>
                <w:rFonts w:cs="Arial"/>
                <w:sz w:val="20"/>
                <w:szCs w:val="20"/>
              </w:rPr>
            </w:pPr>
            <w:r w:rsidRPr="00317FEA">
              <w:rPr>
                <w:rFonts w:cs="Arial"/>
                <w:b/>
                <w:bCs/>
                <w:sz w:val="20"/>
                <w:szCs w:val="20"/>
              </w:rPr>
              <w:t>1</w:t>
            </w:r>
            <w:r w:rsidR="554A5C89" w:rsidRPr="00317FEA">
              <w:rPr>
                <w:rFonts w:cs="Arial"/>
                <w:b/>
                <w:bCs/>
                <w:sz w:val="20"/>
                <w:szCs w:val="20"/>
              </w:rPr>
              <w:t>4</w:t>
            </w:r>
            <w:r w:rsidRPr="00317FEA">
              <w:rPr>
                <w:rFonts w:cs="Arial"/>
                <w:sz w:val="20"/>
                <w:szCs w:val="20"/>
              </w:rPr>
              <w:t xml:space="preserve"> </w:t>
            </w:r>
            <w:r w:rsidR="00FD5F29" w:rsidRPr="00317FEA">
              <w:rPr>
                <w:rFonts w:cs="Arial"/>
                <w:sz w:val="20"/>
                <w:szCs w:val="20"/>
              </w:rPr>
              <w:t>ministries</w:t>
            </w:r>
            <w:r w:rsidRPr="00317FEA">
              <w:rPr>
                <w:rFonts w:cs="Arial"/>
                <w:sz w:val="20"/>
                <w:szCs w:val="20"/>
              </w:rPr>
              <w:t xml:space="preserve"> were supported by the UK’s contribution to the </w:t>
            </w:r>
            <w:r w:rsidR="00644D29" w:rsidRPr="00317FEA">
              <w:rPr>
                <w:rFonts w:cs="Arial"/>
                <w:sz w:val="20"/>
                <w:szCs w:val="20"/>
              </w:rPr>
              <w:t>P</w:t>
            </w:r>
            <w:r w:rsidRPr="00317FEA">
              <w:rPr>
                <w:rFonts w:cs="Arial"/>
                <w:sz w:val="20"/>
                <w:szCs w:val="20"/>
              </w:rPr>
              <w:t>artnership via the UK</w:t>
            </w:r>
            <w:r w:rsidR="00644D29" w:rsidRPr="00317FEA">
              <w:rPr>
                <w:rFonts w:cs="Arial"/>
                <w:sz w:val="20"/>
                <w:szCs w:val="20"/>
              </w:rPr>
              <w:t>’s</w:t>
            </w:r>
            <w:r w:rsidRPr="00317FEA">
              <w:rPr>
                <w:rFonts w:cs="Arial"/>
                <w:sz w:val="20"/>
                <w:szCs w:val="20"/>
              </w:rPr>
              <w:t xml:space="preserve"> Country Engagement Fund. </w:t>
            </w:r>
            <w:r w:rsidR="00667385" w:rsidRPr="00317FEA">
              <w:rPr>
                <w:rFonts w:cs="Arial"/>
                <w:sz w:val="20"/>
                <w:szCs w:val="20"/>
              </w:rPr>
              <w:t xml:space="preserve">This does not include those countries supported via </w:t>
            </w:r>
            <w:r w:rsidR="00CC1CB0" w:rsidRPr="00317FEA">
              <w:rPr>
                <w:rFonts w:cs="Arial"/>
                <w:sz w:val="20"/>
                <w:szCs w:val="20"/>
              </w:rPr>
              <w:t xml:space="preserve">the institutional first response </w:t>
            </w:r>
            <w:r w:rsidR="42F6D4C1" w:rsidRPr="00317FEA">
              <w:rPr>
                <w:rFonts w:cs="Arial"/>
                <w:sz w:val="20"/>
                <w:szCs w:val="20"/>
              </w:rPr>
              <w:t xml:space="preserve">via UNDP’s Climate Promise and the World Bank’s Climate Support Facility </w:t>
            </w:r>
            <w:r w:rsidR="00CC1CB0" w:rsidRPr="00317FEA">
              <w:rPr>
                <w:rFonts w:cs="Arial"/>
                <w:sz w:val="20"/>
                <w:szCs w:val="20"/>
              </w:rPr>
              <w:t xml:space="preserve">as </w:t>
            </w:r>
            <w:r w:rsidR="00192DE3" w:rsidRPr="00317FEA">
              <w:rPr>
                <w:rFonts w:cs="Arial"/>
                <w:sz w:val="20"/>
                <w:szCs w:val="20"/>
              </w:rPr>
              <w:t xml:space="preserve">delivery under these two </w:t>
            </w:r>
            <w:r w:rsidR="00D51128" w:rsidRPr="00317FEA">
              <w:rPr>
                <w:rFonts w:cs="Arial"/>
                <w:sz w:val="20"/>
                <w:szCs w:val="20"/>
              </w:rPr>
              <w:t xml:space="preserve">agreements </w:t>
            </w:r>
            <w:r w:rsidR="00A34124" w:rsidRPr="00317FEA">
              <w:rPr>
                <w:rFonts w:cs="Arial"/>
                <w:sz w:val="20"/>
                <w:szCs w:val="20"/>
              </w:rPr>
              <w:t>only started at the end of this reporting period</w:t>
            </w:r>
            <w:r w:rsidR="00CC1CB0" w:rsidRPr="00317FEA">
              <w:rPr>
                <w:rFonts w:cs="Arial"/>
                <w:sz w:val="20"/>
                <w:szCs w:val="20"/>
              </w:rPr>
              <w:t xml:space="preserve">. </w:t>
            </w:r>
          </w:p>
          <w:p w14:paraId="3DB4B375" w14:textId="77777777" w:rsidR="00667385" w:rsidRPr="00317FEA" w:rsidRDefault="00667385" w:rsidP="00EA0F4D">
            <w:pPr>
              <w:contextualSpacing/>
              <w:rPr>
                <w:rFonts w:cs="Arial"/>
                <w:sz w:val="20"/>
                <w:szCs w:val="20"/>
              </w:rPr>
            </w:pPr>
          </w:p>
          <w:p w14:paraId="3F213D41" w14:textId="3E219F94" w:rsidR="005E66B6" w:rsidRPr="00317FEA" w:rsidRDefault="00C04955" w:rsidP="00EA0F4D">
            <w:pPr>
              <w:contextualSpacing/>
              <w:rPr>
                <w:rFonts w:cs="Arial"/>
                <w:sz w:val="20"/>
                <w:szCs w:val="20"/>
              </w:rPr>
            </w:pPr>
            <w:r w:rsidRPr="00317FEA">
              <w:rPr>
                <w:rFonts w:cs="Arial"/>
                <w:sz w:val="20"/>
                <w:szCs w:val="20"/>
              </w:rPr>
              <w:lastRenderedPageBreak/>
              <w:t xml:space="preserve">No </w:t>
            </w:r>
            <w:r w:rsidR="00CC1CB0" w:rsidRPr="00317FEA">
              <w:rPr>
                <w:rFonts w:cs="Arial"/>
                <w:sz w:val="20"/>
                <w:szCs w:val="20"/>
              </w:rPr>
              <w:t>baseline has been established as this</w:t>
            </w:r>
            <w:r w:rsidR="00824FAB" w:rsidRPr="00317FEA">
              <w:rPr>
                <w:rFonts w:cs="Arial"/>
                <w:sz w:val="20"/>
                <w:szCs w:val="20"/>
              </w:rPr>
              <w:t xml:space="preserve"> was the first year of delivery</w:t>
            </w:r>
            <w:r w:rsidR="00BB035D" w:rsidRPr="00317FEA">
              <w:rPr>
                <w:rFonts w:cs="Arial"/>
                <w:sz w:val="20"/>
                <w:szCs w:val="20"/>
              </w:rPr>
              <w:t xml:space="preserve"> across all </w:t>
            </w:r>
            <w:r w:rsidR="00F51C46" w:rsidRPr="00317FEA">
              <w:rPr>
                <w:rFonts w:cs="Arial"/>
                <w:sz w:val="20"/>
                <w:szCs w:val="20"/>
              </w:rPr>
              <w:t>elements</w:t>
            </w:r>
            <w:r w:rsidR="00A13C0D" w:rsidRPr="00317FEA">
              <w:rPr>
                <w:rFonts w:cs="Arial"/>
                <w:sz w:val="20"/>
                <w:szCs w:val="20"/>
              </w:rPr>
              <w:t>. We</w:t>
            </w:r>
            <w:r w:rsidR="002A0E5B" w:rsidRPr="00317FEA">
              <w:rPr>
                <w:rFonts w:cs="Arial"/>
                <w:sz w:val="20"/>
                <w:szCs w:val="20"/>
              </w:rPr>
              <w:t xml:space="preserve"> will work to </w:t>
            </w:r>
            <w:r w:rsidR="001C2AF2" w:rsidRPr="00317FEA">
              <w:rPr>
                <w:rFonts w:cs="Arial"/>
                <w:sz w:val="20"/>
                <w:szCs w:val="20"/>
              </w:rPr>
              <w:t xml:space="preserve">calculate an appropriate target that includes all elements of delivery for </w:t>
            </w:r>
            <w:r w:rsidR="003E6F53" w:rsidRPr="00317FEA">
              <w:rPr>
                <w:rFonts w:cs="Arial"/>
                <w:sz w:val="20"/>
                <w:szCs w:val="20"/>
              </w:rPr>
              <w:t>the next reporting year</w:t>
            </w:r>
            <w:r w:rsidR="00326C79" w:rsidRPr="00317FEA">
              <w:rPr>
                <w:rFonts w:cs="Arial"/>
                <w:sz w:val="20"/>
                <w:szCs w:val="20"/>
              </w:rPr>
              <w:t>.</w:t>
            </w:r>
          </w:p>
          <w:p w14:paraId="6ABC755D" w14:textId="77777777" w:rsidR="001C2AF2" w:rsidRPr="00317FEA" w:rsidRDefault="001C2AF2" w:rsidP="00EA0F4D">
            <w:pPr>
              <w:contextualSpacing/>
              <w:rPr>
                <w:rFonts w:cs="Arial"/>
                <w:sz w:val="20"/>
                <w:szCs w:val="20"/>
              </w:rPr>
            </w:pPr>
          </w:p>
          <w:p w14:paraId="17677CBE" w14:textId="2938B876" w:rsidR="001C2AF2" w:rsidRPr="00317FEA" w:rsidRDefault="40DAD025" w:rsidP="00EA0F4D">
            <w:pPr>
              <w:contextualSpacing/>
              <w:rPr>
                <w:rFonts w:cs="Arial"/>
                <w:b/>
                <w:bCs/>
                <w:sz w:val="20"/>
                <w:szCs w:val="20"/>
              </w:rPr>
            </w:pPr>
            <w:r w:rsidRPr="00317FEA">
              <w:rPr>
                <w:rFonts w:cs="Arial"/>
                <w:b/>
                <w:bCs/>
                <w:sz w:val="20"/>
                <w:szCs w:val="20"/>
              </w:rPr>
              <w:t xml:space="preserve"> A (Progress met expectation)</w:t>
            </w:r>
          </w:p>
          <w:p w14:paraId="23D4FF12" w14:textId="7BD1B47E" w:rsidR="001C2AF2" w:rsidRPr="00317FEA" w:rsidRDefault="001C2AF2" w:rsidP="00EA0F4D">
            <w:pPr>
              <w:contextualSpacing/>
              <w:rPr>
                <w:rFonts w:cs="Arial"/>
                <w:b/>
                <w:bCs/>
                <w:sz w:val="20"/>
                <w:szCs w:val="20"/>
              </w:rPr>
            </w:pPr>
          </w:p>
        </w:tc>
      </w:tr>
      <w:tr w:rsidR="00405FDD" w:rsidRPr="003C5BF3" w14:paraId="0923C3F7" w14:textId="77777777" w:rsidTr="50E539E9">
        <w:tc>
          <w:tcPr>
            <w:tcW w:w="2972" w:type="dxa"/>
            <w:tcBorders>
              <w:top w:val="single" w:sz="4" w:space="0" w:color="auto"/>
              <w:left w:val="single" w:sz="4" w:space="0" w:color="auto"/>
              <w:bottom w:val="single" w:sz="4" w:space="0" w:color="auto"/>
              <w:right w:val="single" w:sz="4" w:space="0" w:color="auto"/>
            </w:tcBorders>
          </w:tcPr>
          <w:p w14:paraId="0D1C1108" w14:textId="2B81EB35" w:rsidR="00405FDD" w:rsidRPr="00317FEA" w:rsidRDefault="00405FDD" w:rsidP="00EA0F4D">
            <w:pPr>
              <w:rPr>
                <w:rFonts w:cs="Arial"/>
                <w:sz w:val="20"/>
                <w:szCs w:val="20"/>
              </w:rPr>
            </w:pPr>
            <w:r w:rsidRPr="00317FEA">
              <w:rPr>
                <w:rFonts w:cs="Arial"/>
                <w:sz w:val="20"/>
                <w:szCs w:val="20"/>
              </w:rPr>
              <w:lastRenderedPageBreak/>
              <w:t xml:space="preserve">1.8 Number of member countries that received support from the </w:t>
            </w:r>
            <w:r w:rsidR="005361E7" w:rsidRPr="00317FEA">
              <w:rPr>
                <w:rFonts w:cs="Arial"/>
                <w:sz w:val="20"/>
                <w:szCs w:val="20"/>
              </w:rPr>
              <w:t>PAF with</w:t>
            </w:r>
            <w:r w:rsidR="00065D73" w:rsidRPr="00317FEA">
              <w:rPr>
                <w:rFonts w:cs="Arial"/>
                <w:sz w:val="20"/>
                <w:szCs w:val="20"/>
              </w:rPr>
              <w:t xml:space="preserve"> disaggregation on total PAF funding allocated to countries receiving support</w:t>
            </w:r>
          </w:p>
          <w:p w14:paraId="4B98DC5D" w14:textId="6B5A9E5E" w:rsidR="00405FDD" w:rsidRPr="00317FEA" w:rsidRDefault="00405FDD" w:rsidP="00EA0F4D">
            <w:pPr>
              <w:rPr>
                <w:rFonts w:cs="Arial"/>
                <w:b/>
                <w:bCs/>
                <w:sz w:val="20"/>
                <w:szCs w:val="20"/>
              </w:rPr>
            </w:pPr>
            <w:r w:rsidRPr="00317FEA">
              <w:rPr>
                <w:rFonts w:cs="Arial"/>
                <w:b/>
                <w:bCs/>
                <w:sz w:val="20"/>
                <w:szCs w:val="20"/>
              </w:rPr>
              <w:t>(Partnership level indicator)</w:t>
            </w:r>
          </w:p>
        </w:tc>
        <w:tc>
          <w:tcPr>
            <w:tcW w:w="1559" w:type="dxa"/>
            <w:tcBorders>
              <w:top w:val="single" w:sz="4" w:space="0" w:color="auto"/>
              <w:left w:val="single" w:sz="4" w:space="0" w:color="auto"/>
              <w:bottom w:val="single" w:sz="4" w:space="0" w:color="auto"/>
              <w:right w:val="single" w:sz="4" w:space="0" w:color="auto"/>
            </w:tcBorders>
          </w:tcPr>
          <w:p w14:paraId="7D51A620" w14:textId="05F78FE2" w:rsidR="00B30658" w:rsidRPr="00317FEA" w:rsidRDefault="00B30658" w:rsidP="00EA0F4D">
            <w:pPr>
              <w:rPr>
                <w:rFonts w:cs="Arial"/>
                <w:b/>
                <w:bCs/>
                <w:sz w:val="20"/>
                <w:szCs w:val="20"/>
              </w:rPr>
            </w:pPr>
            <w:r w:rsidRPr="00317FEA">
              <w:rPr>
                <w:rFonts w:cs="Arial"/>
                <w:b/>
                <w:bCs/>
                <w:sz w:val="20"/>
                <w:szCs w:val="20"/>
              </w:rPr>
              <w:t>Baseline (Dec 2020)</w:t>
            </w:r>
          </w:p>
          <w:p w14:paraId="405F15B5" w14:textId="16FB0167" w:rsidR="00B30658" w:rsidRPr="00317FEA" w:rsidRDefault="47097045" w:rsidP="00EA0F4D">
            <w:pPr>
              <w:rPr>
                <w:rFonts w:cs="Arial"/>
                <w:sz w:val="20"/>
                <w:szCs w:val="20"/>
              </w:rPr>
            </w:pPr>
            <w:r w:rsidRPr="00317FEA">
              <w:rPr>
                <w:rFonts w:cs="Arial"/>
                <w:sz w:val="20"/>
                <w:szCs w:val="20"/>
              </w:rPr>
              <w:t>N/A</w:t>
            </w:r>
          </w:p>
          <w:p w14:paraId="1AD092CE" w14:textId="77777777" w:rsidR="00B30658" w:rsidRPr="00317FEA" w:rsidRDefault="00B30658" w:rsidP="00EA0F4D">
            <w:pPr>
              <w:rPr>
                <w:rFonts w:cs="Arial"/>
                <w:b/>
                <w:bCs/>
                <w:sz w:val="20"/>
                <w:szCs w:val="20"/>
              </w:rPr>
            </w:pPr>
          </w:p>
          <w:p w14:paraId="4E9C9857" w14:textId="77777777" w:rsidR="00B30658" w:rsidRPr="00317FEA" w:rsidRDefault="00B30658" w:rsidP="00EA0F4D">
            <w:pPr>
              <w:rPr>
                <w:rFonts w:cs="Arial"/>
                <w:b/>
                <w:bCs/>
                <w:sz w:val="20"/>
                <w:szCs w:val="20"/>
              </w:rPr>
            </w:pPr>
            <w:r w:rsidRPr="00317FEA">
              <w:rPr>
                <w:rFonts w:cs="Arial"/>
                <w:b/>
                <w:bCs/>
                <w:sz w:val="20"/>
                <w:szCs w:val="20"/>
              </w:rPr>
              <w:t>2025 Target</w:t>
            </w:r>
          </w:p>
          <w:p w14:paraId="424AC463" w14:textId="75EA2D8E" w:rsidR="00405FDD" w:rsidRPr="00317FEA" w:rsidRDefault="262D9253" w:rsidP="00EA0F4D">
            <w:pPr>
              <w:rPr>
                <w:rFonts w:cs="Arial"/>
                <w:sz w:val="20"/>
                <w:szCs w:val="20"/>
              </w:rPr>
            </w:pPr>
            <w:r w:rsidRPr="00317FEA">
              <w:rPr>
                <w:rFonts w:cs="Arial"/>
                <w:sz w:val="20"/>
                <w:szCs w:val="20"/>
              </w:rPr>
              <w:t>N/A</w:t>
            </w:r>
          </w:p>
        </w:tc>
        <w:tc>
          <w:tcPr>
            <w:tcW w:w="7355" w:type="dxa"/>
            <w:tcBorders>
              <w:top w:val="single" w:sz="4" w:space="0" w:color="auto"/>
              <w:left w:val="single" w:sz="4" w:space="0" w:color="auto"/>
              <w:bottom w:val="single" w:sz="4" w:space="0" w:color="auto"/>
              <w:right w:val="single" w:sz="4" w:space="0" w:color="auto"/>
            </w:tcBorders>
          </w:tcPr>
          <w:p w14:paraId="54E05298" w14:textId="77777777" w:rsidR="00B771D7" w:rsidRPr="00317FEA" w:rsidRDefault="00D568D6" w:rsidP="00EA0F4D">
            <w:pPr>
              <w:contextualSpacing/>
              <w:rPr>
                <w:rFonts w:cs="Arial"/>
                <w:sz w:val="20"/>
                <w:szCs w:val="20"/>
              </w:rPr>
            </w:pPr>
            <w:r w:rsidRPr="00317FEA">
              <w:rPr>
                <w:rFonts w:cs="Arial"/>
                <w:b/>
                <w:sz w:val="20"/>
                <w:szCs w:val="20"/>
              </w:rPr>
              <w:t>28</w:t>
            </w:r>
            <w:r w:rsidRPr="00317FEA">
              <w:rPr>
                <w:rFonts w:cs="Arial"/>
                <w:sz w:val="20"/>
                <w:szCs w:val="20"/>
              </w:rPr>
              <w:t xml:space="preserve"> member countrie</w:t>
            </w:r>
            <w:r w:rsidR="00E765DC" w:rsidRPr="00317FEA">
              <w:rPr>
                <w:rFonts w:cs="Arial"/>
                <w:sz w:val="20"/>
                <w:szCs w:val="20"/>
              </w:rPr>
              <w:t xml:space="preserve">s </w:t>
            </w:r>
            <w:r w:rsidR="00E95559" w:rsidRPr="00317FEA">
              <w:rPr>
                <w:rFonts w:cs="Arial"/>
                <w:sz w:val="20"/>
                <w:szCs w:val="20"/>
              </w:rPr>
              <w:t>received support from the PAF</w:t>
            </w:r>
            <w:r w:rsidR="001F3B0B" w:rsidRPr="00317FEA">
              <w:rPr>
                <w:rFonts w:cs="Arial"/>
                <w:sz w:val="20"/>
                <w:szCs w:val="20"/>
              </w:rPr>
              <w:t xml:space="preserve"> </w:t>
            </w:r>
            <w:r w:rsidR="00D67CFF" w:rsidRPr="00317FEA">
              <w:rPr>
                <w:rFonts w:cs="Arial"/>
                <w:sz w:val="20"/>
                <w:szCs w:val="20"/>
              </w:rPr>
              <w:t xml:space="preserve">to </w:t>
            </w:r>
            <w:r w:rsidR="00155E93" w:rsidRPr="00317FEA">
              <w:rPr>
                <w:rFonts w:cs="Arial"/>
                <w:sz w:val="20"/>
                <w:szCs w:val="20"/>
              </w:rPr>
              <w:t xml:space="preserve">help them work on their NDCs. </w:t>
            </w:r>
          </w:p>
          <w:p w14:paraId="0DAAF9A7" w14:textId="77777777" w:rsidR="00E16F49" w:rsidRPr="00317FEA" w:rsidRDefault="00E16F49" w:rsidP="00EA0F4D">
            <w:pPr>
              <w:contextualSpacing/>
              <w:rPr>
                <w:rFonts w:cs="Arial"/>
                <w:sz w:val="20"/>
                <w:szCs w:val="20"/>
              </w:rPr>
            </w:pPr>
          </w:p>
          <w:p w14:paraId="236C13F7" w14:textId="752F3F59" w:rsidR="00C72BCC" w:rsidRPr="00317FEA" w:rsidRDefault="00F03B8E" w:rsidP="00EA0F4D">
            <w:pPr>
              <w:contextualSpacing/>
              <w:rPr>
                <w:rFonts w:cs="Arial"/>
                <w:sz w:val="20"/>
                <w:szCs w:val="20"/>
              </w:rPr>
            </w:pPr>
            <w:r w:rsidRPr="00317FEA">
              <w:rPr>
                <w:rFonts w:cs="Arial"/>
                <w:sz w:val="20"/>
                <w:szCs w:val="20"/>
              </w:rPr>
              <w:t>The</w:t>
            </w:r>
            <w:r w:rsidR="00DC79F2" w:rsidRPr="00317FEA">
              <w:rPr>
                <w:rFonts w:cs="Arial"/>
                <w:sz w:val="20"/>
                <w:szCs w:val="20"/>
              </w:rPr>
              <w:t xml:space="preserve"> PAF</w:t>
            </w:r>
            <w:r w:rsidR="00F346C4" w:rsidRPr="00317FEA">
              <w:rPr>
                <w:rFonts w:cs="Arial"/>
                <w:sz w:val="20"/>
                <w:szCs w:val="20"/>
              </w:rPr>
              <w:t xml:space="preserve"> does not have a baseline or a target as </w:t>
            </w:r>
            <w:r w:rsidR="00CB1EE2" w:rsidRPr="00317FEA">
              <w:rPr>
                <w:rFonts w:cs="Arial"/>
                <w:sz w:val="20"/>
                <w:szCs w:val="20"/>
              </w:rPr>
              <w:t>the number of countries supported</w:t>
            </w:r>
            <w:r w:rsidR="00F346C4" w:rsidRPr="00317FEA">
              <w:rPr>
                <w:rFonts w:cs="Arial"/>
                <w:sz w:val="20"/>
                <w:szCs w:val="20"/>
              </w:rPr>
              <w:t xml:space="preserve"> is dependent on funding availability. </w:t>
            </w:r>
            <w:r w:rsidR="00C822EF" w:rsidRPr="00317FEA">
              <w:rPr>
                <w:rFonts w:cs="Arial"/>
                <w:sz w:val="20"/>
                <w:szCs w:val="20"/>
              </w:rPr>
              <w:t xml:space="preserve">As a multi donor fund this is unpredictable. </w:t>
            </w:r>
            <w:r w:rsidR="00F346C4" w:rsidRPr="00317FEA">
              <w:rPr>
                <w:rFonts w:cs="Arial"/>
                <w:sz w:val="20"/>
                <w:szCs w:val="20"/>
              </w:rPr>
              <w:t xml:space="preserve"> </w:t>
            </w:r>
          </w:p>
          <w:p w14:paraId="2EBC39B1" w14:textId="77777777" w:rsidR="002F56E6" w:rsidRPr="00317FEA" w:rsidRDefault="002F56E6" w:rsidP="00EA0F4D">
            <w:pPr>
              <w:contextualSpacing/>
              <w:rPr>
                <w:rFonts w:cs="Arial"/>
                <w:sz w:val="20"/>
                <w:szCs w:val="20"/>
              </w:rPr>
            </w:pPr>
          </w:p>
          <w:p w14:paraId="495CD352" w14:textId="3CAEC68F" w:rsidR="002F56E6" w:rsidRPr="00317FEA" w:rsidRDefault="00C82CE6" w:rsidP="00EA0F4D">
            <w:pPr>
              <w:contextualSpacing/>
              <w:rPr>
                <w:rFonts w:cs="Arial"/>
                <w:b/>
                <w:bCs/>
                <w:sz w:val="20"/>
                <w:szCs w:val="20"/>
              </w:rPr>
            </w:pPr>
            <w:r w:rsidRPr="00317FEA">
              <w:rPr>
                <w:rFonts w:cs="Arial"/>
                <w:b/>
                <w:bCs/>
                <w:sz w:val="20"/>
                <w:szCs w:val="20"/>
              </w:rPr>
              <w:t>Unscored (Progress cannot be assessed)</w:t>
            </w:r>
          </w:p>
        </w:tc>
      </w:tr>
    </w:tbl>
    <w:p w14:paraId="7F5C4B5B" w14:textId="77777777" w:rsidR="00EA0F4D" w:rsidRDefault="00EA0F4D" w:rsidP="3A221014">
      <w:pPr>
        <w:jc w:val="both"/>
        <w:rPr>
          <w:b/>
          <w:bCs/>
          <w:i/>
          <w:iCs/>
          <w:sz w:val="28"/>
          <w:szCs w:val="28"/>
        </w:rPr>
      </w:pPr>
    </w:p>
    <w:p w14:paraId="7F3C3C8D" w14:textId="77777777" w:rsidR="00EA0F4D" w:rsidRDefault="00EA0F4D" w:rsidP="3A221014">
      <w:pPr>
        <w:jc w:val="both"/>
        <w:rPr>
          <w:b/>
          <w:bCs/>
          <w:i/>
          <w:iCs/>
          <w:sz w:val="28"/>
          <w:szCs w:val="28"/>
        </w:rPr>
      </w:pPr>
    </w:p>
    <w:p w14:paraId="08AB1D93" w14:textId="12C3DE84" w:rsidR="003D222C" w:rsidRPr="003C5BF3" w:rsidRDefault="00C02966" w:rsidP="3A221014">
      <w:pPr>
        <w:jc w:val="both"/>
        <w:rPr>
          <w:rFonts w:cs="Arial"/>
          <w:b/>
          <w:bCs/>
          <w:i/>
          <w:iCs/>
          <w:sz w:val="22"/>
          <w:szCs w:val="22"/>
        </w:rPr>
      </w:pPr>
      <w:r w:rsidRPr="003C5BF3">
        <w:rPr>
          <w:b/>
          <w:bCs/>
          <w:i/>
          <w:iCs/>
          <w:sz w:val="28"/>
          <w:szCs w:val="28"/>
        </w:rPr>
        <w:t>O</w:t>
      </w:r>
      <w:r w:rsidR="003D222C" w:rsidRPr="003C5BF3">
        <w:rPr>
          <w:b/>
          <w:bCs/>
          <w:i/>
          <w:iCs/>
          <w:sz w:val="28"/>
          <w:szCs w:val="28"/>
        </w:rPr>
        <w:t>utput</w:t>
      </w:r>
      <w:r w:rsidRPr="003C5BF3">
        <w:rPr>
          <w:b/>
          <w:bCs/>
          <w:i/>
          <w:iCs/>
          <w:sz w:val="28"/>
          <w:szCs w:val="28"/>
        </w:rPr>
        <w:t xml:space="preserve"> summary</w:t>
      </w:r>
      <w:r w:rsidR="003D222C" w:rsidRPr="003C5BF3">
        <w:rPr>
          <w:b/>
          <w:bCs/>
          <w:i/>
          <w:iCs/>
          <w:sz w:val="28"/>
          <w:szCs w:val="28"/>
        </w:rPr>
        <w:t xml:space="preserve"> and supporting narrative for the score</w:t>
      </w:r>
      <w:r w:rsidR="003D222C" w:rsidRPr="003C5BF3">
        <w:rPr>
          <w:rFonts w:cs="Arial"/>
          <w:b/>
          <w:bCs/>
          <w:i/>
          <w:iCs/>
          <w:sz w:val="22"/>
          <w:szCs w:val="22"/>
        </w:rPr>
        <w:t xml:space="preserve"> </w:t>
      </w:r>
    </w:p>
    <w:p w14:paraId="279A4EAB" w14:textId="01C02DF7" w:rsidR="003D222C" w:rsidRPr="003C5BF3" w:rsidRDefault="003D222C" w:rsidP="004D5FD5">
      <w:pPr>
        <w:jc w:val="both"/>
        <w:rPr>
          <w:rFonts w:cs="Arial"/>
          <w:bCs/>
          <w:sz w:val="22"/>
          <w:szCs w:val="22"/>
        </w:rPr>
      </w:pPr>
    </w:p>
    <w:p w14:paraId="3FC9FEB6" w14:textId="40A8ABE0" w:rsidR="004715DF" w:rsidRPr="00E11CA6" w:rsidRDefault="002C159E" w:rsidP="00EA0F4D">
      <w:pPr>
        <w:ind w:firstLine="720"/>
        <w:rPr>
          <w:rFonts w:cs="Arial"/>
          <w:sz w:val="22"/>
          <w:szCs w:val="22"/>
        </w:rPr>
      </w:pPr>
      <w:r w:rsidRPr="00E11CA6">
        <w:rPr>
          <w:rFonts w:cs="Arial"/>
          <w:sz w:val="22"/>
          <w:szCs w:val="22"/>
        </w:rPr>
        <w:t xml:space="preserve">This output </w:t>
      </w:r>
      <w:r w:rsidR="008B3786" w:rsidRPr="00E11CA6">
        <w:rPr>
          <w:rFonts w:cs="Arial"/>
          <w:sz w:val="22"/>
          <w:szCs w:val="22"/>
        </w:rPr>
        <w:t>received</w:t>
      </w:r>
      <w:r w:rsidRPr="00E11CA6">
        <w:rPr>
          <w:rFonts w:cs="Arial"/>
          <w:sz w:val="22"/>
          <w:szCs w:val="22"/>
        </w:rPr>
        <w:t xml:space="preserve"> an overall score of</w:t>
      </w:r>
      <w:r w:rsidRPr="00E11CA6">
        <w:rPr>
          <w:rFonts w:cs="Arial"/>
          <w:b/>
          <w:bCs/>
          <w:sz w:val="22"/>
          <w:szCs w:val="22"/>
        </w:rPr>
        <w:t xml:space="preserve"> A+</w:t>
      </w:r>
      <w:r w:rsidRPr="00E11CA6">
        <w:rPr>
          <w:rFonts w:cs="Arial"/>
          <w:sz w:val="22"/>
          <w:szCs w:val="22"/>
        </w:rPr>
        <w:t xml:space="preserve">. </w:t>
      </w:r>
      <w:r w:rsidR="00AE7AC2" w:rsidRPr="00E11CA6">
        <w:rPr>
          <w:rFonts w:cs="Arial"/>
          <w:sz w:val="22"/>
          <w:szCs w:val="22"/>
        </w:rPr>
        <w:t>Where</w:t>
      </w:r>
      <w:r w:rsidR="00A66397" w:rsidRPr="00E11CA6">
        <w:rPr>
          <w:rFonts w:cs="Arial"/>
          <w:sz w:val="22"/>
          <w:szCs w:val="22"/>
        </w:rPr>
        <w:t xml:space="preserve"> targets have been set for </w:t>
      </w:r>
      <w:r w:rsidR="00D02DCF" w:rsidRPr="00E11CA6">
        <w:rPr>
          <w:rFonts w:cs="Arial"/>
          <w:sz w:val="22"/>
          <w:szCs w:val="22"/>
        </w:rPr>
        <w:t xml:space="preserve">the output </w:t>
      </w:r>
      <w:r w:rsidR="00707DF7" w:rsidRPr="00E11CA6">
        <w:rPr>
          <w:rFonts w:cs="Arial"/>
          <w:sz w:val="22"/>
          <w:szCs w:val="22"/>
        </w:rPr>
        <w:t>‘</w:t>
      </w:r>
      <w:r w:rsidR="00707DF7" w:rsidRPr="00E11CA6">
        <w:rPr>
          <w:rFonts w:cs="Arial"/>
          <w:b/>
          <w:bCs/>
          <w:sz w:val="22"/>
          <w:szCs w:val="22"/>
        </w:rPr>
        <w:t>Improved</w:t>
      </w:r>
      <w:r w:rsidR="007E3F1B" w:rsidRPr="00E11CA6">
        <w:rPr>
          <w:rFonts w:cs="Arial"/>
          <w:b/>
          <w:bCs/>
          <w:sz w:val="22"/>
          <w:szCs w:val="22"/>
        </w:rPr>
        <w:t xml:space="preserve"> coordination and quality of demand and supply of support</w:t>
      </w:r>
      <w:r w:rsidR="00707DF7" w:rsidRPr="00E11CA6">
        <w:rPr>
          <w:rFonts w:cs="Arial"/>
          <w:b/>
          <w:bCs/>
          <w:sz w:val="22"/>
          <w:szCs w:val="22"/>
        </w:rPr>
        <w:t>’</w:t>
      </w:r>
      <w:r w:rsidR="00A66397" w:rsidRPr="00E11CA6">
        <w:rPr>
          <w:rFonts w:cs="Arial"/>
          <w:b/>
          <w:bCs/>
          <w:sz w:val="22"/>
          <w:szCs w:val="22"/>
        </w:rPr>
        <w:t xml:space="preserve">, </w:t>
      </w:r>
      <w:r w:rsidR="00A66397" w:rsidRPr="00E11CA6">
        <w:rPr>
          <w:rFonts w:cs="Arial"/>
          <w:sz w:val="22"/>
          <w:szCs w:val="22"/>
        </w:rPr>
        <w:t xml:space="preserve">the programme has </w:t>
      </w:r>
      <w:r w:rsidR="007E3F1B" w:rsidRPr="00E11CA6">
        <w:rPr>
          <w:rFonts w:cs="Arial"/>
          <w:sz w:val="22"/>
          <w:szCs w:val="22"/>
        </w:rPr>
        <w:t>either moderately or significantly exceeded expectations</w:t>
      </w:r>
      <w:r w:rsidR="003E3FFA" w:rsidRPr="00E11CA6">
        <w:rPr>
          <w:rFonts w:cs="Arial"/>
          <w:sz w:val="22"/>
          <w:szCs w:val="22"/>
        </w:rPr>
        <w:t xml:space="preserve">. </w:t>
      </w:r>
    </w:p>
    <w:p w14:paraId="60B64794" w14:textId="77777777" w:rsidR="00BA0B24" w:rsidRPr="00E11CA6" w:rsidRDefault="00BA0B24" w:rsidP="00EA0F4D">
      <w:pPr>
        <w:rPr>
          <w:rFonts w:cs="Arial"/>
          <w:sz w:val="22"/>
          <w:szCs w:val="22"/>
        </w:rPr>
      </w:pPr>
    </w:p>
    <w:p w14:paraId="6A8DF0A5" w14:textId="08126852" w:rsidR="00AC31AC" w:rsidRPr="00E11CA6" w:rsidRDefault="004715DF" w:rsidP="00EA0F4D">
      <w:pPr>
        <w:ind w:firstLine="720"/>
        <w:rPr>
          <w:rFonts w:cs="Arial"/>
          <w:sz w:val="22"/>
          <w:szCs w:val="22"/>
        </w:rPr>
      </w:pPr>
      <w:r w:rsidRPr="00E11CA6">
        <w:rPr>
          <w:rFonts w:cs="Arial"/>
          <w:sz w:val="22"/>
          <w:szCs w:val="22"/>
        </w:rPr>
        <w:t>With an increasing number of countries contributing to and benefitting from partner country support</w:t>
      </w:r>
      <w:r w:rsidR="00092F02" w:rsidRPr="00E11CA6">
        <w:rPr>
          <w:rFonts w:cs="Arial"/>
          <w:sz w:val="22"/>
          <w:szCs w:val="22"/>
        </w:rPr>
        <w:t xml:space="preserve"> and particularly through </w:t>
      </w:r>
      <w:r w:rsidR="75884DC3" w:rsidRPr="00E11CA6">
        <w:rPr>
          <w:rFonts w:cs="Arial"/>
          <w:sz w:val="22"/>
          <w:szCs w:val="22"/>
        </w:rPr>
        <w:t>Request for Support Letters (</w:t>
      </w:r>
      <w:r w:rsidR="00092F02" w:rsidRPr="00E11CA6">
        <w:rPr>
          <w:rFonts w:cs="Arial"/>
          <w:sz w:val="22"/>
          <w:szCs w:val="22"/>
        </w:rPr>
        <w:t>RSLs</w:t>
      </w:r>
      <w:r w:rsidR="6AE9621E" w:rsidRPr="00E11CA6">
        <w:rPr>
          <w:rFonts w:cs="Arial"/>
          <w:sz w:val="22"/>
          <w:szCs w:val="22"/>
        </w:rPr>
        <w:t>)</w:t>
      </w:r>
      <w:r w:rsidR="00092F02" w:rsidRPr="00E11CA6">
        <w:rPr>
          <w:rFonts w:cs="Arial"/>
          <w:sz w:val="22"/>
          <w:szCs w:val="22"/>
        </w:rPr>
        <w:t xml:space="preserve">, </w:t>
      </w:r>
      <w:r w:rsidR="00572933" w:rsidRPr="00E11CA6">
        <w:rPr>
          <w:rFonts w:cs="Arial"/>
          <w:sz w:val="22"/>
          <w:szCs w:val="22"/>
        </w:rPr>
        <w:t xml:space="preserve">there has been measurable improvement in </w:t>
      </w:r>
      <w:r w:rsidR="006F3BA6" w:rsidRPr="00E11CA6">
        <w:rPr>
          <w:rFonts w:cs="Arial"/>
          <w:sz w:val="22"/>
          <w:szCs w:val="22"/>
        </w:rPr>
        <w:t>the coordination of demand and supply of support</w:t>
      </w:r>
      <w:r w:rsidR="00A46775" w:rsidRPr="00E11CA6">
        <w:rPr>
          <w:rFonts w:cs="Arial"/>
          <w:sz w:val="22"/>
          <w:szCs w:val="22"/>
        </w:rPr>
        <w:t xml:space="preserve">. </w:t>
      </w:r>
    </w:p>
    <w:p w14:paraId="3F5D9EEC" w14:textId="77777777" w:rsidR="00BA0B24" w:rsidRPr="00E11CA6" w:rsidRDefault="00BA0B24" w:rsidP="00EA0F4D">
      <w:pPr>
        <w:rPr>
          <w:rFonts w:cs="Arial"/>
          <w:sz w:val="22"/>
          <w:szCs w:val="22"/>
        </w:rPr>
      </w:pPr>
    </w:p>
    <w:p w14:paraId="522DEFF1" w14:textId="528C919D" w:rsidR="006219C1" w:rsidRPr="00E11CA6" w:rsidRDefault="00D63407" w:rsidP="00EA0F4D">
      <w:pPr>
        <w:ind w:firstLine="720"/>
        <w:rPr>
          <w:rFonts w:cs="Arial"/>
          <w:sz w:val="22"/>
          <w:szCs w:val="22"/>
        </w:rPr>
      </w:pPr>
      <w:r w:rsidRPr="00E11CA6">
        <w:rPr>
          <w:rFonts w:cs="Arial"/>
          <w:sz w:val="22"/>
          <w:szCs w:val="22"/>
        </w:rPr>
        <w:t xml:space="preserve">A key part of </w:t>
      </w:r>
      <w:r w:rsidR="00145FB0" w:rsidRPr="00E11CA6">
        <w:rPr>
          <w:rFonts w:cs="Arial"/>
          <w:sz w:val="22"/>
          <w:szCs w:val="22"/>
        </w:rPr>
        <w:t xml:space="preserve">the </w:t>
      </w:r>
      <w:r w:rsidR="005916AC" w:rsidRPr="00E11CA6">
        <w:rPr>
          <w:rFonts w:cs="Arial"/>
          <w:sz w:val="22"/>
          <w:szCs w:val="22"/>
        </w:rPr>
        <w:t>partnership’s</w:t>
      </w:r>
      <w:r w:rsidR="0096696A" w:rsidRPr="00E11CA6">
        <w:rPr>
          <w:rFonts w:cs="Arial"/>
          <w:sz w:val="22"/>
          <w:szCs w:val="22"/>
        </w:rPr>
        <w:t xml:space="preserve"> offer </w:t>
      </w:r>
      <w:r w:rsidR="00B36694" w:rsidRPr="00E11CA6">
        <w:rPr>
          <w:rFonts w:cs="Arial"/>
          <w:sz w:val="22"/>
          <w:szCs w:val="22"/>
        </w:rPr>
        <w:t>is learning</w:t>
      </w:r>
      <w:r w:rsidR="00906268" w:rsidRPr="00E11CA6">
        <w:rPr>
          <w:rFonts w:cs="Arial"/>
          <w:sz w:val="22"/>
          <w:szCs w:val="22"/>
        </w:rPr>
        <w:t xml:space="preserve"> and </w:t>
      </w:r>
      <w:r w:rsidR="00C64B3C" w:rsidRPr="00E11CA6">
        <w:rPr>
          <w:rFonts w:cs="Arial"/>
          <w:sz w:val="22"/>
          <w:szCs w:val="22"/>
        </w:rPr>
        <w:t xml:space="preserve">with 298 </w:t>
      </w:r>
      <w:r w:rsidR="00906268" w:rsidRPr="00E11CA6">
        <w:rPr>
          <w:rFonts w:cs="Arial"/>
          <w:sz w:val="22"/>
          <w:szCs w:val="22"/>
        </w:rPr>
        <w:t>knowledge</w:t>
      </w:r>
      <w:r w:rsidR="00C64B3C" w:rsidRPr="00E11CA6">
        <w:rPr>
          <w:rFonts w:cs="Arial"/>
          <w:sz w:val="22"/>
          <w:szCs w:val="22"/>
        </w:rPr>
        <w:t xml:space="preserve"> products</w:t>
      </w:r>
      <w:r w:rsidR="00906268" w:rsidRPr="00E11CA6">
        <w:rPr>
          <w:rFonts w:cs="Arial"/>
          <w:sz w:val="22"/>
          <w:szCs w:val="22"/>
        </w:rPr>
        <w:t xml:space="preserve"> created</w:t>
      </w:r>
      <w:r w:rsidR="00C64B3C" w:rsidRPr="00E11CA6">
        <w:rPr>
          <w:rFonts w:cs="Arial"/>
          <w:sz w:val="22"/>
          <w:szCs w:val="22"/>
        </w:rPr>
        <w:t xml:space="preserve"> and/or convenings held to fill identified knowledge gaps, the </w:t>
      </w:r>
      <w:r w:rsidR="00493D41" w:rsidRPr="00E11CA6">
        <w:rPr>
          <w:rFonts w:cs="Arial"/>
          <w:sz w:val="22"/>
          <w:szCs w:val="22"/>
        </w:rPr>
        <w:t>P</w:t>
      </w:r>
      <w:r w:rsidR="00C64B3C" w:rsidRPr="00E11CA6">
        <w:rPr>
          <w:rFonts w:cs="Arial"/>
          <w:sz w:val="22"/>
          <w:szCs w:val="22"/>
        </w:rPr>
        <w:t xml:space="preserve">artnership is </w:t>
      </w:r>
      <w:r w:rsidR="00F66E65" w:rsidRPr="00E11CA6">
        <w:rPr>
          <w:rFonts w:cs="Arial"/>
          <w:sz w:val="22"/>
          <w:szCs w:val="22"/>
        </w:rPr>
        <w:t>improving coordination to</w:t>
      </w:r>
      <w:r w:rsidR="00C64B3C" w:rsidRPr="00E11CA6">
        <w:rPr>
          <w:rFonts w:cs="Arial"/>
          <w:sz w:val="22"/>
          <w:szCs w:val="22"/>
        </w:rPr>
        <w:t xml:space="preserve"> </w:t>
      </w:r>
      <w:r w:rsidR="00F66E65" w:rsidRPr="00E11CA6">
        <w:rPr>
          <w:rFonts w:cs="Arial"/>
          <w:sz w:val="22"/>
          <w:szCs w:val="22"/>
        </w:rPr>
        <w:t>facil</w:t>
      </w:r>
      <w:r w:rsidR="00393825" w:rsidRPr="00E11CA6">
        <w:rPr>
          <w:rFonts w:cs="Arial"/>
          <w:sz w:val="22"/>
          <w:szCs w:val="22"/>
        </w:rPr>
        <w:t>itate</w:t>
      </w:r>
      <w:r w:rsidR="00F66E65" w:rsidRPr="00E11CA6">
        <w:rPr>
          <w:rFonts w:cs="Arial"/>
          <w:sz w:val="22"/>
          <w:szCs w:val="22"/>
        </w:rPr>
        <w:t xml:space="preserve"> knowledge </w:t>
      </w:r>
      <w:r w:rsidR="00634AE6" w:rsidRPr="00E11CA6">
        <w:rPr>
          <w:rFonts w:cs="Arial"/>
          <w:sz w:val="22"/>
          <w:szCs w:val="22"/>
        </w:rPr>
        <w:t>building around climate action.</w:t>
      </w:r>
    </w:p>
    <w:p w14:paraId="763F4BA9" w14:textId="77777777" w:rsidR="00653441" w:rsidRPr="00E11CA6" w:rsidRDefault="00653441" w:rsidP="00EA0F4D">
      <w:pPr>
        <w:rPr>
          <w:rFonts w:cs="Arial"/>
          <w:sz w:val="22"/>
          <w:szCs w:val="22"/>
        </w:rPr>
      </w:pPr>
    </w:p>
    <w:p w14:paraId="3013C216" w14:textId="222397E4" w:rsidR="00653441" w:rsidRPr="00E11CA6" w:rsidRDefault="00653441" w:rsidP="00EA0F4D">
      <w:pPr>
        <w:ind w:firstLine="720"/>
        <w:rPr>
          <w:rFonts w:cs="Arial"/>
          <w:sz w:val="22"/>
          <w:szCs w:val="22"/>
        </w:rPr>
      </w:pPr>
      <w:r w:rsidRPr="00E11CA6">
        <w:rPr>
          <w:rFonts w:cs="Arial"/>
          <w:sz w:val="22"/>
          <w:szCs w:val="22"/>
        </w:rPr>
        <w:t xml:space="preserve">It has been more challenging to set targets and collect data for UK level indicators </w:t>
      </w:r>
      <w:r w:rsidR="00967A67" w:rsidRPr="00E11CA6">
        <w:rPr>
          <w:rFonts w:cs="Arial"/>
          <w:sz w:val="22"/>
          <w:szCs w:val="22"/>
        </w:rPr>
        <w:t xml:space="preserve">to </w:t>
      </w:r>
      <w:r w:rsidR="00195946" w:rsidRPr="00E11CA6">
        <w:rPr>
          <w:rFonts w:cs="Arial"/>
          <w:sz w:val="22"/>
          <w:szCs w:val="22"/>
        </w:rPr>
        <w:t xml:space="preserve">measure the coordination and quality of demand and supply support because </w:t>
      </w:r>
      <w:r w:rsidR="00412B11" w:rsidRPr="00E11CA6">
        <w:rPr>
          <w:rFonts w:cs="Arial"/>
          <w:sz w:val="22"/>
          <w:szCs w:val="22"/>
        </w:rPr>
        <w:t xml:space="preserve">this is the first year of </w:t>
      </w:r>
      <w:r w:rsidR="00C248A8" w:rsidRPr="00E11CA6">
        <w:rPr>
          <w:rFonts w:cs="Arial"/>
          <w:sz w:val="22"/>
          <w:szCs w:val="22"/>
        </w:rPr>
        <w:t>multi-element delivery</w:t>
      </w:r>
      <w:r w:rsidR="003248A6" w:rsidRPr="00E11CA6">
        <w:rPr>
          <w:rFonts w:cs="Arial"/>
          <w:sz w:val="22"/>
          <w:szCs w:val="22"/>
        </w:rPr>
        <w:t xml:space="preserve">. </w:t>
      </w:r>
      <w:r w:rsidR="00FF71DD" w:rsidRPr="00E11CA6">
        <w:rPr>
          <w:rFonts w:cs="Arial"/>
          <w:sz w:val="22"/>
          <w:szCs w:val="22"/>
        </w:rPr>
        <w:t>By next year we will be able to</w:t>
      </w:r>
      <w:r w:rsidR="003248A6" w:rsidRPr="00E11CA6">
        <w:rPr>
          <w:rFonts w:cs="Arial"/>
          <w:sz w:val="22"/>
          <w:szCs w:val="22"/>
        </w:rPr>
        <w:t xml:space="preserve"> establish </w:t>
      </w:r>
      <w:r w:rsidR="0027253A" w:rsidRPr="00E11CA6">
        <w:rPr>
          <w:rFonts w:cs="Arial"/>
          <w:sz w:val="22"/>
          <w:szCs w:val="22"/>
        </w:rPr>
        <w:t xml:space="preserve">targets </w:t>
      </w:r>
      <w:r w:rsidR="00FF71DD" w:rsidRPr="00E11CA6">
        <w:rPr>
          <w:rFonts w:cs="Arial"/>
          <w:sz w:val="22"/>
          <w:szCs w:val="22"/>
        </w:rPr>
        <w:t xml:space="preserve">and </w:t>
      </w:r>
      <w:r w:rsidR="009B0F30" w:rsidRPr="00E11CA6">
        <w:rPr>
          <w:rFonts w:cs="Arial"/>
          <w:sz w:val="22"/>
          <w:szCs w:val="22"/>
        </w:rPr>
        <w:t>create</w:t>
      </w:r>
      <w:r w:rsidR="0027253A" w:rsidRPr="00E11CA6">
        <w:rPr>
          <w:rFonts w:cs="Arial"/>
          <w:sz w:val="22"/>
          <w:szCs w:val="22"/>
        </w:rPr>
        <w:t xml:space="preserve"> </w:t>
      </w:r>
      <w:r w:rsidR="002C159E" w:rsidRPr="00E11CA6">
        <w:rPr>
          <w:rFonts w:cs="Arial"/>
          <w:sz w:val="22"/>
          <w:szCs w:val="22"/>
        </w:rPr>
        <w:t xml:space="preserve">methodologies for data collection </w:t>
      </w:r>
      <w:r w:rsidR="003248A6" w:rsidRPr="00E11CA6">
        <w:rPr>
          <w:rFonts w:cs="Arial"/>
          <w:sz w:val="22"/>
          <w:szCs w:val="22"/>
        </w:rPr>
        <w:t xml:space="preserve">so that </w:t>
      </w:r>
      <w:r w:rsidR="0027253A" w:rsidRPr="00E11CA6">
        <w:rPr>
          <w:rFonts w:cs="Arial"/>
          <w:sz w:val="22"/>
          <w:szCs w:val="22"/>
        </w:rPr>
        <w:t xml:space="preserve">progress can be measured accurately reported </w:t>
      </w:r>
      <w:r w:rsidR="002C159E" w:rsidRPr="00E11CA6">
        <w:rPr>
          <w:rFonts w:cs="Arial"/>
          <w:sz w:val="22"/>
          <w:szCs w:val="22"/>
        </w:rPr>
        <w:t>on in next year’s annual review</w:t>
      </w:r>
      <w:r w:rsidR="009B0F30" w:rsidRPr="00E11CA6">
        <w:rPr>
          <w:rFonts w:cs="Arial"/>
          <w:sz w:val="22"/>
          <w:szCs w:val="22"/>
        </w:rPr>
        <w:t xml:space="preserve">. </w:t>
      </w:r>
    </w:p>
    <w:p w14:paraId="433CAE04" w14:textId="77777777" w:rsidR="007E3F1B" w:rsidRPr="003C5BF3" w:rsidRDefault="007E3F1B" w:rsidP="004D5FD5">
      <w:pPr>
        <w:jc w:val="both"/>
        <w:rPr>
          <w:rFonts w:cs="Arial"/>
          <w:sz w:val="22"/>
          <w:szCs w:val="22"/>
        </w:rPr>
      </w:pPr>
    </w:p>
    <w:p w14:paraId="45AE6586" w14:textId="77777777" w:rsidR="003D222C" w:rsidRPr="003C5BF3" w:rsidRDefault="003D222C" w:rsidP="004D5FD5">
      <w:pPr>
        <w:jc w:val="both"/>
        <w:rPr>
          <w:rFonts w:cs="Arial"/>
          <w:bCs/>
          <w:sz w:val="22"/>
          <w:szCs w:val="22"/>
        </w:rPr>
      </w:pPr>
      <w:r w:rsidRPr="003C5BF3">
        <w:rPr>
          <w:rFonts w:cs="Arial"/>
          <w:bCs/>
          <w:sz w:val="22"/>
          <w:szCs w:val="22"/>
        </w:rPr>
        <w:t xml:space="preserve">  </w:t>
      </w:r>
    </w:p>
    <w:p w14:paraId="4E79AAE8" w14:textId="4460302F" w:rsidR="003D222C" w:rsidRPr="003C5BF3" w:rsidRDefault="00C02966" w:rsidP="3A221014">
      <w:pPr>
        <w:jc w:val="both"/>
        <w:rPr>
          <w:rFonts w:cs="Arial"/>
          <w:i/>
          <w:iCs/>
          <w:sz w:val="22"/>
          <w:szCs w:val="22"/>
        </w:rPr>
      </w:pPr>
      <w:r w:rsidRPr="003C5BF3">
        <w:rPr>
          <w:b/>
          <w:bCs/>
          <w:i/>
          <w:iCs/>
          <w:sz w:val="28"/>
          <w:szCs w:val="28"/>
        </w:rPr>
        <w:t>C</w:t>
      </w:r>
      <w:r w:rsidR="003D222C" w:rsidRPr="003C5BF3">
        <w:rPr>
          <w:b/>
          <w:bCs/>
          <w:i/>
          <w:iCs/>
          <w:sz w:val="28"/>
          <w:szCs w:val="28"/>
        </w:rPr>
        <w:t xml:space="preserve">hanges </w:t>
      </w:r>
      <w:r w:rsidR="5AA7F347" w:rsidRPr="003C5BF3">
        <w:rPr>
          <w:b/>
          <w:bCs/>
          <w:i/>
          <w:iCs/>
          <w:sz w:val="28"/>
          <w:szCs w:val="28"/>
        </w:rPr>
        <w:t xml:space="preserve">to </w:t>
      </w:r>
      <w:r w:rsidR="003D222C" w:rsidRPr="003C5BF3">
        <w:rPr>
          <w:b/>
          <w:bCs/>
          <w:i/>
          <w:iCs/>
          <w:sz w:val="28"/>
          <w:szCs w:val="28"/>
        </w:rPr>
        <w:t>this output, and any planned changes as a result of this review</w:t>
      </w:r>
      <w:r w:rsidR="003D222C" w:rsidRPr="003C5BF3">
        <w:rPr>
          <w:rFonts w:cs="Arial"/>
          <w:b/>
          <w:bCs/>
          <w:i/>
          <w:iCs/>
          <w:sz w:val="22"/>
          <w:szCs w:val="22"/>
        </w:rPr>
        <w:t xml:space="preserve"> </w:t>
      </w:r>
    </w:p>
    <w:p w14:paraId="5954DDBD" w14:textId="77777777" w:rsidR="00C51FDC" w:rsidRPr="003C5BF3" w:rsidRDefault="00C51FDC" w:rsidP="3A221014">
      <w:pPr>
        <w:jc w:val="both"/>
        <w:rPr>
          <w:rFonts w:cs="Arial"/>
          <w:i/>
          <w:iCs/>
          <w:sz w:val="22"/>
          <w:szCs w:val="22"/>
        </w:rPr>
      </w:pPr>
    </w:p>
    <w:p w14:paraId="43DD5BDF" w14:textId="359B7C6B" w:rsidR="00C51FDC" w:rsidRPr="00E11CA6" w:rsidRDefault="00C51FDC" w:rsidP="00EA0F4D">
      <w:pPr>
        <w:ind w:firstLine="720"/>
        <w:rPr>
          <w:rFonts w:cs="Arial"/>
          <w:sz w:val="22"/>
          <w:szCs w:val="22"/>
        </w:rPr>
      </w:pPr>
      <w:r w:rsidRPr="00E11CA6">
        <w:rPr>
          <w:rFonts w:cs="Arial"/>
          <w:sz w:val="22"/>
          <w:szCs w:val="22"/>
        </w:rPr>
        <w:t xml:space="preserve">This is </w:t>
      </w:r>
      <w:r w:rsidR="005D7D71" w:rsidRPr="00E11CA6">
        <w:rPr>
          <w:rFonts w:cs="Arial"/>
          <w:sz w:val="22"/>
          <w:szCs w:val="22"/>
        </w:rPr>
        <w:t xml:space="preserve">the first year of a </w:t>
      </w:r>
      <w:r w:rsidRPr="00E11CA6">
        <w:rPr>
          <w:rFonts w:cs="Arial"/>
          <w:sz w:val="22"/>
          <w:szCs w:val="22"/>
        </w:rPr>
        <w:t xml:space="preserve">new </w:t>
      </w:r>
      <w:r w:rsidR="00A3148B">
        <w:rPr>
          <w:rFonts w:cs="Arial"/>
          <w:sz w:val="22"/>
          <w:szCs w:val="22"/>
        </w:rPr>
        <w:t>logframe</w:t>
      </w:r>
      <w:r w:rsidRPr="00E11CA6">
        <w:rPr>
          <w:rFonts w:cs="Arial"/>
          <w:sz w:val="22"/>
          <w:szCs w:val="22"/>
        </w:rPr>
        <w:t xml:space="preserve"> and as such this is the first year that this output is being reported against</w:t>
      </w:r>
      <w:r w:rsidR="00720525" w:rsidRPr="00E11CA6">
        <w:rPr>
          <w:rFonts w:cs="Arial"/>
          <w:sz w:val="22"/>
          <w:szCs w:val="22"/>
        </w:rPr>
        <w:t>, so there are no changes to report on.</w:t>
      </w:r>
      <w:r w:rsidR="002E2808" w:rsidRPr="00E11CA6">
        <w:rPr>
          <w:rFonts w:cs="Arial"/>
          <w:sz w:val="22"/>
          <w:szCs w:val="22"/>
        </w:rPr>
        <w:t xml:space="preserve"> We will use this year’s results </w:t>
      </w:r>
      <w:r w:rsidR="00B47BE7" w:rsidRPr="00E11CA6">
        <w:rPr>
          <w:rFonts w:cs="Arial"/>
          <w:sz w:val="22"/>
          <w:szCs w:val="22"/>
        </w:rPr>
        <w:t xml:space="preserve">as a baseline for </w:t>
      </w:r>
      <w:r w:rsidR="00ED23D6" w:rsidRPr="00E11CA6">
        <w:rPr>
          <w:rFonts w:cs="Arial"/>
          <w:sz w:val="22"/>
          <w:szCs w:val="22"/>
        </w:rPr>
        <w:t>comparing</w:t>
      </w:r>
      <w:r w:rsidR="00B47BE7" w:rsidRPr="00E11CA6">
        <w:rPr>
          <w:rFonts w:cs="Arial"/>
          <w:sz w:val="22"/>
          <w:szCs w:val="22"/>
        </w:rPr>
        <w:t xml:space="preserve"> future results</w:t>
      </w:r>
      <w:r w:rsidR="00325C01" w:rsidRPr="00E11CA6">
        <w:rPr>
          <w:rFonts w:cs="Arial"/>
          <w:sz w:val="22"/>
          <w:szCs w:val="22"/>
        </w:rPr>
        <w:t xml:space="preserve"> and setting targets</w:t>
      </w:r>
      <w:r w:rsidR="00B47BE7" w:rsidRPr="00E11CA6">
        <w:rPr>
          <w:rFonts w:cs="Arial"/>
          <w:sz w:val="22"/>
          <w:szCs w:val="22"/>
        </w:rPr>
        <w:t xml:space="preserve">. </w:t>
      </w:r>
      <w:r w:rsidR="00325C01" w:rsidRPr="00E11CA6">
        <w:rPr>
          <w:rFonts w:cs="Arial"/>
          <w:sz w:val="22"/>
          <w:szCs w:val="22"/>
        </w:rPr>
        <w:t xml:space="preserve">We </w:t>
      </w:r>
      <w:r w:rsidR="000A35DE" w:rsidRPr="00E11CA6">
        <w:rPr>
          <w:rFonts w:cs="Arial"/>
          <w:sz w:val="22"/>
          <w:szCs w:val="22"/>
        </w:rPr>
        <w:t xml:space="preserve">expect </w:t>
      </w:r>
      <w:r w:rsidR="0007500F" w:rsidRPr="00E11CA6">
        <w:rPr>
          <w:rFonts w:cs="Arial"/>
          <w:sz w:val="22"/>
          <w:szCs w:val="22"/>
        </w:rPr>
        <w:t xml:space="preserve">delivery partners to provide detailed reporting on the elements of the programme, which will </w:t>
      </w:r>
      <w:r w:rsidR="00402058" w:rsidRPr="00E11CA6">
        <w:rPr>
          <w:rFonts w:cs="Arial"/>
          <w:sz w:val="22"/>
          <w:szCs w:val="22"/>
        </w:rPr>
        <w:t>give us</w:t>
      </w:r>
      <w:r w:rsidR="0007500F" w:rsidRPr="00E11CA6">
        <w:rPr>
          <w:rFonts w:cs="Arial"/>
          <w:sz w:val="22"/>
          <w:szCs w:val="22"/>
        </w:rPr>
        <w:t xml:space="preserve"> more data on how well the Partnership is preforming and UK’s contributions towards that.  </w:t>
      </w:r>
    </w:p>
    <w:p w14:paraId="08B62400" w14:textId="77777777" w:rsidR="006314ED" w:rsidRPr="00E11CA6" w:rsidRDefault="006314ED" w:rsidP="006D7DE4">
      <w:pPr>
        <w:rPr>
          <w:rFonts w:cs="Arial"/>
          <w:sz w:val="22"/>
          <w:szCs w:val="22"/>
        </w:rPr>
      </w:pPr>
    </w:p>
    <w:p w14:paraId="7C0CCEB0" w14:textId="5814680D" w:rsidR="006314ED" w:rsidRPr="00E11CA6" w:rsidRDefault="006314ED" w:rsidP="00EA0F4D">
      <w:pPr>
        <w:ind w:firstLine="720"/>
        <w:rPr>
          <w:rFonts w:cs="Arial"/>
          <w:sz w:val="22"/>
          <w:szCs w:val="22"/>
        </w:rPr>
      </w:pPr>
      <w:r w:rsidRPr="00E11CA6">
        <w:rPr>
          <w:rFonts w:cs="Arial"/>
          <w:sz w:val="22"/>
          <w:szCs w:val="22"/>
        </w:rPr>
        <w:t>For indicator 1.5,</w:t>
      </w:r>
      <w:r w:rsidR="001F6AEB" w:rsidRPr="00E11CA6">
        <w:rPr>
          <w:rFonts w:cs="Arial"/>
          <w:sz w:val="22"/>
          <w:szCs w:val="22"/>
        </w:rPr>
        <w:t xml:space="preserve"> where </w:t>
      </w:r>
      <w:r w:rsidR="19D78E07" w:rsidRPr="00E11CA6">
        <w:rPr>
          <w:rFonts w:cs="Arial"/>
          <w:sz w:val="22"/>
          <w:szCs w:val="22"/>
        </w:rPr>
        <w:t>th</w:t>
      </w:r>
      <w:r w:rsidR="001F6AEB" w:rsidRPr="00E11CA6">
        <w:rPr>
          <w:rFonts w:cs="Arial"/>
          <w:sz w:val="22"/>
          <w:szCs w:val="22"/>
        </w:rPr>
        <w:t>e</w:t>
      </w:r>
      <w:r w:rsidR="4A45EDB1" w:rsidRPr="00E11CA6">
        <w:rPr>
          <w:rFonts w:cs="Arial"/>
          <w:sz w:val="22"/>
          <w:szCs w:val="22"/>
        </w:rPr>
        <w:t xml:space="preserve"> target has been significantly</w:t>
      </w:r>
      <w:r w:rsidR="001F6AEB" w:rsidRPr="00E11CA6">
        <w:rPr>
          <w:rFonts w:cs="Arial"/>
          <w:sz w:val="22"/>
          <w:szCs w:val="22"/>
        </w:rPr>
        <w:t xml:space="preserve"> </w:t>
      </w:r>
      <w:r w:rsidR="007966B8" w:rsidRPr="00E11CA6">
        <w:rPr>
          <w:rFonts w:cs="Arial"/>
          <w:sz w:val="22"/>
          <w:szCs w:val="22"/>
        </w:rPr>
        <w:t>exceeded</w:t>
      </w:r>
      <w:r w:rsidR="001F6AEB" w:rsidRPr="00E11CA6">
        <w:rPr>
          <w:rFonts w:cs="Arial"/>
          <w:sz w:val="22"/>
          <w:szCs w:val="22"/>
        </w:rPr>
        <w:t>,</w:t>
      </w:r>
      <w:r w:rsidRPr="00E11CA6">
        <w:rPr>
          <w:rFonts w:cs="Arial"/>
          <w:sz w:val="22"/>
          <w:szCs w:val="22"/>
        </w:rPr>
        <w:t xml:space="preserve"> we plan to </w:t>
      </w:r>
      <w:r w:rsidR="007966B8" w:rsidRPr="00E11CA6">
        <w:rPr>
          <w:rFonts w:cs="Arial"/>
          <w:sz w:val="22"/>
          <w:szCs w:val="22"/>
        </w:rPr>
        <w:t>increase</w:t>
      </w:r>
      <w:r w:rsidRPr="00E11CA6">
        <w:rPr>
          <w:rFonts w:cs="Arial"/>
          <w:sz w:val="22"/>
          <w:szCs w:val="22"/>
        </w:rPr>
        <w:t xml:space="preserve"> the target for next year. As this is a </w:t>
      </w:r>
      <w:r w:rsidR="002F6220" w:rsidRPr="00E11CA6">
        <w:rPr>
          <w:rFonts w:cs="Arial"/>
          <w:sz w:val="22"/>
          <w:szCs w:val="22"/>
        </w:rPr>
        <w:t>P</w:t>
      </w:r>
      <w:r w:rsidRPr="00E11CA6">
        <w:rPr>
          <w:rFonts w:cs="Arial"/>
          <w:sz w:val="22"/>
          <w:szCs w:val="22"/>
        </w:rPr>
        <w:t xml:space="preserve">artnership level indicator, we will work with the SU as a Steering Committee member to set more ambitious targets for next year as they develop their new MEL framework as part of the 2026-2030 Work Programme.   </w:t>
      </w:r>
    </w:p>
    <w:p w14:paraId="033808EB" w14:textId="77777777" w:rsidR="003D222C" w:rsidRPr="003C5BF3" w:rsidRDefault="003D222C" w:rsidP="004D5FD5">
      <w:pPr>
        <w:jc w:val="both"/>
        <w:rPr>
          <w:rFonts w:cs="Arial"/>
          <w:sz w:val="22"/>
          <w:szCs w:val="22"/>
        </w:rPr>
      </w:pPr>
    </w:p>
    <w:p w14:paraId="17BAC3B7" w14:textId="5CA6B1A7" w:rsidR="003D222C" w:rsidRPr="003C5BF3" w:rsidRDefault="003D222C" w:rsidP="004D5FD5">
      <w:pPr>
        <w:jc w:val="both"/>
        <w:rPr>
          <w:rFonts w:cs="Arial"/>
          <w:bCs/>
          <w:sz w:val="22"/>
          <w:szCs w:val="22"/>
        </w:rPr>
      </w:pPr>
      <w:r w:rsidRPr="003C5BF3">
        <w:rPr>
          <w:b/>
          <w:bCs/>
          <w:i/>
          <w:iCs/>
          <w:sz w:val="28"/>
          <w:szCs w:val="28"/>
        </w:rPr>
        <w:t>Progress on recommendations from the previous AR</w:t>
      </w:r>
      <w:r w:rsidR="00690170" w:rsidRPr="003C5BF3">
        <w:rPr>
          <w:b/>
          <w:bCs/>
          <w:i/>
          <w:iCs/>
          <w:sz w:val="28"/>
          <w:szCs w:val="28"/>
        </w:rPr>
        <w:t xml:space="preserve">, </w:t>
      </w:r>
      <w:r w:rsidRPr="003C5BF3">
        <w:rPr>
          <w:b/>
          <w:bCs/>
          <w:i/>
          <w:iCs/>
          <w:sz w:val="28"/>
          <w:szCs w:val="28"/>
        </w:rPr>
        <w:t>lessons learned this year</w:t>
      </w:r>
      <w:r w:rsidR="00690170" w:rsidRPr="003C5BF3">
        <w:rPr>
          <w:b/>
          <w:bCs/>
          <w:i/>
          <w:iCs/>
          <w:sz w:val="28"/>
          <w:szCs w:val="28"/>
        </w:rPr>
        <w:t>,</w:t>
      </w:r>
      <w:r w:rsidRPr="003C5BF3">
        <w:rPr>
          <w:b/>
          <w:bCs/>
          <w:i/>
          <w:iCs/>
          <w:sz w:val="28"/>
          <w:szCs w:val="28"/>
        </w:rPr>
        <w:t xml:space="preserve"> and recommendations for the year ahead</w:t>
      </w:r>
      <w:r w:rsidRPr="003C5BF3">
        <w:rPr>
          <w:rFonts w:cs="Arial"/>
          <w:b/>
          <w:bCs/>
        </w:rPr>
        <w:t xml:space="preserve"> </w:t>
      </w:r>
    </w:p>
    <w:p w14:paraId="72F2FAA1" w14:textId="77777777" w:rsidR="003D222C" w:rsidRPr="003C5BF3" w:rsidRDefault="003D222C" w:rsidP="004D5FD5">
      <w:pPr>
        <w:tabs>
          <w:tab w:val="left" w:pos="8352"/>
        </w:tabs>
        <w:jc w:val="both"/>
        <w:rPr>
          <w:rFonts w:cs="Arial"/>
          <w:bCs/>
          <w:sz w:val="22"/>
          <w:szCs w:val="22"/>
        </w:rPr>
      </w:pPr>
    </w:p>
    <w:p w14:paraId="30487111" w14:textId="244B485C" w:rsidR="00F560AD" w:rsidRPr="00E11CA6" w:rsidRDefault="005D7D71" w:rsidP="006A5A37">
      <w:pPr>
        <w:tabs>
          <w:tab w:val="left" w:pos="3495"/>
        </w:tabs>
        <w:rPr>
          <w:rFonts w:cs="Arial"/>
        </w:rPr>
      </w:pPr>
      <w:r w:rsidRPr="00E11CA6">
        <w:rPr>
          <w:rFonts w:cs="Arial"/>
        </w:rPr>
        <w:t xml:space="preserve">As this is the first year of a new </w:t>
      </w:r>
      <w:r w:rsidR="00A3148B">
        <w:rPr>
          <w:rFonts w:cs="Arial"/>
        </w:rPr>
        <w:t>logframe</w:t>
      </w:r>
      <w:r w:rsidR="00396862" w:rsidRPr="00E11CA6">
        <w:rPr>
          <w:rFonts w:cs="Arial"/>
        </w:rPr>
        <w:t xml:space="preserve">, the recommendations from last year’s </w:t>
      </w:r>
      <w:r w:rsidR="002F6220" w:rsidRPr="00E11CA6">
        <w:rPr>
          <w:rFonts w:cs="Arial"/>
        </w:rPr>
        <w:t xml:space="preserve">annual review </w:t>
      </w:r>
      <w:r w:rsidR="00396862" w:rsidRPr="00E11CA6">
        <w:rPr>
          <w:rFonts w:cs="Arial"/>
        </w:rPr>
        <w:t xml:space="preserve">do not relate to these outputs. </w:t>
      </w:r>
    </w:p>
    <w:p w14:paraId="48D5BF31" w14:textId="77777777" w:rsidR="00EA0F4D" w:rsidRDefault="00EA0F4D" w:rsidP="006A5A37">
      <w:pPr>
        <w:tabs>
          <w:tab w:val="left" w:pos="3495"/>
        </w:tabs>
        <w:rPr>
          <w:rFonts w:cs="Arial"/>
        </w:rPr>
      </w:pPr>
    </w:p>
    <w:p w14:paraId="7112982D" w14:textId="77777777" w:rsidR="00EA0F4D" w:rsidRDefault="00EA0F4D" w:rsidP="006A5A37">
      <w:pPr>
        <w:tabs>
          <w:tab w:val="left" w:pos="3495"/>
        </w:tabs>
        <w:rPr>
          <w:rFonts w:cs="Arial"/>
        </w:rPr>
      </w:pPr>
    </w:p>
    <w:p w14:paraId="208F2476" w14:textId="77777777" w:rsidR="00EA0F4D" w:rsidRDefault="00EA0F4D" w:rsidP="006A5A37">
      <w:pPr>
        <w:tabs>
          <w:tab w:val="left" w:pos="3495"/>
        </w:tabs>
        <w:rPr>
          <w:rFonts w:cs="Arial"/>
        </w:rPr>
      </w:pPr>
    </w:p>
    <w:p w14:paraId="6F5CC205" w14:textId="77777777" w:rsidR="00EA0F4D" w:rsidRDefault="00EA0F4D" w:rsidP="006A5A37">
      <w:pPr>
        <w:tabs>
          <w:tab w:val="left" w:pos="3495"/>
        </w:tabs>
        <w:rPr>
          <w:rFonts w:cs="Arial"/>
        </w:rPr>
      </w:pPr>
    </w:p>
    <w:p w14:paraId="35C594C1" w14:textId="77777777" w:rsidR="00EA0F4D" w:rsidRPr="00EA0F4D" w:rsidRDefault="00EA0F4D" w:rsidP="006A5A37">
      <w:pPr>
        <w:tabs>
          <w:tab w:val="left" w:pos="3495"/>
        </w:tabs>
        <w:rPr>
          <w:rFonts w:cs="Arial"/>
        </w:rPr>
      </w:pPr>
    </w:p>
    <w:p w14:paraId="33250A26" w14:textId="77777777" w:rsidR="00E11CA6" w:rsidRDefault="00E11CA6">
      <w:pPr>
        <w:spacing w:after="160" w:line="259" w:lineRule="auto"/>
        <w:rPr>
          <w:b/>
          <w:iCs/>
          <w:kern w:val="28"/>
          <w:sz w:val="28"/>
          <w:szCs w:val="28"/>
        </w:rPr>
      </w:pPr>
      <w:bookmarkStart w:id="15" w:name="_Toc199421664"/>
      <w:r>
        <w:rPr>
          <w:i/>
          <w:iCs/>
        </w:rPr>
        <w:br w:type="page"/>
      </w:r>
    </w:p>
    <w:p w14:paraId="2B87EB36" w14:textId="42618B2D" w:rsidR="003D222C" w:rsidRPr="003C5BF3" w:rsidRDefault="006A5A37" w:rsidP="00F1164A">
      <w:pPr>
        <w:pStyle w:val="Heading2"/>
        <w:jc w:val="both"/>
        <w:rPr>
          <w:i w:val="0"/>
          <w:iCs/>
          <w:sz w:val="24"/>
          <w:szCs w:val="24"/>
        </w:rPr>
      </w:pPr>
      <w:r>
        <w:rPr>
          <w:i w:val="0"/>
          <w:iCs/>
        </w:rPr>
        <w:lastRenderedPageBreak/>
        <w:t>O</w:t>
      </w:r>
      <w:r w:rsidR="001E39C4" w:rsidRPr="003C5BF3">
        <w:rPr>
          <w:i w:val="0"/>
          <w:iCs/>
        </w:rPr>
        <w:t>utput 2</w:t>
      </w:r>
      <w:bookmarkEnd w:id="15"/>
    </w:p>
    <w:p w14:paraId="6614CA3C" w14:textId="77777777" w:rsidR="001E39C4" w:rsidRPr="003C5BF3" w:rsidRDefault="001E39C4" w:rsidP="004D5FD5">
      <w:pPr>
        <w:jc w:val="both"/>
        <w:rPr>
          <w:rFonts w:cs="Arial"/>
          <w:b/>
          <w:bCs/>
          <w:i/>
          <w:iCs/>
        </w:rPr>
      </w:pPr>
    </w:p>
    <w:tbl>
      <w:tblPr>
        <w:tblStyle w:val="TableGrid"/>
        <w:tblW w:w="9072" w:type="dxa"/>
        <w:tblInd w:w="-5" w:type="dxa"/>
        <w:tblLook w:val="04A0" w:firstRow="1" w:lastRow="0" w:firstColumn="1" w:lastColumn="0" w:noHBand="0" w:noVBand="1"/>
      </w:tblPr>
      <w:tblGrid>
        <w:gridCol w:w="1548"/>
        <w:gridCol w:w="592"/>
        <w:gridCol w:w="1230"/>
        <w:gridCol w:w="2822"/>
        <w:gridCol w:w="2880"/>
      </w:tblGrid>
      <w:tr w:rsidR="002C3A0F" w:rsidRPr="003C5BF3" w14:paraId="1B1A9F9C" w14:textId="77777777" w:rsidTr="2A760BCE">
        <w:trPr>
          <w:trHeight w:val="489"/>
        </w:trPr>
        <w:tc>
          <w:tcPr>
            <w:tcW w:w="154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998CD4D" w14:textId="77777777" w:rsidR="001E39C4" w:rsidRPr="00E11CA6" w:rsidRDefault="001E39C4">
            <w:pPr>
              <w:jc w:val="both"/>
              <w:rPr>
                <w:rFonts w:cs="Arial"/>
                <w:b/>
                <w:bCs/>
                <w:sz w:val="20"/>
                <w:szCs w:val="20"/>
              </w:rPr>
            </w:pPr>
            <w:r w:rsidRPr="00E11CA6">
              <w:rPr>
                <w:rFonts w:cs="Arial"/>
                <w:b/>
                <w:bCs/>
                <w:sz w:val="20"/>
                <w:szCs w:val="20"/>
              </w:rPr>
              <w:t xml:space="preserve">Output Title </w:t>
            </w:r>
          </w:p>
        </w:tc>
        <w:tc>
          <w:tcPr>
            <w:tcW w:w="752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608CFDA" w14:textId="799524F2" w:rsidR="001E39C4" w:rsidRPr="00E11CA6" w:rsidRDefault="00793079">
            <w:pPr>
              <w:jc w:val="both"/>
              <w:rPr>
                <w:rFonts w:cs="Arial"/>
                <w:b/>
                <w:iCs/>
                <w:color w:val="FF0000"/>
                <w:sz w:val="20"/>
                <w:szCs w:val="20"/>
              </w:rPr>
            </w:pPr>
            <w:r w:rsidRPr="00E11CA6">
              <w:rPr>
                <w:rFonts w:cs="Arial"/>
                <w:b/>
                <w:iCs/>
                <w:sz w:val="20"/>
                <w:szCs w:val="20"/>
              </w:rPr>
              <w:t>Capacity and capability of developing countries increases.</w:t>
            </w:r>
          </w:p>
        </w:tc>
      </w:tr>
      <w:tr w:rsidR="00E10F47" w:rsidRPr="003C5BF3" w14:paraId="4123BDD6" w14:textId="77777777" w:rsidTr="2A760BCE">
        <w:trPr>
          <w:trHeight w:val="347"/>
        </w:trPr>
        <w:tc>
          <w:tcPr>
            <w:tcW w:w="21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769ED19" w14:textId="77777777" w:rsidR="001E39C4" w:rsidRPr="00E11CA6" w:rsidRDefault="001E39C4">
            <w:pPr>
              <w:jc w:val="both"/>
              <w:rPr>
                <w:rFonts w:cs="Arial"/>
                <w:bCs/>
                <w:sz w:val="20"/>
                <w:szCs w:val="20"/>
              </w:rPr>
            </w:pPr>
            <w:r w:rsidRPr="00E11CA6">
              <w:rPr>
                <w:rFonts w:cs="Arial"/>
                <w:bCs/>
                <w:sz w:val="20"/>
                <w:szCs w:val="20"/>
              </w:rPr>
              <w:t xml:space="preserve">Output number: </w:t>
            </w:r>
          </w:p>
        </w:tc>
        <w:tc>
          <w:tcPr>
            <w:tcW w:w="1230" w:type="dxa"/>
            <w:tcBorders>
              <w:top w:val="single" w:sz="4" w:space="0" w:color="auto"/>
              <w:left w:val="single" w:sz="4" w:space="0" w:color="auto"/>
              <w:bottom w:val="single" w:sz="4" w:space="0" w:color="auto"/>
              <w:right w:val="single" w:sz="4" w:space="0" w:color="auto"/>
            </w:tcBorders>
          </w:tcPr>
          <w:p w14:paraId="65B9D895" w14:textId="0A5E71DD" w:rsidR="001E39C4" w:rsidRPr="00E11CA6" w:rsidRDefault="00793079">
            <w:pPr>
              <w:jc w:val="both"/>
              <w:rPr>
                <w:rFonts w:cs="Arial"/>
                <w:sz w:val="20"/>
                <w:szCs w:val="20"/>
              </w:rPr>
            </w:pPr>
            <w:r w:rsidRPr="00E11CA6">
              <w:rPr>
                <w:rFonts w:cs="Arial"/>
                <w:sz w:val="20"/>
                <w:szCs w:val="20"/>
              </w:rPr>
              <w:t>2</w:t>
            </w:r>
          </w:p>
        </w:tc>
        <w:tc>
          <w:tcPr>
            <w:tcW w:w="282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5B6B9AD" w14:textId="77777777" w:rsidR="001E39C4" w:rsidRPr="00E11CA6" w:rsidRDefault="001E39C4">
            <w:pPr>
              <w:jc w:val="both"/>
              <w:rPr>
                <w:rFonts w:cs="Arial"/>
                <w:sz w:val="20"/>
                <w:szCs w:val="20"/>
              </w:rPr>
            </w:pPr>
            <w:r w:rsidRPr="00E11CA6">
              <w:rPr>
                <w:rFonts w:cs="Arial"/>
                <w:bCs/>
                <w:sz w:val="20"/>
                <w:szCs w:val="20"/>
              </w:rPr>
              <w:t xml:space="preserve">Output Score: </w:t>
            </w:r>
          </w:p>
        </w:tc>
        <w:tc>
          <w:tcPr>
            <w:tcW w:w="2880" w:type="dxa"/>
            <w:tcBorders>
              <w:top w:val="single" w:sz="4" w:space="0" w:color="auto"/>
              <w:left w:val="single" w:sz="4" w:space="0" w:color="auto"/>
              <w:bottom w:val="single" w:sz="4" w:space="0" w:color="auto"/>
              <w:right w:val="single" w:sz="4" w:space="0" w:color="auto"/>
            </w:tcBorders>
          </w:tcPr>
          <w:p w14:paraId="6DFDEAC0" w14:textId="29AE59A9" w:rsidR="001E39C4" w:rsidRPr="00E11CA6" w:rsidRDefault="00C300E2">
            <w:pPr>
              <w:jc w:val="both"/>
              <w:rPr>
                <w:rFonts w:cs="Arial"/>
                <w:b/>
                <w:bCs/>
                <w:iCs/>
                <w:sz w:val="20"/>
                <w:szCs w:val="20"/>
              </w:rPr>
            </w:pPr>
            <w:r w:rsidRPr="00E11CA6">
              <w:rPr>
                <w:rFonts w:cs="Arial"/>
                <w:b/>
                <w:bCs/>
                <w:iCs/>
                <w:sz w:val="20"/>
                <w:szCs w:val="20"/>
              </w:rPr>
              <w:t xml:space="preserve">A+ </w:t>
            </w:r>
          </w:p>
        </w:tc>
      </w:tr>
      <w:tr w:rsidR="00E10F47" w:rsidRPr="003C5BF3" w14:paraId="203DF987" w14:textId="77777777" w:rsidTr="2A760BCE">
        <w:trPr>
          <w:trHeight w:val="345"/>
        </w:trPr>
        <w:tc>
          <w:tcPr>
            <w:tcW w:w="21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3369EC6" w14:textId="77777777" w:rsidR="001E39C4" w:rsidRPr="00E11CA6" w:rsidRDefault="001E39C4">
            <w:pPr>
              <w:jc w:val="both"/>
              <w:rPr>
                <w:rFonts w:cs="Arial"/>
                <w:sz w:val="20"/>
                <w:szCs w:val="20"/>
              </w:rPr>
            </w:pPr>
            <w:r w:rsidRPr="00E11CA6">
              <w:rPr>
                <w:rFonts w:cs="Arial"/>
                <w:bCs/>
                <w:sz w:val="20"/>
                <w:szCs w:val="20"/>
              </w:rPr>
              <w:t xml:space="preserve">Impact weighting (%):  </w:t>
            </w:r>
          </w:p>
        </w:tc>
        <w:tc>
          <w:tcPr>
            <w:tcW w:w="1230" w:type="dxa"/>
            <w:tcBorders>
              <w:top w:val="single" w:sz="4" w:space="0" w:color="auto"/>
              <w:left w:val="single" w:sz="4" w:space="0" w:color="auto"/>
              <w:bottom w:val="single" w:sz="4" w:space="0" w:color="auto"/>
              <w:right w:val="single" w:sz="4" w:space="0" w:color="auto"/>
            </w:tcBorders>
            <w:hideMark/>
          </w:tcPr>
          <w:p w14:paraId="3175D837" w14:textId="75ECBF0D" w:rsidR="001E39C4" w:rsidRPr="00E11CA6" w:rsidRDefault="00793079">
            <w:pPr>
              <w:jc w:val="both"/>
              <w:rPr>
                <w:rFonts w:cs="Arial"/>
                <w:bCs/>
                <w:sz w:val="20"/>
                <w:szCs w:val="20"/>
              </w:rPr>
            </w:pPr>
            <w:r w:rsidRPr="00E11CA6">
              <w:rPr>
                <w:rFonts w:cs="Arial"/>
                <w:bCs/>
                <w:sz w:val="20"/>
                <w:szCs w:val="20"/>
              </w:rPr>
              <w:t>30</w:t>
            </w:r>
          </w:p>
        </w:tc>
        <w:tc>
          <w:tcPr>
            <w:tcW w:w="282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0F477FF" w14:textId="77777777" w:rsidR="001E39C4" w:rsidRPr="00E11CA6" w:rsidRDefault="001E39C4">
            <w:pPr>
              <w:jc w:val="both"/>
              <w:rPr>
                <w:rFonts w:cs="Arial"/>
                <w:bCs/>
                <w:sz w:val="20"/>
                <w:szCs w:val="20"/>
              </w:rPr>
            </w:pPr>
            <w:r w:rsidRPr="00E11CA6">
              <w:rPr>
                <w:rFonts w:cs="Arial"/>
                <w:bCs/>
                <w:sz w:val="20"/>
                <w:szCs w:val="20"/>
              </w:rPr>
              <w:t xml:space="preserve">Weighting revised since last AR? </w:t>
            </w:r>
          </w:p>
        </w:tc>
        <w:tc>
          <w:tcPr>
            <w:tcW w:w="2880" w:type="dxa"/>
            <w:tcBorders>
              <w:top w:val="single" w:sz="4" w:space="0" w:color="auto"/>
              <w:left w:val="single" w:sz="4" w:space="0" w:color="auto"/>
              <w:bottom w:val="single" w:sz="4" w:space="0" w:color="auto"/>
              <w:right w:val="single" w:sz="4" w:space="0" w:color="auto"/>
            </w:tcBorders>
          </w:tcPr>
          <w:p w14:paraId="0DAC2617" w14:textId="50931D76" w:rsidR="001E39C4" w:rsidRPr="00E11CA6" w:rsidRDefault="00F05E66">
            <w:pPr>
              <w:jc w:val="both"/>
              <w:rPr>
                <w:rFonts w:cs="Arial"/>
                <w:bCs/>
                <w:sz w:val="20"/>
                <w:szCs w:val="20"/>
              </w:rPr>
            </w:pPr>
            <w:r w:rsidRPr="00E11CA6">
              <w:rPr>
                <w:rFonts w:cs="Arial"/>
                <w:bCs/>
                <w:sz w:val="20"/>
                <w:szCs w:val="20"/>
              </w:rPr>
              <w:t>N/A</w:t>
            </w:r>
          </w:p>
        </w:tc>
      </w:tr>
      <w:tr w:rsidR="00E10F47" w:rsidRPr="003C5BF3" w14:paraId="03E8FA17" w14:textId="77777777" w:rsidTr="2A760BCE">
        <w:trPr>
          <w:trHeight w:val="345"/>
        </w:trPr>
        <w:tc>
          <w:tcPr>
            <w:tcW w:w="21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9A7A3A" w14:textId="77777777" w:rsidR="001E39C4" w:rsidRPr="00E11CA6" w:rsidRDefault="001E39C4">
            <w:pPr>
              <w:jc w:val="both"/>
              <w:rPr>
                <w:rFonts w:cs="Arial"/>
                <w:bCs/>
                <w:sz w:val="20"/>
                <w:szCs w:val="20"/>
              </w:rPr>
            </w:pPr>
            <w:r w:rsidRPr="00E11CA6">
              <w:rPr>
                <w:rFonts w:cs="Arial"/>
                <w:bCs/>
                <w:sz w:val="20"/>
                <w:szCs w:val="20"/>
              </w:rPr>
              <w:t>Risk rating:</w:t>
            </w:r>
          </w:p>
        </w:tc>
        <w:tc>
          <w:tcPr>
            <w:tcW w:w="1230" w:type="dxa"/>
            <w:tcBorders>
              <w:top w:val="single" w:sz="4" w:space="0" w:color="auto"/>
              <w:left w:val="single" w:sz="4" w:space="0" w:color="auto"/>
              <w:bottom w:val="single" w:sz="4" w:space="0" w:color="auto"/>
              <w:right w:val="single" w:sz="4" w:space="0" w:color="auto"/>
            </w:tcBorders>
          </w:tcPr>
          <w:p w14:paraId="354FAFCE" w14:textId="1C005A59" w:rsidR="001E39C4" w:rsidRPr="00E11CA6" w:rsidRDefault="00DB2BE5">
            <w:pPr>
              <w:jc w:val="both"/>
              <w:rPr>
                <w:rFonts w:cs="Arial"/>
                <w:bCs/>
                <w:sz w:val="20"/>
                <w:szCs w:val="20"/>
              </w:rPr>
            </w:pPr>
            <w:r w:rsidRPr="00E11CA6">
              <w:rPr>
                <w:rFonts w:cs="Arial"/>
                <w:bCs/>
                <w:sz w:val="20"/>
                <w:szCs w:val="20"/>
              </w:rPr>
              <w:t>Moderate</w:t>
            </w:r>
          </w:p>
        </w:tc>
        <w:tc>
          <w:tcPr>
            <w:tcW w:w="28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18362C" w14:textId="77777777" w:rsidR="001E39C4" w:rsidRPr="00E11CA6" w:rsidRDefault="001E39C4">
            <w:pPr>
              <w:jc w:val="both"/>
              <w:rPr>
                <w:rFonts w:cs="Arial"/>
                <w:bCs/>
                <w:sz w:val="20"/>
                <w:szCs w:val="20"/>
              </w:rPr>
            </w:pPr>
            <w:r w:rsidRPr="00E11CA6">
              <w:rPr>
                <w:rFonts w:cs="Arial"/>
                <w:bCs/>
                <w:sz w:val="20"/>
                <w:szCs w:val="20"/>
              </w:rPr>
              <w:t>Risk revised since last AR?</w:t>
            </w:r>
          </w:p>
        </w:tc>
        <w:tc>
          <w:tcPr>
            <w:tcW w:w="2880" w:type="dxa"/>
            <w:tcBorders>
              <w:top w:val="single" w:sz="4" w:space="0" w:color="auto"/>
              <w:left w:val="single" w:sz="4" w:space="0" w:color="auto"/>
              <w:bottom w:val="single" w:sz="4" w:space="0" w:color="auto"/>
              <w:right w:val="single" w:sz="4" w:space="0" w:color="auto"/>
            </w:tcBorders>
          </w:tcPr>
          <w:p w14:paraId="34E302A3" w14:textId="643D3B5C" w:rsidR="001E39C4" w:rsidRPr="00E11CA6" w:rsidRDefault="00F05E66">
            <w:pPr>
              <w:jc w:val="both"/>
              <w:rPr>
                <w:rFonts w:cs="Arial"/>
                <w:bCs/>
                <w:sz w:val="20"/>
                <w:szCs w:val="20"/>
              </w:rPr>
            </w:pPr>
            <w:r w:rsidRPr="00E11CA6">
              <w:rPr>
                <w:rFonts w:cs="Arial"/>
                <w:bCs/>
                <w:sz w:val="20"/>
                <w:szCs w:val="20"/>
              </w:rPr>
              <w:t>N/A</w:t>
            </w:r>
          </w:p>
        </w:tc>
      </w:tr>
    </w:tbl>
    <w:p w14:paraId="2AF326C7" w14:textId="77777777" w:rsidR="001E39C4" w:rsidRPr="003C5BF3" w:rsidRDefault="001E39C4" w:rsidP="001E39C4">
      <w:pPr>
        <w:jc w:val="both"/>
        <w:rPr>
          <w:rFonts w:cs="Arial"/>
          <w:b/>
          <w:sz w:val="22"/>
          <w:szCs w:val="22"/>
        </w:rPr>
      </w:pPr>
    </w:p>
    <w:tbl>
      <w:tblPr>
        <w:tblStyle w:val="TableGrid"/>
        <w:tblpPr w:leftFromText="180" w:rightFromText="180" w:vertAnchor="text" w:horzAnchor="margin" w:tblpY="10"/>
        <w:tblOverlap w:val="never"/>
        <w:tblW w:w="9067" w:type="dxa"/>
        <w:tblLook w:val="04A0" w:firstRow="1" w:lastRow="0" w:firstColumn="1" w:lastColumn="0" w:noHBand="0" w:noVBand="1"/>
      </w:tblPr>
      <w:tblGrid>
        <w:gridCol w:w="2263"/>
        <w:gridCol w:w="1418"/>
        <w:gridCol w:w="5386"/>
      </w:tblGrid>
      <w:tr w:rsidR="009867B4" w:rsidRPr="003C5BF3" w14:paraId="46EFDFBB" w14:textId="77777777" w:rsidTr="592BDD87">
        <w:trPr>
          <w:trHeight w:val="273"/>
        </w:trPr>
        <w:tc>
          <w:tcPr>
            <w:tcW w:w="226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E43F784" w14:textId="77777777" w:rsidR="009867B4" w:rsidRPr="00E11CA6" w:rsidRDefault="009867B4" w:rsidP="00EA0F4D">
            <w:pPr>
              <w:rPr>
                <w:rFonts w:cs="Arial"/>
                <w:b/>
                <w:bCs/>
                <w:sz w:val="20"/>
                <w:szCs w:val="20"/>
              </w:rPr>
            </w:pPr>
            <w:r w:rsidRPr="00E11CA6">
              <w:rPr>
                <w:rFonts w:cs="Arial"/>
                <w:b/>
                <w:bCs/>
                <w:sz w:val="20"/>
                <w:szCs w:val="20"/>
              </w:rPr>
              <w:t>Indicator(s)</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07B68DA" w14:textId="77777777" w:rsidR="009867B4" w:rsidRPr="00E11CA6" w:rsidRDefault="009867B4" w:rsidP="00EA0F4D">
            <w:pPr>
              <w:rPr>
                <w:rFonts w:cs="Arial"/>
                <w:b/>
                <w:bCs/>
                <w:sz w:val="20"/>
                <w:szCs w:val="20"/>
              </w:rPr>
            </w:pPr>
            <w:r w:rsidRPr="00E11CA6">
              <w:rPr>
                <w:rFonts w:cs="Arial"/>
                <w:b/>
                <w:bCs/>
                <w:sz w:val="20"/>
                <w:szCs w:val="20"/>
              </w:rPr>
              <w:t>Milestone(s) for this review</w:t>
            </w:r>
          </w:p>
        </w:tc>
        <w:tc>
          <w:tcPr>
            <w:tcW w:w="538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9727499" w14:textId="77777777" w:rsidR="009867B4" w:rsidRPr="00E11CA6" w:rsidRDefault="009867B4" w:rsidP="00EA0F4D">
            <w:pPr>
              <w:rPr>
                <w:rFonts w:cs="Arial"/>
                <w:b/>
                <w:bCs/>
                <w:sz w:val="20"/>
                <w:szCs w:val="20"/>
              </w:rPr>
            </w:pPr>
            <w:r w:rsidRPr="00E11CA6">
              <w:rPr>
                <w:rFonts w:cs="Arial"/>
                <w:b/>
                <w:bCs/>
                <w:sz w:val="20"/>
                <w:szCs w:val="20"/>
              </w:rPr>
              <w:t xml:space="preserve">Progress </w:t>
            </w:r>
          </w:p>
        </w:tc>
      </w:tr>
      <w:tr w:rsidR="009867B4" w:rsidRPr="003C5BF3" w14:paraId="5113C98D" w14:textId="77777777" w:rsidTr="592BDD87">
        <w:trPr>
          <w:trHeight w:val="605"/>
        </w:trPr>
        <w:tc>
          <w:tcPr>
            <w:tcW w:w="2263" w:type="dxa"/>
            <w:tcBorders>
              <w:top w:val="single" w:sz="4" w:space="0" w:color="auto"/>
              <w:left w:val="single" w:sz="4" w:space="0" w:color="auto"/>
              <w:bottom w:val="single" w:sz="4" w:space="0" w:color="auto"/>
              <w:right w:val="single" w:sz="4" w:space="0" w:color="auto"/>
            </w:tcBorders>
          </w:tcPr>
          <w:p w14:paraId="6CF2EBA0" w14:textId="77777777" w:rsidR="009867B4" w:rsidRPr="00E11CA6" w:rsidRDefault="00793079" w:rsidP="00EA0F4D">
            <w:pPr>
              <w:rPr>
                <w:rFonts w:cs="Arial"/>
                <w:bCs/>
                <w:iCs/>
                <w:sz w:val="20"/>
                <w:szCs w:val="20"/>
              </w:rPr>
            </w:pPr>
            <w:r w:rsidRPr="00E11CA6">
              <w:rPr>
                <w:rFonts w:cs="Arial"/>
                <w:bCs/>
                <w:iCs/>
                <w:sz w:val="20"/>
                <w:szCs w:val="20"/>
              </w:rPr>
              <w:t xml:space="preserve">2.1 </w:t>
            </w:r>
          </w:p>
          <w:p w14:paraId="12CDC95B" w14:textId="3C57DA7C" w:rsidR="003B1565" w:rsidRPr="00E11CA6" w:rsidRDefault="003B1565" w:rsidP="00EA0F4D">
            <w:pPr>
              <w:rPr>
                <w:rFonts w:cs="Arial"/>
                <w:bCs/>
                <w:iCs/>
                <w:sz w:val="20"/>
                <w:szCs w:val="20"/>
              </w:rPr>
            </w:pPr>
            <w:r w:rsidRPr="00E11CA6">
              <w:rPr>
                <w:rFonts w:cs="Arial"/>
                <w:bCs/>
                <w:iCs/>
                <w:sz w:val="20"/>
                <w:szCs w:val="20"/>
              </w:rPr>
              <w:t xml:space="preserve">(a) The total number of embedded advisors being funded by the Partnership (based on active contracts) </w:t>
            </w:r>
            <w:r w:rsidRPr="00E11CA6">
              <w:rPr>
                <w:rFonts w:cs="Arial"/>
                <w:b/>
                <w:iCs/>
                <w:sz w:val="20"/>
                <w:szCs w:val="20"/>
              </w:rPr>
              <w:t xml:space="preserve">(Partnership level indicator) </w:t>
            </w:r>
          </w:p>
          <w:p w14:paraId="7BB254B6" w14:textId="08811B33" w:rsidR="003B1565" w:rsidRPr="00E11CA6" w:rsidRDefault="003B1565" w:rsidP="00EA0F4D">
            <w:pPr>
              <w:rPr>
                <w:rFonts w:cs="Arial"/>
                <w:bCs/>
                <w:iCs/>
                <w:sz w:val="20"/>
                <w:szCs w:val="20"/>
              </w:rPr>
            </w:pPr>
            <w:r w:rsidRPr="00E11CA6">
              <w:rPr>
                <w:rFonts w:cs="Arial"/>
                <w:bCs/>
                <w:iCs/>
                <w:sz w:val="20"/>
                <w:szCs w:val="20"/>
              </w:rPr>
              <w:t xml:space="preserve">(b) The total number of embedded advisors being funded by the Partnership. (cumulative funded contracts over the course of the grant’s timeline) </w:t>
            </w:r>
            <w:r w:rsidRPr="00E11CA6">
              <w:rPr>
                <w:rFonts w:cs="Arial"/>
                <w:b/>
                <w:iCs/>
                <w:sz w:val="20"/>
                <w:szCs w:val="20"/>
              </w:rPr>
              <w:t>(Partnership level indicator)</w:t>
            </w:r>
          </w:p>
          <w:p w14:paraId="2FF9ABFB" w14:textId="77777777" w:rsidR="00444167" w:rsidRPr="00E11CA6" w:rsidRDefault="003B1565" w:rsidP="00EA0F4D">
            <w:pPr>
              <w:rPr>
                <w:rFonts w:cs="Arial"/>
                <w:bCs/>
                <w:iCs/>
                <w:sz w:val="20"/>
                <w:szCs w:val="20"/>
              </w:rPr>
            </w:pPr>
            <w:r w:rsidRPr="00E11CA6">
              <w:rPr>
                <w:rFonts w:cs="Arial"/>
                <w:bCs/>
                <w:iCs/>
                <w:sz w:val="20"/>
                <w:szCs w:val="20"/>
              </w:rPr>
              <w:t xml:space="preserve">(c)The total number of embedded advisors being funded by the UK. (based on </w:t>
            </w:r>
            <w:r w:rsidR="00444167" w:rsidRPr="00E11CA6">
              <w:rPr>
                <w:rFonts w:cs="Arial"/>
                <w:bCs/>
                <w:iCs/>
                <w:sz w:val="20"/>
                <w:szCs w:val="20"/>
              </w:rPr>
              <w:t xml:space="preserve">active </w:t>
            </w:r>
            <w:r w:rsidR="00444167" w:rsidRPr="00E11CA6">
              <w:rPr>
                <w:rFonts w:cs="Arial"/>
                <w:sz w:val="20"/>
                <w:szCs w:val="20"/>
              </w:rPr>
              <w:t>contracts</w:t>
            </w:r>
            <w:r w:rsidR="00444167" w:rsidRPr="00E11CA6">
              <w:rPr>
                <w:rFonts w:cs="Arial"/>
                <w:bCs/>
                <w:iCs/>
                <w:sz w:val="20"/>
                <w:szCs w:val="20"/>
              </w:rPr>
              <w:t>)</w:t>
            </w:r>
          </w:p>
          <w:p w14:paraId="3DE396C8" w14:textId="7FE93094" w:rsidR="00444167" w:rsidRPr="00E11CA6" w:rsidRDefault="00444167" w:rsidP="00EA0F4D">
            <w:pPr>
              <w:rPr>
                <w:rFonts w:cs="Arial"/>
                <w:b/>
                <w:iCs/>
                <w:sz w:val="20"/>
                <w:szCs w:val="20"/>
              </w:rPr>
            </w:pPr>
            <w:r w:rsidRPr="00E11CA6">
              <w:rPr>
                <w:rFonts w:cs="Arial"/>
                <w:bCs/>
                <w:iCs/>
                <w:sz w:val="20"/>
                <w:szCs w:val="20"/>
              </w:rPr>
              <w:t xml:space="preserve"> </w:t>
            </w:r>
            <w:r w:rsidRPr="00E11CA6">
              <w:rPr>
                <w:rFonts w:cs="Arial"/>
                <w:b/>
                <w:iCs/>
                <w:sz w:val="20"/>
                <w:szCs w:val="20"/>
              </w:rPr>
              <w:t>(UK Level indicator)</w:t>
            </w:r>
          </w:p>
          <w:p w14:paraId="12C30094" w14:textId="77777777" w:rsidR="00444167" w:rsidRPr="00E11CA6" w:rsidRDefault="00444167" w:rsidP="00EA0F4D">
            <w:pPr>
              <w:rPr>
                <w:rFonts w:cs="Arial"/>
                <w:bCs/>
                <w:iCs/>
                <w:sz w:val="20"/>
                <w:szCs w:val="20"/>
              </w:rPr>
            </w:pPr>
            <w:r w:rsidRPr="00E11CA6">
              <w:rPr>
                <w:rFonts w:cs="Arial"/>
                <w:bCs/>
                <w:iCs/>
                <w:sz w:val="20"/>
                <w:szCs w:val="20"/>
              </w:rPr>
              <w:t xml:space="preserve">(d) The number of embedded advisors being funded by the UK (cumulative funded contracts over the course of the grant’s timeline) </w:t>
            </w:r>
          </w:p>
          <w:p w14:paraId="7B66F414" w14:textId="622A7B24" w:rsidR="003B1565" w:rsidRPr="00E11CA6" w:rsidRDefault="00444167" w:rsidP="00EA0F4D">
            <w:pPr>
              <w:rPr>
                <w:rFonts w:cs="Arial"/>
                <w:b/>
                <w:iCs/>
                <w:sz w:val="20"/>
                <w:szCs w:val="20"/>
              </w:rPr>
            </w:pPr>
            <w:r w:rsidRPr="00E11CA6">
              <w:rPr>
                <w:rFonts w:cs="Arial"/>
                <w:b/>
                <w:iCs/>
                <w:sz w:val="20"/>
                <w:szCs w:val="20"/>
              </w:rPr>
              <w:t>(UK level indicator)</w:t>
            </w:r>
          </w:p>
        </w:tc>
        <w:tc>
          <w:tcPr>
            <w:tcW w:w="1418" w:type="dxa"/>
            <w:tcBorders>
              <w:top w:val="single" w:sz="4" w:space="0" w:color="auto"/>
              <w:left w:val="single" w:sz="4" w:space="0" w:color="auto"/>
              <w:bottom w:val="single" w:sz="4" w:space="0" w:color="auto"/>
              <w:right w:val="single" w:sz="4" w:space="0" w:color="auto"/>
            </w:tcBorders>
          </w:tcPr>
          <w:p w14:paraId="09045533" w14:textId="77777777" w:rsidR="00130948" w:rsidRPr="00E11CA6" w:rsidRDefault="00130948" w:rsidP="00EA0F4D">
            <w:pPr>
              <w:rPr>
                <w:rFonts w:eastAsia="Arial" w:cs="Arial"/>
                <w:b/>
                <w:bCs/>
                <w:color w:val="000000" w:themeColor="text1"/>
                <w:sz w:val="20"/>
                <w:szCs w:val="20"/>
              </w:rPr>
            </w:pPr>
            <w:r w:rsidRPr="00E11CA6">
              <w:rPr>
                <w:rFonts w:eastAsia="Arial" w:cs="Arial"/>
                <w:b/>
                <w:bCs/>
                <w:color w:val="000000" w:themeColor="text1"/>
                <w:sz w:val="20"/>
                <w:szCs w:val="20"/>
              </w:rPr>
              <w:t xml:space="preserve">Baseline (Dec 2020) </w:t>
            </w:r>
          </w:p>
          <w:p w14:paraId="29DF1F12" w14:textId="53D83C38" w:rsidR="00130948" w:rsidRPr="00E11CA6" w:rsidRDefault="004D046C" w:rsidP="00EA0F4D">
            <w:pPr>
              <w:rPr>
                <w:rFonts w:cs="Arial"/>
                <w:bCs/>
                <w:iCs/>
                <w:sz w:val="20"/>
                <w:szCs w:val="20"/>
              </w:rPr>
            </w:pPr>
            <w:r w:rsidRPr="00E11CA6">
              <w:rPr>
                <w:rFonts w:cs="Arial"/>
                <w:bCs/>
                <w:iCs/>
                <w:sz w:val="20"/>
                <w:szCs w:val="20"/>
              </w:rPr>
              <w:t>a)</w:t>
            </w:r>
            <w:r w:rsidR="00B205DA" w:rsidRPr="00E11CA6">
              <w:rPr>
                <w:rFonts w:cs="Arial"/>
                <w:bCs/>
                <w:iCs/>
                <w:sz w:val="20"/>
                <w:szCs w:val="20"/>
              </w:rPr>
              <w:t xml:space="preserve"> </w:t>
            </w:r>
            <w:r w:rsidR="00E36D65" w:rsidRPr="00E11CA6">
              <w:rPr>
                <w:rFonts w:cs="Arial"/>
                <w:bCs/>
                <w:iCs/>
                <w:sz w:val="20"/>
                <w:szCs w:val="20"/>
              </w:rPr>
              <w:t>N/A</w:t>
            </w:r>
          </w:p>
          <w:p w14:paraId="04B296DE" w14:textId="7971D236" w:rsidR="004D046C" w:rsidRPr="00E11CA6" w:rsidRDefault="004D046C" w:rsidP="00EA0F4D">
            <w:pPr>
              <w:rPr>
                <w:rFonts w:cs="Arial"/>
                <w:bCs/>
                <w:iCs/>
                <w:sz w:val="20"/>
                <w:szCs w:val="20"/>
              </w:rPr>
            </w:pPr>
            <w:r w:rsidRPr="00E11CA6">
              <w:rPr>
                <w:rFonts w:cs="Arial"/>
                <w:bCs/>
                <w:iCs/>
                <w:sz w:val="20"/>
                <w:szCs w:val="20"/>
              </w:rPr>
              <w:t>b)</w:t>
            </w:r>
            <w:r w:rsidR="00B205DA" w:rsidRPr="00E11CA6">
              <w:rPr>
                <w:rFonts w:cs="Arial"/>
                <w:bCs/>
                <w:iCs/>
                <w:sz w:val="20"/>
                <w:szCs w:val="20"/>
              </w:rPr>
              <w:t xml:space="preserve"> N/A</w:t>
            </w:r>
          </w:p>
          <w:p w14:paraId="6DF71DA7" w14:textId="4FCE7643" w:rsidR="004D046C" w:rsidRPr="00E11CA6" w:rsidRDefault="004D046C" w:rsidP="00EA0F4D">
            <w:pPr>
              <w:rPr>
                <w:rFonts w:cs="Arial"/>
                <w:bCs/>
                <w:iCs/>
                <w:sz w:val="20"/>
                <w:szCs w:val="20"/>
              </w:rPr>
            </w:pPr>
            <w:r w:rsidRPr="00E11CA6">
              <w:rPr>
                <w:rFonts w:cs="Arial"/>
                <w:bCs/>
                <w:iCs/>
                <w:sz w:val="20"/>
                <w:szCs w:val="20"/>
              </w:rPr>
              <w:t xml:space="preserve">c) </w:t>
            </w:r>
            <w:r w:rsidR="00B205DA" w:rsidRPr="00E11CA6">
              <w:rPr>
                <w:rFonts w:cs="Arial"/>
                <w:bCs/>
                <w:iCs/>
                <w:sz w:val="20"/>
                <w:szCs w:val="20"/>
              </w:rPr>
              <w:t>N/A</w:t>
            </w:r>
          </w:p>
          <w:p w14:paraId="557EB749" w14:textId="640DD49E" w:rsidR="004D046C" w:rsidRPr="00E11CA6" w:rsidRDefault="004D046C" w:rsidP="00EA0F4D">
            <w:pPr>
              <w:rPr>
                <w:rFonts w:cs="Arial"/>
                <w:bCs/>
                <w:iCs/>
                <w:sz w:val="20"/>
                <w:szCs w:val="20"/>
              </w:rPr>
            </w:pPr>
            <w:r w:rsidRPr="00E11CA6">
              <w:rPr>
                <w:rFonts w:cs="Arial"/>
                <w:bCs/>
                <w:iCs/>
                <w:sz w:val="20"/>
                <w:szCs w:val="20"/>
              </w:rPr>
              <w:t>d)</w:t>
            </w:r>
            <w:r w:rsidR="00B205DA" w:rsidRPr="00E11CA6">
              <w:rPr>
                <w:rFonts w:cs="Arial"/>
                <w:bCs/>
                <w:iCs/>
                <w:sz w:val="20"/>
                <w:szCs w:val="20"/>
              </w:rPr>
              <w:t xml:space="preserve"> N/A</w:t>
            </w:r>
          </w:p>
          <w:p w14:paraId="6FB7B7D9" w14:textId="77777777" w:rsidR="00130948" w:rsidRPr="00E11CA6" w:rsidRDefault="00130948" w:rsidP="00EA0F4D">
            <w:pPr>
              <w:rPr>
                <w:rFonts w:cs="Arial"/>
                <w:bCs/>
                <w:iCs/>
                <w:sz w:val="20"/>
                <w:szCs w:val="20"/>
              </w:rPr>
            </w:pPr>
          </w:p>
          <w:p w14:paraId="7614F684" w14:textId="77777777" w:rsidR="00130948" w:rsidRPr="00E11CA6" w:rsidRDefault="00130948" w:rsidP="00EA0F4D">
            <w:pPr>
              <w:rPr>
                <w:rFonts w:cs="Arial"/>
                <w:b/>
                <w:bCs/>
                <w:sz w:val="20"/>
                <w:szCs w:val="20"/>
              </w:rPr>
            </w:pPr>
            <w:r w:rsidRPr="00E11CA6">
              <w:rPr>
                <w:rFonts w:cs="Arial"/>
                <w:b/>
                <w:bCs/>
                <w:sz w:val="20"/>
                <w:szCs w:val="20"/>
              </w:rPr>
              <w:t xml:space="preserve">2025 Target </w:t>
            </w:r>
          </w:p>
          <w:p w14:paraId="4948DEB1" w14:textId="2D52516B" w:rsidR="004D046C" w:rsidRPr="00E11CA6" w:rsidRDefault="004D046C" w:rsidP="00EA0F4D">
            <w:pPr>
              <w:rPr>
                <w:rFonts w:cs="Arial"/>
                <w:sz w:val="20"/>
                <w:szCs w:val="20"/>
              </w:rPr>
            </w:pPr>
            <w:r w:rsidRPr="00E11CA6">
              <w:rPr>
                <w:rFonts w:cs="Arial"/>
                <w:sz w:val="20"/>
                <w:szCs w:val="20"/>
              </w:rPr>
              <w:t>a)</w:t>
            </w:r>
            <w:r w:rsidR="00B205DA" w:rsidRPr="00E11CA6">
              <w:rPr>
                <w:rFonts w:cs="Arial"/>
                <w:sz w:val="20"/>
                <w:szCs w:val="20"/>
              </w:rPr>
              <w:t xml:space="preserve"> </w:t>
            </w:r>
            <w:r w:rsidR="009E5A21" w:rsidRPr="00E11CA6">
              <w:rPr>
                <w:rFonts w:cs="Arial"/>
                <w:sz w:val="20"/>
                <w:szCs w:val="20"/>
              </w:rPr>
              <w:t>N/A</w:t>
            </w:r>
          </w:p>
          <w:p w14:paraId="5094227A" w14:textId="3C872654" w:rsidR="004D046C" w:rsidRPr="00E11CA6" w:rsidRDefault="004D046C" w:rsidP="00EA0F4D">
            <w:pPr>
              <w:rPr>
                <w:rFonts w:cs="Arial"/>
                <w:sz w:val="20"/>
                <w:szCs w:val="20"/>
              </w:rPr>
            </w:pPr>
            <w:r w:rsidRPr="00E11CA6">
              <w:rPr>
                <w:rFonts w:cs="Arial"/>
                <w:sz w:val="20"/>
                <w:szCs w:val="20"/>
              </w:rPr>
              <w:t>b)</w:t>
            </w:r>
            <w:r w:rsidR="008A5B8B" w:rsidRPr="00E11CA6">
              <w:rPr>
                <w:rFonts w:cs="Arial"/>
                <w:sz w:val="20"/>
                <w:szCs w:val="20"/>
              </w:rPr>
              <w:t xml:space="preserve"> </w:t>
            </w:r>
            <w:r w:rsidR="00B67177" w:rsidRPr="00E11CA6">
              <w:rPr>
                <w:rFonts w:cs="Arial"/>
                <w:sz w:val="20"/>
                <w:szCs w:val="20"/>
              </w:rPr>
              <w:t>110</w:t>
            </w:r>
          </w:p>
          <w:p w14:paraId="061DFF8B" w14:textId="52C17621" w:rsidR="004D046C" w:rsidRPr="00E11CA6" w:rsidRDefault="004D046C" w:rsidP="00EA0F4D">
            <w:pPr>
              <w:rPr>
                <w:rFonts w:cs="Arial"/>
                <w:sz w:val="20"/>
                <w:szCs w:val="20"/>
              </w:rPr>
            </w:pPr>
            <w:r w:rsidRPr="00E11CA6">
              <w:rPr>
                <w:rFonts w:cs="Arial"/>
                <w:sz w:val="20"/>
                <w:szCs w:val="20"/>
              </w:rPr>
              <w:t>c)</w:t>
            </w:r>
            <w:r w:rsidR="009168FB" w:rsidRPr="00E11CA6">
              <w:rPr>
                <w:rFonts w:cs="Arial"/>
                <w:sz w:val="20"/>
                <w:szCs w:val="20"/>
              </w:rPr>
              <w:t xml:space="preserve"> 12</w:t>
            </w:r>
          </w:p>
          <w:p w14:paraId="12AE8E03" w14:textId="2A12B1AF" w:rsidR="004D046C" w:rsidRPr="00E11CA6" w:rsidRDefault="004D046C" w:rsidP="00EA0F4D">
            <w:pPr>
              <w:rPr>
                <w:rFonts w:cs="Arial"/>
                <w:sz w:val="20"/>
                <w:szCs w:val="20"/>
              </w:rPr>
            </w:pPr>
            <w:r w:rsidRPr="00E11CA6">
              <w:rPr>
                <w:rFonts w:cs="Arial"/>
                <w:sz w:val="20"/>
                <w:szCs w:val="20"/>
              </w:rPr>
              <w:t xml:space="preserve">d) </w:t>
            </w:r>
            <w:r w:rsidR="00DC6D0D" w:rsidRPr="00E11CA6">
              <w:rPr>
                <w:rFonts w:cs="Arial"/>
                <w:sz w:val="20"/>
                <w:szCs w:val="20"/>
              </w:rPr>
              <w:t>12</w:t>
            </w:r>
          </w:p>
          <w:p w14:paraId="37AE99BA" w14:textId="057B38C9" w:rsidR="009867B4" w:rsidRPr="00E11CA6" w:rsidRDefault="009867B4" w:rsidP="00EA0F4D">
            <w:pPr>
              <w:rPr>
                <w:rFonts w:cs="Arial"/>
                <w:bCs/>
                <w:iCs/>
                <w:sz w:val="20"/>
                <w:szCs w:val="20"/>
              </w:rPr>
            </w:pPr>
          </w:p>
        </w:tc>
        <w:tc>
          <w:tcPr>
            <w:tcW w:w="5386" w:type="dxa"/>
            <w:tcBorders>
              <w:top w:val="single" w:sz="4" w:space="0" w:color="auto"/>
              <w:left w:val="single" w:sz="4" w:space="0" w:color="auto"/>
              <w:bottom w:val="single" w:sz="4" w:space="0" w:color="auto"/>
              <w:right w:val="single" w:sz="4" w:space="0" w:color="auto"/>
            </w:tcBorders>
          </w:tcPr>
          <w:p w14:paraId="58F8ACA2" w14:textId="08846572" w:rsidR="005B0982" w:rsidRPr="00E11CA6" w:rsidRDefault="00DE01FA" w:rsidP="00EA0F4D">
            <w:pPr>
              <w:contextualSpacing/>
              <w:rPr>
                <w:rFonts w:cs="Arial"/>
                <w:sz w:val="20"/>
                <w:szCs w:val="20"/>
              </w:rPr>
            </w:pPr>
            <w:r w:rsidRPr="00E11CA6">
              <w:rPr>
                <w:rFonts w:cs="Arial"/>
                <w:b/>
                <w:bCs/>
                <w:sz w:val="20"/>
                <w:szCs w:val="20"/>
              </w:rPr>
              <w:t>60</w:t>
            </w:r>
            <w:r w:rsidR="00DC11A3" w:rsidRPr="00E11CA6">
              <w:rPr>
                <w:rFonts w:cs="Arial"/>
                <w:sz w:val="20"/>
                <w:szCs w:val="20"/>
              </w:rPr>
              <w:t xml:space="preserve"> </w:t>
            </w:r>
            <w:r w:rsidR="005B0982" w:rsidRPr="00E11CA6">
              <w:rPr>
                <w:rFonts w:cs="Arial"/>
                <w:sz w:val="20"/>
                <w:szCs w:val="20"/>
              </w:rPr>
              <w:t xml:space="preserve">in country facilitators and </w:t>
            </w:r>
            <w:r w:rsidR="005B0982" w:rsidRPr="00E11CA6">
              <w:rPr>
                <w:rFonts w:cs="Arial"/>
                <w:b/>
                <w:bCs/>
                <w:sz w:val="20"/>
                <w:szCs w:val="20"/>
              </w:rPr>
              <w:t>32</w:t>
            </w:r>
            <w:r w:rsidR="005B0982" w:rsidRPr="00E11CA6">
              <w:rPr>
                <w:rFonts w:cs="Arial"/>
                <w:sz w:val="20"/>
                <w:szCs w:val="20"/>
              </w:rPr>
              <w:t xml:space="preserve"> embedded advisors</w:t>
            </w:r>
            <w:r w:rsidR="00953820" w:rsidRPr="00E11CA6">
              <w:rPr>
                <w:rFonts w:cs="Arial"/>
                <w:sz w:val="20"/>
                <w:szCs w:val="20"/>
              </w:rPr>
              <w:t xml:space="preserve"> with active contracts</w:t>
            </w:r>
            <w:r w:rsidR="005B0982" w:rsidRPr="00E11CA6">
              <w:rPr>
                <w:rFonts w:cs="Arial"/>
                <w:sz w:val="20"/>
                <w:szCs w:val="20"/>
              </w:rPr>
              <w:t xml:space="preserve"> were funded by the </w:t>
            </w:r>
            <w:r w:rsidR="00800EE9" w:rsidRPr="00E11CA6">
              <w:rPr>
                <w:rFonts w:cs="Arial"/>
                <w:sz w:val="20"/>
                <w:szCs w:val="20"/>
              </w:rPr>
              <w:t>P</w:t>
            </w:r>
            <w:r w:rsidR="00953820" w:rsidRPr="00E11CA6">
              <w:rPr>
                <w:rFonts w:cs="Arial"/>
                <w:sz w:val="20"/>
                <w:szCs w:val="20"/>
              </w:rPr>
              <w:t>artnership.</w:t>
            </w:r>
            <w:r w:rsidR="00F13C1B" w:rsidRPr="00E11CA6">
              <w:rPr>
                <w:rFonts w:cs="Arial"/>
                <w:sz w:val="20"/>
                <w:szCs w:val="20"/>
              </w:rPr>
              <w:t xml:space="preserve"> </w:t>
            </w:r>
            <w:r w:rsidR="005F0956" w:rsidRPr="00E11CA6">
              <w:rPr>
                <w:rFonts w:cs="Arial"/>
                <w:sz w:val="20"/>
                <w:szCs w:val="20"/>
              </w:rPr>
              <w:t>There is no target for this sub-indicator</w:t>
            </w:r>
            <w:r w:rsidR="00C96788" w:rsidRPr="00E11CA6">
              <w:rPr>
                <w:rFonts w:cs="Arial"/>
                <w:sz w:val="20"/>
                <w:szCs w:val="20"/>
              </w:rPr>
              <w:t xml:space="preserve">, as </w:t>
            </w:r>
            <w:r w:rsidR="00F517D1" w:rsidRPr="00E11CA6">
              <w:rPr>
                <w:rFonts w:cs="Arial"/>
                <w:sz w:val="20"/>
                <w:szCs w:val="20"/>
              </w:rPr>
              <w:t xml:space="preserve">the Partnership as the type of </w:t>
            </w:r>
            <w:r w:rsidR="00E17210" w:rsidRPr="00E11CA6">
              <w:rPr>
                <w:rFonts w:cs="Arial"/>
                <w:sz w:val="20"/>
                <w:szCs w:val="20"/>
              </w:rPr>
              <w:t xml:space="preserve">support requested can vary </w:t>
            </w:r>
            <w:r w:rsidR="003105DC" w:rsidRPr="00E11CA6">
              <w:rPr>
                <w:rFonts w:cs="Arial"/>
                <w:sz w:val="20"/>
                <w:szCs w:val="20"/>
              </w:rPr>
              <w:t xml:space="preserve">year on year </w:t>
            </w:r>
            <w:r w:rsidR="00F4565D" w:rsidRPr="00E11CA6">
              <w:rPr>
                <w:rFonts w:cs="Arial"/>
                <w:sz w:val="20"/>
                <w:szCs w:val="20"/>
              </w:rPr>
              <w:t>based on country needs</w:t>
            </w:r>
            <w:r w:rsidR="008F1FB7" w:rsidRPr="00E11CA6">
              <w:rPr>
                <w:rFonts w:cs="Arial"/>
                <w:sz w:val="20"/>
                <w:szCs w:val="20"/>
              </w:rPr>
              <w:t xml:space="preserve">, which is why the SU does not set </w:t>
            </w:r>
            <w:r w:rsidR="009943A8" w:rsidRPr="00E11CA6">
              <w:rPr>
                <w:rFonts w:cs="Arial"/>
                <w:sz w:val="20"/>
                <w:szCs w:val="20"/>
              </w:rPr>
              <w:t>specific targets for the type of advisors</w:t>
            </w:r>
            <w:r w:rsidR="005F0956" w:rsidRPr="00E11CA6">
              <w:rPr>
                <w:rFonts w:cs="Arial"/>
                <w:sz w:val="20"/>
                <w:szCs w:val="20"/>
              </w:rPr>
              <w:t xml:space="preserve">. </w:t>
            </w:r>
            <w:r w:rsidR="00427BB9" w:rsidRPr="00E11CA6">
              <w:rPr>
                <w:rFonts w:cs="Arial"/>
                <w:sz w:val="20"/>
                <w:szCs w:val="20"/>
              </w:rPr>
              <w:t xml:space="preserve"> However, as this was the first year that the SU measured this, there is no baseline. </w:t>
            </w:r>
          </w:p>
          <w:p w14:paraId="6CEF3FBC" w14:textId="2062C185" w:rsidR="00DC11A3" w:rsidRPr="00E11CA6" w:rsidRDefault="00DC11A3" w:rsidP="00EA0F4D">
            <w:pPr>
              <w:ind w:firstLine="720"/>
              <w:rPr>
                <w:rFonts w:cs="Arial"/>
                <w:sz w:val="20"/>
                <w:szCs w:val="20"/>
              </w:rPr>
            </w:pPr>
          </w:p>
          <w:p w14:paraId="316CFE7E" w14:textId="6E4375C0" w:rsidR="00DC11A3" w:rsidRPr="00E11CA6" w:rsidRDefault="00DC11A3" w:rsidP="00EA0F4D">
            <w:pPr>
              <w:rPr>
                <w:rFonts w:cs="Arial"/>
                <w:sz w:val="20"/>
                <w:szCs w:val="20"/>
              </w:rPr>
            </w:pPr>
            <w:r w:rsidRPr="00E11CA6">
              <w:rPr>
                <w:rFonts w:cs="Arial"/>
                <w:b/>
                <w:bCs/>
                <w:sz w:val="20"/>
                <w:szCs w:val="20"/>
              </w:rPr>
              <w:t>110</w:t>
            </w:r>
            <w:r w:rsidRPr="00E11CA6">
              <w:rPr>
                <w:rFonts w:cs="Arial"/>
                <w:sz w:val="20"/>
                <w:szCs w:val="20"/>
              </w:rPr>
              <w:t xml:space="preserve"> in country facilitators and </w:t>
            </w:r>
            <w:r w:rsidRPr="00E11CA6">
              <w:rPr>
                <w:rFonts w:cs="Arial"/>
                <w:b/>
                <w:bCs/>
                <w:sz w:val="20"/>
                <w:szCs w:val="20"/>
              </w:rPr>
              <w:t>12</w:t>
            </w:r>
            <w:r w:rsidR="0082551B" w:rsidRPr="00E11CA6">
              <w:rPr>
                <w:rFonts w:cs="Arial"/>
                <w:b/>
                <w:bCs/>
                <w:sz w:val="20"/>
                <w:szCs w:val="20"/>
              </w:rPr>
              <w:t>9</w:t>
            </w:r>
            <w:r w:rsidRPr="00E11CA6">
              <w:rPr>
                <w:rFonts w:cs="Arial"/>
                <w:sz w:val="20"/>
                <w:szCs w:val="20"/>
              </w:rPr>
              <w:t xml:space="preserve"> Embedded advisors – over the course of the Partnership</w:t>
            </w:r>
            <w:r w:rsidR="005F0956" w:rsidRPr="00E11CA6">
              <w:rPr>
                <w:rFonts w:cs="Arial"/>
                <w:sz w:val="20"/>
                <w:szCs w:val="20"/>
              </w:rPr>
              <w:t xml:space="preserve">. This </w:t>
            </w:r>
            <w:r w:rsidR="009D5472" w:rsidRPr="00E11CA6">
              <w:rPr>
                <w:rFonts w:cs="Arial"/>
                <w:sz w:val="20"/>
                <w:szCs w:val="20"/>
              </w:rPr>
              <w:t xml:space="preserve">significantly </w:t>
            </w:r>
            <w:r w:rsidR="00760E5F" w:rsidRPr="00E11CA6">
              <w:rPr>
                <w:rFonts w:cs="Arial"/>
                <w:sz w:val="20"/>
                <w:szCs w:val="20"/>
              </w:rPr>
              <w:t xml:space="preserve">exceeds the target </w:t>
            </w:r>
            <w:r w:rsidR="00760E5F" w:rsidRPr="00E11CA6">
              <w:rPr>
                <w:rFonts w:cs="Arial"/>
                <w:b/>
                <w:bCs/>
                <w:sz w:val="20"/>
                <w:szCs w:val="20"/>
              </w:rPr>
              <w:t>110</w:t>
            </w:r>
            <w:r w:rsidR="00760E5F" w:rsidRPr="00E11CA6">
              <w:rPr>
                <w:rFonts w:cs="Arial"/>
                <w:sz w:val="20"/>
                <w:szCs w:val="20"/>
              </w:rPr>
              <w:t xml:space="preserve"> target for this sub-indicator. </w:t>
            </w:r>
          </w:p>
          <w:p w14:paraId="1DDFCE31" w14:textId="796AEE02" w:rsidR="00A75C5E" w:rsidRPr="00E11CA6" w:rsidRDefault="00A75C5E" w:rsidP="00EA0F4D">
            <w:pPr>
              <w:rPr>
                <w:rFonts w:cs="Arial"/>
                <w:sz w:val="20"/>
                <w:szCs w:val="20"/>
              </w:rPr>
            </w:pPr>
          </w:p>
          <w:p w14:paraId="61C8D9FF" w14:textId="445103A7" w:rsidR="00DE01FA" w:rsidRPr="00E11CA6" w:rsidRDefault="009437C8" w:rsidP="00EA0F4D">
            <w:pPr>
              <w:rPr>
                <w:rFonts w:cs="Arial"/>
                <w:sz w:val="20"/>
                <w:szCs w:val="20"/>
              </w:rPr>
            </w:pPr>
            <w:r w:rsidRPr="00E11CA6">
              <w:rPr>
                <w:rFonts w:cs="Arial"/>
                <w:sz w:val="20"/>
                <w:szCs w:val="20"/>
              </w:rPr>
              <w:t xml:space="preserve">A total of </w:t>
            </w:r>
            <w:r w:rsidRPr="00E11CA6">
              <w:rPr>
                <w:rFonts w:cs="Arial"/>
                <w:b/>
                <w:bCs/>
                <w:sz w:val="20"/>
                <w:szCs w:val="20"/>
              </w:rPr>
              <w:t>15</w:t>
            </w:r>
            <w:r w:rsidRPr="00E11CA6">
              <w:rPr>
                <w:rFonts w:cs="Arial"/>
                <w:sz w:val="20"/>
                <w:szCs w:val="20"/>
              </w:rPr>
              <w:t xml:space="preserve"> </w:t>
            </w:r>
            <w:r w:rsidR="00781104" w:rsidRPr="00E11CA6">
              <w:rPr>
                <w:rFonts w:cs="Arial"/>
                <w:sz w:val="20"/>
                <w:szCs w:val="20"/>
              </w:rPr>
              <w:t xml:space="preserve">advisors </w:t>
            </w:r>
            <w:r w:rsidRPr="00E11CA6">
              <w:rPr>
                <w:rFonts w:cs="Arial"/>
                <w:sz w:val="20"/>
                <w:szCs w:val="20"/>
              </w:rPr>
              <w:t xml:space="preserve">(9 In-Country Facilitators and 6 Embedded Advisors) were funded by the UK through active contracts. This figure also represents the cumulative number of funded contracts over the grant’s lifetime, as this is the first year this metric is being measured. As a result, </w:t>
            </w:r>
            <w:r w:rsidRPr="00E11CA6">
              <w:rPr>
                <w:rFonts w:cs="Arial"/>
                <w:b/>
                <w:sz w:val="20"/>
                <w:szCs w:val="20"/>
              </w:rPr>
              <w:t>the targets for sub-indicators 2.1c and 2.1d have been moderately exceeded</w:t>
            </w:r>
            <w:r w:rsidR="0004236D" w:rsidRPr="00E11CA6">
              <w:rPr>
                <w:rFonts w:cs="Arial"/>
                <w:b/>
                <w:sz w:val="20"/>
                <w:szCs w:val="20"/>
              </w:rPr>
              <w:t>.</w:t>
            </w:r>
            <w:r w:rsidR="0004236D" w:rsidRPr="00E11CA6">
              <w:rPr>
                <w:rFonts w:cs="Arial"/>
                <w:sz w:val="20"/>
                <w:szCs w:val="20"/>
              </w:rPr>
              <w:t xml:space="preserve"> </w:t>
            </w:r>
          </w:p>
          <w:p w14:paraId="31FCC292" w14:textId="578CE1D5" w:rsidR="0004236D" w:rsidRPr="00E11CA6" w:rsidRDefault="0004236D" w:rsidP="00EA0F4D">
            <w:pPr>
              <w:rPr>
                <w:rFonts w:cs="Arial"/>
                <w:sz w:val="20"/>
                <w:szCs w:val="20"/>
              </w:rPr>
            </w:pPr>
          </w:p>
          <w:p w14:paraId="39DE040F" w14:textId="658C6718" w:rsidR="00C00CE5" w:rsidRPr="00E11CA6" w:rsidRDefault="00C00CE5" w:rsidP="00EA0F4D">
            <w:pPr>
              <w:contextualSpacing/>
              <w:rPr>
                <w:rFonts w:cs="Arial"/>
                <w:b/>
                <w:bCs/>
                <w:sz w:val="20"/>
                <w:szCs w:val="20"/>
              </w:rPr>
            </w:pPr>
            <w:r w:rsidRPr="00E11CA6">
              <w:rPr>
                <w:rFonts w:cs="Arial"/>
                <w:b/>
                <w:bCs/>
                <w:sz w:val="20"/>
                <w:szCs w:val="20"/>
              </w:rPr>
              <w:t>A+ (Progress</w:t>
            </w:r>
            <w:r w:rsidR="007947D4" w:rsidRPr="00E11CA6">
              <w:rPr>
                <w:rFonts w:cs="Arial"/>
                <w:b/>
                <w:bCs/>
                <w:sz w:val="20"/>
                <w:szCs w:val="20"/>
              </w:rPr>
              <w:t xml:space="preserve"> </w:t>
            </w:r>
            <w:r w:rsidR="000C639D" w:rsidRPr="00E11CA6">
              <w:rPr>
                <w:rFonts w:cs="Arial"/>
                <w:b/>
                <w:bCs/>
                <w:sz w:val="20"/>
                <w:szCs w:val="20"/>
              </w:rPr>
              <w:t>significantly</w:t>
            </w:r>
            <w:r w:rsidRPr="00E11CA6">
              <w:rPr>
                <w:rFonts w:cs="Arial"/>
                <w:b/>
                <w:bCs/>
                <w:sz w:val="20"/>
                <w:szCs w:val="20"/>
              </w:rPr>
              <w:t xml:space="preserve"> exceeded expectation)</w:t>
            </w:r>
          </w:p>
          <w:p w14:paraId="59C40C2C" w14:textId="443F21EE" w:rsidR="0004236D" w:rsidRPr="00E11CA6" w:rsidRDefault="0004236D" w:rsidP="00EA0F4D">
            <w:pPr>
              <w:rPr>
                <w:rFonts w:cs="Arial"/>
                <w:sz w:val="20"/>
                <w:szCs w:val="20"/>
              </w:rPr>
            </w:pPr>
          </w:p>
        </w:tc>
      </w:tr>
      <w:tr w:rsidR="009867B4" w:rsidRPr="003C5BF3" w14:paraId="3B5F48ED" w14:textId="77777777" w:rsidTr="592BDD87">
        <w:tc>
          <w:tcPr>
            <w:tcW w:w="2263" w:type="dxa"/>
            <w:tcBorders>
              <w:top w:val="single" w:sz="4" w:space="0" w:color="auto"/>
              <w:left w:val="single" w:sz="4" w:space="0" w:color="auto"/>
              <w:bottom w:val="single" w:sz="4" w:space="0" w:color="auto"/>
              <w:right w:val="single" w:sz="4" w:space="0" w:color="auto"/>
            </w:tcBorders>
          </w:tcPr>
          <w:p w14:paraId="7F2810B1" w14:textId="1A69BA10" w:rsidR="009867B4" w:rsidRPr="00E11CA6" w:rsidRDefault="00385D7D" w:rsidP="00EA0F4D">
            <w:pPr>
              <w:rPr>
                <w:rFonts w:cs="Arial"/>
                <w:sz w:val="20"/>
                <w:szCs w:val="20"/>
              </w:rPr>
            </w:pPr>
            <w:r w:rsidRPr="00E11CA6">
              <w:rPr>
                <w:rFonts w:eastAsia="Arial" w:cs="Arial"/>
                <w:color w:val="000000" w:themeColor="text1"/>
                <w:sz w:val="20"/>
                <w:szCs w:val="20"/>
              </w:rPr>
              <w:t xml:space="preserve">2.2 Number of countries supported by the Country Engagement Fund &amp; Institutional member 'First Response </w:t>
            </w:r>
            <w:r w:rsidRPr="00E11CA6">
              <w:rPr>
                <w:rFonts w:cs="Arial"/>
                <w:sz w:val="20"/>
                <w:szCs w:val="20"/>
              </w:rPr>
              <w:br/>
            </w:r>
            <w:r w:rsidRPr="00E11CA6">
              <w:rPr>
                <w:rFonts w:eastAsia="Arial" w:cs="Arial"/>
                <w:b/>
                <w:bCs/>
                <w:color w:val="000000" w:themeColor="text1"/>
                <w:sz w:val="20"/>
                <w:szCs w:val="20"/>
              </w:rPr>
              <w:t xml:space="preserve"> (UK level indicator)</w:t>
            </w:r>
          </w:p>
        </w:tc>
        <w:tc>
          <w:tcPr>
            <w:tcW w:w="1418" w:type="dxa"/>
            <w:tcBorders>
              <w:top w:val="single" w:sz="4" w:space="0" w:color="auto"/>
              <w:left w:val="single" w:sz="4" w:space="0" w:color="auto"/>
              <w:bottom w:val="single" w:sz="4" w:space="0" w:color="auto"/>
              <w:right w:val="single" w:sz="4" w:space="0" w:color="auto"/>
            </w:tcBorders>
          </w:tcPr>
          <w:p w14:paraId="7C988712" w14:textId="77777777" w:rsidR="00130948" w:rsidRPr="00E11CA6" w:rsidRDefault="00130948" w:rsidP="00EA0F4D">
            <w:pPr>
              <w:rPr>
                <w:rFonts w:eastAsia="Arial" w:cs="Arial"/>
                <w:b/>
                <w:bCs/>
                <w:color w:val="000000" w:themeColor="text1"/>
                <w:sz w:val="20"/>
                <w:szCs w:val="20"/>
              </w:rPr>
            </w:pPr>
            <w:r w:rsidRPr="00E11CA6">
              <w:rPr>
                <w:rFonts w:eastAsia="Arial" w:cs="Arial"/>
                <w:b/>
                <w:bCs/>
                <w:color w:val="000000" w:themeColor="text1"/>
                <w:sz w:val="20"/>
                <w:szCs w:val="20"/>
              </w:rPr>
              <w:t xml:space="preserve">Baseline (Dec 2020) </w:t>
            </w:r>
          </w:p>
          <w:p w14:paraId="6BE9DCE0" w14:textId="4BA988EB" w:rsidR="00130948" w:rsidRPr="00E11CA6" w:rsidRDefault="00F10278" w:rsidP="00EA0F4D">
            <w:pPr>
              <w:rPr>
                <w:rFonts w:cs="Arial"/>
                <w:bCs/>
                <w:iCs/>
                <w:sz w:val="20"/>
                <w:szCs w:val="20"/>
              </w:rPr>
            </w:pPr>
            <w:r w:rsidRPr="00E11CA6">
              <w:rPr>
                <w:rFonts w:cs="Arial"/>
                <w:bCs/>
                <w:iCs/>
                <w:sz w:val="20"/>
                <w:szCs w:val="20"/>
              </w:rPr>
              <w:t>N/A</w:t>
            </w:r>
          </w:p>
          <w:p w14:paraId="05CB6ED3" w14:textId="77777777" w:rsidR="00130948" w:rsidRPr="00E11CA6" w:rsidRDefault="00130948" w:rsidP="00EA0F4D">
            <w:pPr>
              <w:rPr>
                <w:rFonts w:cs="Arial"/>
                <w:bCs/>
                <w:iCs/>
                <w:sz w:val="20"/>
                <w:szCs w:val="20"/>
              </w:rPr>
            </w:pPr>
          </w:p>
          <w:p w14:paraId="686738FE" w14:textId="77777777" w:rsidR="00130948" w:rsidRPr="00E11CA6" w:rsidRDefault="00130948" w:rsidP="00EA0F4D">
            <w:pPr>
              <w:rPr>
                <w:rFonts w:cs="Arial"/>
                <w:b/>
                <w:bCs/>
                <w:sz w:val="20"/>
                <w:szCs w:val="20"/>
              </w:rPr>
            </w:pPr>
            <w:r w:rsidRPr="00E11CA6">
              <w:rPr>
                <w:rFonts w:cs="Arial"/>
                <w:b/>
                <w:bCs/>
                <w:sz w:val="20"/>
                <w:szCs w:val="20"/>
              </w:rPr>
              <w:t xml:space="preserve">2025 Target </w:t>
            </w:r>
          </w:p>
          <w:p w14:paraId="3F155AC6" w14:textId="6E7A1AAF" w:rsidR="009867B4" w:rsidRPr="00E11CA6" w:rsidRDefault="004F71AE" w:rsidP="00EA0F4D">
            <w:pPr>
              <w:rPr>
                <w:rFonts w:cs="Arial"/>
                <w:sz w:val="20"/>
                <w:szCs w:val="20"/>
              </w:rPr>
            </w:pPr>
            <w:r w:rsidRPr="00E11CA6">
              <w:rPr>
                <w:rFonts w:cs="Arial"/>
                <w:sz w:val="20"/>
                <w:szCs w:val="20"/>
              </w:rPr>
              <w:t>12</w:t>
            </w:r>
          </w:p>
        </w:tc>
        <w:tc>
          <w:tcPr>
            <w:tcW w:w="5386" w:type="dxa"/>
            <w:tcBorders>
              <w:top w:val="single" w:sz="4" w:space="0" w:color="auto"/>
              <w:left w:val="single" w:sz="4" w:space="0" w:color="auto"/>
              <w:bottom w:val="single" w:sz="4" w:space="0" w:color="auto"/>
              <w:right w:val="single" w:sz="4" w:space="0" w:color="auto"/>
            </w:tcBorders>
          </w:tcPr>
          <w:p w14:paraId="4357BC7A" w14:textId="0A966D0C" w:rsidR="004407CD" w:rsidRPr="00E11CA6" w:rsidRDefault="004407CD" w:rsidP="00EA0F4D">
            <w:pPr>
              <w:contextualSpacing/>
              <w:rPr>
                <w:rFonts w:cs="Arial"/>
                <w:sz w:val="20"/>
                <w:szCs w:val="20"/>
              </w:rPr>
            </w:pPr>
            <w:r w:rsidRPr="00E11CA6">
              <w:rPr>
                <w:rFonts w:cs="Arial"/>
                <w:color w:val="424242"/>
                <w:sz w:val="20"/>
                <w:szCs w:val="20"/>
              </w:rPr>
              <w:t xml:space="preserve"> </w:t>
            </w:r>
            <w:r w:rsidRPr="00E11CA6">
              <w:rPr>
                <w:rFonts w:cs="Arial"/>
                <w:sz w:val="20"/>
                <w:szCs w:val="20"/>
              </w:rPr>
              <w:t>A total of </w:t>
            </w:r>
            <w:r w:rsidRPr="00E11CA6">
              <w:rPr>
                <w:rFonts w:cs="Arial"/>
                <w:b/>
                <w:bCs/>
                <w:sz w:val="20"/>
                <w:szCs w:val="20"/>
              </w:rPr>
              <w:t>41 countries</w:t>
            </w:r>
            <w:r w:rsidRPr="00E11CA6">
              <w:rPr>
                <w:rFonts w:cs="Arial"/>
                <w:sz w:val="20"/>
                <w:szCs w:val="20"/>
              </w:rPr>
              <w:t> were supported through the CEF and institutional first member response. This includes:</w:t>
            </w:r>
          </w:p>
          <w:p w14:paraId="17E66D43" w14:textId="547DE2AB" w:rsidR="004407CD" w:rsidRPr="00E11CA6" w:rsidRDefault="004407CD" w:rsidP="00EA0F4D">
            <w:pPr>
              <w:numPr>
                <w:ilvl w:val="0"/>
                <w:numId w:val="51"/>
              </w:numPr>
              <w:contextualSpacing/>
              <w:rPr>
                <w:rFonts w:cs="Arial"/>
                <w:sz w:val="20"/>
                <w:szCs w:val="20"/>
              </w:rPr>
            </w:pPr>
            <w:r w:rsidRPr="00E11CA6">
              <w:rPr>
                <w:rFonts w:cs="Arial"/>
                <w:b/>
                <w:bCs/>
                <w:sz w:val="20"/>
                <w:szCs w:val="20"/>
              </w:rPr>
              <w:t>12 countries</w:t>
            </w:r>
            <w:r w:rsidRPr="00E11CA6">
              <w:rPr>
                <w:rFonts w:cs="Arial"/>
                <w:sz w:val="20"/>
                <w:szCs w:val="20"/>
              </w:rPr>
              <w:t> supported by the CEF</w:t>
            </w:r>
          </w:p>
          <w:p w14:paraId="7DFA6E1D" w14:textId="200B05FE" w:rsidR="004407CD" w:rsidRPr="00E11CA6" w:rsidRDefault="004407CD" w:rsidP="00EA0F4D">
            <w:pPr>
              <w:numPr>
                <w:ilvl w:val="0"/>
                <w:numId w:val="51"/>
              </w:numPr>
              <w:contextualSpacing/>
              <w:rPr>
                <w:rFonts w:cs="Arial"/>
                <w:sz w:val="20"/>
                <w:szCs w:val="20"/>
              </w:rPr>
            </w:pPr>
            <w:r w:rsidRPr="00E11CA6">
              <w:rPr>
                <w:rFonts w:cs="Arial"/>
                <w:b/>
                <w:bCs/>
                <w:sz w:val="20"/>
                <w:szCs w:val="20"/>
              </w:rPr>
              <w:t>19 countries</w:t>
            </w:r>
            <w:r w:rsidRPr="00E11CA6">
              <w:rPr>
                <w:rFonts w:cs="Arial"/>
                <w:sz w:val="20"/>
                <w:szCs w:val="20"/>
              </w:rPr>
              <w:t> supported via the UNDP Country Programme (CP)</w:t>
            </w:r>
          </w:p>
          <w:p w14:paraId="0B5F5961" w14:textId="079419E4" w:rsidR="004407CD" w:rsidRPr="00E11CA6" w:rsidRDefault="004407CD" w:rsidP="00EA0F4D">
            <w:pPr>
              <w:numPr>
                <w:ilvl w:val="0"/>
                <w:numId w:val="51"/>
              </w:numPr>
              <w:contextualSpacing/>
              <w:rPr>
                <w:rFonts w:cs="Arial"/>
                <w:sz w:val="20"/>
                <w:szCs w:val="20"/>
              </w:rPr>
            </w:pPr>
            <w:r w:rsidRPr="00E11CA6">
              <w:rPr>
                <w:rFonts w:cs="Arial"/>
                <w:b/>
                <w:bCs/>
                <w:sz w:val="20"/>
                <w:szCs w:val="20"/>
              </w:rPr>
              <w:t>15 countries</w:t>
            </w:r>
            <w:r w:rsidRPr="00E11CA6">
              <w:rPr>
                <w:rFonts w:cs="Arial"/>
                <w:sz w:val="20"/>
                <w:szCs w:val="20"/>
              </w:rPr>
              <w:t> supported through the World Bank’s Country Support Facility (CSF).</w:t>
            </w:r>
          </w:p>
          <w:p w14:paraId="14FC6DEC" w14:textId="65D6D497" w:rsidR="592BDD87" w:rsidRPr="00E11CA6" w:rsidRDefault="592BDD87" w:rsidP="00EA0F4D">
            <w:pPr>
              <w:ind w:left="720"/>
              <w:contextualSpacing/>
              <w:rPr>
                <w:rFonts w:cs="Arial"/>
                <w:sz w:val="20"/>
                <w:szCs w:val="20"/>
              </w:rPr>
            </w:pPr>
          </w:p>
          <w:p w14:paraId="63F4A80A" w14:textId="56E28E04" w:rsidR="004407CD" w:rsidRPr="00E11CA6" w:rsidRDefault="004407CD" w:rsidP="00EA0F4D">
            <w:pPr>
              <w:contextualSpacing/>
              <w:rPr>
                <w:rFonts w:cs="Arial"/>
                <w:sz w:val="20"/>
                <w:szCs w:val="20"/>
              </w:rPr>
            </w:pPr>
            <w:r w:rsidRPr="00E11CA6">
              <w:rPr>
                <w:rFonts w:cs="Arial"/>
                <w:sz w:val="20"/>
                <w:szCs w:val="20"/>
              </w:rPr>
              <w:t xml:space="preserve">However, 5 countries received support from more than one partner, so the final </w:t>
            </w:r>
            <w:r w:rsidR="006F0678" w:rsidRPr="00E11CA6">
              <w:rPr>
                <w:rFonts w:cs="Arial"/>
                <w:sz w:val="20"/>
                <w:szCs w:val="20"/>
              </w:rPr>
              <w:t>total</w:t>
            </w:r>
            <w:r w:rsidRPr="00E11CA6">
              <w:rPr>
                <w:rFonts w:cs="Arial"/>
                <w:sz w:val="20"/>
                <w:szCs w:val="20"/>
              </w:rPr>
              <w:t xml:space="preserve"> </w:t>
            </w:r>
            <w:r w:rsidR="006F0678" w:rsidRPr="00E11CA6">
              <w:rPr>
                <w:rFonts w:cs="Arial"/>
                <w:sz w:val="20"/>
                <w:szCs w:val="20"/>
              </w:rPr>
              <w:t>is</w:t>
            </w:r>
            <w:r w:rsidRPr="00E11CA6">
              <w:rPr>
                <w:rFonts w:cs="Arial"/>
                <w:sz w:val="20"/>
                <w:szCs w:val="20"/>
              </w:rPr>
              <w:t> 41 countries.</w:t>
            </w:r>
          </w:p>
          <w:p w14:paraId="4E03F85D" w14:textId="29856F11" w:rsidR="006F0678" w:rsidRPr="00E11CA6" w:rsidRDefault="006F0678" w:rsidP="00EA0F4D">
            <w:pPr>
              <w:contextualSpacing/>
              <w:rPr>
                <w:rFonts w:cs="Arial"/>
                <w:sz w:val="20"/>
                <w:szCs w:val="20"/>
              </w:rPr>
            </w:pPr>
          </w:p>
          <w:p w14:paraId="3BDF849D" w14:textId="41A2E87E" w:rsidR="004407CD" w:rsidRPr="00E11CA6" w:rsidRDefault="004407CD" w:rsidP="00EA0F4D">
            <w:pPr>
              <w:contextualSpacing/>
              <w:rPr>
                <w:rFonts w:cs="Arial"/>
                <w:sz w:val="20"/>
                <w:szCs w:val="20"/>
              </w:rPr>
            </w:pPr>
            <w:r w:rsidRPr="00E11CA6">
              <w:rPr>
                <w:rFonts w:cs="Arial"/>
                <w:sz w:val="20"/>
                <w:szCs w:val="20"/>
              </w:rPr>
              <w:t>For this indicator, a smaller target was initially set, as it only accounted for countries supported by the CE</w:t>
            </w:r>
            <w:r w:rsidR="00020D65" w:rsidRPr="00E11CA6">
              <w:rPr>
                <w:rFonts w:cs="Arial"/>
                <w:sz w:val="20"/>
                <w:szCs w:val="20"/>
              </w:rPr>
              <w:t>F. This is why the target has been exceeded by such a large amount.</w:t>
            </w:r>
            <w:r w:rsidRPr="00E11CA6">
              <w:rPr>
                <w:rFonts w:cs="Arial"/>
                <w:sz w:val="20"/>
                <w:szCs w:val="20"/>
              </w:rPr>
              <w:t xml:space="preserve"> At the time, the team had not anticipated having a complete list of countries supported by the World Bank </w:t>
            </w:r>
            <w:r w:rsidRPr="00E11CA6">
              <w:rPr>
                <w:rFonts w:cs="Arial"/>
                <w:sz w:val="20"/>
                <w:szCs w:val="20"/>
              </w:rPr>
              <w:lastRenderedPageBreak/>
              <w:t>and UNDP through the partnership. The target will be re-evaluated in next year’s annual review to reflect the full scope of countries supported through both institutional partners</w:t>
            </w:r>
            <w:r w:rsidR="00F72CD6" w:rsidRPr="00E11CA6">
              <w:rPr>
                <w:rFonts w:cs="Arial"/>
                <w:sz w:val="20"/>
                <w:szCs w:val="20"/>
              </w:rPr>
              <w:t xml:space="preserve"> and the CEF.</w:t>
            </w:r>
          </w:p>
          <w:p w14:paraId="6C991C57" w14:textId="151A37FB" w:rsidR="00C300E2" w:rsidRPr="00E11CA6" w:rsidRDefault="00C300E2" w:rsidP="00EA0F4D">
            <w:pPr>
              <w:rPr>
                <w:rFonts w:cs="Arial"/>
                <w:sz w:val="20"/>
                <w:szCs w:val="20"/>
              </w:rPr>
            </w:pPr>
          </w:p>
          <w:p w14:paraId="018F86BF" w14:textId="3C10B6D1" w:rsidR="00C300E2" w:rsidRPr="00E11CA6" w:rsidRDefault="00C300E2" w:rsidP="00EA0F4D">
            <w:pPr>
              <w:rPr>
                <w:rFonts w:cs="Arial"/>
                <w:sz w:val="20"/>
                <w:szCs w:val="20"/>
              </w:rPr>
            </w:pPr>
            <w:r w:rsidRPr="00E11CA6">
              <w:rPr>
                <w:rFonts w:cs="Arial"/>
                <w:b/>
                <w:bCs/>
                <w:sz w:val="20"/>
                <w:szCs w:val="20"/>
              </w:rPr>
              <w:t>A++ (Progress significantly exceeded expectation)</w:t>
            </w:r>
          </w:p>
          <w:p w14:paraId="275D7366" w14:textId="75886CB9" w:rsidR="00205C0F" w:rsidRPr="00E11CA6" w:rsidRDefault="00205C0F" w:rsidP="00EA0F4D">
            <w:pPr>
              <w:contextualSpacing/>
              <w:rPr>
                <w:rFonts w:cs="Arial"/>
                <w:sz w:val="20"/>
                <w:szCs w:val="20"/>
              </w:rPr>
            </w:pPr>
          </w:p>
          <w:p w14:paraId="31483D2A" w14:textId="4D99D0B5" w:rsidR="00205C0F" w:rsidRPr="00E11CA6" w:rsidRDefault="00205C0F" w:rsidP="00EA0F4D">
            <w:pPr>
              <w:contextualSpacing/>
              <w:rPr>
                <w:rFonts w:cs="Arial"/>
                <w:sz w:val="20"/>
                <w:szCs w:val="20"/>
              </w:rPr>
            </w:pPr>
          </w:p>
        </w:tc>
      </w:tr>
      <w:tr w:rsidR="009867B4" w:rsidRPr="003C5BF3" w14:paraId="4FD513A6" w14:textId="77777777" w:rsidTr="592BDD87">
        <w:tc>
          <w:tcPr>
            <w:tcW w:w="2263" w:type="dxa"/>
            <w:tcBorders>
              <w:top w:val="single" w:sz="4" w:space="0" w:color="auto"/>
              <w:left w:val="single" w:sz="4" w:space="0" w:color="auto"/>
              <w:bottom w:val="single" w:sz="4" w:space="0" w:color="auto"/>
              <w:right w:val="single" w:sz="4" w:space="0" w:color="auto"/>
            </w:tcBorders>
          </w:tcPr>
          <w:p w14:paraId="4C380235" w14:textId="77777777" w:rsidR="003817B8" w:rsidRPr="00E11CA6" w:rsidRDefault="003817B8" w:rsidP="00EA0F4D">
            <w:pPr>
              <w:rPr>
                <w:rFonts w:cs="Arial"/>
                <w:sz w:val="20"/>
                <w:szCs w:val="20"/>
              </w:rPr>
            </w:pPr>
            <w:r w:rsidRPr="00E11CA6">
              <w:rPr>
                <w:rFonts w:cs="Arial"/>
                <w:sz w:val="20"/>
                <w:szCs w:val="20"/>
              </w:rPr>
              <w:lastRenderedPageBreak/>
              <w:t>2.3 % of developing countries with embedded advisors funded through the Country Engagement Fund reporting they have increased knowledge or capacity for NDC implementation.</w:t>
            </w:r>
          </w:p>
          <w:p w14:paraId="517D8FAD" w14:textId="1BB9883F" w:rsidR="009867B4" w:rsidRPr="00E11CA6" w:rsidRDefault="003817B8" w:rsidP="00EA0F4D">
            <w:pPr>
              <w:rPr>
                <w:rFonts w:cs="Arial"/>
                <w:b/>
                <w:bCs/>
                <w:sz w:val="20"/>
                <w:szCs w:val="20"/>
              </w:rPr>
            </w:pPr>
            <w:r w:rsidRPr="00E11CA6">
              <w:rPr>
                <w:rFonts w:cs="Arial"/>
                <w:b/>
                <w:bCs/>
                <w:sz w:val="20"/>
                <w:szCs w:val="20"/>
              </w:rPr>
              <w:t xml:space="preserve"> (UK level indicator)</w:t>
            </w:r>
          </w:p>
        </w:tc>
        <w:tc>
          <w:tcPr>
            <w:tcW w:w="1418" w:type="dxa"/>
            <w:tcBorders>
              <w:top w:val="single" w:sz="4" w:space="0" w:color="auto"/>
              <w:left w:val="single" w:sz="4" w:space="0" w:color="auto"/>
              <w:bottom w:val="single" w:sz="4" w:space="0" w:color="auto"/>
              <w:right w:val="single" w:sz="4" w:space="0" w:color="auto"/>
            </w:tcBorders>
          </w:tcPr>
          <w:p w14:paraId="3E8112D2" w14:textId="77777777" w:rsidR="00130948" w:rsidRPr="00E11CA6" w:rsidRDefault="00130948" w:rsidP="00EA0F4D">
            <w:pPr>
              <w:rPr>
                <w:rFonts w:eastAsia="Arial" w:cs="Arial"/>
                <w:b/>
                <w:bCs/>
                <w:color w:val="000000" w:themeColor="text1"/>
                <w:sz w:val="20"/>
                <w:szCs w:val="20"/>
              </w:rPr>
            </w:pPr>
            <w:r w:rsidRPr="00E11CA6">
              <w:rPr>
                <w:rFonts w:eastAsia="Arial" w:cs="Arial"/>
                <w:b/>
                <w:bCs/>
                <w:color w:val="000000" w:themeColor="text1"/>
                <w:sz w:val="20"/>
                <w:szCs w:val="20"/>
              </w:rPr>
              <w:t xml:space="preserve">Baseline (Dec 2020) </w:t>
            </w:r>
          </w:p>
          <w:p w14:paraId="78BBE484" w14:textId="5F218F78" w:rsidR="00130948" w:rsidRPr="00E11CA6" w:rsidRDefault="00F74EBF" w:rsidP="00EA0F4D">
            <w:pPr>
              <w:rPr>
                <w:rFonts w:cs="Arial"/>
                <w:bCs/>
                <w:iCs/>
                <w:sz w:val="20"/>
                <w:szCs w:val="20"/>
              </w:rPr>
            </w:pPr>
            <w:r w:rsidRPr="00E11CA6">
              <w:rPr>
                <w:rFonts w:cs="Arial"/>
                <w:bCs/>
                <w:iCs/>
                <w:sz w:val="20"/>
                <w:szCs w:val="20"/>
              </w:rPr>
              <w:t>N/A</w:t>
            </w:r>
          </w:p>
          <w:p w14:paraId="5B3AA12D" w14:textId="77777777" w:rsidR="00130948" w:rsidRPr="00E11CA6" w:rsidRDefault="00130948" w:rsidP="00EA0F4D">
            <w:pPr>
              <w:rPr>
                <w:rFonts w:cs="Arial"/>
                <w:bCs/>
                <w:iCs/>
                <w:sz w:val="20"/>
                <w:szCs w:val="20"/>
              </w:rPr>
            </w:pPr>
          </w:p>
          <w:p w14:paraId="734613AF" w14:textId="77777777" w:rsidR="00130948" w:rsidRPr="00E11CA6" w:rsidRDefault="00130948" w:rsidP="00EA0F4D">
            <w:pPr>
              <w:rPr>
                <w:rFonts w:cs="Arial"/>
                <w:bCs/>
                <w:iCs/>
                <w:sz w:val="20"/>
                <w:szCs w:val="20"/>
              </w:rPr>
            </w:pPr>
          </w:p>
          <w:p w14:paraId="626E26B2" w14:textId="77777777" w:rsidR="00130948" w:rsidRPr="00E11CA6" w:rsidRDefault="00130948" w:rsidP="00EA0F4D">
            <w:pPr>
              <w:rPr>
                <w:rFonts w:cs="Arial"/>
                <w:b/>
                <w:bCs/>
                <w:sz w:val="20"/>
                <w:szCs w:val="20"/>
              </w:rPr>
            </w:pPr>
            <w:r w:rsidRPr="00E11CA6">
              <w:rPr>
                <w:rFonts w:cs="Arial"/>
                <w:b/>
                <w:bCs/>
                <w:sz w:val="20"/>
                <w:szCs w:val="20"/>
              </w:rPr>
              <w:t xml:space="preserve">2025 Target </w:t>
            </w:r>
          </w:p>
          <w:p w14:paraId="58FDC90C" w14:textId="64925EF1" w:rsidR="009867B4" w:rsidRPr="00E11CA6" w:rsidRDefault="00F74EBF" w:rsidP="00EA0F4D">
            <w:pPr>
              <w:rPr>
                <w:rFonts w:cs="Arial"/>
                <w:sz w:val="20"/>
                <w:szCs w:val="20"/>
              </w:rPr>
            </w:pPr>
            <w:r w:rsidRPr="00E11CA6">
              <w:rPr>
                <w:rFonts w:cs="Arial"/>
                <w:sz w:val="20"/>
                <w:szCs w:val="20"/>
              </w:rPr>
              <w:t>N/A</w:t>
            </w:r>
          </w:p>
        </w:tc>
        <w:tc>
          <w:tcPr>
            <w:tcW w:w="5386" w:type="dxa"/>
            <w:tcBorders>
              <w:top w:val="single" w:sz="4" w:space="0" w:color="auto"/>
              <w:left w:val="single" w:sz="4" w:space="0" w:color="auto"/>
              <w:bottom w:val="single" w:sz="4" w:space="0" w:color="auto"/>
              <w:right w:val="single" w:sz="4" w:space="0" w:color="auto"/>
            </w:tcBorders>
          </w:tcPr>
          <w:p w14:paraId="212CCA0A" w14:textId="068D70DF" w:rsidR="009867B4" w:rsidRPr="00E11CA6" w:rsidRDefault="00F74EBF" w:rsidP="00EA0F4D">
            <w:pPr>
              <w:contextualSpacing/>
              <w:rPr>
                <w:rFonts w:cs="Arial"/>
                <w:sz w:val="20"/>
                <w:szCs w:val="20"/>
              </w:rPr>
            </w:pPr>
            <w:r w:rsidRPr="00E11CA6">
              <w:rPr>
                <w:rFonts w:cs="Arial"/>
                <w:b/>
                <w:bCs/>
                <w:sz w:val="20"/>
                <w:szCs w:val="20"/>
              </w:rPr>
              <w:t>7</w:t>
            </w:r>
            <w:r w:rsidR="0045342F" w:rsidRPr="00E11CA6">
              <w:rPr>
                <w:rFonts w:cs="Arial"/>
                <w:b/>
                <w:bCs/>
                <w:sz w:val="20"/>
                <w:szCs w:val="20"/>
              </w:rPr>
              <w:t>1</w:t>
            </w:r>
            <w:r w:rsidRPr="00E11CA6">
              <w:rPr>
                <w:rFonts w:cs="Arial"/>
                <w:b/>
                <w:bCs/>
                <w:sz w:val="20"/>
                <w:szCs w:val="20"/>
              </w:rPr>
              <w:t>%</w:t>
            </w:r>
            <w:r w:rsidRPr="00E11CA6">
              <w:rPr>
                <w:rFonts w:cs="Arial"/>
                <w:sz w:val="20"/>
                <w:szCs w:val="20"/>
              </w:rPr>
              <w:t xml:space="preserve"> of developing countries </w:t>
            </w:r>
            <w:r w:rsidR="006C71B7" w:rsidRPr="00E11CA6">
              <w:rPr>
                <w:rFonts w:cs="Arial"/>
                <w:sz w:val="20"/>
                <w:szCs w:val="20"/>
              </w:rPr>
              <w:t xml:space="preserve">with embedded advisors funded via the CEF reported that they have increased knowledge or capacity for NDC implementation. </w:t>
            </w:r>
          </w:p>
          <w:p w14:paraId="62F1ECF9" w14:textId="77777777" w:rsidR="00C66D9E" w:rsidRPr="00E11CA6" w:rsidRDefault="00C66D9E" w:rsidP="00EA0F4D">
            <w:pPr>
              <w:contextualSpacing/>
              <w:rPr>
                <w:rFonts w:cs="Arial"/>
                <w:sz w:val="20"/>
                <w:szCs w:val="20"/>
              </w:rPr>
            </w:pPr>
          </w:p>
          <w:p w14:paraId="57C48456" w14:textId="44B51092" w:rsidR="005C6AA6" w:rsidRPr="00E11CA6" w:rsidRDefault="00C66D9E" w:rsidP="00EA0F4D">
            <w:pPr>
              <w:contextualSpacing/>
              <w:rPr>
                <w:rFonts w:cs="Arial"/>
                <w:sz w:val="20"/>
                <w:szCs w:val="20"/>
              </w:rPr>
            </w:pPr>
            <w:r w:rsidRPr="00E11CA6">
              <w:rPr>
                <w:rFonts w:cs="Arial"/>
                <w:sz w:val="20"/>
                <w:szCs w:val="20"/>
              </w:rPr>
              <w:t>Although</w:t>
            </w:r>
            <w:r w:rsidR="00CB562F" w:rsidRPr="00E11CA6">
              <w:rPr>
                <w:rFonts w:cs="Arial"/>
                <w:sz w:val="20"/>
                <w:szCs w:val="20"/>
              </w:rPr>
              <w:t>,</w:t>
            </w:r>
            <w:r w:rsidRPr="00E11CA6">
              <w:rPr>
                <w:rFonts w:cs="Arial"/>
                <w:sz w:val="20"/>
                <w:szCs w:val="20"/>
              </w:rPr>
              <w:t xml:space="preserve"> there is no target for this indicator</w:t>
            </w:r>
            <w:r w:rsidR="00CB562F" w:rsidRPr="00E11CA6">
              <w:rPr>
                <w:rFonts w:cs="Arial"/>
                <w:sz w:val="20"/>
                <w:szCs w:val="20"/>
              </w:rPr>
              <w:t>, the result signals that a significant majority</w:t>
            </w:r>
            <w:r w:rsidR="004F5707" w:rsidRPr="00E11CA6">
              <w:rPr>
                <w:rFonts w:cs="Arial"/>
                <w:sz w:val="20"/>
                <w:szCs w:val="20"/>
              </w:rPr>
              <w:t xml:space="preserve"> of advisors </w:t>
            </w:r>
            <w:r w:rsidR="000F32AB" w:rsidRPr="00E11CA6">
              <w:rPr>
                <w:rFonts w:cs="Arial"/>
                <w:sz w:val="20"/>
                <w:szCs w:val="20"/>
              </w:rPr>
              <w:t xml:space="preserve">have more capacity for NDC implementation. </w:t>
            </w:r>
            <w:r w:rsidR="005C6AA6" w:rsidRPr="00E11CA6">
              <w:rPr>
                <w:rFonts w:cs="Arial"/>
                <w:sz w:val="20"/>
                <w:szCs w:val="20"/>
              </w:rPr>
              <w:t xml:space="preserve"> This year’s result will be used as the baseline in future years and will help us establish targets at the UK level. </w:t>
            </w:r>
          </w:p>
          <w:p w14:paraId="13D349E9" w14:textId="291B73FF" w:rsidR="004F7E7A" w:rsidRPr="00E11CA6" w:rsidRDefault="004F7E7A" w:rsidP="00EA0F4D">
            <w:pPr>
              <w:contextualSpacing/>
              <w:rPr>
                <w:rFonts w:cs="Arial"/>
                <w:sz w:val="20"/>
                <w:szCs w:val="20"/>
              </w:rPr>
            </w:pPr>
          </w:p>
          <w:p w14:paraId="1B16AC1A" w14:textId="3AD782DF" w:rsidR="00C66D9E" w:rsidRPr="00E11CA6" w:rsidRDefault="00C82CE6" w:rsidP="00EA0F4D">
            <w:pPr>
              <w:contextualSpacing/>
              <w:rPr>
                <w:rFonts w:cs="Arial"/>
                <w:sz w:val="20"/>
                <w:szCs w:val="20"/>
              </w:rPr>
            </w:pPr>
            <w:r w:rsidRPr="00E11CA6">
              <w:rPr>
                <w:rFonts w:cs="Arial"/>
                <w:b/>
                <w:bCs/>
                <w:sz w:val="20"/>
                <w:szCs w:val="20"/>
              </w:rPr>
              <w:t>Unscored (Progress cannot be assessed)</w:t>
            </w:r>
          </w:p>
        </w:tc>
      </w:tr>
    </w:tbl>
    <w:p w14:paraId="3E7DA202" w14:textId="77777777" w:rsidR="005C1228" w:rsidRPr="003C5BF3" w:rsidRDefault="005C1228" w:rsidP="001E39C4">
      <w:pPr>
        <w:jc w:val="both"/>
        <w:rPr>
          <w:b/>
          <w:bCs/>
          <w:i/>
          <w:iCs/>
          <w:sz w:val="28"/>
          <w:szCs w:val="28"/>
        </w:rPr>
      </w:pPr>
    </w:p>
    <w:p w14:paraId="3C251539" w14:textId="22F701D1" w:rsidR="001E39C4" w:rsidRPr="003C5BF3" w:rsidRDefault="001E39C4" w:rsidP="001E39C4">
      <w:pPr>
        <w:jc w:val="both"/>
        <w:rPr>
          <w:rFonts w:cs="Arial"/>
          <w:b/>
          <w:bCs/>
          <w:i/>
          <w:iCs/>
          <w:sz w:val="22"/>
          <w:szCs w:val="22"/>
        </w:rPr>
      </w:pPr>
      <w:r w:rsidRPr="003C5BF3">
        <w:rPr>
          <w:b/>
          <w:bCs/>
          <w:i/>
          <w:iCs/>
          <w:sz w:val="28"/>
          <w:szCs w:val="28"/>
        </w:rPr>
        <w:t>Output summary and supporting narrative for the score</w:t>
      </w:r>
      <w:r w:rsidRPr="003C5BF3">
        <w:rPr>
          <w:rFonts w:cs="Arial"/>
          <w:b/>
          <w:bCs/>
          <w:i/>
          <w:iCs/>
          <w:sz w:val="22"/>
          <w:szCs w:val="22"/>
        </w:rPr>
        <w:t xml:space="preserve"> </w:t>
      </w:r>
    </w:p>
    <w:p w14:paraId="75ABFE5A" w14:textId="0D810EEF" w:rsidR="001E39C4" w:rsidRPr="003C5BF3" w:rsidRDefault="001E39C4" w:rsidP="2B011873">
      <w:pPr>
        <w:jc w:val="both"/>
        <w:rPr>
          <w:rFonts w:cs="Arial"/>
          <w:sz w:val="22"/>
          <w:szCs w:val="22"/>
        </w:rPr>
      </w:pPr>
    </w:p>
    <w:p w14:paraId="322121CC" w14:textId="0D952B3E" w:rsidR="00F5336B" w:rsidRPr="00E11CA6" w:rsidRDefault="00F5336B" w:rsidP="002E4F4A">
      <w:pPr>
        <w:ind w:firstLine="720"/>
        <w:rPr>
          <w:rFonts w:cs="Arial"/>
          <w:sz w:val="22"/>
          <w:szCs w:val="22"/>
        </w:rPr>
      </w:pPr>
      <w:r w:rsidRPr="00E11CA6">
        <w:rPr>
          <w:rFonts w:cs="Arial"/>
          <w:sz w:val="22"/>
          <w:szCs w:val="22"/>
        </w:rPr>
        <w:t xml:space="preserve">This output received an overall score of A+. Where targets have been set </w:t>
      </w:r>
      <w:r w:rsidR="00273172" w:rsidRPr="00E11CA6">
        <w:rPr>
          <w:rFonts w:cs="Arial"/>
          <w:sz w:val="22"/>
          <w:szCs w:val="22"/>
        </w:rPr>
        <w:t>measuring</w:t>
      </w:r>
      <w:r w:rsidRPr="00E11CA6">
        <w:rPr>
          <w:rFonts w:cs="Arial"/>
          <w:sz w:val="22"/>
          <w:szCs w:val="22"/>
        </w:rPr>
        <w:t xml:space="preserve"> the output ‘</w:t>
      </w:r>
      <w:r w:rsidR="58F600CA" w:rsidRPr="00E11CA6">
        <w:rPr>
          <w:rFonts w:cs="Arial"/>
          <w:b/>
          <w:bCs/>
          <w:sz w:val="22"/>
          <w:szCs w:val="22"/>
        </w:rPr>
        <w:t>c</w:t>
      </w:r>
      <w:r w:rsidR="00273172" w:rsidRPr="00E11CA6">
        <w:rPr>
          <w:rFonts w:cs="Arial"/>
          <w:b/>
          <w:bCs/>
          <w:sz w:val="22"/>
          <w:szCs w:val="22"/>
        </w:rPr>
        <w:t>apacity and capability of developing countries increases</w:t>
      </w:r>
      <w:r w:rsidR="7B0DC8EC" w:rsidRPr="00E11CA6">
        <w:rPr>
          <w:rFonts w:cs="Arial"/>
          <w:b/>
          <w:bCs/>
          <w:sz w:val="22"/>
          <w:szCs w:val="22"/>
        </w:rPr>
        <w:t>’</w:t>
      </w:r>
      <w:r w:rsidRPr="00E11CA6">
        <w:rPr>
          <w:rFonts w:cs="Arial"/>
          <w:b/>
          <w:bCs/>
          <w:sz w:val="22"/>
          <w:szCs w:val="22"/>
        </w:rPr>
        <w:t xml:space="preserve">, </w:t>
      </w:r>
      <w:r w:rsidRPr="00E11CA6">
        <w:rPr>
          <w:rFonts w:cs="Arial"/>
          <w:sz w:val="22"/>
          <w:szCs w:val="22"/>
        </w:rPr>
        <w:t xml:space="preserve">the programme has either moderately or significantly exceeded expectations. </w:t>
      </w:r>
    </w:p>
    <w:p w14:paraId="0AC2F526" w14:textId="5BC83E44" w:rsidR="000B39B7" w:rsidRPr="00E11CA6" w:rsidRDefault="000B39B7" w:rsidP="002E4F4A">
      <w:pPr>
        <w:rPr>
          <w:rFonts w:cs="Arial"/>
          <w:sz w:val="22"/>
          <w:szCs w:val="22"/>
        </w:rPr>
      </w:pPr>
    </w:p>
    <w:p w14:paraId="0E08828A" w14:textId="3E747224" w:rsidR="00E47D6D" w:rsidRPr="00E11CA6" w:rsidRDefault="003F64F3" w:rsidP="002E4F4A">
      <w:pPr>
        <w:ind w:firstLine="720"/>
        <w:rPr>
          <w:rFonts w:cs="Arial"/>
          <w:sz w:val="22"/>
          <w:szCs w:val="22"/>
        </w:rPr>
      </w:pPr>
      <w:r w:rsidRPr="00E11CA6">
        <w:rPr>
          <w:rFonts w:cs="Arial"/>
          <w:sz w:val="22"/>
          <w:szCs w:val="22"/>
        </w:rPr>
        <w:t xml:space="preserve">The programme moderately exceeded expectations with </w:t>
      </w:r>
      <w:r w:rsidR="001E0434" w:rsidRPr="00E11CA6">
        <w:rPr>
          <w:rFonts w:cs="Arial"/>
          <w:sz w:val="22"/>
          <w:szCs w:val="22"/>
        </w:rPr>
        <w:t>the number of funded advisors</w:t>
      </w:r>
      <w:r w:rsidR="00A42E46" w:rsidRPr="00E11CA6">
        <w:rPr>
          <w:rFonts w:cs="Arial"/>
          <w:sz w:val="22"/>
          <w:szCs w:val="22"/>
        </w:rPr>
        <w:t xml:space="preserve"> deployed</w:t>
      </w:r>
      <w:r w:rsidR="001E0434" w:rsidRPr="00E11CA6">
        <w:rPr>
          <w:rFonts w:cs="Arial"/>
          <w:sz w:val="22"/>
          <w:szCs w:val="22"/>
        </w:rPr>
        <w:t xml:space="preserve"> </w:t>
      </w:r>
      <w:r w:rsidR="00B24EBD" w:rsidRPr="00E11CA6">
        <w:rPr>
          <w:rFonts w:cs="Arial"/>
          <w:sz w:val="22"/>
          <w:szCs w:val="22"/>
        </w:rPr>
        <w:t>on a partnership and UK funded level</w:t>
      </w:r>
      <w:r w:rsidR="00EC6F51" w:rsidRPr="00E11CA6">
        <w:rPr>
          <w:rFonts w:cs="Arial"/>
          <w:sz w:val="22"/>
          <w:szCs w:val="22"/>
        </w:rPr>
        <w:t xml:space="preserve">. This </w:t>
      </w:r>
      <w:r w:rsidR="0091740E" w:rsidRPr="00E11CA6">
        <w:rPr>
          <w:rFonts w:cs="Arial"/>
          <w:sz w:val="22"/>
          <w:szCs w:val="22"/>
        </w:rPr>
        <w:t>embedded advisory</w:t>
      </w:r>
      <w:r w:rsidR="00E47D6D" w:rsidRPr="00E11CA6">
        <w:rPr>
          <w:rFonts w:cs="Arial"/>
          <w:sz w:val="22"/>
          <w:szCs w:val="22"/>
        </w:rPr>
        <w:t xml:space="preserve"> support </w:t>
      </w:r>
      <w:r w:rsidR="0091740E" w:rsidRPr="00E11CA6">
        <w:rPr>
          <w:rFonts w:cs="Arial"/>
          <w:sz w:val="22"/>
          <w:szCs w:val="22"/>
        </w:rPr>
        <w:t>has contributed</w:t>
      </w:r>
      <w:r w:rsidR="00C84455" w:rsidRPr="00E11CA6">
        <w:rPr>
          <w:rFonts w:cs="Arial"/>
          <w:sz w:val="22"/>
          <w:szCs w:val="22"/>
        </w:rPr>
        <w:t xml:space="preserve"> to building institutional capacity</w:t>
      </w:r>
      <w:r w:rsidR="00E47D6D" w:rsidRPr="00E11CA6">
        <w:rPr>
          <w:rFonts w:cs="Arial"/>
          <w:sz w:val="22"/>
          <w:szCs w:val="22"/>
        </w:rPr>
        <w:t xml:space="preserve">, as well as dedicated and relevant technical assistance on NDC development, enhancement and implementation. </w:t>
      </w:r>
    </w:p>
    <w:p w14:paraId="0590C68E" w14:textId="27536A86" w:rsidR="00732023" w:rsidRPr="00E11CA6" w:rsidRDefault="00732023" w:rsidP="002E4F4A">
      <w:pPr>
        <w:rPr>
          <w:rFonts w:cs="Arial"/>
          <w:sz w:val="22"/>
          <w:szCs w:val="22"/>
        </w:rPr>
      </w:pPr>
    </w:p>
    <w:p w14:paraId="7F48DC8A" w14:textId="0ED5B54C" w:rsidR="00732023" w:rsidRPr="00E11CA6" w:rsidRDefault="00D54A0E" w:rsidP="002E4F4A">
      <w:pPr>
        <w:ind w:firstLine="720"/>
        <w:rPr>
          <w:rFonts w:cs="Arial"/>
          <w:sz w:val="22"/>
          <w:szCs w:val="22"/>
        </w:rPr>
      </w:pPr>
      <w:r w:rsidRPr="00E11CA6">
        <w:rPr>
          <w:rFonts w:cs="Arial"/>
          <w:sz w:val="22"/>
          <w:szCs w:val="22"/>
        </w:rPr>
        <w:t>For indicator 2.2</w:t>
      </w:r>
      <w:r w:rsidR="009A7678" w:rsidRPr="00E11CA6">
        <w:rPr>
          <w:rFonts w:cs="Arial"/>
          <w:sz w:val="22"/>
          <w:szCs w:val="22"/>
        </w:rPr>
        <w:t xml:space="preserve">, although </w:t>
      </w:r>
      <w:r w:rsidR="00DD1ADA" w:rsidRPr="00E11CA6">
        <w:rPr>
          <w:rFonts w:cs="Arial"/>
          <w:sz w:val="22"/>
          <w:szCs w:val="22"/>
        </w:rPr>
        <w:t>the programme significantly exceeded the target</w:t>
      </w:r>
      <w:r w:rsidR="00552A62" w:rsidRPr="00E11CA6">
        <w:rPr>
          <w:rFonts w:cs="Arial"/>
          <w:color w:val="424242"/>
          <w:sz w:val="22"/>
          <w:szCs w:val="22"/>
          <w:shd w:val="clear" w:color="auto" w:fill="FAFAFA"/>
        </w:rPr>
        <w:t xml:space="preserve"> </w:t>
      </w:r>
      <w:r w:rsidR="6132A45A" w:rsidRPr="00E11CA6">
        <w:rPr>
          <w:rFonts w:cs="Arial"/>
          <w:color w:val="424242"/>
          <w:sz w:val="22"/>
          <w:szCs w:val="22"/>
          <w:shd w:val="clear" w:color="auto" w:fill="FAFAFA"/>
        </w:rPr>
        <w:t>t</w:t>
      </w:r>
      <w:r w:rsidR="23DF8921" w:rsidRPr="00E11CA6">
        <w:rPr>
          <w:rFonts w:cs="Arial"/>
          <w:sz w:val="22"/>
          <w:szCs w:val="22"/>
        </w:rPr>
        <w:t>his</w:t>
      </w:r>
      <w:r w:rsidR="00552A62" w:rsidRPr="00E11CA6">
        <w:rPr>
          <w:rFonts w:cs="Arial"/>
          <w:sz w:val="22"/>
          <w:szCs w:val="22"/>
        </w:rPr>
        <w:t xml:space="preserve"> result does not necessarily reflect an overachievement in expectations</w:t>
      </w:r>
      <w:r w:rsidR="008D481D" w:rsidRPr="00E11CA6">
        <w:rPr>
          <w:rFonts w:cs="Arial"/>
          <w:sz w:val="22"/>
          <w:szCs w:val="22"/>
        </w:rPr>
        <w:t xml:space="preserve">. </w:t>
      </w:r>
      <w:r w:rsidR="00552A62" w:rsidRPr="00E11CA6">
        <w:rPr>
          <w:rFonts w:cs="Arial"/>
          <w:sz w:val="22"/>
          <w:szCs w:val="22"/>
        </w:rPr>
        <w:t>Instead</w:t>
      </w:r>
      <w:r w:rsidR="008D481D" w:rsidRPr="00E11CA6">
        <w:rPr>
          <w:rFonts w:cs="Arial"/>
          <w:sz w:val="22"/>
          <w:szCs w:val="22"/>
        </w:rPr>
        <w:t xml:space="preserve">, it shows that </w:t>
      </w:r>
      <w:r w:rsidR="004F185C" w:rsidRPr="00E11CA6">
        <w:rPr>
          <w:rFonts w:cs="Arial"/>
          <w:sz w:val="22"/>
          <w:szCs w:val="22"/>
        </w:rPr>
        <w:t>the original target of</w:t>
      </w:r>
      <w:r w:rsidR="008D481D" w:rsidRPr="00E11CA6">
        <w:rPr>
          <w:rFonts w:cs="Arial"/>
          <w:sz w:val="22"/>
          <w:szCs w:val="22"/>
        </w:rPr>
        <w:t xml:space="preserve"> 12 which only included countries funded through the CEF, was </w:t>
      </w:r>
      <w:r w:rsidR="0046136B" w:rsidRPr="00E11CA6">
        <w:rPr>
          <w:rFonts w:cs="Arial"/>
          <w:sz w:val="22"/>
          <w:szCs w:val="22"/>
        </w:rPr>
        <w:t xml:space="preserve">a miscalculation of </w:t>
      </w:r>
      <w:r w:rsidR="00B051FA" w:rsidRPr="00E11CA6">
        <w:rPr>
          <w:rFonts w:cs="Arial"/>
          <w:sz w:val="22"/>
          <w:szCs w:val="22"/>
        </w:rPr>
        <w:t xml:space="preserve">what we would be able to achieve via the different funding elements </w:t>
      </w:r>
      <w:r w:rsidR="00F54A85" w:rsidRPr="00E11CA6">
        <w:rPr>
          <w:rFonts w:cs="Arial"/>
          <w:sz w:val="22"/>
          <w:szCs w:val="22"/>
        </w:rPr>
        <w:t xml:space="preserve">by the end of the reporting period. Therefore, this target will be reassessed for next </w:t>
      </w:r>
      <w:r w:rsidR="002048DC" w:rsidRPr="00E11CA6">
        <w:rPr>
          <w:rFonts w:cs="Arial"/>
          <w:sz w:val="22"/>
          <w:szCs w:val="22"/>
        </w:rPr>
        <w:t>year’s</w:t>
      </w:r>
      <w:r w:rsidR="00F54A85" w:rsidRPr="00E11CA6">
        <w:rPr>
          <w:rFonts w:cs="Arial"/>
          <w:sz w:val="22"/>
          <w:szCs w:val="22"/>
        </w:rPr>
        <w:t xml:space="preserve"> annual review, using this year as a </w:t>
      </w:r>
      <w:r w:rsidR="005A6D55" w:rsidRPr="00E11CA6">
        <w:rPr>
          <w:rFonts w:cs="Arial"/>
          <w:sz w:val="22"/>
          <w:szCs w:val="22"/>
        </w:rPr>
        <w:t>baseline</w:t>
      </w:r>
      <w:r w:rsidR="00F54A85" w:rsidRPr="00E11CA6">
        <w:rPr>
          <w:rFonts w:cs="Arial"/>
          <w:sz w:val="22"/>
          <w:szCs w:val="22"/>
        </w:rPr>
        <w:t xml:space="preserve">. </w:t>
      </w:r>
    </w:p>
    <w:p w14:paraId="1E359ADE" w14:textId="135B1DDA" w:rsidR="00296640" w:rsidRPr="00E11CA6" w:rsidRDefault="00296640" w:rsidP="002E4F4A">
      <w:pPr>
        <w:rPr>
          <w:sz w:val="22"/>
          <w:szCs w:val="22"/>
        </w:rPr>
      </w:pPr>
    </w:p>
    <w:p w14:paraId="337B1B30" w14:textId="30373DAC" w:rsidR="00296640" w:rsidRPr="00E11CA6" w:rsidRDefault="00296640" w:rsidP="00AE2BA0">
      <w:pPr>
        <w:ind w:firstLine="720"/>
        <w:rPr>
          <w:sz w:val="22"/>
          <w:szCs w:val="22"/>
        </w:rPr>
      </w:pPr>
      <w:r w:rsidRPr="00E11CA6">
        <w:rPr>
          <w:sz w:val="22"/>
          <w:szCs w:val="22"/>
        </w:rPr>
        <w:t>For indicator 2.3</w:t>
      </w:r>
      <w:r w:rsidR="004F7B8B" w:rsidRPr="00E11CA6">
        <w:rPr>
          <w:sz w:val="22"/>
          <w:szCs w:val="22"/>
        </w:rPr>
        <w:t xml:space="preserve">, </w:t>
      </w:r>
      <w:r w:rsidR="00931DEC" w:rsidRPr="00E11CA6">
        <w:rPr>
          <w:sz w:val="22"/>
          <w:szCs w:val="22"/>
        </w:rPr>
        <w:t>progress could not be measured as no target was set</w:t>
      </w:r>
      <w:r w:rsidR="004F7B8B" w:rsidRPr="00E11CA6">
        <w:rPr>
          <w:sz w:val="22"/>
          <w:szCs w:val="22"/>
        </w:rPr>
        <w:t xml:space="preserve">. </w:t>
      </w:r>
      <w:r w:rsidR="00C864C2" w:rsidRPr="00E11CA6">
        <w:rPr>
          <w:sz w:val="22"/>
          <w:szCs w:val="22"/>
        </w:rPr>
        <w:t xml:space="preserve">This was challenging as this is the first year of this </w:t>
      </w:r>
      <w:r w:rsidR="00A3148B">
        <w:rPr>
          <w:sz w:val="22"/>
          <w:szCs w:val="22"/>
        </w:rPr>
        <w:t>logframe</w:t>
      </w:r>
      <w:r w:rsidR="00C864C2" w:rsidRPr="00E11CA6">
        <w:rPr>
          <w:sz w:val="22"/>
          <w:szCs w:val="22"/>
        </w:rPr>
        <w:t xml:space="preserve">, so there was no </w:t>
      </w:r>
      <w:r w:rsidR="004B0928" w:rsidRPr="00E11CA6">
        <w:rPr>
          <w:sz w:val="22"/>
          <w:szCs w:val="22"/>
        </w:rPr>
        <w:t>baseline</w:t>
      </w:r>
      <w:r w:rsidR="00C864C2" w:rsidRPr="00E11CA6">
        <w:rPr>
          <w:sz w:val="22"/>
          <w:szCs w:val="22"/>
        </w:rPr>
        <w:t xml:space="preserve"> to set a target from. </w:t>
      </w:r>
      <w:r w:rsidR="004B0928" w:rsidRPr="00E11CA6">
        <w:rPr>
          <w:sz w:val="22"/>
          <w:szCs w:val="22"/>
        </w:rPr>
        <w:t>Although</w:t>
      </w:r>
      <w:r w:rsidR="00C864C2" w:rsidRPr="00E11CA6">
        <w:rPr>
          <w:sz w:val="22"/>
          <w:szCs w:val="22"/>
        </w:rPr>
        <w:t xml:space="preserve"> </w:t>
      </w:r>
      <w:r w:rsidR="003534A9" w:rsidRPr="00E11CA6">
        <w:rPr>
          <w:sz w:val="22"/>
          <w:szCs w:val="22"/>
        </w:rPr>
        <w:t>this indicator</w:t>
      </w:r>
      <w:r w:rsidR="00C864C2" w:rsidRPr="00E11CA6">
        <w:rPr>
          <w:sz w:val="22"/>
          <w:szCs w:val="22"/>
        </w:rPr>
        <w:t xml:space="preserve"> is unscored, </w:t>
      </w:r>
      <w:r w:rsidR="003D7744" w:rsidRPr="00E11CA6">
        <w:rPr>
          <w:sz w:val="22"/>
          <w:szCs w:val="22"/>
        </w:rPr>
        <w:t>a 71%</w:t>
      </w:r>
      <w:r w:rsidR="003534A9" w:rsidRPr="00E11CA6">
        <w:rPr>
          <w:sz w:val="22"/>
          <w:szCs w:val="22"/>
        </w:rPr>
        <w:t>, indicates a large majority</w:t>
      </w:r>
      <w:r w:rsidR="00D4313C" w:rsidRPr="00E11CA6">
        <w:rPr>
          <w:sz w:val="22"/>
          <w:szCs w:val="22"/>
        </w:rPr>
        <w:t xml:space="preserve">, suggesting </w:t>
      </w:r>
      <w:r w:rsidR="003D7744" w:rsidRPr="00E11CA6">
        <w:rPr>
          <w:sz w:val="22"/>
          <w:szCs w:val="22"/>
        </w:rPr>
        <w:t xml:space="preserve">that </w:t>
      </w:r>
      <w:r w:rsidR="00772C0B" w:rsidRPr="00E11CA6">
        <w:rPr>
          <w:sz w:val="22"/>
          <w:szCs w:val="22"/>
        </w:rPr>
        <w:t xml:space="preserve">the deployment of embedded </w:t>
      </w:r>
      <w:r w:rsidR="004B0928" w:rsidRPr="00E11CA6">
        <w:rPr>
          <w:sz w:val="22"/>
          <w:szCs w:val="22"/>
        </w:rPr>
        <w:t>advisors</w:t>
      </w:r>
      <w:r w:rsidR="00772C0B" w:rsidRPr="00E11CA6">
        <w:rPr>
          <w:sz w:val="22"/>
          <w:szCs w:val="22"/>
        </w:rPr>
        <w:t xml:space="preserve"> is </w:t>
      </w:r>
      <w:r w:rsidR="00CE304C" w:rsidRPr="00E11CA6">
        <w:rPr>
          <w:sz w:val="22"/>
          <w:szCs w:val="22"/>
        </w:rPr>
        <w:t>effectively s</w:t>
      </w:r>
      <w:r w:rsidR="002D7AAA" w:rsidRPr="00E11CA6">
        <w:rPr>
          <w:sz w:val="22"/>
          <w:szCs w:val="22"/>
        </w:rPr>
        <w:t xml:space="preserve">upporting </w:t>
      </w:r>
      <w:r w:rsidR="00844EFD" w:rsidRPr="00E11CA6">
        <w:rPr>
          <w:sz w:val="22"/>
          <w:szCs w:val="22"/>
        </w:rPr>
        <w:t xml:space="preserve">increased capacity for NDC </w:t>
      </w:r>
      <w:r w:rsidR="004B0928" w:rsidRPr="00E11CA6">
        <w:rPr>
          <w:sz w:val="22"/>
          <w:szCs w:val="22"/>
        </w:rPr>
        <w:t xml:space="preserve">implementation and contributes towards building institutional capacity. </w:t>
      </w:r>
    </w:p>
    <w:p w14:paraId="3C1A68F3" w14:textId="4ACD9F38" w:rsidR="00F5336B" w:rsidRPr="00E11CA6" w:rsidRDefault="00F5336B" w:rsidP="00F5336B">
      <w:pPr>
        <w:rPr>
          <w:rFonts w:cs="Arial"/>
          <w:sz w:val="22"/>
          <w:szCs w:val="22"/>
        </w:rPr>
      </w:pPr>
    </w:p>
    <w:p w14:paraId="3F098E71" w14:textId="77777777" w:rsidR="001E39C4" w:rsidRPr="003C5BF3" w:rsidRDefault="001E39C4" w:rsidP="001E39C4">
      <w:pPr>
        <w:jc w:val="both"/>
        <w:rPr>
          <w:rFonts w:cs="Arial"/>
          <w:bCs/>
          <w:sz w:val="22"/>
          <w:szCs w:val="22"/>
        </w:rPr>
      </w:pPr>
      <w:r w:rsidRPr="003C5BF3">
        <w:rPr>
          <w:rFonts w:cs="Arial"/>
          <w:bCs/>
          <w:sz w:val="22"/>
          <w:szCs w:val="22"/>
        </w:rPr>
        <w:t xml:space="preserve">  </w:t>
      </w:r>
    </w:p>
    <w:p w14:paraId="6CAA639C" w14:textId="525CD79E" w:rsidR="001E39C4" w:rsidRPr="003C5BF3" w:rsidRDefault="001E39C4" w:rsidP="001E39C4">
      <w:pPr>
        <w:jc w:val="both"/>
        <w:rPr>
          <w:rFonts w:cs="Arial"/>
          <w:i/>
          <w:iCs/>
          <w:sz w:val="22"/>
          <w:szCs w:val="22"/>
        </w:rPr>
      </w:pPr>
      <w:r w:rsidRPr="003C5BF3">
        <w:rPr>
          <w:b/>
          <w:bCs/>
          <w:i/>
          <w:iCs/>
          <w:sz w:val="28"/>
          <w:szCs w:val="28"/>
        </w:rPr>
        <w:t>Changes to this output, and any planned changes as a result of this review</w:t>
      </w:r>
      <w:r w:rsidRPr="003C5BF3">
        <w:rPr>
          <w:rFonts w:cs="Arial"/>
          <w:b/>
          <w:bCs/>
          <w:i/>
          <w:iCs/>
          <w:sz w:val="22"/>
          <w:szCs w:val="22"/>
        </w:rPr>
        <w:t xml:space="preserve"> </w:t>
      </w:r>
    </w:p>
    <w:p w14:paraId="5FBC3A5A" w14:textId="7A255BF4" w:rsidR="001E39C4" w:rsidRPr="003C5BF3" w:rsidRDefault="001E39C4" w:rsidP="001E39C4">
      <w:pPr>
        <w:jc w:val="both"/>
        <w:rPr>
          <w:rFonts w:cs="Arial"/>
          <w:sz w:val="22"/>
          <w:szCs w:val="22"/>
        </w:rPr>
      </w:pPr>
    </w:p>
    <w:p w14:paraId="084945B3" w14:textId="5907554F" w:rsidR="00FD650A" w:rsidRPr="00E11CA6" w:rsidRDefault="00494CC6" w:rsidP="00E24B1D">
      <w:pPr>
        <w:ind w:firstLine="720"/>
        <w:rPr>
          <w:rFonts w:cs="Arial"/>
          <w:sz w:val="22"/>
          <w:szCs w:val="22"/>
        </w:rPr>
      </w:pPr>
      <w:r w:rsidRPr="00E11CA6">
        <w:rPr>
          <w:rFonts w:cs="Arial"/>
          <w:sz w:val="22"/>
          <w:szCs w:val="22"/>
        </w:rPr>
        <w:t xml:space="preserve">This is the first year of a new </w:t>
      </w:r>
      <w:r w:rsidR="00A3148B">
        <w:rPr>
          <w:rFonts w:cs="Arial"/>
          <w:sz w:val="22"/>
          <w:szCs w:val="22"/>
        </w:rPr>
        <w:t>Logframe</w:t>
      </w:r>
      <w:r w:rsidRPr="00E11CA6">
        <w:rPr>
          <w:rFonts w:cs="Arial"/>
          <w:sz w:val="22"/>
          <w:szCs w:val="22"/>
        </w:rPr>
        <w:t xml:space="preserve"> and as such this is the first year that this output is being reported against, so there are no changes to report on. We will use this year’s results as a baseline for comparing future results and setting targets. </w:t>
      </w:r>
    </w:p>
    <w:p w14:paraId="73DB2C17" w14:textId="78D5AA30" w:rsidR="00FD650A" w:rsidRPr="00E11CA6" w:rsidRDefault="00FD650A" w:rsidP="00E24B1D">
      <w:pPr>
        <w:rPr>
          <w:rFonts w:cs="Arial"/>
          <w:sz w:val="22"/>
          <w:szCs w:val="22"/>
        </w:rPr>
      </w:pPr>
    </w:p>
    <w:p w14:paraId="22073E2C" w14:textId="3741C1AA" w:rsidR="00494CC6" w:rsidRPr="00E11CA6" w:rsidRDefault="00494CC6" w:rsidP="00E24B1D">
      <w:pPr>
        <w:ind w:firstLine="720"/>
        <w:rPr>
          <w:rFonts w:cs="Arial"/>
          <w:sz w:val="22"/>
          <w:szCs w:val="22"/>
        </w:rPr>
      </w:pPr>
      <w:r w:rsidRPr="00E11CA6">
        <w:rPr>
          <w:rFonts w:cs="Arial"/>
          <w:sz w:val="22"/>
          <w:szCs w:val="22"/>
        </w:rPr>
        <w:t xml:space="preserve">We expect delivery partners to provide detailed reporting on the elements of the programme, which will </w:t>
      </w:r>
      <w:r w:rsidR="00144A83" w:rsidRPr="00E11CA6">
        <w:rPr>
          <w:rFonts w:cs="Arial"/>
          <w:sz w:val="22"/>
          <w:szCs w:val="22"/>
        </w:rPr>
        <w:t>mean we can set more meaningful targets in instances where we have underestimated capacity</w:t>
      </w:r>
      <w:r w:rsidR="00414A67" w:rsidRPr="00E11CA6">
        <w:rPr>
          <w:rFonts w:cs="Arial"/>
          <w:sz w:val="22"/>
          <w:szCs w:val="22"/>
        </w:rPr>
        <w:t xml:space="preserve">. </w:t>
      </w:r>
    </w:p>
    <w:p w14:paraId="4C340564" w14:textId="77777777" w:rsidR="001E39C4" w:rsidRPr="00E11CA6" w:rsidRDefault="001E39C4" w:rsidP="001E39C4">
      <w:pPr>
        <w:jc w:val="both"/>
        <w:rPr>
          <w:rFonts w:cs="Arial"/>
          <w:sz w:val="22"/>
          <w:szCs w:val="22"/>
        </w:rPr>
      </w:pPr>
    </w:p>
    <w:p w14:paraId="02BFAD9D" w14:textId="78C430DF" w:rsidR="001E39C4" w:rsidRPr="003C5BF3" w:rsidRDefault="001E39C4" w:rsidP="001E39C4">
      <w:pPr>
        <w:jc w:val="both"/>
        <w:rPr>
          <w:rFonts w:cs="Arial"/>
          <w:bCs/>
          <w:sz w:val="22"/>
          <w:szCs w:val="22"/>
        </w:rPr>
      </w:pPr>
      <w:r w:rsidRPr="003C5BF3">
        <w:rPr>
          <w:b/>
          <w:bCs/>
          <w:i/>
          <w:iCs/>
          <w:sz w:val="28"/>
          <w:szCs w:val="28"/>
        </w:rPr>
        <w:lastRenderedPageBreak/>
        <w:t>Progress on recommendations from the previous AR, lessons learned this year, and recommendations for the year ahead</w:t>
      </w:r>
      <w:r w:rsidRPr="003C5BF3">
        <w:rPr>
          <w:rFonts w:cs="Arial"/>
          <w:b/>
          <w:bCs/>
        </w:rPr>
        <w:t xml:space="preserve"> </w:t>
      </w:r>
    </w:p>
    <w:p w14:paraId="0E74232D" w14:textId="2DD73316" w:rsidR="00426CDD" w:rsidRPr="003C5BF3" w:rsidRDefault="00426CDD" w:rsidP="2B011873">
      <w:pPr>
        <w:tabs>
          <w:tab w:val="left" w:pos="8352"/>
        </w:tabs>
        <w:jc w:val="both"/>
        <w:rPr>
          <w:rFonts w:cs="Arial"/>
          <w:sz w:val="22"/>
          <w:szCs w:val="22"/>
        </w:rPr>
      </w:pPr>
    </w:p>
    <w:p w14:paraId="10B4B365" w14:textId="58D8EB83" w:rsidR="00D622E0" w:rsidRPr="00E11CA6" w:rsidRDefault="00426CDD" w:rsidP="00426CDD">
      <w:pPr>
        <w:tabs>
          <w:tab w:val="left" w:pos="3495"/>
        </w:tabs>
        <w:rPr>
          <w:rFonts w:cs="Arial"/>
          <w:sz w:val="22"/>
          <w:szCs w:val="22"/>
        </w:rPr>
      </w:pPr>
      <w:r w:rsidRPr="00E11CA6">
        <w:rPr>
          <w:rFonts w:cs="Arial"/>
          <w:sz w:val="22"/>
          <w:szCs w:val="22"/>
        </w:rPr>
        <w:t xml:space="preserve">As this is the first year of a new </w:t>
      </w:r>
      <w:r w:rsidR="00A3148B">
        <w:rPr>
          <w:rFonts w:cs="Arial"/>
          <w:sz w:val="22"/>
          <w:szCs w:val="22"/>
        </w:rPr>
        <w:t>logframe</w:t>
      </w:r>
      <w:r w:rsidRPr="00E11CA6">
        <w:rPr>
          <w:rFonts w:cs="Arial"/>
          <w:sz w:val="22"/>
          <w:szCs w:val="22"/>
        </w:rPr>
        <w:t xml:space="preserve">, the recommendations from last year’s AR do not relate to these outputs. </w:t>
      </w:r>
    </w:p>
    <w:p w14:paraId="62453F16" w14:textId="77777777" w:rsidR="00D622E0" w:rsidRPr="00E11CA6" w:rsidRDefault="00D622E0">
      <w:pPr>
        <w:spacing w:after="160" w:line="259" w:lineRule="auto"/>
        <w:rPr>
          <w:rFonts w:cs="Arial"/>
          <w:sz w:val="22"/>
          <w:szCs w:val="22"/>
        </w:rPr>
      </w:pPr>
      <w:r w:rsidRPr="00E11CA6">
        <w:rPr>
          <w:rFonts w:cs="Arial"/>
          <w:sz w:val="22"/>
          <w:szCs w:val="22"/>
        </w:rPr>
        <w:br w:type="page"/>
      </w:r>
    </w:p>
    <w:p w14:paraId="1DA5DF83" w14:textId="77777777" w:rsidR="00426CDD" w:rsidRPr="00E24B1D" w:rsidRDefault="00426CDD" w:rsidP="00426CDD">
      <w:pPr>
        <w:tabs>
          <w:tab w:val="left" w:pos="3495"/>
        </w:tabs>
        <w:rPr>
          <w:rFonts w:cs="Arial"/>
        </w:rPr>
      </w:pPr>
    </w:p>
    <w:p w14:paraId="345661C3" w14:textId="3A1BA637" w:rsidR="004A367B" w:rsidRPr="003C5BF3" w:rsidRDefault="004A367B" w:rsidP="004D5FD5">
      <w:pPr>
        <w:pStyle w:val="Heading2"/>
        <w:jc w:val="both"/>
      </w:pPr>
      <w:bookmarkStart w:id="16" w:name="_Toc199421665"/>
      <w:r w:rsidRPr="003C5BF3">
        <w:t>Output 3</w:t>
      </w:r>
      <w:bookmarkEnd w:id="16"/>
    </w:p>
    <w:p w14:paraId="23CF0139" w14:textId="77777777" w:rsidR="00ED5FD4" w:rsidRPr="003C5BF3" w:rsidRDefault="00ED5FD4" w:rsidP="00ED5FD4"/>
    <w:tbl>
      <w:tblPr>
        <w:tblStyle w:val="TableGrid"/>
        <w:tblW w:w="9072" w:type="dxa"/>
        <w:tblInd w:w="-5" w:type="dxa"/>
        <w:tblLook w:val="04A0" w:firstRow="1" w:lastRow="0" w:firstColumn="1" w:lastColumn="0" w:noHBand="0" w:noVBand="1"/>
      </w:tblPr>
      <w:tblGrid>
        <w:gridCol w:w="1566"/>
        <w:gridCol w:w="616"/>
        <w:gridCol w:w="937"/>
        <w:gridCol w:w="2977"/>
        <w:gridCol w:w="2976"/>
      </w:tblGrid>
      <w:tr w:rsidR="002C3A0F" w:rsidRPr="003C5BF3" w14:paraId="343E8A59" w14:textId="77777777">
        <w:trPr>
          <w:trHeight w:val="489"/>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F6358D7" w14:textId="77777777" w:rsidR="00ED5FD4" w:rsidRPr="00E11CA6" w:rsidRDefault="00ED5FD4">
            <w:pPr>
              <w:jc w:val="both"/>
              <w:rPr>
                <w:rFonts w:cs="Arial"/>
                <w:b/>
                <w:bCs/>
                <w:sz w:val="20"/>
                <w:szCs w:val="20"/>
              </w:rPr>
            </w:pPr>
            <w:r w:rsidRPr="00E11CA6">
              <w:rPr>
                <w:rFonts w:cs="Arial"/>
                <w:b/>
                <w:bCs/>
                <w:sz w:val="20"/>
                <w:szCs w:val="20"/>
              </w:rPr>
              <w:t xml:space="preserve">Output Title </w:t>
            </w:r>
          </w:p>
        </w:tc>
        <w:tc>
          <w:tcPr>
            <w:tcW w:w="75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15425E5" w14:textId="30A1471E" w:rsidR="00ED5FD4" w:rsidRPr="00E11CA6" w:rsidRDefault="00EA79A8">
            <w:pPr>
              <w:jc w:val="both"/>
              <w:rPr>
                <w:rFonts w:cs="Arial"/>
                <w:b/>
                <w:iCs/>
                <w:color w:val="FF0000"/>
                <w:sz w:val="20"/>
                <w:szCs w:val="20"/>
              </w:rPr>
            </w:pPr>
            <w:r w:rsidRPr="00E11CA6">
              <w:rPr>
                <w:rFonts w:cs="Arial"/>
                <w:b/>
                <w:iCs/>
                <w:sz w:val="20"/>
                <w:szCs w:val="20"/>
              </w:rPr>
              <w:t>Developing countries establish and enhance climate plans, policies and processes</w:t>
            </w:r>
          </w:p>
        </w:tc>
      </w:tr>
      <w:tr w:rsidR="00E10F47" w:rsidRPr="003C5BF3" w14:paraId="0D129A7F" w14:textId="77777777">
        <w:trPr>
          <w:trHeight w:val="347"/>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E4E4F19" w14:textId="77777777" w:rsidR="00ED5FD4" w:rsidRPr="00E11CA6" w:rsidRDefault="00ED5FD4">
            <w:pPr>
              <w:jc w:val="both"/>
              <w:rPr>
                <w:rFonts w:cs="Arial"/>
                <w:bCs/>
                <w:sz w:val="20"/>
                <w:szCs w:val="20"/>
              </w:rPr>
            </w:pPr>
            <w:r w:rsidRPr="00E11CA6">
              <w:rPr>
                <w:rFonts w:cs="Arial"/>
                <w:bCs/>
                <w:sz w:val="20"/>
                <w:szCs w:val="20"/>
              </w:rPr>
              <w:t xml:space="preserve">Output number: </w:t>
            </w:r>
          </w:p>
        </w:tc>
        <w:tc>
          <w:tcPr>
            <w:tcW w:w="937" w:type="dxa"/>
            <w:tcBorders>
              <w:top w:val="single" w:sz="4" w:space="0" w:color="auto"/>
              <w:left w:val="single" w:sz="4" w:space="0" w:color="auto"/>
              <w:bottom w:val="single" w:sz="4" w:space="0" w:color="auto"/>
              <w:right w:val="single" w:sz="4" w:space="0" w:color="auto"/>
            </w:tcBorders>
          </w:tcPr>
          <w:p w14:paraId="7D3D58F5" w14:textId="36320CF6" w:rsidR="00ED5FD4" w:rsidRPr="00E11CA6" w:rsidRDefault="00EA79A8">
            <w:pPr>
              <w:jc w:val="both"/>
              <w:rPr>
                <w:rFonts w:cs="Arial"/>
                <w:sz w:val="20"/>
                <w:szCs w:val="20"/>
              </w:rPr>
            </w:pPr>
            <w:r w:rsidRPr="00E11CA6">
              <w:rPr>
                <w:rFonts w:cs="Arial"/>
                <w:sz w:val="20"/>
                <w:szCs w:val="20"/>
              </w:rPr>
              <w:t>3</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58A97E8" w14:textId="77777777" w:rsidR="00ED5FD4" w:rsidRPr="00E11CA6" w:rsidRDefault="00ED5FD4">
            <w:pPr>
              <w:jc w:val="both"/>
              <w:rPr>
                <w:rFonts w:cs="Arial"/>
                <w:sz w:val="20"/>
                <w:szCs w:val="20"/>
              </w:rPr>
            </w:pPr>
            <w:r w:rsidRPr="00E11CA6">
              <w:rPr>
                <w:rFonts w:cs="Arial"/>
                <w:bCs/>
                <w:sz w:val="20"/>
                <w:szCs w:val="20"/>
              </w:rPr>
              <w:t xml:space="preserve">Output Score: </w:t>
            </w:r>
          </w:p>
        </w:tc>
        <w:tc>
          <w:tcPr>
            <w:tcW w:w="2976" w:type="dxa"/>
            <w:tcBorders>
              <w:top w:val="single" w:sz="4" w:space="0" w:color="auto"/>
              <w:left w:val="single" w:sz="4" w:space="0" w:color="auto"/>
              <w:bottom w:val="single" w:sz="4" w:space="0" w:color="auto"/>
              <w:right w:val="single" w:sz="4" w:space="0" w:color="auto"/>
            </w:tcBorders>
          </w:tcPr>
          <w:p w14:paraId="20F25E26" w14:textId="3A5A6FD9" w:rsidR="00ED5FD4" w:rsidRPr="00E11CA6" w:rsidRDefault="00D53230">
            <w:pPr>
              <w:jc w:val="both"/>
              <w:rPr>
                <w:rFonts w:cs="Arial"/>
                <w:b/>
                <w:bCs/>
                <w:iCs/>
                <w:sz w:val="20"/>
                <w:szCs w:val="20"/>
              </w:rPr>
            </w:pPr>
            <w:r w:rsidRPr="00E11CA6">
              <w:rPr>
                <w:rFonts w:cs="Arial"/>
                <w:b/>
                <w:bCs/>
                <w:iCs/>
                <w:sz w:val="20"/>
                <w:szCs w:val="20"/>
              </w:rPr>
              <w:t>B</w:t>
            </w:r>
          </w:p>
        </w:tc>
      </w:tr>
      <w:tr w:rsidR="00E10F47" w:rsidRPr="003C5BF3" w14:paraId="71D6D4AA" w14:textId="77777777">
        <w:trPr>
          <w:trHeight w:val="345"/>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DBDA094" w14:textId="77777777" w:rsidR="00ED5FD4" w:rsidRPr="00E11CA6" w:rsidRDefault="00ED5FD4">
            <w:pPr>
              <w:jc w:val="both"/>
              <w:rPr>
                <w:rFonts w:cs="Arial"/>
                <w:sz w:val="20"/>
                <w:szCs w:val="20"/>
              </w:rPr>
            </w:pPr>
            <w:r w:rsidRPr="00E11CA6">
              <w:rPr>
                <w:rFonts w:cs="Arial"/>
                <w:bCs/>
                <w:sz w:val="20"/>
                <w:szCs w:val="20"/>
              </w:rPr>
              <w:t xml:space="preserve">Impact weighting (%):  </w:t>
            </w:r>
          </w:p>
        </w:tc>
        <w:tc>
          <w:tcPr>
            <w:tcW w:w="937" w:type="dxa"/>
            <w:tcBorders>
              <w:top w:val="single" w:sz="4" w:space="0" w:color="auto"/>
              <w:left w:val="single" w:sz="4" w:space="0" w:color="auto"/>
              <w:bottom w:val="single" w:sz="4" w:space="0" w:color="auto"/>
              <w:right w:val="single" w:sz="4" w:space="0" w:color="auto"/>
            </w:tcBorders>
            <w:hideMark/>
          </w:tcPr>
          <w:p w14:paraId="0EC60837" w14:textId="4EFA6682" w:rsidR="00ED5FD4" w:rsidRPr="00E11CA6" w:rsidRDefault="00EA79A8">
            <w:pPr>
              <w:jc w:val="both"/>
              <w:rPr>
                <w:rFonts w:cs="Arial"/>
                <w:bCs/>
                <w:sz w:val="20"/>
                <w:szCs w:val="20"/>
              </w:rPr>
            </w:pPr>
            <w:r w:rsidRPr="00E11CA6">
              <w:rPr>
                <w:rFonts w:cs="Arial"/>
                <w:bCs/>
                <w:sz w:val="20"/>
                <w:szCs w:val="20"/>
              </w:rPr>
              <w:t>30</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E35CD2B" w14:textId="77777777" w:rsidR="00ED5FD4" w:rsidRPr="00E11CA6" w:rsidRDefault="00ED5FD4">
            <w:pPr>
              <w:jc w:val="both"/>
              <w:rPr>
                <w:rFonts w:cs="Arial"/>
                <w:bCs/>
                <w:sz w:val="20"/>
                <w:szCs w:val="20"/>
              </w:rPr>
            </w:pPr>
            <w:r w:rsidRPr="00E11CA6">
              <w:rPr>
                <w:rFonts w:cs="Arial"/>
                <w:bCs/>
                <w:sz w:val="20"/>
                <w:szCs w:val="20"/>
              </w:rPr>
              <w:t xml:space="preserve">Weighting revised since last AR? </w:t>
            </w:r>
          </w:p>
        </w:tc>
        <w:tc>
          <w:tcPr>
            <w:tcW w:w="2976" w:type="dxa"/>
            <w:tcBorders>
              <w:top w:val="single" w:sz="4" w:space="0" w:color="auto"/>
              <w:left w:val="single" w:sz="4" w:space="0" w:color="auto"/>
              <w:bottom w:val="single" w:sz="4" w:space="0" w:color="auto"/>
              <w:right w:val="single" w:sz="4" w:space="0" w:color="auto"/>
            </w:tcBorders>
          </w:tcPr>
          <w:p w14:paraId="510CC462" w14:textId="616508C6" w:rsidR="00ED5FD4" w:rsidRPr="00E11CA6" w:rsidRDefault="00F05E66">
            <w:pPr>
              <w:jc w:val="both"/>
              <w:rPr>
                <w:rFonts w:cs="Arial"/>
                <w:bCs/>
                <w:sz w:val="20"/>
                <w:szCs w:val="20"/>
              </w:rPr>
            </w:pPr>
            <w:r w:rsidRPr="00E11CA6">
              <w:rPr>
                <w:rFonts w:cs="Arial"/>
                <w:iCs/>
                <w:sz w:val="20"/>
                <w:szCs w:val="20"/>
              </w:rPr>
              <w:t>N/A</w:t>
            </w:r>
          </w:p>
        </w:tc>
      </w:tr>
      <w:tr w:rsidR="00E10F47" w:rsidRPr="003C5BF3" w14:paraId="13EB579E" w14:textId="77777777">
        <w:trPr>
          <w:trHeight w:val="345"/>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A981A1" w14:textId="44967B89" w:rsidR="00ED5FD4" w:rsidRPr="00E11CA6" w:rsidRDefault="00ED5FD4">
            <w:pPr>
              <w:jc w:val="both"/>
              <w:rPr>
                <w:rFonts w:cs="Arial"/>
                <w:bCs/>
                <w:sz w:val="20"/>
                <w:szCs w:val="20"/>
              </w:rPr>
            </w:pPr>
            <w:r w:rsidRPr="00E11CA6">
              <w:rPr>
                <w:rFonts w:cs="Arial"/>
                <w:bCs/>
                <w:sz w:val="20"/>
                <w:szCs w:val="20"/>
              </w:rPr>
              <w:t>Risk rating</w:t>
            </w:r>
            <w:r w:rsidR="00DB3B57" w:rsidRPr="00E11CA6">
              <w:rPr>
                <w:rFonts w:cs="Arial"/>
                <w:bCs/>
                <w:sz w:val="20"/>
                <w:szCs w:val="20"/>
              </w:rPr>
              <w:t>:</w:t>
            </w:r>
          </w:p>
        </w:tc>
        <w:tc>
          <w:tcPr>
            <w:tcW w:w="937" w:type="dxa"/>
            <w:tcBorders>
              <w:top w:val="single" w:sz="4" w:space="0" w:color="auto"/>
              <w:left w:val="single" w:sz="4" w:space="0" w:color="auto"/>
              <w:bottom w:val="single" w:sz="4" w:space="0" w:color="auto"/>
              <w:right w:val="single" w:sz="4" w:space="0" w:color="auto"/>
            </w:tcBorders>
          </w:tcPr>
          <w:p w14:paraId="56DEF1B3" w14:textId="26F61265" w:rsidR="00ED5FD4" w:rsidRPr="00E11CA6" w:rsidRDefault="008E7F35">
            <w:pPr>
              <w:jc w:val="both"/>
              <w:rPr>
                <w:rFonts w:cs="Arial"/>
                <w:bCs/>
                <w:sz w:val="20"/>
                <w:szCs w:val="20"/>
              </w:rPr>
            </w:pPr>
            <w:r w:rsidRPr="00E11CA6">
              <w:rPr>
                <w:rFonts w:cs="Arial"/>
                <w:bCs/>
                <w:sz w:val="20"/>
                <w:szCs w:val="20"/>
              </w:rPr>
              <w:t>Major</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EB55AA" w14:textId="77777777" w:rsidR="00ED5FD4" w:rsidRPr="00E11CA6" w:rsidRDefault="00ED5FD4">
            <w:pPr>
              <w:jc w:val="both"/>
              <w:rPr>
                <w:rFonts w:cs="Arial"/>
                <w:bCs/>
                <w:sz w:val="20"/>
                <w:szCs w:val="20"/>
              </w:rPr>
            </w:pPr>
            <w:r w:rsidRPr="00E11CA6">
              <w:rPr>
                <w:rFonts w:cs="Arial"/>
                <w:bCs/>
                <w:sz w:val="20"/>
                <w:szCs w:val="20"/>
              </w:rPr>
              <w:t>Risk revised since last AR?</w:t>
            </w:r>
          </w:p>
        </w:tc>
        <w:tc>
          <w:tcPr>
            <w:tcW w:w="2976" w:type="dxa"/>
            <w:tcBorders>
              <w:top w:val="single" w:sz="4" w:space="0" w:color="auto"/>
              <w:left w:val="single" w:sz="4" w:space="0" w:color="auto"/>
              <w:bottom w:val="single" w:sz="4" w:space="0" w:color="auto"/>
              <w:right w:val="single" w:sz="4" w:space="0" w:color="auto"/>
            </w:tcBorders>
          </w:tcPr>
          <w:p w14:paraId="7C423B56" w14:textId="583669AD" w:rsidR="00ED5FD4" w:rsidRPr="00E11CA6" w:rsidRDefault="00A91B56">
            <w:pPr>
              <w:jc w:val="both"/>
              <w:rPr>
                <w:rFonts w:cs="Arial"/>
                <w:bCs/>
                <w:sz w:val="20"/>
                <w:szCs w:val="20"/>
              </w:rPr>
            </w:pPr>
            <w:r w:rsidRPr="00E11CA6">
              <w:rPr>
                <w:rFonts w:cs="Arial"/>
                <w:bCs/>
                <w:sz w:val="20"/>
                <w:szCs w:val="20"/>
              </w:rPr>
              <w:t>N/A</w:t>
            </w:r>
          </w:p>
        </w:tc>
      </w:tr>
    </w:tbl>
    <w:p w14:paraId="468D082A" w14:textId="77777777" w:rsidR="00ED5FD4" w:rsidRPr="003C5BF3" w:rsidRDefault="00ED5FD4" w:rsidP="00ED5FD4">
      <w:pPr>
        <w:jc w:val="both"/>
        <w:rPr>
          <w:rFonts w:cs="Arial"/>
          <w:b/>
          <w:sz w:val="22"/>
          <w:szCs w:val="22"/>
        </w:rPr>
      </w:pPr>
    </w:p>
    <w:tbl>
      <w:tblPr>
        <w:tblStyle w:val="TableGrid"/>
        <w:tblpPr w:leftFromText="180" w:rightFromText="180" w:vertAnchor="text" w:horzAnchor="page" w:tblpX="1462" w:tblpY="-10"/>
        <w:tblOverlap w:val="never"/>
        <w:tblW w:w="9067" w:type="dxa"/>
        <w:tblLook w:val="04A0" w:firstRow="1" w:lastRow="0" w:firstColumn="1" w:lastColumn="0" w:noHBand="0" w:noVBand="1"/>
      </w:tblPr>
      <w:tblGrid>
        <w:gridCol w:w="2207"/>
        <w:gridCol w:w="1815"/>
        <w:gridCol w:w="5045"/>
      </w:tblGrid>
      <w:tr w:rsidR="00ED5FD4" w:rsidRPr="003C5BF3" w14:paraId="1DCF0917" w14:textId="77777777" w:rsidTr="010E4D40">
        <w:trPr>
          <w:trHeight w:val="273"/>
        </w:trPr>
        <w:tc>
          <w:tcPr>
            <w:tcW w:w="220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B7EFCD7" w14:textId="77777777" w:rsidR="00ED5FD4" w:rsidRPr="00E11CA6" w:rsidRDefault="00ED5FD4" w:rsidP="00D622E0">
            <w:pPr>
              <w:rPr>
                <w:rFonts w:cs="Arial"/>
                <w:b/>
                <w:bCs/>
                <w:sz w:val="20"/>
                <w:szCs w:val="20"/>
              </w:rPr>
            </w:pPr>
            <w:r w:rsidRPr="00E11CA6">
              <w:rPr>
                <w:rFonts w:cs="Arial"/>
                <w:b/>
                <w:bCs/>
                <w:sz w:val="20"/>
                <w:szCs w:val="20"/>
              </w:rPr>
              <w:t>Indicator(s)</w:t>
            </w:r>
          </w:p>
        </w:tc>
        <w:tc>
          <w:tcPr>
            <w:tcW w:w="181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1B685D1" w14:textId="77777777" w:rsidR="00ED5FD4" w:rsidRPr="00E11CA6" w:rsidRDefault="00ED5FD4" w:rsidP="00D622E0">
            <w:pPr>
              <w:rPr>
                <w:rFonts w:cs="Arial"/>
                <w:b/>
                <w:bCs/>
                <w:sz w:val="20"/>
                <w:szCs w:val="20"/>
              </w:rPr>
            </w:pPr>
            <w:r w:rsidRPr="00E11CA6">
              <w:rPr>
                <w:rFonts w:cs="Arial"/>
                <w:b/>
                <w:bCs/>
                <w:sz w:val="20"/>
                <w:szCs w:val="20"/>
              </w:rPr>
              <w:t>Milestone(s) for this review</w:t>
            </w:r>
          </w:p>
        </w:tc>
        <w:tc>
          <w:tcPr>
            <w:tcW w:w="504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238883B" w14:textId="77777777" w:rsidR="00ED5FD4" w:rsidRPr="00E11CA6" w:rsidRDefault="00ED5FD4" w:rsidP="00D622E0">
            <w:pPr>
              <w:rPr>
                <w:rFonts w:cs="Arial"/>
                <w:b/>
                <w:bCs/>
                <w:sz w:val="20"/>
                <w:szCs w:val="20"/>
              </w:rPr>
            </w:pPr>
            <w:r w:rsidRPr="00E11CA6">
              <w:rPr>
                <w:rFonts w:cs="Arial"/>
                <w:b/>
                <w:bCs/>
                <w:sz w:val="20"/>
                <w:szCs w:val="20"/>
              </w:rPr>
              <w:t xml:space="preserve">Progress </w:t>
            </w:r>
          </w:p>
        </w:tc>
      </w:tr>
      <w:tr w:rsidR="00ED5FD4" w:rsidRPr="003C5BF3" w14:paraId="0D9D6326" w14:textId="77777777" w:rsidTr="010E4D40">
        <w:tc>
          <w:tcPr>
            <w:tcW w:w="2207" w:type="dxa"/>
            <w:tcBorders>
              <w:top w:val="single" w:sz="4" w:space="0" w:color="auto"/>
              <w:left w:val="single" w:sz="4" w:space="0" w:color="auto"/>
              <w:bottom w:val="single" w:sz="4" w:space="0" w:color="auto"/>
              <w:right w:val="single" w:sz="4" w:space="0" w:color="auto"/>
            </w:tcBorders>
          </w:tcPr>
          <w:p w14:paraId="0831C548" w14:textId="5FF2E4D3" w:rsidR="0095733F" w:rsidRPr="00E11CA6" w:rsidRDefault="0095733F" w:rsidP="00D622E0">
            <w:pPr>
              <w:rPr>
                <w:rFonts w:cs="Arial"/>
                <w:b/>
                <w:iCs/>
                <w:sz w:val="20"/>
                <w:szCs w:val="20"/>
              </w:rPr>
            </w:pPr>
            <w:r w:rsidRPr="00E11CA6">
              <w:rPr>
                <w:rFonts w:cs="Arial"/>
                <w:bCs/>
                <w:iCs/>
                <w:sz w:val="20"/>
                <w:szCs w:val="20"/>
              </w:rPr>
              <w:t xml:space="preserve">3.1 a) Percentage of member countries receiving Partnership support that have validated NDC Partnership Plans which are gender sensitive, gender aware, or gender responsive </w:t>
            </w:r>
            <w:r w:rsidRPr="00E11CA6">
              <w:rPr>
                <w:rFonts w:cs="Arial"/>
                <w:b/>
                <w:iCs/>
                <w:sz w:val="20"/>
                <w:szCs w:val="20"/>
              </w:rPr>
              <w:t>(Partnership level indicator)</w:t>
            </w:r>
          </w:p>
          <w:p w14:paraId="786A172C" w14:textId="77777777" w:rsidR="0095733F" w:rsidRPr="00E11CA6" w:rsidRDefault="0095733F" w:rsidP="00D622E0">
            <w:pPr>
              <w:rPr>
                <w:rFonts w:cs="Arial"/>
                <w:bCs/>
                <w:iCs/>
                <w:sz w:val="20"/>
                <w:szCs w:val="20"/>
              </w:rPr>
            </w:pPr>
          </w:p>
          <w:p w14:paraId="3CA528BD" w14:textId="69D241B4" w:rsidR="0095733F" w:rsidRPr="00E11CA6" w:rsidRDefault="0095733F" w:rsidP="00D622E0">
            <w:pPr>
              <w:rPr>
                <w:rFonts w:cs="Arial"/>
                <w:bCs/>
                <w:iCs/>
                <w:sz w:val="20"/>
                <w:szCs w:val="20"/>
              </w:rPr>
            </w:pPr>
            <w:r w:rsidRPr="00E11CA6">
              <w:rPr>
                <w:rFonts w:cs="Arial"/>
                <w:bCs/>
                <w:iCs/>
                <w:sz w:val="20"/>
                <w:szCs w:val="20"/>
              </w:rPr>
              <w:t xml:space="preserve">(b) </w:t>
            </w:r>
            <w:r w:rsidR="000049E1" w:rsidRPr="00E11CA6">
              <w:rPr>
                <w:rFonts w:cs="Arial"/>
                <w:bCs/>
                <w:iCs/>
                <w:sz w:val="20"/>
                <w:szCs w:val="20"/>
              </w:rPr>
              <w:t xml:space="preserve">Percentage </w:t>
            </w:r>
            <w:r w:rsidRPr="00E11CA6">
              <w:rPr>
                <w:rFonts w:cs="Arial"/>
                <w:bCs/>
                <w:iCs/>
                <w:sz w:val="20"/>
                <w:szCs w:val="20"/>
              </w:rPr>
              <w:t>of member countries, supported by the UK, that have validated NDC Partnership Plans which are gender sensitive, gender aware, or gender responsive</w:t>
            </w:r>
          </w:p>
          <w:p w14:paraId="2A9C800A" w14:textId="457A0CA5" w:rsidR="00ED5FD4" w:rsidRPr="00E11CA6" w:rsidRDefault="0095733F" w:rsidP="00D622E0">
            <w:pPr>
              <w:rPr>
                <w:rFonts w:cs="Arial"/>
                <w:b/>
                <w:iCs/>
                <w:sz w:val="20"/>
                <w:szCs w:val="20"/>
              </w:rPr>
            </w:pPr>
            <w:r w:rsidRPr="00E11CA6">
              <w:rPr>
                <w:rFonts w:cs="Arial"/>
                <w:b/>
                <w:iCs/>
                <w:sz w:val="20"/>
                <w:szCs w:val="20"/>
              </w:rPr>
              <w:t>(UK level indicator)</w:t>
            </w:r>
          </w:p>
        </w:tc>
        <w:tc>
          <w:tcPr>
            <w:tcW w:w="1815" w:type="dxa"/>
            <w:tcBorders>
              <w:top w:val="single" w:sz="4" w:space="0" w:color="auto"/>
              <w:left w:val="single" w:sz="4" w:space="0" w:color="auto"/>
              <w:bottom w:val="single" w:sz="4" w:space="0" w:color="auto"/>
              <w:right w:val="single" w:sz="4" w:space="0" w:color="auto"/>
            </w:tcBorders>
          </w:tcPr>
          <w:p w14:paraId="020838B9" w14:textId="01E97C4B" w:rsidR="00130948" w:rsidRPr="00E11CA6" w:rsidRDefault="00130948" w:rsidP="00D622E0">
            <w:pPr>
              <w:rPr>
                <w:rFonts w:eastAsia="Arial" w:cs="Arial"/>
                <w:b/>
                <w:bCs/>
                <w:color w:val="000000" w:themeColor="text1"/>
                <w:sz w:val="20"/>
                <w:szCs w:val="20"/>
              </w:rPr>
            </w:pPr>
            <w:r w:rsidRPr="00E11CA6">
              <w:rPr>
                <w:rFonts w:eastAsia="Arial" w:cs="Arial"/>
                <w:b/>
                <w:bCs/>
                <w:color w:val="000000" w:themeColor="text1"/>
                <w:sz w:val="20"/>
                <w:szCs w:val="20"/>
              </w:rPr>
              <w:t xml:space="preserve">Baseline (Dec 2020) </w:t>
            </w:r>
          </w:p>
          <w:p w14:paraId="6099E3C1" w14:textId="26E40987" w:rsidR="0007658C" w:rsidRPr="00E11CA6" w:rsidRDefault="0007658C" w:rsidP="00D622E0">
            <w:pPr>
              <w:rPr>
                <w:rFonts w:cs="Arial"/>
                <w:bCs/>
                <w:iCs/>
                <w:sz w:val="20"/>
                <w:szCs w:val="20"/>
              </w:rPr>
            </w:pPr>
            <w:r w:rsidRPr="00E11CA6">
              <w:rPr>
                <w:rFonts w:cs="Arial"/>
                <w:bCs/>
                <w:iCs/>
                <w:sz w:val="20"/>
                <w:szCs w:val="20"/>
              </w:rPr>
              <w:t>a) 84%</w:t>
            </w:r>
          </w:p>
          <w:p w14:paraId="0AC3571B" w14:textId="4C9DFA67" w:rsidR="0007658C" w:rsidRPr="00E11CA6" w:rsidRDefault="0007658C" w:rsidP="00D622E0">
            <w:pPr>
              <w:rPr>
                <w:rFonts w:cs="Arial"/>
                <w:bCs/>
                <w:iCs/>
                <w:sz w:val="20"/>
                <w:szCs w:val="20"/>
              </w:rPr>
            </w:pPr>
            <w:r w:rsidRPr="00E11CA6">
              <w:rPr>
                <w:rFonts w:cs="Arial"/>
                <w:bCs/>
                <w:iCs/>
                <w:sz w:val="20"/>
                <w:szCs w:val="20"/>
              </w:rPr>
              <w:t>b) N/A</w:t>
            </w:r>
          </w:p>
          <w:p w14:paraId="1074C596" w14:textId="77777777" w:rsidR="00130948" w:rsidRPr="00E11CA6" w:rsidRDefault="00130948" w:rsidP="00D622E0">
            <w:pPr>
              <w:rPr>
                <w:rFonts w:cs="Arial"/>
                <w:bCs/>
                <w:iCs/>
                <w:sz w:val="20"/>
                <w:szCs w:val="20"/>
              </w:rPr>
            </w:pPr>
          </w:p>
          <w:p w14:paraId="6ACCBDB2" w14:textId="77777777" w:rsidR="00130948" w:rsidRPr="00E11CA6" w:rsidRDefault="00130948" w:rsidP="00D622E0">
            <w:pPr>
              <w:rPr>
                <w:rFonts w:cs="Arial"/>
                <w:bCs/>
                <w:iCs/>
                <w:sz w:val="20"/>
                <w:szCs w:val="20"/>
              </w:rPr>
            </w:pPr>
          </w:p>
          <w:p w14:paraId="4B963AF7" w14:textId="77777777" w:rsidR="00130948" w:rsidRPr="00E11CA6" w:rsidRDefault="00130948" w:rsidP="00D622E0">
            <w:pPr>
              <w:rPr>
                <w:rFonts w:cs="Arial"/>
                <w:bCs/>
                <w:iCs/>
                <w:sz w:val="20"/>
                <w:szCs w:val="20"/>
              </w:rPr>
            </w:pPr>
          </w:p>
          <w:p w14:paraId="5D6105BF" w14:textId="2F48F1C0" w:rsidR="00130948" w:rsidRPr="00E11CA6" w:rsidRDefault="00130948" w:rsidP="00D622E0">
            <w:pPr>
              <w:rPr>
                <w:rFonts w:cs="Arial"/>
                <w:b/>
                <w:bCs/>
                <w:sz w:val="20"/>
                <w:szCs w:val="20"/>
              </w:rPr>
            </w:pPr>
            <w:r w:rsidRPr="00E11CA6">
              <w:rPr>
                <w:rFonts w:cs="Arial"/>
                <w:b/>
                <w:bCs/>
                <w:sz w:val="20"/>
                <w:szCs w:val="20"/>
              </w:rPr>
              <w:t xml:space="preserve">2025 Target </w:t>
            </w:r>
          </w:p>
          <w:p w14:paraId="09069079" w14:textId="4442E73D" w:rsidR="0007658C" w:rsidRPr="00E11CA6" w:rsidRDefault="0007658C" w:rsidP="00D622E0">
            <w:pPr>
              <w:rPr>
                <w:rFonts w:cs="Arial"/>
                <w:bCs/>
                <w:iCs/>
                <w:sz w:val="20"/>
                <w:szCs w:val="20"/>
              </w:rPr>
            </w:pPr>
            <w:r w:rsidRPr="00E11CA6">
              <w:rPr>
                <w:rFonts w:cs="Arial"/>
                <w:bCs/>
                <w:iCs/>
                <w:sz w:val="20"/>
                <w:szCs w:val="20"/>
              </w:rPr>
              <w:t>a) 100%</w:t>
            </w:r>
          </w:p>
          <w:p w14:paraId="5BE12F19" w14:textId="71945B0D" w:rsidR="0007658C" w:rsidRPr="00E11CA6" w:rsidRDefault="0007658C" w:rsidP="00D622E0">
            <w:pPr>
              <w:rPr>
                <w:rFonts w:cs="Arial"/>
                <w:bCs/>
                <w:iCs/>
                <w:sz w:val="20"/>
                <w:szCs w:val="20"/>
              </w:rPr>
            </w:pPr>
            <w:r w:rsidRPr="00E11CA6">
              <w:rPr>
                <w:rFonts w:cs="Arial"/>
                <w:bCs/>
                <w:iCs/>
                <w:sz w:val="20"/>
                <w:szCs w:val="20"/>
              </w:rPr>
              <w:t>b) N/A</w:t>
            </w:r>
          </w:p>
          <w:p w14:paraId="50E8BA73" w14:textId="3A23C342" w:rsidR="00D81D16" w:rsidRPr="00E11CA6" w:rsidRDefault="00D81D16" w:rsidP="00D622E0">
            <w:pPr>
              <w:rPr>
                <w:rFonts w:cs="Arial"/>
                <w:bCs/>
                <w:iCs/>
                <w:sz w:val="20"/>
                <w:szCs w:val="20"/>
              </w:rPr>
            </w:pPr>
          </w:p>
        </w:tc>
        <w:tc>
          <w:tcPr>
            <w:tcW w:w="5045" w:type="dxa"/>
            <w:tcBorders>
              <w:top w:val="single" w:sz="4" w:space="0" w:color="auto"/>
              <w:left w:val="single" w:sz="4" w:space="0" w:color="auto"/>
              <w:bottom w:val="single" w:sz="4" w:space="0" w:color="auto"/>
              <w:right w:val="single" w:sz="4" w:space="0" w:color="auto"/>
            </w:tcBorders>
          </w:tcPr>
          <w:p w14:paraId="66E81214" w14:textId="69286508" w:rsidR="00183628" w:rsidRPr="00E11CA6" w:rsidRDefault="00183628" w:rsidP="00D622E0">
            <w:pPr>
              <w:contextualSpacing/>
              <w:rPr>
                <w:rFonts w:cs="Arial"/>
                <w:sz w:val="20"/>
                <w:szCs w:val="20"/>
              </w:rPr>
            </w:pPr>
            <w:r w:rsidRPr="00E11CA6">
              <w:rPr>
                <w:rFonts w:cs="Arial"/>
                <w:b/>
                <w:bCs/>
                <w:sz w:val="20"/>
                <w:szCs w:val="20"/>
              </w:rPr>
              <w:t>89%</w:t>
            </w:r>
            <w:r w:rsidRPr="00E11CA6">
              <w:rPr>
                <w:rFonts w:cs="Arial"/>
                <w:sz w:val="20"/>
                <w:szCs w:val="20"/>
              </w:rPr>
              <w:t xml:space="preserve"> of member countries receiving support have validated NDC Partnership Plans that are gender-sensitive, gender-aware, and gender-responsive. This reflects progress since the 2020 baseline, demonstrating the Partnership’s efforts to help countries mainstream gender into their NDCs. </w:t>
            </w:r>
            <w:r w:rsidR="00F67D75" w:rsidRPr="00E11CA6">
              <w:rPr>
                <w:rFonts w:cs="Arial"/>
                <w:sz w:val="20"/>
                <w:szCs w:val="20"/>
              </w:rPr>
              <w:t xml:space="preserve">The Partnership set this target as aspirational and </w:t>
            </w:r>
            <w:r w:rsidR="5315DE3D" w:rsidRPr="00E11CA6">
              <w:rPr>
                <w:rFonts w:cs="Arial"/>
                <w:sz w:val="20"/>
                <w:szCs w:val="20"/>
              </w:rPr>
              <w:t>s</w:t>
            </w:r>
            <w:r w:rsidR="21AF9110" w:rsidRPr="00E11CA6">
              <w:rPr>
                <w:rFonts w:cs="Arial"/>
                <w:sz w:val="20"/>
                <w:szCs w:val="20"/>
              </w:rPr>
              <w:t>hould be considered with this in mind.</w:t>
            </w:r>
          </w:p>
          <w:p w14:paraId="700A7B74" w14:textId="698F5940" w:rsidR="00183628" w:rsidRPr="00E11CA6" w:rsidRDefault="00183628" w:rsidP="00D622E0">
            <w:pPr>
              <w:contextualSpacing/>
              <w:rPr>
                <w:rFonts w:cs="Arial"/>
                <w:bCs/>
                <w:iCs/>
                <w:sz w:val="20"/>
                <w:szCs w:val="20"/>
              </w:rPr>
            </w:pPr>
          </w:p>
          <w:p w14:paraId="75E8C457" w14:textId="047D0554" w:rsidR="00BE7B51" w:rsidRPr="00E11CA6" w:rsidRDefault="00183628" w:rsidP="00D622E0">
            <w:pPr>
              <w:contextualSpacing/>
              <w:rPr>
                <w:rFonts w:cs="Arial"/>
                <w:bCs/>
                <w:iCs/>
                <w:sz w:val="20"/>
                <w:szCs w:val="20"/>
              </w:rPr>
            </w:pPr>
            <w:r w:rsidRPr="00E11CA6">
              <w:rPr>
                <w:rFonts w:cs="Arial"/>
                <w:bCs/>
                <w:iCs/>
                <w:sz w:val="20"/>
                <w:szCs w:val="20"/>
              </w:rPr>
              <w:t xml:space="preserve">As this is the first year of the new </w:t>
            </w:r>
            <w:r w:rsidR="00A3148B">
              <w:rPr>
                <w:rFonts w:cs="Arial"/>
                <w:bCs/>
                <w:iCs/>
                <w:sz w:val="20"/>
                <w:szCs w:val="20"/>
              </w:rPr>
              <w:t>logframe</w:t>
            </w:r>
            <w:r w:rsidRPr="00E11CA6">
              <w:rPr>
                <w:rFonts w:cs="Arial"/>
                <w:bCs/>
                <w:iCs/>
                <w:sz w:val="20"/>
                <w:szCs w:val="20"/>
              </w:rPr>
              <w:t>, we do not yet have data on whether the countries we support have fully mainstreamed gender into their NDCs. This is something we expect to measure in next year’s annual review, once reporting from all delivery partners has been received.</w:t>
            </w:r>
          </w:p>
          <w:p w14:paraId="77AF73EA" w14:textId="5655BC1A" w:rsidR="00BE7B51" w:rsidRPr="00E11CA6" w:rsidRDefault="00BE7B51" w:rsidP="00D622E0">
            <w:pPr>
              <w:contextualSpacing/>
              <w:rPr>
                <w:rFonts w:cs="Arial"/>
                <w:bCs/>
                <w:iCs/>
                <w:sz w:val="20"/>
                <w:szCs w:val="20"/>
              </w:rPr>
            </w:pPr>
          </w:p>
          <w:p w14:paraId="0B45BE2C" w14:textId="4692F799" w:rsidR="00BE7B51" w:rsidRPr="00E11CA6" w:rsidRDefault="00C876A0" w:rsidP="00D622E0">
            <w:pPr>
              <w:contextualSpacing/>
              <w:rPr>
                <w:rFonts w:cs="Arial"/>
                <w:b/>
                <w:iCs/>
                <w:sz w:val="20"/>
                <w:szCs w:val="20"/>
              </w:rPr>
            </w:pPr>
            <w:r w:rsidRPr="00E11CA6">
              <w:rPr>
                <w:rFonts w:cs="Arial"/>
                <w:b/>
                <w:iCs/>
                <w:sz w:val="20"/>
                <w:szCs w:val="20"/>
              </w:rPr>
              <w:t>B (Progress did not meet expectation)</w:t>
            </w:r>
          </w:p>
        </w:tc>
      </w:tr>
    </w:tbl>
    <w:p w14:paraId="663967A6" w14:textId="57D95366" w:rsidR="00F1164A" w:rsidRPr="003C5BF3" w:rsidRDefault="00F1164A" w:rsidP="00F1164A">
      <w:pPr>
        <w:jc w:val="both"/>
        <w:rPr>
          <w:rFonts w:cs="Arial"/>
          <w:b/>
          <w:bCs/>
          <w:i/>
          <w:iCs/>
          <w:sz w:val="22"/>
          <w:szCs w:val="22"/>
        </w:rPr>
      </w:pPr>
      <w:r w:rsidRPr="003C5BF3">
        <w:rPr>
          <w:b/>
          <w:bCs/>
          <w:i/>
          <w:iCs/>
          <w:sz w:val="28"/>
          <w:szCs w:val="28"/>
        </w:rPr>
        <w:t>Output summary and supporting narrative for the score</w:t>
      </w:r>
      <w:r w:rsidRPr="003C5BF3">
        <w:rPr>
          <w:rFonts w:cs="Arial"/>
          <w:b/>
          <w:bCs/>
          <w:i/>
          <w:iCs/>
          <w:sz w:val="22"/>
          <w:szCs w:val="22"/>
        </w:rPr>
        <w:t xml:space="preserve"> </w:t>
      </w:r>
    </w:p>
    <w:p w14:paraId="03D87C0F" w14:textId="64CA27DE" w:rsidR="001F27C5" w:rsidRPr="003C5BF3" w:rsidRDefault="001F27C5" w:rsidP="001F27C5">
      <w:pPr>
        <w:rPr>
          <w:rFonts w:cs="Arial"/>
          <w:sz w:val="22"/>
          <w:szCs w:val="22"/>
        </w:rPr>
      </w:pPr>
    </w:p>
    <w:p w14:paraId="74D7D50A" w14:textId="4FCA66DD" w:rsidR="001F27C5" w:rsidRPr="00E11CA6" w:rsidRDefault="001F27C5" w:rsidP="002334C5">
      <w:pPr>
        <w:ind w:firstLine="720"/>
        <w:rPr>
          <w:rFonts w:cs="Arial"/>
          <w:sz w:val="22"/>
          <w:szCs w:val="22"/>
        </w:rPr>
      </w:pPr>
      <w:r w:rsidRPr="00E11CA6">
        <w:rPr>
          <w:rFonts w:cs="Arial"/>
          <w:sz w:val="22"/>
          <w:szCs w:val="22"/>
        </w:rPr>
        <w:t xml:space="preserve">This output </w:t>
      </w:r>
      <w:r w:rsidR="00F507E7" w:rsidRPr="00E11CA6">
        <w:rPr>
          <w:rFonts w:cs="Arial"/>
          <w:sz w:val="22"/>
          <w:szCs w:val="22"/>
        </w:rPr>
        <w:t>received</w:t>
      </w:r>
      <w:r w:rsidRPr="00E11CA6">
        <w:rPr>
          <w:rFonts w:cs="Arial"/>
          <w:sz w:val="22"/>
          <w:szCs w:val="22"/>
        </w:rPr>
        <w:t xml:space="preserve"> an overall score of B</w:t>
      </w:r>
      <w:r w:rsidR="00F507E7" w:rsidRPr="00E11CA6">
        <w:rPr>
          <w:rFonts w:cs="Arial"/>
          <w:sz w:val="22"/>
          <w:szCs w:val="22"/>
        </w:rPr>
        <w:t>.</w:t>
      </w:r>
      <w:r w:rsidR="002D2E04" w:rsidRPr="00E11CA6">
        <w:rPr>
          <w:rFonts w:cs="Arial"/>
          <w:sz w:val="22"/>
          <w:szCs w:val="22"/>
        </w:rPr>
        <w:t xml:space="preserve"> </w:t>
      </w:r>
      <w:r w:rsidR="0095204D" w:rsidRPr="00E11CA6">
        <w:rPr>
          <w:rFonts w:cs="Arial"/>
          <w:sz w:val="22"/>
          <w:szCs w:val="22"/>
        </w:rPr>
        <w:t xml:space="preserve">For the only indicator </w:t>
      </w:r>
      <w:r w:rsidR="002855EE" w:rsidRPr="00E11CA6">
        <w:rPr>
          <w:rFonts w:cs="Arial"/>
          <w:sz w:val="22"/>
          <w:szCs w:val="22"/>
        </w:rPr>
        <w:t>under</w:t>
      </w:r>
      <w:r w:rsidR="0095204D" w:rsidRPr="00E11CA6">
        <w:rPr>
          <w:rFonts w:cs="Arial"/>
          <w:sz w:val="22"/>
          <w:szCs w:val="22"/>
        </w:rPr>
        <w:t xml:space="preserve"> </w:t>
      </w:r>
      <w:r w:rsidRPr="00E11CA6">
        <w:rPr>
          <w:rFonts w:cs="Arial"/>
          <w:sz w:val="22"/>
          <w:szCs w:val="22"/>
        </w:rPr>
        <w:t>‘</w:t>
      </w:r>
      <w:r w:rsidR="5EEB339A" w:rsidRPr="00E11CA6">
        <w:rPr>
          <w:rFonts w:cs="Arial"/>
          <w:b/>
          <w:bCs/>
          <w:sz w:val="22"/>
          <w:szCs w:val="22"/>
        </w:rPr>
        <w:t>d</w:t>
      </w:r>
      <w:r w:rsidR="00D103DE" w:rsidRPr="00E11CA6">
        <w:rPr>
          <w:rFonts w:cs="Arial"/>
          <w:b/>
          <w:bCs/>
          <w:sz w:val="22"/>
          <w:szCs w:val="22"/>
        </w:rPr>
        <w:t>eveloping countries establish and enhance climate plans, policies and processes</w:t>
      </w:r>
      <w:r w:rsidRPr="00E11CA6">
        <w:rPr>
          <w:rFonts w:cs="Arial"/>
          <w:b/>
          <w:bCs/>
          <w:sz w:val="22"/>
          <w:szCs w:val="22"/>
        </w:rPr>
        <w:t xml:space="preserve">, </w:t>
      </w:r>
      <w:r w:rsidRPr="00E11CA6">
        <w:rPr>
          <w:rFonts w:cs="Arial"/>
          <w:sz w:val="22"/>
          <w:szCs w:val="22"/>
        </w:rPr>
        <w:t xml:space="preserve">the programme </w:t>
      </w:r>
      <w:r w:rsidR="0095204D" w:rsidRPr="00E11CA6">
        <w:rPr>
          <w:rFonts w:cs="Arial"/>
          <w:sz w:val="22"/>
          <w:szCs w:val="22"/>
        </w:rPr>
        <w:t xml:space="preserve">did not meet </w:t>
      </w:r>
      <w:r w:rsidR="00611FC2" w:rsidRPr="00E11CA6">
        <w:rPr>
          <w:rFonts w:cs="Arial"/>
          <w:sz w:val="22"/>
          <w:szCs w:val="22"/>
        </w:rPr>
        <w:t>targets set by the Support Unit</w:t>
      </w:r>
      <w:r w:rsidR="0095204D" w:rsidRPr="00E11CA6">
        <w:rPr>
          <w:rFonts w:cs="Arial"/>
          <w:sz w:val="22"/>
          <w:szCs w:val="22"/>
        </w:rPr>
        <w:t xml:space="preserve">. </w:t>
      </w:r>
    </w:p>
    <w:p w14:paraId="3C2F151B" w14:textId="3CD766E8" w:rsidR="0095204D" w:rsidRPr="00E11CA6" w:rsidRDefault="0095204D" w:rsidP="00D622E0">
      <w:pPr>
        <w:rPr>
          <w:rFonts w:cs="Arial"/>
          <w:sz w:val="22"/>
          <w:szCs w:val="22"/>
        </w:rPr>
      </w:pPr>
    </w:p>
    <w:p w14:paraId="49AD119E" w14:textId="5C62BE90" w:rsidR="00230BEC" w:rsidRPr="00E11CA6" w:rsidRDefault="0095204D" w:rsidP="002334C5">
      <w:pPr>
        <w:ind w:firstLine="720"/>
        <w:rPr>
          <w:rFonts w:cs="Arial"/>
          <w:sz w:val="22"/>
          <w:szCs w:val="22"/>
        </w:rPr>
      </w:pPr>
      <w:r w:rsidRPr="00E11CA6">
        <w:rPr>
          <w:rFonts w:cs="Arial"/>
          <w:sz w:val="22"/>
          <w:szCs w:val="22"/>
        </w:rPr>
        <w:t xml:space="preserve">This </w:t>
      </w:r>
      <w:r w:rsidR="00544798" w:rsidRPr="00E11CA6">
        <w:rPr>
          <w:rFonts w:cs="Arial"/>
          <w:sz w:val="22"/>
          <w:szCs w:val="22"/>
        </w:rPr>
        <w:t>output</w:t>
      </w:r>
      <w:r w:rsidR="001F4111" w:rsidRPr="00E11CA6">
        <w:rPr>
          <w:rFonts w:cs="Arial"/>
          <w:sz w:val="22"/>
          <w:szCs w:val="22"/>
        </w:rPr>
        <w:t xml:space="preserve"> was designed to </w:t>
      </w:r>
      <w:r w:rsidR="001D64FD" w:rsidRPr="00E11CA6">
        <w:rPr>
          <w:rFonts w:cs="Arial"/>
          <w:sz w:val="22"/>
          <w:szCs w:val="22"/>
        </w:rPr>
        <w:t>include</w:t>
      </w:r>
      <w:r w:rsidR="001F4111" w:rsidRPr="00E11CA6">
        <w:rPr>
          <w:rFonts w:cs="Arial"/>
          <w:sz w:val="22"/>
          <w:szCs w:val="22"/>
        </w:rPr>
        <w:t xml:space="preserve"> </w:t>
      </w:r>
      <w:r w:rsidR="00901F91" w:rsidRPr="00E11CA6">
        <w:rPr>
          <w:rFonts w:cs="Arial"/>
          <w:sz w:val="22"/>
          <w:szCs w:val="22"/>
        </w:rPr>
        <w:t>data at the</w:t>
      </w:r>
      <w:r w:rsidR="001F4111" w:rsidRPr="00E11CA6">
        <w:rPr>
          <w:rFonts w:cs="Arial"/>
          <w:sz w:val="22"/>
          <w:szCs w:val="22"/>
        </w:rPr>
        <w:t xml:space="preserve"> partnership level</w:t>
      </w:r>
      <w:r w:rsidR="00A03F96" w:rsidRPr="00E11CA6">
        <w:rPr>
          <w:rFonts w:cs="Arial"/>
          <w:sz w:val="22"/>
          <w:szCs w:val="22"/>
        </w:rPr>
        <w:t xml:space="preserve"> and </w:t>
      </w:r>
      <w:r w:rsidR="00B96AC1" w:rsidRPr="00E11CA6">
        <w:rPr>
          <w:rFonts w:cs="Arial"/>
          <w:sz w:val="22"/>
          <w:szCs w:val="22"/>
        </w:rPr>
        <w:t xml:space="preserve">at the UK level. However, delivery of </w:t>
      </w:r>
      <w:r w:rsidR="00B773A8" w:rsidRPr="00E11CA6">
        <w:rPr>
          <w:rFonts w:cs="Arial"/>
          <w:sz w:val="22"/>
          <w:szCs w:val="22"/>
        </w:rPr>
        <w:t xml:space="preserve">the institutional first response elements of the </w:t>
      </w:r>
      <w:r w:rsidR="00293F4A" w:rsidRPr="00E11CA6">
        <w:rPr>
          <w:rFonts w:cs="Arial"/>
          <w:sz w:val="22"/>
          <w:szCs w:val="22"/>
        </w:rPr>
        <w:t xml:space="preserve">programme, did not start until the </w:t>
      </w:r>
      <w:r w:rsidR="00655C98" w:rsidRPr="00E11CA6">
        <w:rPr>
          <w:rFonts w:cs="Arial"/>
          <w:sz w:val="22"/>
          <w:szCs w:val="22"/>
        </w:rPr>
        <w:t xml:space="preserve">second </w:t>
      </w:r>
      <w:r w:rsidR="00544798" w:rsidRPr="00E11CA6">
        <w:rPr>
          <w:rFonts w:cs="Arial"/>
          <w:sz w:val="22"/>
          <w:szCs w:val="22"/>
        </w:rPr>
        <w:t>half</w:t>
      </w:r>
      <w:r w:rsidR="00293F4A" w:rsidRPr="00E11CA6">
        <w:rPr>
          <w:rFonts w:cs="Arial"/>
          <w:sz w:val="22"/>
          <w:szCs w:val="22"/>
        </w:rPr>
        <w:t xml:space="preserve"> of this year</w:t>
      </w:r>
      <w:r w:rsidR="008B67C9" w:rsidRPr="00E11CA6">
        <w:rPr>
          <w:rFonts w:cs="Arial"/>
          <w:sz w:val="22"/>
          <w:szCs w:val="22"/>
        </w:rPr>
        <w:t>. As a result,</w:t>
      </w:r>
      <w:r w:rsidR="00910691" w:rsidRPr="00E11CA6">
        <w:rPr>
          <w:rFonts w:cs="Arial"/>
          <w:sz w:val="22"/>
          <w:szCs w:val="22"/>
        </w:rPr>
        <w:t xml:space="preserve"> </w:t>
      </w:r>
      <w:r w:rsidR="0009271A" w:rsidRPr="00E11CA6">
        <w:rPr>
          <w:rFonts w:cs="Arial"/>
          <w:sz w:val="22"/>
          <w:szCs w:val="22"/>
        </w:rPr>
        <w:t>we have not yet received reporting from the World Bank and UNDP on how many countries funded by the UK have validated NDC Partnership Plans that are gender-sensitive, gender-aware, or gender-responsive.</w:t>
      </w:r>
      <w:r w:rsidR="00544798" w:rsidRPr="00E11CA6">
        <w:rPr>
          <w:rFonts w:cs="Arial"/>
          <w:sz w:val="22"/>
          <w:szCs w:val="22"/>
        </w:rPr>
        <w:t xml:space="preserve"> </w:t>
      </w:r>
      <w:r w:rsidR="00230BEC" w:rsidRPr="00E11CA6">
        <w:rPr>
          <w:rFonts w:cs="Arial"/>
          <w:sz w:val="22"/>
          <w:szCs w:val="22"/>
        </w:rPr>
        <w:t xml:space="preserve">For FY 2025/26 our governance frameworks with the World Bank and UNDP will be fully </w:t>
      </w:r>
      <w:r w:rsidR="00AA7CFD" w:rsidRPr="00E11CA6">
        <w:rPr>
          <w:rFonts w:cs="Arial"/>
          <w:sz w:val="22"/>
          <w:szCs w:val="22"/>
        </w:rPr>
        <w:t>established.</w:t>
      </w:r>
      <w:r w:rsidR="00D51659" w:rsidRPr="00E11CA6">
        <w:rPr>
          <w:rFonts w:cs="Arial"/>
          <w:sz w:val="22"/>
          <w:szCs w:val="22"/>
        </w:rPr>
        <w:t xml:space="preserve"> </w:t>
      </w:r>
      <w:r w:rsidR="00AA7CFD" w:rsidRPr="00E11CA6">
        <w:rPr>
          <w:rFonts w:cs="Arial"/>
          <w:sz w:val="22"/>
          <w:szCs w:val="22"/>
        </w:rPr>
        <w:t>This will enable us to collect the necessary data to report on this indicator at the UK level.</w:t>
      </w:r>
    </w:p>
    <w:p w14:paraId="48CACF71" w14:textId="77777777" w:rsidR="002334C5" w:rsidRPr="00E11CA6" w:rsidRDefault="002334C5" w:rsidP="002334C5">
      <w:pPr>
        <w:ind w:firstLine="720"/>
        <w:rPr>
          <w:rFonts w:cs="Arial"/>
          <w:sz w:val="22"/>
          <w:szCs w:val="22"/>
        </w:rPr>
      </w:pPr>
    </w:p>
    <w:p w14:paraId="2664F074" w14:textId="602FC9DE" w:rsidR="00882E4C" w:rsidRPr="00E11CA6" w:rsidRDefault="00882E4C" w:rsidP="00D622E0">
      <w:pPr>
        <w:rPr>
          <w:rFonts w:cs="Arial"/>
          <w:sz w:val="22"/>
          <w:szCs w:val="22"/>
        </w:rPr>
      </w:pPr>
    </w:p>
    <w:p w14:paraId="51848FFC" w14:textId="7D22B065" w:rsidR="00F1164A" w:rsidRPr="00E11CA6" w:rsidRDefault="00882E4C" w:rsidP="002334C5">
      <w:pPr>
        <w:ind w:firstLine="720"/>
        <w:jc w:val="both"/>
        <w:rPr>
          <w:rFonts w:cs="Arial"/>
          <w:sz w:val="22"/>
          <w:szCs w:val="22"/>
        </w:rPr>
      </w:pPr>
      <w:r w:rsidRPr="00E11CA6">
        <w:rPr>
          <w:rFonts w:cs="Arial"/>
          <w:sz w:val="22"/>
          <w:szCs w:val="22"/>
        </w:rPr>
        <w:t xml:space="preserve">At a </w:t>
      </w:r>
      <w:r w:rsidR="002D2E04" w:rsidRPr="00E11CA6">
        <w:rPr>
          <w:rFonts w:cs="Arial"/>
          <w:sz w:val="22"/>
          <w:szCs w:val="22"/>
        </w:rPr>
        <w:t>P</w:t>
      </w:r>
      <w:r w:rsidRPr="00E11CA6">
        <w:rPr>
          <w:rFonts w:cs="Arial"/>
          <w:sz w:val="22"/>
          <w:szCs w:val="22"/>
        </w:rPr>
        <w:t xml:space="preserve">artnership level, </w:t>
      </w:r>
      <w:r w:rsidR="002959BD" w:rsidRPr="00E11CA6">
        <w:rPr>
          <w:rFonts w:cs="Arial"/>
          <w:sz w:val="22"/>
          <w:szCs w:val="22"/>
        </w:rPr>
        <w:t xml:space="preserve">there has been an increase since 2020 </w:t>
      </w:r>
      <w:r w:rsidR="007B2986" w:rsidRPr="00E11CA6">
        <w:rPr>
          <w:rFonts w:cs="Arial"/>
          <w:sz w:val="22"/>
          <w:szCs w:val="22"/>
        </w:rPr>
        <w:t>in</w:t>
      </w:r>
      <w:r w:rsidR="002959BD" w:rsidRPr="00E11CA6">
        <w:rPr>
          <w:rFonts w:cs="Arial"/>
          <w:sz w:val="22"/>
          <w:szCs w:val="22"/>
        </w:rPr>
        <w:t xml:space="preserve"> </w:t>
      </w:r>
      <w:r w:rsidR="0099507C" w:rsidRPr="00E11CA6">
        <w:rPr>
          <w:rFonts w:cs="Arial"/>
          <w:sz w:val="22"/>
          <w:szCs w:val="22"/>
        </w:rPr>
        <w:t>the number of NDCs that are gender aware</w:t>
      </w:r>
      <w:r w:rsidR="0037595D" w:rsidRPr="00E11CA6">
        <w:rPr>
          <w:rFonts w:cs="Arial"/>
          <w:sz w:val="22"/>
          <w:szCs w:val="22"/>
        </w:rPr>
        <w:t xml:space="preserve">, </w:t>
      </w:r>
      <w:r w:rsidR="007B2986" w:rsidRPr="00E11CA6">
        <w:rPr>
          <w:rFonts w:cs="Arial"/>
          <w:sz w:val="22"/>
          <w:szCs w:val="22"/>
        </w:rPr>
        <w:t xml:space="preserve">gender </w:t>
      </w:r>
      <w:r w:rsidR="0037595D" w:rsidRPr="00E11CA6">
        <w:rPr>
          <w:rFonts w:cs="Arial"/>
          <w:sz w:val="22"/>
          <w:szCs w:val="22"/>
        </w:rPr>
        <w:t>sensitive</w:t>
      </w:r>
      <w:r w:rsidR="00C43405" w:rsidRPr="00E11CA6">
        <w:rPr>
          <w:rFonts w:cs="Arial"/>
          <w:sz w:val="22"/>
          <w:szCs w:val="22"/>
        </w:rPr>
        <w:t xml:space="preserve">, </w:t>
      </w:r>
      <w:r w:rsidR="0037595D" w:rsidRPr="00E11CA6">
        <w:rPr>
          <w:rFonts w:cs="Arial"/>
          <w:sz w:val="22"/>
          <w:szCs w:val="22"/>
        </w:rPr>
        <w:t>or</w:t>
      </w:r>
      <w:r w:rsidR="007B2986" w:rsidRPr="00E11CA6">
        <w:rPr>
          <w:rFonts w:cs="Arial"/>
          <w:sz w:val="22"/>
          <w:szCs w:val="22"/>
        </w:rPr>
        <w:t xml:space="preserve"> gender</w:t>
      </w:r>
      <w:r w:rsidR="0037595D" w:rsidRPr="00E11CA6">
        <w:rPr>
          <w:rFonts w:cs="Arial"/>
          <w:sz w:val="22"/>
          <w:szCs w:val="22"/>
        </w:rPr>
        <w:t xml:space="preserve"> </w:t>
      </w:r>
      <w:r w:rsidR="00305F39" w:rsidRPr="00E11CA6">
        <w:rPr>
          <w:rFonts w:cs="Arial"/>
          <w:sz w:val="22"/>
          <w:szCs w:val="22"/>
        </w:rPr>
        <w:t xml:space="preserve">responsive. </w:t>
      </w:r>
      <w:r w:rsidR="0030611D" w:rsidRPr="00E11CA6">
        <w:rPr>
          <w:rFonts w:cs="Arial"/>
          <w:sz w:val="22"/>
          <w:szCs w:val="22"/>
        </w:rPr>
        <w:t xml:space="preserve">However, more work </w:t>
      </w:r>
      <w:r w:rsidR="001704A6" w:rsidRPr="00E11CA6">
        <w:rPr>
          <w:rFonts w:cs="Arial"/>
          <w:sz w:val="22"/>
          <w:szCs w:val="22"/>
        </w:rPr>
        <w:t>is needed</w:t>
      </w:r>
      <w:r w:rsidR="0030611D" w:rsidRPr="00E11CA6">
        <w:rPr>
          <w:rFonts w:cs="Arial"/>
          <w:sz w:val="22"/>
          <w:szCs w:val="22"/>
        </w:rPr>
        <w:t xml:space="preserve"> next year to </w:t>
      </w:r>
      <w:r w:rsidR="00A373A5" w:rsidRPr="00E11CA6">
        <w:rPr>
          <w:rFonts w:cs="Arial"/>
          <w:sz w:val="22"/>
          <w:szCs w:val="22"/>
        </w:rPr>
        <w:t>hold the Support Unit accountable for ensuring that member countries receiving support are actively working to mainstream gender in their NDCs.</w:t>
      </w:r>
    </w:p>
    <w:p w14:paraId="19D53E98" w14:textId="77777777" w:rsidR="001441F6" w:rsidRPr="003C5BF3" w:rsidRDefault="001441F6" w:rsidP="00A373A5">
      <w:pPr>
        <w:rPr>
          <w:rFonts w:cs="Arial"/>
          <w:bCs/>
          <w:sz w:val="22"/>
          <w:szCs w:val="22"/>
        </w:rPr>
      </w:pPr>
    </w:p>
    <w:p w14:paraId="659493AE" w14:textId="337B2E9B" w:rsidR="00F1164A" w:rsidRPr="003C5BF3" w:rsidRDefault="00F1164A" w:rsidP="00F1164A">
      <w:pPr>
        <w:jc w:val="both"/>
        <w:rPr>
          <w:rFonts w:cs="Arial"/>
          <w:i/>
          <w:iCs/>
          <w:sz w:val="22"/>
          <w:szCs w:val="22"/>
        </w:rPr>
      </w:pPr>
      <w:r w:rsidRPr="003C5BF3">
        <w:rPr>
          <w:b/>
          <w:bCs/>
          <w:i/>
          <w:iCs/>
          <w:sz w:val="28"/>
          <w:szCs w:val="28"/>
        </w:rPr>
        <w:t>Changes to this output, and any planned changes as a result of this review</w:t>
      </w:r>
      <w:r w:rsidRPr="003C5BF3">
        <w:rPr>
          <w:rFonts w:cs="Arial"/>
          <w:b/>
          <w:bCs/>
          <w:i/>
          <w:iCs/>
          <w:sz w:val="22"/>
          <w:szCs w:val="22"/>
        </w:rPr>
        <w:t xml:space="preserve"> </w:t>
      </w:r>
    </w:p>
    <w:p w14:paraId="0FF271F3" w14:textId="39AC6456" w:rsidR="00F1164A" w:rsidRPr="003C5BF3" w:rsidRDefault="00F1164A" w:rsidP="00F1164A">
      <w:pPr>
        <w:jc w:val="both"/>
        <w:rPr>
          <w:rFonts w:cs="Arial"/>
          <w:sz w:val="22"/>
          <w:szCs w:val="22"/>
        </w:rPr>
      </w:pPr>
    </w:p>
    <w:p w14:paraId="19982E75" w14:textId="396274F5" w:rsidR="00F1164A" w:rsidRPr="00E11CA6" w:rsidRDefault="007813CB" w:rsidP="002334C5">
      <w:pPr>
        <w:ind w:firstLine="720"/>
        <w:rPr>
          <w:rFonts w:cs="Arial"/>
          <w:sz w:val="22"/>
          <w:szCs w:val="22"/>
        </w:rPr>
      </w:pPr>
      <w:r w:rsidRPr="00E11CA6">
        <w:rPr>
          <w:rFonts w:cs="Arial"/>
          <w:sz w:val="22"/>
          <w:szCs w:val="22"/>
        </w:rPr>
        <w:t>T</w:t>
      </w:r>
      <w:r w:rsidR="00B651B2" w:rsidRPr="00E11CA6">
        <w:rPr>
          <w:rFonts w:cs="Arial"/>
          <w:sz w:val="22"/>
          <w:szCs w:val="22"/>
        </w:rPr>
        <w:t xml:space="preserve">his year </w:t>
      </w:r>
      <w:r w:rsidR="00973182" w:rsidRPr="00E11CA6">
        <w:rPr>
          <w:rFonts w:cs="Arial"/>
          <w:sz w:val="22"/>
          <w:szCs w:val="22"/>
        </w:rPr>
        <w:t xml:space="preserve">the </w:t>
      </w:r>
      <w:r w:rsidR="00A3148B">
        <w:rPr>
          <w:rFonts w:cs="Arial"/>
          <w:sz w:val="22"/>
          <w:szCs w:val="22"/>
        </w:rPr>
        <w:t>logframe</w:t>
      </w:r>
      <w:r w:rsidR="00973182" w:rsidRPr="00E11CA6">
        <w:rPr>
          <w:rFonts w:cs="Arial"/>
          <w:sz w:val="22"/>
          <w:szCs w:val="22"/>
        </w:rPr>
        <w:t xml:space="preserve"> built on the </w:t>
      </w:r>
      <w:r w:rsidR="00A3148B">
        <w:rPr>
          <w:rFonts w:cs="Arial"/>
          <w:sz w:val="22"/>
          <w:szCs w:val="22"/>
        </w:rPr>
        <w:t>logframe</w:t>
      </w:r>
      <w:r w:rsidR="00973182" w:rsidRPr="00E11CA6">
        <w:rPr>
          <w:rFonts w:cs="Arial"/>
          <w:sz w:val="22"/>
          <w:szCs w:val="22"/>
        </w:rPr>
        <w:t xml:space="preserve"> of the previous Business Case by adding the sub-indicator b).</w:t>
      </w:r>
      <w:r w:rsidR="006D606C" w:rsidRPr="00E11CA6">
        <w:rPr>
          <w:rFonts w:cs="Arial"/>
          <w:sz w:val="22"/>
          <w:szCs w:val="22"/>
        </w:rPr>
        <w:t xml:space="preserve"> </w:t>
      </w:r>
      <w:r w:rsidRPr="00E11CA6">
        <w:rPr>
          <w:rFonts w:cs="Arial"/>
          <w:sz w:val="22"/>
          <w:szCs w:val="22"/>
        </w:rPr>
        <w:t xml:space="preserve">We expect delivery partners </w:t>
      </w:r>
      <w:r w:rsidR="0045664B" w:rsidRPr="00E11CA6">
        <w:rPr>
          <w:rFonts w:cs="Arial"/>
          <w:sz w:val="22"/>
          <w:szCs w:val="22"/>
        </w:rPr>
        <w:t xml:space="preserve">across all elements of the programme to provide us with </w:t>
      </w:r>
      <w:r w:rsidR="001573D1" w:rsidRPr="00E11CA6">
        <w:rPr>
          <w:rFonts w:cs="Arial"/>
          <w:sz w:val="22"/>
          <w:szCs w:val="22"/>
        </w:rPr>
        <w:t>data</w:t>
      </w:r>
      <w:r w:rsidR="003D6E6F" w:rsidRPr="00E11CA6">
        <w:rPr>
          <w:rFonts w:cs="Arial"/>
          <w:sz w:val="22"/>
          <w:szCs w:val="22"/>
        </w:rPr>
        <w:t xml:space="preserve"> to help us score this indicator at a UK level. </w:t>
      </w:r>
    </w:p>
    <w:p w14:paraId="39CBD48B" w14:textId="77777777" w:rsidR="00F1164A" w:rsidRPr="003C5BF3" w:rsidRDefault="00F1164A" w:rsidP="00F1164A">
      <w:pPr>
        <w:jc w:val="both"/>
        <w:rPr>
          <w:rFonts w:cs="Arial"/>
          <w:sz w:val="22"/>
          <w:szCs w:val="22"/>
        </w:rPr>
      </w:pPr>
    </w:p>
    <w:p w14:paraId="5BA598DC" w14:textId="796D4206" w:rsidR="00F1164A" w:rsidRPr="003C5BF3" w:rsidRDefault="00F1164A" w:rsidP="00F1164A">
      <w:pPr>
        <w:jc w:val="both"/>
        <w:rPr>
          <w:rFonts w:cs="Arial"/>
          <w:bCs/>
          <w:sz w:val="22"/>
          <w:szCs w:val="22"/>
        </w:rPr>
      </w:pPr>
      <w:r w:rsidRPr="003C5BF3">
        <w:rPr>
          <w:b/>
          <w:bCs/>
          <w:i/>
          <w:iCs/>
          <w:sz w:val="28"/>
          <w:szCs w:val="28"/>
        </w:rPr>
        <w:t>Progress on recommendations from the previous AR, lessons learned this year, and recommendations for the year ahead</w:t>
      </w:r>
      <w:r w:rsidRPr="003C5BF3">
        <w:rPr>
          <w:rFonts w:cs="Arial"/>
          <w:b/>
          <w:bCs/>
        </w:rPr>
        <w:t xml:space="preserve"> </w:t>
      </w:r>
    </w:p>
    <w:p w14:paraId="7AE60AE2" w14:textId="2DAB50A7" w:rsidR="00F1164A" w:rsidRPr="003C5BF3" w:rsidRDefault="00F1164A" w:rsidP="00F1164A">
      <w:pPr>
        <w:tabs>
          <w:tab w:val="left" w:pos="8352"/>
        </w:tabs>
        <w:jc w:val="both"/>
        <w:rPr>
          <w:rFonts w:cs="Arial"/>
          <w:bCs/>
          <w:sz w:val="22"/>
          <w:szCs w:val="22"/>
        </w:rPr>
      </w:pPr>
    </w:p>
    <w:p w14:paraId="68B6B11A" w14:textId="21B9118E" w:rsidR="00617A58" w:rsidRPr="00E11CA6" w:rsidRDefault="00617A58" w:rsidP="00DC0301">
      <w:pPr>
        <w:tabs>
          <w:tab w:val="left" w:pos="3495"/>
        </w:tabs>
        <w:rPr>
          <w:rFonts w:cs="Arial"/>
          <w:sz w:val="22"/>
          <w:szCs w:val="22"/>
        </w:rPr>
      </w:pPr>
      <w:r w:rsidRPr="00E11CA6">
        <w:rPr>
          <w:rFonts w:cs="Arial"/>
          <w:sz w:val="22"/>
          <w:szCs w:val="22"/>
        </w:rPr>
        <w:t xml:space="preserve">As this is the first year of a new </w:t>
      </w:r>
      <w:r w:rsidR="00A3148B">
        <w:rPr>
          <w:rFonts w:cs="Arial"/>
          <w:sz w:val="22"/>
          <w:szCs w:val="22"/>
        </w:rPr>
        <w:t>logframe</w:t>
      </w:r>
      <w:r w:rsidRPr="00E11CA6">
        <w:rPr>
          <w:rFonts w:cs="Arial"/>
          <w:sz w:val="22"/>
          <w:szCs w:val="22"/>
        </w:rPr>
        <w:t xml:space="preserve">, the recommendations from last year’s AR do not relate to these outputs. </w:t>
      </w:r>
    </w:p>
    <w:p w14:paraId="2623CCB2" w14:textId="77777777" w:rsidR="009C4326" w:rsidRPr="00E11CA6" w:rsidRDefault="009C4326" w:rsidP="00F1164A">
      <w:pPr>
        <w:tabs>
          <w:tab w:val="left" w:pos="3495"/>
        </w:tabs>
        <w:jc w:val="both"/>
        <w:rPr>
          <w:rFonts w:cs="Arial"/>
          <w:sz w:val="22"/>
          <w:szCs w:val="22"/>
        </w:rPr>
      </w:pPr>
    </w:p>
    <w:p w14:paraId="65723F46" w14:textId="77777777" w:rsidR="00E11CA6" w:rsidRDefault="00E11CA6">
      <w:pPr>
        <w:spacing w:after="160" w:line="259" w:lineRule="auto"/>
        <w:rPr>
          <w:b/>
          <w:i/>
          <w:kern w:val="28"/>
          <w:sz w:val="28"/>
          <w:szCs w:val="28"/>
        </w:rPr>
      </w:pPr>
      <w:bookmarkStart w:id="17" w:name="_Toc199421666"/>
      <w:r>
        <w:br w:type="page"/>
      </w:r>
    </w:p>
    <w:p w14:paraId="05DACFBD" w14:textId="603ED4B0" w:rsidR="009C4326" w:rsidRPr="003C5BF3" w:rsidRDefault="009C4326" w:rsidP="009C4326">
      <w:pPr>
        <w:pStyle w:val="Heading2"/>
        <w:jc w:val="both"/>
      </w:pPr>
      <w:r w:rsidRPr="003C5BF3">
        <w:lastRenderedPageBreak/>
        <w:t>Output 4</w:t>
      </w:r>
      <w:bookmarkEnd w:id="17"/>
    </w:p>
    <w:p w14:paraId="366028CD" w14:textId="77777777" w:rsidR="009C4326" w:rsidRPr="003C5BF3" w:rsidRDefault="009C4326" w:rsidP="009C4326"/>
    <w:tbl>
      <w:tblPr>
        <w:tblStyle w:val="TableGrid"/>
        <w:tblW w:w="9072" w:type="dxa"/>
        <w:tblLook w:val="04A0" w:firstRow="1" w:lastRow="0" w:firstColumn="1" w:lastColumn="0" w:noHBand="0" w:noVBand="1"/>
      </w:tblPr>
      <w:tblGrid>
        <w:gridCol w:w="1554"/>
        <w:gridCol w:w="603"/>
        <w:gridCol w:w="1061"/>
        <w:gridCol w:w="2934"/>
        <w:gridCol w:w="2920"/>
      </w:tblGrid>
      <w:tr w:rsidR="002C3A0F" w:rsidRPr="00E11CA6" w14:paraId="7F8E6514" w14:textId="77777777" w:rsidTr="008F069E">
        <w:trPr>
          <w:trHeight w:val="489"/>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20A2195" w14:textId="77777777" w:rsidR="009C4326" w:rsidRPr="00E11CA6" w:rsidRDefault="009C4326">
            <w:pPr>
              <w:jc w:val="both"/>
              <w:rPr>
                <w:rFonts w:cs="Arial"/>
                <w:b/>
                <w:bCs/>
                <w:sz w:val="20"/>
                <w:szCs w:val="20"/>
              </w:rPr>
            </w:pPr>
            <w:r w:rsidRPr="00E11CA6">
              <w:rPr>
                <w:rFonts w:cs="Arial"/>
                <w:b/>
                <w:bCs/>
                <w:sz w:val="20"/>
                <w:szCs w:val="20"/>
              </w:rPr>
              <w:t xml:space="preserve">Output Title </w:t>
            </w:r>
          </w:p>
        </w:tc>
        <w:tc>
          <w:tcPr>
            <w:tcW w:w="75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9B71430" w14:textId="77777777" w:rsidR="009C4326" w:rsidRPr="00E11CA6" w:rsidRDefault="009C4326">
            <w:pPr>
              <w:jc w:val="both"/>
              <w:rPr>
                <w:rFonts w:cs="Arial"/>
                <w:b/>
                <w:iCs/>
                <w:sz w:val="20"/>
                <w:szCs w:val="20"/>
              </w:rPr>
            </w:pPr>
            <w:r w:rsidRPr="00E11CA6">
              <w:rPr>
                <w:rFonts w:cs="Arial"/>
                <w:b/>
                <w:iCs/>
                <w:sz w:val="20"/>
                <w:szCs w:val="20"/>
              </w:rPr>
              <w:t>More effective and joined up UK support driven by the Partnership</w:t>
            </w:r>
          </w:p>
        </w:tc>
      </w:tr>
      <w:tr w:rsidR="00E10F47" w:rsidRPr="00E11CA6" w14:paraId="3C674A31" w14:textId="77777777" w:rsidTr="008F069E">
        <w:trPr>
          <w:trHeight w:val="347"/>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4C8A2FC" w14:textId="77777777" w:rsidR="009C4326" w:rsidRPr="00E11CA6" w:rsidRDefault="009C4326">
            <w:pPr>
              <w:jc w:val="both"/>
              <w:rPr>
                <w:rFonts w:cs="Arial"/>
                <w:bCs/>
                <w:sz w:val="20"/>
                <w:szCs w:val="20"/>
              </w:rPr>
            </w:pPr>
            <w:r w:rsidRPr="00E11CA6">
              <w:rPr>
                <w:rFonts w:cs="Arial"/>
                <w:bCs/>
                <w:sz w:val="20"/>
                <w:szCs w:val="20"/>
              </w:rPr>
              <w:t xml:space="preserve">Output number: </w:t>
            </w:r>
          </w:p>
        </w:tc>
        <w:tc>
          <w:tcPr>
            <w:tcW w:w="937" w:type="dxa"/>
            <w:tcBorders>
              <w:top w:val="single" w:sz="4" w:space="0" w:color="auto"/>
              <w:left w:val="single" w:sz="4" w:space="0" w:color="auto"/>
              <w:bottom w:val="single" w:sz="4" w:space="0" w:color="auto"/>
              <w:right w:val="single" w:sz="4" w:space="0" w:color="auto"/>
            </w:tcBorders>
          </w:tcPr>
          <w:p w14:paraId="7021549E" w14:textId="77777777" w:rsidR="009C4326" w:rsidRPr="00E11CA6" w:rsidRDefault="009C4326">
            <w:pPr>
              <w:jc w:val="both"/>
              <w:rPr>
                <w:rFonts w:cs="Arial"/>
                <w:sz w:val="20"/>
                <w:szCs w:val="20"/>
              </w:rPr>
            </w:pPr>
            <w:r w:rsidRPr="00E11CA6">
              <w:rPr>
                <w:rFonts w:cs="Arial"/>
                <w:sz w:val="20"/>
                <w:szCs w:val="20"/>
              </w:rPr>
              <w:t>4</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9B81EA5" w14:textId="77777777" w:rsidR="009C4326" w:rsidRPr="00E11CA6" w:rsidRDefault="009C4326">
            <w:pPr>
              <w:jc w:val="both"/>
              <w:rPr>
                <w:rFonts w:cs="Arial"/>
                <w:sz w:val="20"/>
                <w:szCs w:val="20"/>
              </w:rPr>
            </w:pPr>
            <w:r w:rsidRPr="00E11CA6">
              <w:rPr>
                <w:rFonts w:cs="Arial"/>
                <w:bCs/>
                <w:sz w:val="20"/>
                <w:szCs w:val="20"/>
              </w:rPr>
              <w:t xml:space="preserve">Output Score: </w:t>
            </w:r>
          </w:p>
        </w:tc>
        <w:tc>
          <w:tcPr>
            <w:tcW w:w="2976" w:type="dxa"/>
            <w:tcBorders>
              <w:top w:val="single" w:sz="4" w:space="0" w:color="auto"/>
              <w:left w:val="single" w:sz="4" w:space="0" w:color="auto"/>
              <w:bottom w:val="single" w:sz="4" w:space="0" w:color="auto"/>
              <w:right w:val="single" w:sz="4" w:space="0" w:color="auto"/>
            </w:tcBorders>
          </w:tcPr>
          <w:p w14:paraId="377C737D" w14:textId="77777777" w:rsidR="009C4326" w:rsidRPr="00E11CA6" w:rsidRDefault="009C4326">
            <w:pPr>
              <w:jc w:val="both"/>
              <w:rPr>
                <w:rFonts w:cs="Arial"/>
                <w:b/>
                <w:bCs/>
                <w:iCs/>
                <w:sz w:val="20"/>
                <w:szCs w:val="20"/>
              </w:rPr>
            </w:pPr>
            <w:r w:rsidRPr="00E11CA6">
              <w:rPr>
                <w:rFonts w:cs="Arial"/>
                <w:b/>
                <w:bCs/>
                <w:iCs/>
                <w:sz w:val="20"/>
                <w:szCs w:val="20"/>
              </w:rPr>
              <w:t>A+</w:t>
            </w:r>
          </w:p>
        </w:tc>
      </w:tr>
      <w:tr w:rsidR="00E10F47" w:rsidRPr="00E11CA6" w14:paraId="7C065FCD" w14:textId="77777777" w:rsidTr="008F069E">
        <w:trPr>
          <w:trHeight w:val="345"/>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1961416" w14:textId="77777777" w:rsidR="009C4326" w:rsidRPr="00E11CA6" w:rsidRDefault="009C4326">
            <w:pPr>
              <w:jc w:val="both"/>
              <w:rPr>
                <w:rFonts w:cs="Arial"/>
                <w:sz w:val="20"/>
                <w:szCs w:val="20"/>
              </w:rPr>
            </w:pPr>
            <w:r w:rsidRPr="00E11CA6">
              <w:rPr>
                <w:rFonts w:cs="Arial"/>
                <w:bCs/>
                <w:sz w:val="20"/>
                <w:szCs w:val="20"/>
              </w:rPr>
              <w:t xml:space="preserve">Impact weighting (%):  </w:t>
            </w:r>
          </w:p>
        </w:tc>
        <w:tc>
          <w:tcPr>
            <w:tcW w:w="937" w:type="dxa"/>
            <w:tcBorders>
              <w:top w:val="single" w:sz="4" w:space="0" w:color="auto"/>
              <w:left w:val="single" w:sz="4" w:space="0" w:color="auto"/>
              <w:bottom w:val="single" w:sz="4" w:space="0" w:color="auto"/>
              <w:right w:val="single" w:sz="4" w:space="0" w:color="auto"/>
            </w:tcBorders>
            <w:hideMark/>
          </w:tcPr>
          <w:p w14:paraId="558D8B79" w14:textId="024E526A" w:rsidR="009C4326" w:rsidRPr="00E11CA6" w:rsidRDefault="007E5C4A">
            <w:pPr>
              <w:jc w:val="both"/>
              <w:rPr>
                <w:rFonts w:cs="Arial"/>
                <w:bCs/>
                <w:sz w:val="20"/>
                <w:szCs w:val="20"/>
              </w:rPr>
            </w:pPr>
            <w:r w:rsidRPr="00E11CA6">
              <w:rPr>
                <w:rFonts w:cs="Arial"/>
                <w:bCs/>
                <w:sz w:val="20"/>
                <w:szCs w:val="20"/>
              </w:rPr>
              <w:t>2</w:t>
            </w:r>
            <w:r w:rsidR="009C4326" w:rsidRPr="00E11CA6">
              <w:rPr>
                <w:rFonts w:cs="Arial"/>
                <w:bCs/>
                <w:sz w:val="20"/>
                <w:szCs w:val="20"/>
              </w:rPr>
              <w:t>0</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22C87FC" w14:textId="77777777" w:rsidR="009C4326" w:rsidRPr="00E11CA6" w:rsidRDefault="009C4326">
            <w:pPr>
              <w:jc w:val="both"/>
              <w:rPr>
                <w:rFonts w:cs="Arial"/>
                <w:bCs/>
                <w:sz w:val="20"/>
                <w:szCs w:val="20"/>
              </w:rPr>
            </w:pPr>
            <w:r w:rsidRPr="00E11CA6">
              <w:rPr>
                <w:rFonts w:cs="Arial"/>
                <w:bCs/>
                <w:sz w:val="20"/>
                <w:szCs w:val="20"/>
              </w:rPr>
              <w:t xml:space="preserve">Weighting revised since last AR? </w:t>
            </w:r>
          </w:p>
        </w:tc>
        <w:tc>
          <w:tcPr>
            <w:tcW w:w="2976" w:type="dxa"/>
            <w:tcBorders>
              <w:top w:val="single" w:sz="4" w:space="0" w:color="auto"/>
              <w:left w:val="single" w:sz="4" w:space="0" w:color="auto"/>
              <w:bottom w:val="single" w:sz="4" w:space="0" w:color="auto"/>
              <w:right w:val="single" w:sz="4" w:space="0" w:color="auto"/>
            </w:tcBorders>
          </w:tcPr>
          <w:p w14:paraId="71699F04" w14:textId="77777777" w:rsidR="009C4326" w:rsidRPr="00E11CA6" w:rsidRDefault="009C4326">
            <w:pPr>
              <w:jc w:val="both"/>
              <w:rPr>
                <w:rFonts w:cs="Arial"/>
                <w:bCs/>
                <w:sz w:val="20"/>
                <w:szCs w:val="20"/>
              </w:rPr>
            </w:pPr>
            <w:r w:rsidRPr="00E11CA6">
              <w:rPr>
                <w:rFonts w:cs="Arial"/>
                <w:iCs/>
                <w:sz w:val="20"/>
                <w:szCs w:val="20"/>
              </w:rPr>
              <w:t>N/A</w:t>
            </w:r>
          </w:p>
        </w:tc>
      </w:tr>
      <w:tr w:rsidR="00E10F47" w:rsidRPr="00E11CA6" w14:paraId="682F3E40" w14:textId="77777777" w:rsidTr="008F069E">
        <w:trPr>
          <w:trHeight w:val="345"/>
        </w:trPr>
        <w:tc>
          <w:tcPr>
            <w:tcW w:w="2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962559" w14:textId="77777777" w:rsidR="009C4326" w:rsidRPr="00E11CA6" w:rsidRDefault="009C4326">
            <w:pPr>
              <w:jc w:val="both"/>
              <w:rPr>
                <w:rFonts w:cs="Arial"/>
                <w:bCs/>
                <w:sz w:val="20"/>
                <w:szCs w:val="20"/>
              </w:rPr>
            </w:pPr>
            <w:r w:rsidRPr="00E11CA6">
              <w:rPr>
                <w:rFonts w:cs="Arial"/>
                <w:bCs/>
                <w:sz w:val="20"/>
                <w:szCs w:val="20"/>
              </w:rPr>
              <w:t>Risk rating:</w:t>
            </w:r>
          </w:p>
        </w:tc>
        <w:tc>
          <w:tcPr>
            <w:tcW w:w="937" w:type="dxa"/>
            <w:tcBorders>
              <w:top w:val="single" w:sz="4" w:space="0" w:color="auto"/>
              <w:left w:val="single" w:sz="4" w:space="0" w:color="auto"/>
              <w:bottom w:val="single" w:sz="4" w:space="0" w:color="auto"/>
              <w:right w:val="single" w:sz="4" w:space="0" w:color="auto"/>
            </w:tcBorders>
          </w:tcPr>
          <w:p w14:paraId="6A239422" w14:textId="1229AE12" w:rsidR="009C4326" w:rsidRPr="00E11CA6" w:rsidRDefault="008E7F35">
            <w:pPr>
              <w:jc w:val="both"/>
              <w:rPr>
                <w:rFonts w:cs="Arial"/>
                <w:bCs/>
                <w:sz w:val="20"/>
                <w:szCs w:val="20"/>
              </w:rPr>
            </w:pPr>
            <w:r w:rsidRPr="00E11CA6">
              <w:rPr>
                <w:rFonts w:cs="Arial"/>
                <w:bCs/>
                <w:sz w:val="20"/>
                <w:szCs w:val="20"/>
              </w:rPr>
              <w:t>Moderate</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F6BD28" w14:textId="77777777" w:rsidR="009C4326" w:rsidRPr="00E11CA6" w:rsidRDefault="009C4326">
            <w:pPr>
              <w:jc w:val="both"/>
              <w:rPr>
                <w:rFonts w:cs="Arial"/>
                <w:bCs/>
                <w:sz w:val="20"/>
                <w:szCs w:val="20"/>
              </w:rPr>
            </w:pPr>
            <w:r w:rsidRPr="00E11CA6">
              <w:rPr>
                <w:rFonts w:cs="Arial"/>
                <w:bCs/>
                <w:sz w:val="20"/>
                <w:szCs w:val="20"/>
              </w:rPr>
              <w:t>Risk revised since last AR?</w:t>
            </w:r>
          </w:p>
        </w:tc>
        <w:tc>
          <w:tcPr>
            <w:tcW w:w="2976" w:type="dxa"/>
            <w:tcBorders>
              <w:top w:val="single" w:sz="4" w:space="0" w:color="auto"/>
              <w:left w:val="single" w:sz="4" w:space="0" w:color="auto"/>
              <w:bottom w:val="single" w:sz="4" w:space="0" w:color="auto"/>
              <w:right w:val="single" w:sz="4" w:space="0" w:color="auto"/>
            </w:tcBorders>
          </w:tcPr>
          <w:p w14:paraId="21C39B73" w14:textId="77777777" w:rsidR="009C4326" w:rsidRPr="00E11CA6" w:rsidRDefault="009C4326">
            <w:pPr>
              <w:jc w:val="both"/>
              <w:rPr>
                <w:rFonts w:cs="Arial"/>
                <w:bCs/>
                <w:sz w:val="20"/>
                <w:szCs w:val="20"/>
              </w:rPr>
            </w:pPr>
            <w:r w:rsidRPr="00E11CA6">
              <w:rPr>
                <w:rFonts w:cs="Arial"/>
                <w:bCs/>
                <w:sz w:val="20"/>
                <w:szCs w:val="20"/>
              </w:rPr>
              <w:t>N/A</w:t>
            </w:r>
          </w:p>
        </w:tc>
      </w:tr>
    </w:tbl>
    <w:p w14:paraId="68CC6F68" w14:textId="77777777" w:rsidR="009C4326" w:rsidRPr="003C5BF3" w:rsidRDefault="009C4326" w:rsidP="00F1164A">
      <w:pPr>
        <w:tabs>
          <w:tab w:val="left" w:pos="3495"/>
        </w:tabs>
        <w:jc w:val="both"/>
        <w:rPr>
          <w:rFonts w:cs="Arial"/>
          <w:sz w:val="22"/>
          <w:szCs w:val="22"/>
        </w:rPr>
      </w:pPr>
    </w:p>
    <w:p w14:paraId="3744626A" w14:textId="77777777" w:rsidR="00F1164A" w:rsidRPr="003C5BF3" w:rsidRDefault="00F1164A" w:rsidP="00F1164A">
      <w:pPr>
        <w:jc w:val="both"/>
        <w:rPr>
          <w:rFonts w:cs="Arial"/>
          <w:bCs/>
          <w:sz w:val="22"/>
          <w:szCs w:val="22"/>
        </w:rPr>
      </w:pPr>
    </w:p>
    <w:tbl>
      <w:tblPr>
        <w:tblStyle w:val="TableGrid"/>
        <w:tblpPr w:leftFromText="180" w:rightFromText="180" w:vertAnchor="text" w:horzAnchor="margin" w:tblpY="117"/>
        <w:tblOverlap w:val="never"/>
        <w:tblW w:w="9183" w:type="dxa"/>
        <w:tblLook w:val="04A0" w:firstRow="1" w:lastRow="0" w:firstColumn="1" w:lastColumn="0" w:noHBand="0" w:noVBand="1"/>
      </w:tblPr>
      <w:tblGrid>
        <w:gridCol w:w="2291"/>
        <w:gridCol w:w="1519"/>
        <w:gridCol w:w="5373"/>
      </w:tblGrid>
      <w:tr w:rsidR="009C4326" w:rsidRPr="00D06103" w14:paraId="6D95E7E5" w14:textId="77777777" w:rsidTr="00D06103">
        <w:trPr>
          <w:trHeight w:val="255"/>
        </w:trPr>
        <w:tc>
          <w:tcPr>
            <w:tcW w:w="229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4E3F0A9" w14:textId="77777777" w:rsidR="009C4326" w:rsidRPr="00E11CA6" w:rsidRDefault="009C4326" w:rsidP="009C4326">
            <w:pPr>
              <w:jc w:val="both"/>
              <w:rPr>
                <w:rFonts w:cs="Arial"/>
                <w:b/>
                <w:bCs/>
                <w:sz w:val="20"/>
                <w:szCs w:val="20"/>
              </w:rPr>
            </w:pPr>
            <w:r w:rsidRPr="00E11CA6">
              <w:rPr>
                <w:rFonts w:cs="Arial"/>
                <w:b/>
                <w:bCs/>
                <w:sz w:val="20"/>
                <w:szCs w:val="20"/>
              </w:rPr>
              <w:t>Indicator(s)</w:t>
            </w:r>
          </w:p>
        </w:tc>
        <w:tc>
          <w:tcPr>
            <w:tcW w:w="151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7942F62" w14:textId="77777777" w:rsidR="009C4326" w:rsidRPr="00E11CA6" w:rsidRDefault="009C4326" w:rsidP="009C4326">
            <w:pPr>
              <w:jc w:val="both"/>
              <w:rPr>
                <w:rFonts w:cs="Arial"/>
                <w:b/>
                <w:bCs/>
                <w:sz w:val="20"/>
                <w:szCs w:val="20"/>
              </w:rPr>
            </w:pPr>
            <w:r w:rsidRPr="00E11CA6">
              <w:rPr>
                <w:rFonts w:cs="Arial"/>
                <w:b/>
                <w:bCs/>
                <w:sz w:val="20"/>
                <w:szCs w:val="20"/>
              </w:rPr>
              <w:t>Milestone(s) for this review</w:t>
            </w:r>
          </w:p>
        </w:tc>
        <w:tc>
          <w:tcPr>
            <w:tcW w:w="537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AEA679D" w14:textId="77777777" w:rsidR="009C4326" w:rsidRPr="00E11CA6" w:rsidRDefault="009C4326" w:rsidP="009C4326">
            <w:pPr>
              <w:jc w:val="both"/>
              <w:rPr>
                <w:rFonts w:cs="Arial"/>
                <w:b/>
                <w:bCs/>
                <w:sz w:val="20"/>
                <w:szCs w:val="20"/>
              </w:rPr>
            </w:pPr>
            <w:r w:rsidRPr="00E11CA6">
              <w:rPr>
                <w:rFonts w:cs="Arial"/>
                <w:b/>
                <w:bCs/>
                <w:sz w:val="20"/>
                <w:szCs w:val="20"/>
              </w:rPr>
              <w:t xml:space="preserve">Progress </w:t>
            </w:r>
          </w:p>
        </w:tc>
      </w:tr>
      <w:tr w:rsidR="009C4326" w:rsidRPr="00D06103" w14:paraId="0F08B111" w14:textId="77777777" w:rsidTr="00797924">
        <w:trPr>
          <w:trHeight w:val="557"/>
        </w:trPr>
        <w:tc>
          <w:tcPr>
            <w:tcW w:w="2291" w:type="dxa"/>
            <w:tcBorders>
              <w:top w:val="single" w:sz="4" w:space="0" w:color="auto"/>
              <w:left w:val="single" w:sz="4" w:space="0" w:color="auto"/>
              <w:bottom w:val="single" w:sz="4" w:space="0" w:color="auto"/>
              <w:right w:val="single" w:sz="4" w:space="0" w:color="auto"/>
            </w:tcBorders>
          </w:tcPr>
          <w:p w14:paraId="2AEE31AE" w14:textId="77777777" w:rsidR="009C4326" w:rsidRPr="00E11CA6" w:rsidRDefault="009C4326" w:rsidP="009C4326">
            <w:pPr>
              <w:rPr>
                <w:rFonts w:cs="Arial"/>
                <w:bCs/>
                <w:iCs/>
                <w:sz w:val="20"/>
                <w:szCs w:val="20"/>
              </w:rPr>
            </w:pPr>
            <w:r w:rsidRPr="00E11CA6">
              <w:rPr>
                <w:rFonts w:cs="Arial"/>
                <w:bCs/>
                <w:iCs/>
                <w:sz w:val="20"/>
                <w:szCs w:val="20"/>
              </w:rPr>
              <w:t xml:space="preserve">4.1 Number of programmes and initiatives across HMG that have utilised information and tools from the Partnership for decision making </w:t>
            </w:r>
          </w:p>
          <w:p w14:paraId="0EF4B2DC" w14:textId="77777777" w:rsidR="009C4326" w:rsidRPr="00E11CA6" w:rsidRDefault="009C4326" w:rsidP="009C4326">
            <w:pPr>
              <w:rPr>
                <w:rFonts w:cs="Arial"/>
                <w:b/>
                <w:iCs/>
                <w:sz w:val="20"/>
                <w:szCs w:val="20"/>
              </w:rPr>
            </w:pPr>
            <w:r w:rsidRPr="00E11CA6">
              <w:rPr>
                <w:rFonts w:cs="Arial"/>
                <w:b/>
                <w:iCs/>
                <w:sz w:val="20"/>
                <w:szCs w:val="20"/>
              </w:rPr>
              <w:t>(UK level indicator)</w:t>
            </w:r>
          </w:p>
        </w:tc>
        <w:tc>
          <w:tcPr>
            <w:tcW w:w="1519" w:type="dxa"/>
            <w:tcBorders>
              <w:top w:val="single" w:sz="4" w:space="0" w:color="auto"/>
              <w:left w:val="single" w:sz="4" w:space="0" w:color="auto"/>
              <w:bottom w:val="single" w:sz="4" w:space="0" w:color="auto"/>
              <w:right w:val="single" w:sz="4" w:space="0" w:color="auto"/>
            </w:tcBorders>
          </w:tcPr>
          <w:p w14:paraId="5C7E62CF" w14:textId="77777777" w:rsidR="009C4326" w:rsidRPr="00E11CA6" w:rsidRDefault="009C4326" w:rsidP="009C4326">
            <w:pPr>
              <w:jc w:val="both"/>
              <w:rPr>
                <w:rFonts w:eastAsia="Arial" w:cs="Arial"/>
                <w:b/>
                <w:bCs/>
                <w:color w:val="000000" w:themeColor="text1"/>
                <w:sz w:val="20"/>
                <w:szCs w:val="20"/>
              </w:rPr>
            </w:pPr>
            <w:r w:rsidRPr="00E11CA6">
              <w:rPr>
                <w:rFonts w:eastAsia="Arial" w:cs="Arial"/>
                <w:b/>
                <w:bCs/>
                <w:color w:val="000000" w:themeColor="text1"/>
                <w:sz w:val="20"/>
                <w:szCs w:val="20"/>
              </w:rPr>
              <w:t xml:space="preserve">Baseline (Dec 2020) </w:t>
            </w:r>
          </w:p>
          <w:p w14:paraId="77A18493" w14:textId="77777777" w:rsidR="009C4326" w:rsidRPr="00E11CA6" w:rsidRDefault="009C4326" w:rsidP="009C4326">
            <w:pPr>
              <w:jc w:val="both"/>
              <w:rPr>
                <w:rFonts w:eastAsia="Arial" w:cs="Arial"/>
                <w:color w:val="000000" w:themeColor="text1"/>
                <w:sz w:val="20"/>
                <w:szCs w:val="20"/>
              </w:rPr>
            </w:pPr>
            <w:r w:rsidRPr="00E11CA6">
              <w:rPr>
                <w:rFonts w:eastAsia="Arial" w:cs="Arial"/>
                <w:color w:val="000000" w:themeColor="text1"/>
                <w:sz w:val="20"/>
                <w:szCs w:val="20"/>
              </w:rPr>
              <w:t>N/A</w:t>
            </w:r>
          </w:p>
          <w:p w14:paraId="0A67F264" w14:textId="77777777" w:rsidR="009C4326" w:rsidRPr="00E11CA6" w:rsidRDefault="009C4326" w:rsidP="009C4326">
            <w:pPr>
              <w:jc w:val="both"/>
              <w:rPr>
                <w:rFonts w:eastAsia="Arial" w:cs="Arial"/>
                <w:color w:val="000000" w:themeColor="text1"/>
                <w:sz w:val="20"/>
                <w:szCs w:val="20"/>
              </w:rPr>
            </w:pPr>
          </w:p>
          <w:p w14:paraId="50CAAAE3" w14:textId="77777777" w:rsidR="009C4326" w:rsidRPr="00E11CA6" w:rsidRDefault="009C4326" w:rsidP="009C4326">
            <w:pPr>
              <w:jc w:val="both"/>
              <w:rPr>
                <w:rFonts w:cs="Arial"/>
                <w:b/>
                <w:bCs/>
                <w:sz w:val="20"/>
                <w:szCs w:val="20"/>
              </w:rPr>
            </w:pPr>
            <w:r w:rsidRPr="00E11CA6">
              <w:rPr>
                <w:rFonts w:cs="Arial"/>
                <w:b/>
                <w:bCs/>
                <w:sz w:val="20"/>
                <w:szCs w:val="20"/>
              </w:rPr>
              <w:t xml:space="preserve">2025 Target </w:t>
            </w:r>
          </w:p>
          <w:p w14:paraId="0A0AA806" w14:textId="77777777" w:rsidR="009C4326" w:rsidRPr="00E11CA6" w:rsidRDefault="009C4326" w:rsidP="009C4326">
            <w:pPr>
              <w:jc w:val="both"/>
              <w:rPr>
                <w:rFonts w:cs="Arial"/>
                <w:sz w:val="20"/>
                <w:szCs w:val="20"/>
              </w:rPr>
            </w:pPr>
            <w:r w:rsidRPr="00E11CA6">
              <w:rPr>
                <w:rFonts w:cs="Arial"/>
                <w:sz w:val="20"/>
                <w:szCs w:val="20"/>
              </w:rPr>
              <w:t>2</w:t>
            </w:r>
          </w:p>
          <w:p w14:paraId="55DCB4B0" w14:textId="77777777" w:rsidR="009C4326" w:rsidRPr="00E11CA6" w:rsidRDefault="009C4326" w:rsidP="007C33F1">
            <w:pPr>
              <w:jc w:val="both"/>
              <w:rPr>
                <w:rFonts w:cs="Arial"/>
                <w:bCs/>
                <w:iCs/>
                <w:sz w:val="20"/>
                <w:szCs w:val="20"/>
              </w:rPr>
            </w:pPr>
          </w:p>
        </w:tc>
        <w:tc>
          <w:tcPr>
            <w:tcW w:w="5373" w:type="dxa"/>
            <w:tcBorders>
              <w:top w:val="single" w:sz="4" w:space="0" w:color="auto"/>
              <w:left w:val="single" w:sz="4" w:space="0" w:color="auto"/>
              <w:bottom w:val="single" w:sz="4" w:space="0" w:color="auto"/>
              <w:right w:val="single" w:sz="4" w:space="0" w:color="auto"/>
            </w:tcBorders>
          </w:tcPr>
          <w:p w14:paraId="47ABE67F" w14:textId="0B4F40B6" w:rsidR="007C33F1" w:rsidRPr="00E11CA6" w:rsidRDefault="009836C4" w:rsidP="007C33F1">
            <w:pPr>
              <w:jc w:val="both"/>
              <w:rPr>
                <w:rFonts w:cs="Arial"/>
                <w:sz w:val="20"/>
                <w:szCs w:val="20"/>
              </w:rPr>
            </w:pPr>
            <w:r w:rsidRPr="00E11CA6">
              <w:rPr>
                <w:rFonts w:cs="Arial"/>
                <w:b/>
                <w:bCs/>
                <w:sz w:val="20"/>
                <w:szCs w:val="20"/>
              </w:rPr>
              <w:t>6</w:t>
            </w:r>
            <w:r w:rsidR="009C4326" w:rsidRPr="00E11CA6">
              <w:rPr>
                <w:rFonts w:cs="Arial"/>
                <w:b/>
                <w:bCs/>
                <w:sz w:val="20"/>
                <w:szCs w:val="20"/>
              </w:rPr>
              <w:t xml:space="preserve"> cross-Whitehall programmes and initiatives</w:t>
            </w:r>
            <w:r w:rsidR="00E9397C" w:rsidRPr="00E11CA6">
              <w:rPr>
                <w:rFonts w:cs="Arial"/>
                <w:sz w:val="20"/>
                <w:szCs w:val="20"/>
              </w:rPr>
              <w:t xml:space="preserve"> </w:t>
            </w:r>
            <w:r w:rsidR="009C4326" w:rsidRPr="00E11CA6">
              <w:rPr>
                <w:rFonts w:cs="Arial"/>
                <w:sz w:val="20"/>
                <w:szCs w:val="20"/>
              </w:rPr>
              <w:t xml:space="preserve">have utilised information and tools from the Partnership for decision making. </w:t>
            </w:r>
          </w:p>
          <w:p w14:paraId="44F73762" w14:textId="7F219DB3" w:rsidR="009C4326" w:rsidRPr="00E11CA6" w:rsidRDefault="00C908A0" w:rsidP="007C33F1">
            <w:pPr>
              <w:jc w:val="both"/>
              <w:rPr>
                <w:rFonts w:cs="Arial"/>
                <w:sz w:val="20"/>
                <w:szCs w:val="20"/>
              </w:rPr>
            </w:pPr>
            <w:r w:rsidRPr="00E11CA6">
              <w:rPr>
                <w:rFonts w:cs="Arial"/>
                <w:sz w:val="20"/>
                <w:szCs w:val="20"/>
              </w:rPr>
              <w:t>These include:</w:t>
            </w:r>
          </w:p>
          <w:p w14:paraId="31E5B575" w14:textId="6357F4CC" w:rsidR="00C908A0" w:rsidRPr="00E11CA6" w:rsidRDefault="007C33F1" w:rsidP="34D5B100">
            <w:pPr>
              <w:pStyle w:val="ListParagraph"/>
              <w:numPr>
                <w:ilvl w:val="0"/>
                <w:numId w:val="67"/>
              </w:numPr>
              <w:rPr>
                <w:rFonts w:cs="Arial"/>
                <w:sz w:val="20"/>
              </w:rPr>
            </w:pPr>
            <w:r w:rsidRPr="00E11CA6">
              <w:rPr>
                <w:rFonts w:cs="Arial"/>
                <w:sz w:val="20"/>
              </w:rPr>
              <w:t>Mitigation Action Facility</w:t>
            </w:r>
          </w:p>
          <w:p w14:paraId="68871DE0" w14:textId="5348F009" w:rsidR="007C33F1" w:rsidRPr="00E11CA6" w:rsidRDefault="007C33F1" w:rsidP="34D5B100">
            <w:pPr>
              <w:pStyle w:val="ListParagraph"/>
              <w:numPr>
                <w:ilvl w:val="0"/>
                <w:numId w:val="67"/>
              </w:numPr>
              <w:rPr>
                <w:rFonts w:cs="Arial"/>
                <w:sz w:val="20"/>
              </w:rPr>
            </w:pPr>
            <w:r w:rsidRPr="00E11CA6">
              <w:rPr>
                <w:rFonts w:cs="Arial"/>
                <w:sz w:val="20"/>
              </w:rPr>
              <w:t>Climate Finance Accelerator</w:t>
            </w:r>
          </w:p>
          <w:p w14:paraId="181AB806" w14:textId="0D5DEC80" w:rsidR="007C33F1" w:rsidRPr="00E11CA6" w:rsidRDefault="007C33F1" w:rsidP="34D5B100">
            <w:pPr>
              <w:pStyle w:val="ListParagraph"/>
              <w:numPr>
                <w:ilvl w:val="0"/>
                <w:numId w:val="67"/>
              </w:numPr>
              <w:rPr>
                <w:rFonts w:cs="Arial"/>
                <w:sz w:val="20"/>
              </w:rPr>
            </w:pPr>
            <w:r w:rsidRPr="00E11CA6">
              <w:rPr>
                <w:rFonts w:cs="Arial"/>
                <w:sz w:val="20"/>
              </w:rPr>
              <w:t>UK PACT Board</w:t>
            </w:r>
          </w:p>
          <w:p w14:paraId="1921FFC7" w14:textId="2C6EE073" w:rsidR="007C33F1" w:rsidRPr="00E11CA6" w:rsidRDefault="007C33F1" w:rsidP="34D5B100">
            <w:pPr>
              <w:pStyle w:val="ListParagraph"/>
              <w:numPr>
                <w:ilvl w:val="0"/>
                <w:numId w:val="67"/>
              </w:numPr>
              <w:rPr>
                <w:rFonts w:cs="Arial"/>
                <w:sz w:val="20"/>
              </w:rPr>
            </w:pPr>
            <w:r w:rsidRPr="00E11CA6">
              <w:rPr>
                <w:rFonts w:cs="Arial"/>
                <w:sz w:val="20"/>
              </w:rPr>
              <w:t>Carbon Markets team for GGGI Article 6 Programme</w:t>
            </w:r>
          </w:p>
          <w:p w14:paraId="5B425CE2" w14:textId="772B2067" w:rsidR="007C33F1" w:rsidRPr="00E11CA6" w:rsidRDefault="007C33F1" w:rsidP="34D5B100">
            <w:pPr>
              <w:pStyle w:val="ListParagraph"/>
              <w:numPr>
                <w:ilvl w:val="0"/>
                <w:numId w:val="67"/>
              </w:numPr>
              <w:rPr>
                <w:rFonts w:cs="Arial"/>
                <w:sz w:val="20"/>
              </w:rPr>
            </w:pPr>
            <w:r w:rsidRPr="00E11CA6">
              <w:rPr>
                <w:rFonts w:cs="Arial"/>
                <w:sz w:val="20"/>
              </w:rPr>
              <w:t>International Forest Unit</w:t>
            </w:r>
          </w:p>
          <w:p w14:paraId="094B10FB" w14:textId="622B64C6" w:rsidR="009836C4" w:rsidRPr="00E11CA6" w:rsidRDefault="009836C4" w:rsidP="34D5B100">
            <w:pPr>
              <w:pStyle w:val="ListParagraph"/>
              <w:numPr>
                <w:ilvl w:val="0"/>
                <w:numId w:val="67"/>
              </w:numPr>
              <w:rPr>
                <w:rFonts w:cs="Arial"/>
                <w:sz w:val="20"/>
              </w:rPr>
            </w:pPr>
            <w:r w:rsidRPr="00E11CA6">
              <w:rPr>
                <w:rFonts w:cs="Arial"/>
                <w:sz w:val="20"/>
              </w:rPr>
              <w:t>The Access to the Climate Finance Taskforce</w:t>
            </w:r>
          </w:p>
          <w:p w14:paraId="414DD7D3" w14:textId="1934951F" w:rsidR="00E9397C" w:rsidRPr="00E11CA6" w:rsidRDefault="00E9397C" w:rsidP="007C33F1">
            <w:pPr>
              <w:contextualSpacing/>
              <w:jc w:val="both"/>
              <w:rPr>
                <w:rFonts w:cs="Arial"/>
                <w:bCs/>
                <w:iCs/>
                <w:color w:val="C45911" w:themeColor="accent2" w:themeShade="BF"/>
                <w:sz w:val="20"/>
                <w:szCs w:val="20"/>
              </w:rPr>
            </w:pPr>
          </w:p>
          <w:p w14:paraId="5B1490BA" w14:textId="1C145455" w:rsidR="009C4326" w:rsidRPr="00E11CA6" w:rsidRDefault="00EA05FA" w:rsidP="007C33F1">
            <w:pPr>
              <w:contextualSpacing/>
              <w:jc w:val="both"/>
              <w:rPr>
                <w:rFonts w:cs="Arial"/>
                <w:bCs/>
                <w:iCs/>
                <w:sz w:val="20"/>
                <w:szCs w:val="20"/>
              </w:rPr>
            </w:pPr>
            <w:r w:rsidRPr="00E11CA6">
              <w:rPr>
                <w:rFonts w:cs="Arial"/>
                <w:bCs/>
                <w:iCs/>
                <w:sz w:val="20"/>
                <w:szCs w:val="20"/>
              </w:rPr>
              <w:t>Performance has more than doubled the original target</w:t>
            </w:r>
            <w:r w:rsidR="009C4326" w:rsidRPr="00E11CA6">
              <w:rPr>
                <w:rFonts w:cs="Arial"/>
                <w:bCs/>
                <w:iCs/>
                <w:sz w:val="20"/>
                <w:szCs w:val="20"/>
              </w:rPr>
              <w:t>.</w:t>
            </w:r>
            <w:r w:rsidR="00382DA6" w:rsidRPr="00E11CA6">
              <w:rPr>
                <w:rFonts w:cs="Arial"/>
                <w:bCs/>
                <w:iCs/>
                <w:sz w:val="20"/>
                <w:szCs w:val="20"/>
              </w:rPr>
              <w:t xml:space="preserve"> Subject to available resources next year, the target will be increased to</w:t>
            </w:r>
            <w:r w:rsidR="009C4326" w:rsidRPr="00E11CA6">
              <w:rPr>
                <w:rFonts w:cs="Arial"/>
                <w:bCs/>
                <w:iCs/>
                <w:sz w:val="20"/>
                <w:szCs w:val="20"/>
              </w:rPr>
              <w:t xml:space="preserve"> keep spreading awareness about the partnership</w:t>
            </w:r>
            <w:r w:rsidR="006359B5" w:rsidRPr="00E11CA6">
              <w:rPr>
                <w:rFonts w:cs="Arial"/>
                <w:bCs/>
                <w:iCs/>
                <w:sz w:val="20"/>
                <w:szCs w:val="20"/>
              </w:rPr>
              <w:t xml:space="preserve"> across HMG.</w:t>
            </w:r>
          </w:p>
          <w:p w14:paraId="3F011F83" w14:textId="77777777" w:rsidR="009C4326" w:rsidRPr="00E11CA6" w:rsidRDefault="009C4326" w:rsidP="007C33F1">
            <w:pPr>
              <w:contextualSpacing/>
              <w:jc w:val="both"/>
              <w:rPr>
                <w:rFonts w:cs="Arial"/>
                <w:sz w:val="20"/>
                <w:szCs w:val="20"/>
              </w:rPr>
            </w:pPr>
          </w:p>
          <w:p w14:paraId="706FE09C" w14:textId="30928E9E" w:rsidR="009C4326" w:rsidRPr="00E11CA6" w:rsidRDefault="009C4326" w:rsidP="007C33F1">
            <w:pPr>
              <w:contextualSpacing/>
              <w:jc w:val="both"/>
              <w:rPr>
                <w:rFonts w:cs="Arial"/>
                <w:b/>
                <w:bCs/>
                <w:sz w:val="20"/>
                <w:szCs w:val="20"/>
              </w:rPr>
            </w:pPr>
            <w:r w:rsidRPr="00E11CA6">
              <w:rPr>
                <w:rFonts w:cs="Arial"/>
                <w:b/>
                <w:bCs/>
                <w:sz w:val="20"/>
                <w:szCs w:val="20"/>
              </w:rPr>
              <w:t>A++ (progress significantly exceeded expectation)</w:t>
            </w:r>
          </w:p>
        </w:tc>
      </w:tr>
      <w:tr w:rsidR="009C4326" w:rsidRPr="00D06103" w14:paraId="265AD8C2" w14:textId="77777777" w:rsidTr="00D06103">
        <w:trPr>
          <w:trHeight w:val="3310"/>
        </w:trPr>
        <w:tc>
          <w:tcPr>
            <w:tcW w:w="2291" w:type="dxa"/>
            <w:tcBorders>
              <w:top w:val="single" w:sz="4" w:space="0" w:color="auto"/>
              <w:left w:val="single" w:sz="4" w:space="0" w:color="auto"/>
              <w:bottom w:val="single" w:sz="4" w:space="0" w:color="auto"/>
              <w:right w:val="single" w:sz="4" w:space="0" w:color="auto"/>
            </w:tcBorders>
          </w:tcPr>
          <w:p w14:paraId="5B7D9E55" w14:textId="77777777" w:rsidR="009C4326" w:rsidRPr="00E11CA6" w:rsidRDefault="009C4326" w:rsidP="009C4326">
            <w:pPr>
              <w:rPr>
                <w:rFonts w:eastAsia="Arial" w:cs="Arial"/>
                <w:sz w:val="20"/>
                <w:szCs w:val="20"/>
              </w:rPr>
            </w:pPr>
            <w:r w:rsidRPr="00E11CA6">
              <w:rPr>
                <w:rFonts w:eastAsia="Arial" w:cs="Arial"/>
                <w:sz w:val="20"/>
                <w:szCs w:val="20"/>
              </w:rPr>
              <w:t>4.2 Number of HMG programmes that have been able to respond to and support requests received via the Partnership.</w:t>
            </w:r>
          </w:p>
          <w:p w14:paraId="7D3015D1" w14:textId="77777777" w:rsidR="009C4326" w:rsidRPr="00E11CA6" w:rsidRDefault="009C4326" w:rsidP="009C4326">
            <w:pPr>
              <w:rPr>
                <w:rFonts w:cs="Arial"/>
                <w:bCs/>
                <w:iCs/>
                <w:sz w:val="20"/>
                <w:szCs w:val="20"/>
              </w:rPr>
            </w:pPr>
            <w:r w:rsidRPr="00E11CA6">
              <w:rPr>
                <w:rFonts w:eastAsia="Arial" w:cs="Arial"/>
                <w:b/>
                <w:bCs/>
                <w:sz w:val="20"/>
                <w:szCs w:val="20"/>
              </w:rPr>
              <w:t>(UK level indicator)</w:t>
            </w:r>
            <w:r w:rsidRPr="00E11CA6">
              <w:rPr>
                <w:rFonts w:cs="Arial"/>
                <w:sz w:val="20"/>
                <w:szCs w:val="20"/>
              </w:rPr>
              <w:br/>
            </w:r>
          </w:p>
        </w:tc>
        <w:tc>
          <w:tcPr>
            <w:tcW w:w="1519" w:type="dxa"/>
            <w:tcBorders>
              <w:top w:val="single" w:sz="4" w:space="0" w:color="auto"/>
              <w:left w:val="single" w:sz="4" w:space="0" w:color="auto"/>
              <w:bottom w:val="single" w:sz="4" w:space="0" w:color="auto"/>
              <w:right w:val="single" w:sz="4" w:space="0" w:color="auto"/>
            </w:tcBorders>
          </w:tcPr>
          <w:p w14:paraId="38C1E531" w14:textId="77777777" w:rsidR="009C4326" w:rsidRPr="00E11CA6" w:rsidRDefault="009C4326" w:rsidP="009C4326">
            <w:pPr>
              <w:jc w:val="both"/>
              <w:rPr>
                <w:rFonts w:eastAsia="Arial" w:cs="Arial"/>
                <w:b/>
                <w:bCs/>
                <w:color w:val="000000" w:themeColor="text1"/>
                <w:sz w:val="20"/>
                <w:szCs w:val="20"/>
              </w:rPr>
            </w:pPr>
            <w:r w:rsidRPr="00E11CA6">
              <w:rPr>
                <w:rFonts w:eastAsia="Arial" w:cs="Arial"/>
                <w:b/>
                <w:bCs/>
                <w:color w:val="000000" w:themeColor="text1"/>
                <w:sz w:val="20"/>
                <w:szCs w:val="20"/>
              </w:rPr>
              <w:t xml:space="preserve">Baseline (Dec 2020) </w:t>
            </w:r>
          </w:p>
          <w:p w14:paraId="018262CB" w14:textId="77777777" w:rsidR="009C4326" w:rsidRPr="00E11CA6" w:rsidRDefault="009C4326" w:rsidP="009C4326">
            <w:pPr>
              <w:rPr>
                <w:rFonts w:cs="Arial"/>
                <w:bCs/>
                <w:iCs/>
                <w:sz w:val="20"/>
                <w:szCs w:val="20"/>
              </w:rPr>
            </w:pPr>
            <w:r w:rsidRPr="00E11CA6">
              <w:rPr>
                <w:rFonts w:cs="Arial"/>
                <w:bCs/>
                <w:iCs/>
                <w:sz w:val="20"/>
                <w:szCs w:val="20"/>
              </w:rPr>
              <w:t>N/A</w:t>
            </w:r>
          </w:p>
          <w:p w14:paraId="0214BEFF" w14:textId="77777777" w:rsidR="009C4326" w:rsidRPr="00E11CA6" w:rsidRDefault="009C4326" w:rsidP="009C4326">
            <w:pPr>
              <w:rPr>
                <w:rFonts w:cs="Arial"/>
                <w:bCs/>
                <w:iCs/>
                <w:sz w:val="20"/>
                <w:szCs w:val="20"/>
              </w:rPr>
            </w:pPr>
          </w:p>
          <w:p w14:paraId="70EFE76B" w14:textId="77777777" w:rsidR="009C4326" w:rsidRPr="00E11CA6" w:rsidRDefault="009C4326" w:rsidP="009C4326">
            <w:pPr>
              <w:rPr>
                <w:rFonts w:cs="Arial"/>
                <w:bCs/>
                <w:iCs/>
                <w:sz w:val="20"/>
                <w:szCs w:val="20"/>
              </w:rPr>
            </w:pPr>
          </w:p>
          <w:p w14:paraId="3E8DF4B5" w14:textId="77777777" w:rsidR="009C4326" w:rsidRPr="00E11CA6" w:rsidRDefault="009C4326" w:rsidP="009C4326">
            <w:pPr>
              <w:jc w:val="both"/>
              <w:rPr>
                <w:rFonts w:cs="Arial"/>
                <w:b/>
                <w:bCs/>
                <w:sz w:val="20"/>
                <w:szCs w:val="20"/>
              </w:rPr>
            </w:pPr>
            <w:r w:rsidRPr="00E11CA6">
              <w:rPr>
                <w:rFonts w:cs="Arial"/>
                <w:b/>
                <w:bCs/>
                <w:sz w:val="20"/>
                <w:szCs w:val="20"/>
              </w:rPr>
              <w:t xml:space="preserve">2025 Target </w:t>
            </w:r>
          </w:p>
          <w:p w14:paraId="66F1A695" w14:textId="77777777" w:rsidR="009C4326" w:rsidRPr="00E11CA6" w:rsidRDefault="009C4326" w:rsidP="009C4326">
            <w:pPr>
              <w:rPr>
                <w:rFonts w:cs="Arial"/>
                <w:bCs/>
                <w:iCs/>
                <w:sz w:val="20"/>
                <w:szCs w:val="20"/>
              </w:rPr>
            </w:pPr>
            <w:r w:rsidRPr="00E11CA6">
              <w:rPr>
                <w:rFonts w:cs="Arial"/>
                <w:bCs/>
                <w:iCs/>
                <w:sz w:val="20"/>
                <w:szCs w:val="20"/>
              </w:rPr>
              <w:t>2</w:t>
            </w:r>
          </w:p>
        </w:tc>
        <w:tc>
          <w:tcPr>
            <w:tcW w:w="5373" w:type="dxa"/>
            <w:tcBorders>
              <w:top w:val="single" w:sz="4" w:space="0" w:color="auto"/>
              <w:left w:val="single" w:sz="4" w:space="0" w:color="auto"/>
              <w:bottom w:val="single" w:sz="4" w:space="0" w:color="auto"/>
              <w:right w:val="single" w:sz="4" w:space="0" w:color="auto"/>
            </w:tcBorders>
          </w:tcPr>
          <w:p w14:paraId="199E596C" w14:textId="77777777" w:rsidR="00BD2092" w:rsidRPr="00E11CA6" w:rsidRDefault="00BD2092" w:rsidP="009C4326">
            <w:pPr>
              <w:contextualSpacing/>
              <w:rPr>
                <w:rFonts w:cs="Arial"/>
                <w:bCs/>
                <w:iCs/>
                <w:sz w:val="20"/>
                <w:szCs w:val="20"/>
              </w:rPr>
            </w:pPr>
            <w:r w:rsidRPr="00E11CA6">
              <w:rPr>
                <w:rFonts w:cs="Arial"/>
                <w:bCs/>
                <w:iCs/>
                <w:sz w:val="20"/>
                <w:szCs w:val="20"/>
              </w:rPr>
              <w:t xml:space="preserve">0 (to the programme team’s knowledge) </w:t>
            </w:r>
          </w:p>
          <w:p w14:paraId="27907BFA" w14:textId="77777777" w:rsidR="00BD2092" w:rsidRPr="00E11CA6" w:rsidRDefault="00BD2092" w:rsidP="009C4326">
            <w:pPr>
              <w:contextualSpacing/>
              <w:rPr>
                <w:rFonts w:cs="Arial"/>
                <w:bCs/>
                <w:iCs/>
                <w:sz w:val="20"/>
                <w:szCs w:val="20"/>
              </w:rPr>
            </w:pPr>
          </w:p>
          <w:p w14:paraId="5F90925F" w14:textId="347AC055" w:rsidR="009C4326" w:rsidRPr="00E11CA6" w:rsidRDefault="00E76F57" w:rsidP="009C4326">
            <w:pPr>
              <w:contextualSpacing/>
              <w:rPr>
                <w:rFonts w:cs="Arial"/>
                <w:bCs/>
                <w:iCs/>
                <w:sz w:val="20"/>
                <w:szCs w:val="20"/>
              </w:rPr>
            </w:pPr>
            <w:r w:rsidRPr="00E11CA6">
              <w:rPr>
                <w:rFonts w:cs="Arial"/>
                <w:bCs/>
                <w:iCs/>
                <w:sz w:val="20"/>
                <w:szCs w:val="20"/>
              </w:rPr>
              <w:t xml:space="preserve">We have not been able to capture the data of how many </w:t>
            </w:r>
            <w:r w:rsidR="009C4326" w:rsidRPr="00E11CA6">
              <w:rPr>
                <w:rFonts w:cs="Arial"/>
                <w:bCs/>
                <w:iCs/>
                <w:sz w:val="20"/>
                <w:szCs w:val="20"/>
              </w:rPr>
              <w:t xml:space="preserve">HMG programmes have been able to respond and support requests via the </w:t>
            </w:r>
            <w:r w:rsidR="00EC0199" w:rsidRPr="00E11CA6">
              <w:rPr>
                <w:rFonts w:cs="Arial"/>
                <w:bCs/>
                <w:iCs/>
                <w:sz w:val="20"/>
                <w:szCs w:val="20"/>
              </w:rPr>
              <w:t>P</w:t>
            </w:r>
            <w:r w:rsidR="009C4326" w:rsidRPr="00E11CA6">
              <w:rPr>
                <w:rFonts w:cs="Arial"/>
                <w:bCs/>
                <w:iCs/>
                <w:sz w:val="20"/>
                <w:szCs w:val="20"/>
              </w:rPr>
              <w:t xml:space="preserve">artnership. The team’s expectations for meeting this target were based on UK PACT supporting requests that were cancelled due to time constraints. </w:t>
            </w:r>
          </w:p>
          <w:p w14:paraId="484C2419" w14:textId="77777777" w:rsidR="009C4326" w:rsidRPr="00E11CA6" w:rsidRDefault="009C4326" w:rsidP="009C4326">
            <w:pPr>
              <w:contextualSpacing/>
              <w:rPr>
                <w:rFonts w:cs="Arial"/>
                <w:bCs/>
                <w:iCs/>
                <w:sz w:val="20"/>
                <w:szCs w:val="20"/>
              </w:rPr>
            </w:pPr>
          </w:p>
          <w:p w14:paraId="2C11A7E7" w14:textId="77777777" w:rsidR="009C4326" w:rsidRPr="00E11CA6" w:rsidRDefault="009C4326" w:rsidP="009C4326">
            <w:pPr>
              <w:contextualSpacing/>
              <w:rPr>
                <w:rFonts w:cs="Arial"/>
                <w:bCs/>
                <w:iCs/>
                <w:sz w:val="20"/>
                <w:szCs w:val="20"/>
              </w:rPr>
            </w:pPr>
            <w:r w:rsidRPr="00E11CA6">
              <w:rPr>
                <w:rFonts w:cs="Arial"/>
                <w:bCs/>
                <w:iCs/>
                <w:sz w:val="20"/>
                <w:szCs w:val="20"/>
              </w:rPr>
              <w:t>There is no baseline for this as it is a new indicator. We plan to build our engagement with other HMG programmes to meet our targets next year.</w:t>
            </w:r>
          </w:p>
          <w:p w14:paraId="3C631412" w14:textId="77777777" w:rsidR="009C4326" w:rsidRPr="00E11CA6" w:rsidRDefault="009C4326" w:rsidP="009C4326">
            <w:pPr>
              <w:contextualSpacing/>
              <w:rPr>
                <w:rFonts w:cs="Arial"/>
                <w:bCs/>
                <w:iCs/>
                <w:sz w:val="20"/>
                <w:szCs w:val="20"/>
              </w:rPr>
            </w:pPr>
          </w:p>
          <w:p w14:paraId="4005D77F" w14:textId="77777777" w:rsidR="009C4326" w:rsidRPr="00E11CA6" w:rsidRDefault="009C4326" w:rsidP="009C4326">
            <w:pPr>
              <w:contextualSpacing/>
              <w:rPr>
                <w:rFonts w:cs="Arial"/>
                <w:b/>
                <w:bCs/>
                <w:iCs/>
                <w:sz w:val="20"/>
                <w:szCs w:val="20"/>
              </w:rPr>
            </w:pPr>
            <w:r w:rsidRPr="00E11CA6">
              <w:rPr>
                <w:rFonts w:cs="Arial"/>
                <w:b/>
                <w:bCs/>
                <w:sz w:val="20"/>
                <w:szCs w:val="20"/>
              </w:rPr>
              <w:t>B (progress moderately did not meet expectation)</w:t>
            </w:r>
          </w:p>
          <w:p w14:paraId="3B28FEA0" w14:textId="77777777" w:rsidR="009C4326" w:rsidRPr="00E11CA6" w:rsidRDefault="009C4326" w:rsidP="009C4326">
            <w:pPr>
              <w:contextualSpacing/>
              <w:rPr>
                <w:rFonts w:cs="Arial"/>
                <w:bCs/>
                <w:iCs/>
                <w:sz w:val="20"/>
                <w:szCs w:val="20"/>
              </w:rPr>
            </w:pPr>
          </w:p>
          <w:p w14:paraId="2EBD11A6" w14:textId="77777777" w:rsidR="009C4326" w:rsidRPr="00E11CA6" w:rsidRDefault="009C4326" w:rsidP="009C4326">
            <w:pPr>
              <w:contextualSpacing/>
              <w:rPr>
                <w:rFonts w:cs="Arial"/>
                <w:bCs/>
                <w:iCs/>
                <w:sz w:val="20"/>
                <w:szCs w:val="20"/>
              </w:rPr>
            </w:pPr>
          </w:p>
        </w:tc>
      </w:tr>
      <w:tr w:rsidR="009C4326" w:rsidRPr="00D06103" w14:paraId="62F9B949" w14:textId="77777777" w:rsidTr="00D06103">
        <w:trPr>
          <w:trHeight w:val="2117"/>
        </w:trPr>
        <w:tc>
          <w:tcPr>
            <w:tcW w:w="2291" w:type="dxa"/>
            <w:tcBorders>
              <w:top w:val="single" w:sz="4" w:space="0" w:color="auto"/>
              <w:left w:val="single" w:sz="4" w:space="0" w:color="auto"/>
              <w:bottom w:val="single" w:sz="4" w:space="0" w:color="auto"/>
              <w:right w:val="single" w:sz="4" w:space="0" w:color="auto"/>
            </w:tcBorders>
          </w:tcPr>
          <w:p w14:paraId="063A60F3" w14:textId="77777777" w:rsidR="009C4326" w:rsidRPr="00E11CA6" w:rsidRDefault="009C4326" w:rsidP="009C4326">
            <w:pPr>
              <w:rPr>
                <w:rFonts w:eastAsia="Arial" w:cs="Arial"/>
                <w:sz w:val="20"/>
                <w:szCs w:val="20"/>
              </w:rPr>
            </w:pPr>
            <w:r w:rsidRPr="00E11CA6">
              <w:rPr>
                <w:rFonts w:eastAsia="Arial" w:cs="Arial"/>
                <w:sz w:val="20"/>
                <w:szCs w:val="20"/>
              </w:rPr>
              <w:t xml:space="preserve">4.3 Number of awareness raising sessions/outreach products delivered by DESNZ NDC Partnership programme team. </w:t>
            </w:r>
            <w:r w:rsidRPr="00E11CA6">
              <w:rPr>
                <w:rFonts w:eastAsia="Arial" w:cs="Arial"/>
                <w:b/>
                <w:bCs/>
                <w:sz w:val="20"/>
                <w:szCs w:val="20"/>
              </w:rPr>
              <w:t>(UK level indicator)</w:t>
            </w:r>
          </w:p>
        </w:tc>
        <w:tc>
          <w:tcPr>
            <w:tcW w:w="1519" w:type="dxa"/>
            <w:tcBorders>
              <w:top w:val="single" w:sz="4" w:space="0" w:color="auto"/>
              <w:left w:val="single" w:sz="4" w:space="0" w:color="auto"/>
              <w:bottom w:val="single" w:sz="4" w:space="0" w:color="auto"/>
              <w:right w:val="single" w:sz="4" w:space="0" w:color="auto"/>
            </w:tcBorders>
          </w:tcPr>
          <w:p w14:paraId="08A5EEEC" w14:textId="77777777" w:rsidR="009C4326" w:rsidRPr="00E11CA6" w:rsidRDefault="009C4326" w:rsidP="009C4326">
            <w:pPr>
              <w:jc w:val="both"/>
              <w:rPr>
                <w:rFonts w:eastAsia="Arial" w:cs="Arial"/>
                <w:b/>
                <w:bCs/>
                <w:color w:val="000000" w:themeColor="text1"/>
                <w:sz w:val="20"/>
                <w:szCs w:val="20"/>
              </w:rPr>
            </w:pPr>
            <w:r w:rsidRPr="00E11CA6">
              <w:rPr>
                <w:rFonts w:eastAsia="Arial" w:cs="Arial"/>
                <w:b/>
                <w:bCs/>
                <w:color w:val="000000" w:themeColor="text1"/>
                <w:sz w:val="20"/>
                <w:szCs w:val="20"/>
              </w:rPr>
              <w:t xml:space="preserve">Baseline (Dec 2020) </w:t>
            </w:r>
          </w:p>
          <w:p w14:paraId="60CB8064" w14:textId="77777777" w:rsidR="009C4326" w:rsidRPr="00E11CA6" w:rsidRDefault="009C4326" w:rsidP="009C4326">
            <w:pPr>
              <w:rPr>
                <w:rFonts w:cs="Arial"/>
                <w:bCs/>
                <w:iCs/>
                <w:sz w:val="20"/>
                <w:szCs w:val="20"/>
              </w:rPr>
            </w:pPr>
            <w:r w:rsidRPr="00E11CA6">
              <w:rPr>
                <w:rFonts w:cs="Arial"/>
                <w:bCs/>
                <w:iCs/>
                <w:sz w:val="20"/>
                <w:szCs w:val="20"/>
              </w:rPr>
              <w:t>N/A</w:t>
            </w:r>
          </w:p>
          <w:p w14:paraId="7A09600E" w14:textId="77777777" w:rsidR="009C4326" w:rsidRPr="00E11CA6" w:rsidRDefault="009C4326" w:rsidP="009C4326">
            <w:pPr>
              <w:rPr>
                <w:rFonts w:cs="Arial"/>
                <w:bCs/>
                <w:iCs/>
                <w:sz w:val="20"/>
                <w:szCs w:val="20"/>
              </w:rPr>
            </w:pPr>
          </w:p>
          <w:p w14:paraId="54B6F039" w14:textId="77777777" w:rsidR="009C4326" w:rsidRPr="00E11CA6" w:rsidRDefault="009C4326" w:rsidP="009C4326">
            <w:pPr>
              <w:jc w:val="both"/>
              <w:rPr>
                <w:rFonts w:cs="Arial"/>
                <w:b/>
                <w:bCs/>
                <w:sz w:val="20"/>
                <w:szCs w:val="20"/>
              </w:rPr>
            </w:pPr>
            <w:r w:rsidRPr="00E11CA6">
              <w:rPr>
                <w:rFonts w:cs="Arial"/>
                <w:b/>
                <w:bCs/>
                <w:sz w:val="20"/>
                <w:szCs w:val="20"/>
              </w:rPr>
              <w:t xml:space="preserve">2025 Target </w:t>
            </w:r>
          </w:p>
          <w:p w14:paraId="092A8D5B" w14:textId="77777777" w:rsidR="009C4326" w:rsidRPr="00E11CA6" w:rsidRDefault="009C4326" w:rsidP="009C4326">
            <w:pPr>
              <w:rPr>
                <w:rFonts w:cs="Arial"/>
                <w:bCs/>
                <w:iCs/>
                <w:sz w:val="20"/>
                <w:szCs w:val="20"/>
              </w:rPr>
            </w:pPr>
            <w:r w:rsidRPr="00E11CA6">
              <w:rPr>
                <w:rFonts w:cs="Arial"/>
                <w:bCs/>
                <w:iCs/>
                <w:sz w:val="20"/>
                <w:szCs w:val="20"/>
              </w:rPr>
              <w:t xml:space="preserve">10 </w:t>
            </w:r>
          </w:p>
        </w:tc>
        <w:tc>
          <w:tcPr>
            <w:tcW w:w="5373" w:type="dxa"/>
            <w:tcBorders>
              <w:top w:val="single" w:sz="4" w:space="0" w:color="auto"/>
              <w:left w:val="single" w:sz="4" w:space="0" w:color="auto"/>
              <w:bottom w:val="single" w:sz="4" w:space="0" w:color="auto"/>
              <w:right w:val="single" w:sz="4" w:space="0" w:color="auto"/>
            </w:tcBorders>
          </w:tcPr>
          <w:p w14:paraId="407D9CF2" w14:textId="7DB696F6" w:rsidR="009C4326" w:rsidRPr="00E11CA6" w:rsidRDefault="009C4326" w:rsidP="009C4326">
            <w:pPr>
              <w:contextualSpacing/>
              <w:rPr>
                <w:rFonts w:cs="Arial"/>
                <w:bCs/>
                <w:iCs/>
                <w:sz w:val="20"/>
                <w:szCs w:val="20"/>
              </w:rPr>
            </w:pPr>
            <w:r w:rsidRPr="00E11CA6">
              <w:rPr>
                <w:rFonts w:cs="Arial"/>
                <w:b/>
                <w:iCs/>
                <w:sz w:val="20"/>
                <w:szCs w:val="20"/>
              </w:rPr>
              <w:t>15</w:t>
            </w:r>
            <w:r w:rsidRPr="00E11CA6">
              <w:rPr>
                <w:rFonts w:cs="Arial"/>
                <w:bCs/>
                <w:iCs/>
                <w:sz w:val="20"/>
                <w:szCs w:val="20"/>
              </w:rPr>
              <w:t xml:space="preserve"> awareness raising sessions and/or outreach products were delivered by the programme team. T</w:t>
            </w:r>
            <w:r w:rsidR="00EA1D08" w:rsidRPr="00E11CA6">
              <w:rPr>
                <w:rFonts w:cs="Arial"/>
                <w:bCs/>
                <w:iCs/>
                <w:sz w:val="20"/>
                <w:szCs w:val="20"/>
              </w:rPr>
              <w:t>herefore, t</w:t>
            </w:r>
            <w:r w:rsidRPr="00E11CA6">
              <w:rPr>
                <w:rFonts w:cs="Arial"/>
                <w:bCs/>
                <w:iCs/>
                <w:sz w:val="20"/>
                <w:szCs w:val="20"/>
              </w:rPr>
              <w:t xml:space="preserve">he target was exceeded by 50%. </w:t>
            </w:r>
          </w:p>
          <w:p w14:paraId="7CDF527D" w14:textId="5B6200F0" w:rsidR="00EA1D08" w:rsidRPr="00E11CA6" w:rsidRDefault="00EA1D08" w:rsidP="009C4326">
            <w:pPr>
              <w:contextualSpacing/>
              <w:rPr>
                <w:rFonts w:cs="Arial"/>
                <w:bCs/>
                <w:iCs/>
                <w:sz w:val="20"/>
                <w:szCs w:val="20"/>
              </w:rPr>
            </w:pPr>
          </w:p>
          <w:p w14:paraId="2DFAD54B" w14:textId="181B9B94" w:rsidR="009C4326" w:rsidRPr="00E11CA6" w:rsidRDefault="00EA1D08" w:rsidP="009C4326">
            <w:pPr>
              <w:contextualSpacing/>
              <w:rPr>
                <w:rFonts w:cs="Arial"/>
                <w:bCs/>
                <w:iCs/>
                <w:sz w:val="20"/>
                <w:szCs w:val="20"/>
              </w:rPr>
            </w:pPr>
            <w:r w:rsidRPr="00E11CA6">
              <w:rPr>
                <w:rFonts w:cs="Arial"/>
                <w:bCs/>
                <w:iCs/>
                <w:sz w:val="20"/>
                <w:szCs w:val="20"/>
              </w:rPr>
              <w:t xml:space="preserve">Subject to available resources next year, the target will be increased </w:t>
            </w:r>
            <w:r w:rsidR="009C4326" w:rsidRPr="00E11CA6">
              <w:rPr>
                <w:rFonts w:cs="Arial"/>
                <w:bCs/>
                <w:iCs/>
                <w:sz w:val="20"/>
                <w:szCs w:val="20"/>
              </w:rPr>
              <w:t xml:space="preserve">to keep spreading awareness about the partnership.  </w:t>
            </w:r>
          </w:p>
          <w:p w14:paraId="0AD56EDF" w14:textId="77777777" w:rsidR="009C4326" w:rsidRPr="00E11CA6" w:rsidRDefault="009C4326" w:rsidP="009C4326">
            <w:pPr>
              <w:contextualSpacing/>
              <w:rPr>
                <w:rFonts w:cs="Arial"/>
                <w:bCs/>
                <w:iCs/>
                <w:sz w:val="20"/>
                <w:szCs w:val="20"/>
              </w:rPr>
            </w:pPr>
          </w:p>
          <w:p w14:paraId="390B2592" w14:textId="77777777" w:rsidR="009C4326" w:rsidRPr="00E11CA6" w:rsidRDefault="009C4326" w:rsidP="009C4326">
            <w:pPr>
              <w:contextualSpacing/>
              <w:rPr>
                <w:rFonts w:cs="Arial"/>
                <w:b/>
                <w:bCs/>
                <w:sz w:val="20"/>
                <w:szCs w:val="20"/>
              </w:rPr>
            </w:pPr>
            <w:r w:rsidRPr="00E11CA6">
              <w:rPr>
                <w:rFonts w:cs="Arial"/>
                <w:b/>
                <w:bCs/>
                <w:sz w:val="20"/>
                <w:szCs w:val="20"/>
              </w:rPr>
              <w:t>A++ (progress significantly exceeded expectation)</w:t>
            </w:r>
          </w:p>
          <w:p w14:paraId="7BAD3398" w14:textId="77777777" w:rsidR="009C4326" w:rsidRPr="00E11CA6" w:rsidRDefault="009C4326" w:rsidP="009C4326">
            <w:pPr>
              <w:contextualSpacing/>
              <w:rPr>
                <w:rFonts w:cs="Arial"/>
                <w:bCs/>
                <w:iCs/>
                <w:sz w:val="20"/>
                <w:szCs w:val="20"/>
              </w:rPr>
            </w:pPr>
          </w:p>
          <w:p w14:paraId="4A64B859" w14:textId="3DEBECC6" w:rsidR="009C4326" w:rsidRPr="00E11CA6" w:rsidRDefault="009C4326" w:rsidP="009C4326">
            <w:pPr>
              <w:contextualSpacing/>
              <w:rPr>
                <w:rFonts w:cs="Arial"/>
                <w:bCs/>
                <w:iCs/>
                <w:sz w:val="20"/>
                <w:szCs w:val="20"/>
              </w:rPr>
            </w:pPr>
          </w:p>
          <w:p w14:paraId="150103C1" w14:textId="77777777" w:rsidR="009C4326" w:rsidRPr="00E11CA6" w:rsidRDefault="009C4326" w:rsidP="009C4326">
            <w:pPr>
              <w:contextualSpacing/>
              <w:rPr>
                <w:rFonts w:cs="Arial"/>
                <w:bCs/>
                <w:iCs/>
                <w:sz w:val="20"/>
                <w:szCs w:val="20"/>
              </w:rPr>
            </w:pPr>
          </w:p>
        </w:tc>
      </w:tr>
      <w:tr w:rsidR="009C4326" w:rsidRPr="00D06103" w14:paraId="38349CED" w14:textId="77777777" w:rsidTr="00D06103">
        <w:trPr>
          <w:trHeight w:val="1666"/>
        </w:trPr>
        <w:tc>
          <w:tcPr>
            <w:tcW w:w="2291" w:type="dxa"/>
            <w:tcBorders>
              <w:top w:val="single" w:sz="4" w:space="0" w:color="auto"/>
              <w:left w:val="single" w:sz="4" w:space="0" w:color="auto"/>
              <w:bottom w:val="single" w:sz="4" w:space="0" w:color="auto"/>
              <w:right w:val="single" w:sz="4" w:space="0" w:color="auto"/>
            </w:tcBorders>
          </w:tcPr>
          <w:p w14:paraId="21460BE0" w14:textId="77777777" w:rsidR="009C4326" w:rsidRPr="00E11CA6" w:rsidRDefault="009C4326" w:rsidP="009C4326">
            <w:pPr>
              <w:shd w:val="clear" w:color="auto" w:fill="FFFFFF" w:themeFill="background1"/>
              <w:rPr>
                <w:rFonts w:eastAsia="Arial" w:cs="Arial"/>
                <w:color w:val="000000" w:themeColor="text1"/>
                <w:sz w:val="20"/>
                <w:szCs w:val="20"/>
              </w:rPr>
            </w:pPr>
            <w:r w:rsidRPr="00E11CA6">
              <w:rPr>
                <w:rFonts w:cs="Arial"/>
                <w:sz w:val="20"/>
                <w:szCs w:val="20"/>
              </w:rPr>
              <w:lastRenderedPageBreak/>
              <w:t xml:space="preserve">4.4 </w:t>
            </w:r>
            <w:r w:rsidRPr="00E11CA6">
              <w:rPr>
                <w:rFonts w:eastAsia="Arial" w:cs="Arial"/>
                <w:color w:val="000000" w:themeColor="text1"/>
                <w:sz w:val="20"/>
                <w:szCs w:val="20"/>
              </w:rPr>
              <w:t xml:space="preserve">Number of FCDO embassy teams who report that they understand what the partnership is and what it can offer they country they work in. </w:t>
            </w:r>
          </w:p>
          <w:p w14:paraId="17424880" w14:textId="77777777" w:rsidR="009C4326" w:rsidRPr="00E11CA6" w:rsidRDefault="009C4326" w:rsidP="009C4326">
            <w:pPr>
              <w:shd w:val="clear" w:color="auto" w:fill="FFFFFF" w:themeFill="background1"/>
              <w:rPr>
                <w:rFonts w:cs="Arial"/>
                <w:sz w:val="20"/>
                <w:szCs w:val="20"/>
              </w:rPr>
            </w:pPr>
            <w:r w:rsidRPr="00E11CA6">
              <w:rPr>
                <w:rFonts w:eastAsia="Arial" w:cs="Arial"/>
                <w:b/>
                <w:bCs/>
                <w:color w:val="000000" w:themeColor="text1"/>
                <w:sz w:val="20"/>
                <w:szCs w:val="20"/>
              </w:rPr>
              <w:t>(UK level indicator)</w:t>
            </w:r>
          </w:p>
          <w:p w14:paraId="64E40BD9" w14:textId="77777777" w:rsidR="009C4326" w:rsidRPr="00E11CA6" w:rsidRDefault="009C4326" w:rsidP="009C4326">
            <w:pPr>
              <w:rPr>
                <w:rFonts w:eastAsia="Arial" w:cs="Arial"/>
                <w:sz w:val="20"/>
                <w:szCs w:val="20"/>
              </w:rPr>
            </w:pPr>
          </w:p>
        </w:tc>
        <w:tc>
          <w:tcPr>
            <w:tcW w:w="1519" w:type="dxa"/>
            <w:tcBorders>
              <w:top w:val="single" w:sz="4" w:space="0" w:color="auto"/>
              <w:left w:val="single" w:sz="4" w:space="0" w:color="auto"/>
              <w:bottom w:val="single" w:sz="4" w:space="0" w:color="auto"/>
              <w:right w:val="single" w:sz="4" w:space="0" w:color="auto"/>
            </w:tcBorders>
          </w:tcPr>
          <w:p w14:paraId="1BA76A43" w14:textId="77777777" w:rsidR="009C4326" w:rsidRPr="00E11CA6" w:rsidRDefault="009C4326" w:rsidP="009C4326">
            <w:pPr>
              <w:jc w:val="both"/>
              <w:rPr>
                <w:rFonts w:eastAsia="Arial" w:cs="Arial"/>
                <w:b/>
                <w:bCs/>
                <w:color w:val="000000" w:themeColor="text1"/>
                <w:sz w:val="20"/>
                <w:szCs w:val="20"/>
              </w:rPr>
            </w:pPr>
            <w:r w:rsidRPr="00E11CA6">
              <w:rPr>
                <w:rFonts w:eastAsia="Arial" w:cs="Arial"/>
                <w:b/>
                <w:bCs/>
                <w:color w:val="000000" w:themeColor="text1"/>
                <w:sz w:val="20"/>
                <w:szCs w:val="20"/>
              </w:rPr>
              <w:t xml:space="preserve">Baseline (Dec 2020) </w:t>
            </w:r>
          </w:p>
          <w:p w14:paraId="00A44B6F" w14:textId="77777777" w:rsidR="009C4326" w:rsidRPr="00E11CA6" w:rsidRDefault="009C4326" w:rsidP="009C4326">
            <w:pPr>
              <w:rPr>
                <w:rFonts w:cs="Arial"/>
                <w:bCs/>
                <w:iCs/>
                <w:sz w:val="20"/>
                <w:szCs w:val="20"/>
              </w:rPr>
            </w:pPr>
            <w:r w:rsidRPr="00E11CA6">
              <w:rPr>
                <w:rFonts w:cs="Arial"/>
                <w:bCs/>
                <w:iCs/>
                <w:sz w:val="20"/>
                <w:szCs w:val="20"/>
              </w:rPr>
              <w:t>N/A</w:t>
            </w:r>
          </w:p>
          <w:p w14:paraId="39EE928E" w14:textId="77777777" w:rsidR="009C4326" w:rsidRPr="00E11CA6" w:rsidRDefault="009C4326" w:rsidP="009C4326">
            <w:pPr>
              <w:rPr>
                <w:rFonts w:cs="Arial"/>
                <w:bCs/>
                <w:iCs/>
                <w:sz w:val="20"/>
                <w:szCs w:val="20"/>
              </w:rPr>
            </w:pPr>
          </w:p>
          <w:p w14:paraId="10791207" w14:textId="77777777" w:rsidR="009C4326" w:rsidRPr="00E11CA6" w:rsidRDefault="009C4326" w:rsidP="009C4326">
            <w:pPr>
              <w:jc w:val="both"/>
              <w:rPr>
                <w:rFonts w:cs="Arial"/>
                <w:b/>
                <w:bCs/>
                <w:sz w:val="20"/>
                <w:szCs w:val="20"/>
              </w:rPr>
            </w:pPr>
            <w:r w:rsidRPr="00E11CA6">
              <w:rPr>
                <w:rFonts w:cs="Arial"/>
                <w:b/>
                <w:bCs/>
                <w:sz w:val="20"/>
                <w:szCs w:val="20"/>
              </w:rPr>
              <w:t xml:space="preserve">2025 Target </w:t>
            </w:r>
          </w:p>
          <w:p w14:paraId="0FB55D94" w14:textId="77777777" w:rsidR="009C4326" w:rsidRPr="00E11CA6" w:rsidRDefault="009C4326" w:rsidP="009C4326">
            <w:pPr>
              <w:rPr>
                <w:rFonts w:cs="Arial"/>
                <w:bCs/>
                <w:iCs/>
                <w:sz w:val="20"/>
                <w:szCs w:val="20"/>
              </w:rPr>
            </w:pPr>
            <w:r w:rsidRPr="00E11CA6">
              <w:rPr>
                <w:rFonts w:cs="Arial"/>
                <w:bCs/>
                <w:iCs/>
                <w:sz w:val="20"/>
                <w:szCs w:val="20"/>
              </w:rPr>
              <w:t xml:space="preserve">10 </w:t>
            </w:r>
          </w:p>
        </w:tc>
        <w:tc>
          <w:tcPr>
            <w:tcW w:w="5373" w:type="dxa"/>
            <w:tcBorders>
              <w:top w:val="single" w:sz="4" w:space="0" w:color="auto"/>
              <w:left w:val="single" w:sz="4" w:space="0" w:color="auto"/>
              <w:bottom w:val="single" w:sz="4" w:space="0" w:color="auto"/>
              <w:right w:val="single" w:sz="4" w:space="0" w:color="auto"/>
            </w:tcBorders>
          </w:tcPr>
          <w:p w14:paraId="3BD3B1BC" w14:textId="77777777" w:rsidR="009C4326" w:rsidRPr="00E11CA6" w:rsidRDefault="009C4326" w:rsidP="009C4326">
            <w:pPr>
              <w:contextualSpacing/>
              <w:rPr>
                <w:rFonts w:cs="Arial"/>
                <w:bCs/>
                <w:iCs/>
                <w:sz w:val="20"/>
                <w:szCs w:val="20"/>
              </w:rPr>
            </w:pPr>
            <w:r w:rsidRPr="00E11CA6">
              <w:rPr>
                <w:rFonts w:cs="Arial"/>
                <w:b/>
                <w:iCs/>
                <w:sz w:val="20"/>
                <w:szCs w:val="20"/>
              </w:rPr>
              <w:t xml:space="preserve">10 </w:t>
            </w:r>
            <w:r w:rsidRPr="00E11CA6">
              <w:rPr>
                <w:rFonts w:cs="Arial"/>
                <w:bCs/>
                <w:iCs/>
                <w:sz w:val="20"/>
                <w:szCs w:val="20"/>
              </w:rPr>
              <w:t xml:space="preserve">FCDO embassy teams reported that they understood what the partnership is and what it can offer the country they work in. Therefore, the target was achieved. </w:t>
            </w:r>
          </w:p>
          <w:p w14:paraId="43565143" w14:textId="77777777" w:rsidR="009C4326" w:rsidRPr="00E11CA6" w:rsidRDefault="009C4326" w:rsidP="009C4326">
            <w:pPr>
              <w:contextualSpacing/>
              <w:rPr>
                <w:rFonts w:cs="Arial"/>
                <w:bCs/>
                <w:iCs/>
                <w:sz w:val="20"/>
                <w:szCs w:val="20"/>
              </w:rPr>
            </w:pPr>
          </w:p>
          <w:p w14:paraId="61785A9E" w14:textId="29AE14DE" w:rsidR="009C4326" w:rsidRPr="00E11CA6" w:rsidRDefault="009C4326" w:rsidP="009C4326">
            <w:pPr>
              <w:contextualSpacing/>
              <w:rPr>
                <w:rFonts w:cs="Arial"/>
                <w:bCs/>
                <w:iCs/>
                <w:sz w:val="20"/>
                <w:szCs w:val="20"/>
              </w:rPr>
            </w:pPr>
            <w:r w:rsidRPr="00E11CA6">
              <w:rPr>
                <w:rFonts w:cs="Arial"/>
                <w:bCs/>
                <w:iCs/>
                <w:sz w:val="20"/>
                <w:szCs w:val="20"/>
              </w:rPr>
              <w:t>This year’s result will serve as the baseline</w:t>
            </w:r>
            <w:r w:rsidR="00E70E7E" w:rsidRPr="00E11CA6">
              <w:rPr>
                <w:rFonts w:cs="Arial"/>
                <w:bCs/>
                <w:iCs/>
                <w:sz w:val="20"/>
                <w:szCs w:val="20"/>
              </w:rPr>
              <w:t>.</w:t>
            </w:r>
            <w:r w:rsidRPr="00E11CA6">
              <w:rPr>
                <w:rFonts w:cs="Arial"/>
                <w:bCs/>
                <w:iCs/>
                <w:sz w:val="20"/>
                <w:szCs w:val="20"/>
              </w:rPr>
              <w:t xml:space="preserve"> </w:t>
            </w:r>
            <w:r w:rsidR="00E70E7E" w:rsidRPr="00E11CA6">
              <w:rPr>
                <w:rFonts w:cs="Arial"/>
                <w:bCs/>
                <w:iCs/>
                <w:sz w:val="20"/>
                <w:szCs w:val="20"/>
              </w:rPr>
              <w:t xml:space="preserve">Subject to available resources next year, the target will be increased </w:t>
            </w:r>
            <w:r w:rsidRPr="00E11CA6">
              <w:rPr>
                <w:rFonts w:cs="Arial"/>
                <w:bCs/>
                <w:iCs/>
                <w:sz w:val="20"/>
                <w:szCs w:val="20"/>
              </w:rPr>
              <w:t xml:space="preserve">to </w:t>
            </w:r>
            <w:r w:rsidR="007C564B" w:rsidRPr="00E11CA6">
              <w:rPr>
                <w:rFonts w:cs="Arial"/>
                <w:bCs/>
                <w:iCs/>
                <w:sz w:val="20"/>
                <w:szCs w:val="20"/>
              </w:rPr>
              <w:t>keep improving</w:t>
            </w:r>
            <w:r w:rsidRPr="00E11CA6">
              <w:rPr>
                <w:rFonts w:cs="Arial"/>
                <w:bCs/>
                <w:iCs/>
                <w:sz w:val="20"/>
                <w:szCs w:val="20"/>
              </w:rPr>
              <w:t xml:space="preserve"> engagement</w:t>
            </w:r>
            <w:r w:rsidR="007C564B" w:rsidRPr="00E11CA6">
              <w:rPr>
                <w:rFonts w:cs="Arial"/>
                <w:bCs/>
                <w:iCs/>
                <w:sz w:val="20"/>
                <w:szCs w:val="20"/>
              </w:rPr>
              <w:t xml:space="preserve"> with FC</w:t>
            </w:r>
            <w:r w:rsidR="00D01E1D" w:rsidRPr="00E11CA6">
              <w:rPr>
                <w:rFonts w:cs="Arial"/>
                <w:bCs/>
                <w:iCs/>
                <w:sz w:val="20"/>
                <w:szCs w:val="20"/>
              </w:rPr>
              <w:t>DO</w:t>
            </w:r>
            <w:r w:rsidRPr="00E11CA6">
              <w:rPr>
                <w:rFonts w:cs="Arial"/>
                <w:bCs/>
                <w:iCs/>
                <w:sz w:val="20"/>
                <w:szCs w:val="20"/>
              </w:rPr>
              <w:t xml:space="preserve">. </w:t>
            </w:r>
          </w:p>
          <w:p w14:paraId="61395316" w14:textId="77777777" w:rsidR="009C4326" w:rsidRPr="00E11CA6" w:rsidRDefault="009C4326" w:rsidP="009C4326">
            <w:pPr>
              <w:contextualSpacing/>
              <w:rPr>
                <w:rFonts w:cs="Arial"/>
                <w:bCs/>
                <w:iCs/>
                <w:sz w:val="20"/>
                <w:szCs w:val="20"/>
              </w:rPr>
            </w:pPr>
          </w:p>
          <w:p w14:paraId="6F355E36" w14:textId="77777777" w:rsidR="009C4326" w:rsidRPr="00E11CA6" w:rsidRDefault="009C4326" w:rsidP="009C4326">
            <w:pPr>
              <w:contextualSpacing/>
              <w:rPr>
                <w:rFonts w:cs="Arial"/>
                <w:b/>
                <w:iCs/>
                <w:sz w:val="20"/>
                <w:szCs w:val="20"/>
              </w:rPr>
            </w:pPr>
            <w:r w:rsidRPr="00E11CA6">
              <w:rPr>
                <w:rFonts w:cs="Arial"/>
                <w:b/>
                <w:iCs/>
                <w:sz w:val="20"/>
                <w:szCs w:val="20"/>
              </w:rPr>
              <w:t>A (progress met expectations)</w:t>
            </w:r>
          </w:p>
          <w:p w14:paraId="6D6C3B0B" w14:textId="77777777" w:rsidR="009C4326" w:rsidRPr="00E11CA6" w:rsidRDefault="009C4326" w:rsidP="009C4326">
            <w:pPr>
              <w:contextualSpacing/>
              <w:rPr>
                <w:rFonts w:cs="Arial"/>
                <w:bCs/>
                <w:iCs/>
                <w:sz w:val="20"/>
                <w:szCs w:val="20"/>
              </w:rPr>
            </w:pPr>
          </w:p>
          <w:p w14:paraId="72FB929E" w14:textId="77777777" w:rsidR="009C4326" w:rsidRPr="00E11CA6" w:rsidRDefault="009C4326" w:rsidP="00933D55">
            <w:pPr>
              <w:contextualSpacing/>
              <w:rPr>
                <w:rFonts w:cs="Arial"/>
                <w:bCs/>
                <w:iCs/>
                <w:sz w:val="20"/>
                <w:szCs w:val="20"/>
              </w:rPr>
            </w:pPr>
          </w:p>
        </w:tc>
      </w:tr>
    </w:tbl>
    <w:p w14:paraId="2B09B4E5" w14:textId="77777777" w:rsidR="00EC0199" w:rsidRDefault="00EC0199" w:rsidP="00F1164A">
      <w:pPr>
        <w:jc w:val="both"/>
        <w:rPr>
          <w:b/>
          <w:bCs/>
          <w:i/>
          <w:iCs/>
          <w:sz w:val="28"/>
          <w:szCs w:val="28"/>
        </w:rPr>
      </w:pPr>
    </w:p>
    <w:p w14:paraId="6AA17B5C" w14:textId="0560AEDA" w:rsidR="00F1164A" w:rsidRPr="003C5BF3" w:rsidRDefault="00F1164A" w:rsidP="00F1164A">
      <w:pPr>
        <w:jc w:val="both"/>
        <w:rPr>
          <w:rFonts w:cs="Arial"/>
          <w:b/>
          <w:bCs/>
          <w:i/>
          <w:iCs/>
          <w:sz w:val="22"/>
          <w:szCs w:val="22"/>
        </w:rPr>
      </w:pPr>
      <w:r w:rsidRPr="003C5BF3">
        <w:rPr>
          <w:b/>
          <w:bCs/>
          <w:i/>
          <w:iCs/>
          <w:sz w:val="28"/>
          <w:szCs w:val="28"/>
        </w:rPr>
        <w:t>Output summary and supporting narrative for the score</w:t>
      </w:r>
      <w:r w:rsidRPr="003C5BF3">
        <w:rPr>
          <w:rFonts w:cs="Arial"/>
          <w:b/>
          <w:bCs/>
          <w:i/>
          <w:iCs/>
          <w:sz w:val="22"/>
          <w:szCs w:val="22"/>
        </w:rPr>
        <w:t xml:space="preserve"> </w:t>
      </w:r>
    </w:p>
    <w:p w14:paraId="50066AD6" w14:textId="77777777" w:rsidR="00F1164A" w:rsidRPr="003C5BF3" w:rsidRDefault="00F1164A" w:rsidP="00F1164A">
      <w:pPr>
        <w:jc w:val="both"/>
        <w:rPr>
          <w:rFonts w:cs="Arial"/>
          <w:bCs/>
          <w:sz w:val="22"/>
          <w:szCs w:val="22"/>
        </w:rPr>
      </w:pPr>
    </w:p>
    <w:p w14:paraId="6C638456" w14:textId="3B347583" w:rsidR="009D2153" w:rsidRPr="00E11CA6" w:rsidRDefault="009D2153" w:rsidP="00E72230">
      <w:pPr>
        <w:ind w:firstLine="720"/>
        <w:rPr>
          <w:rFonts w:cs="Arial"/>
          <w:sz w:val="22"/>
          <w:szCs w:val="22"/>
        </w:rPr>
      </w:pPr>
      <w:r w:rsidRPr="00E11CA6">
        <w:rPr>
          <w:rFonts w:cs="Arial"/>
          <w:sz w:val="22"/>
          <w:szCs w:val="22"/>
        </w:rPr>
        <w:t xml:space="preserve">This output </w:t>
      </w:r>
      <w:r w:rsidR="00C82CE6" w:rsidRPr="00E11CA6">
        <w:rPr>
          <w:rFonts w:cs="Arial"/>
          <w:sz w:val="22"/>
          <w:szCs w:val="22"/>
        </w:rPr>
        <w:t>received</w:t>
      </w:r>
      <w:r w:rsidRPr="00E11CA6">
        <w:rPr>
          <w:rFonts w:cs="Arial"/>
          <w:sz w:val="22"/>
          <w:szCs w:val="22"/>
        </w:rPr>
        <w:t xml:space="preserve"> an overall score of </w:t>
      </w:r>
      <w:r w:rsidRPr="00E11CA6">
        <w:rPr>
          <w:rFonts w:cs="Arial"/>
          <w:b/>
          <w:bCs/>
          <w:sz w:val="22"/>
          <w:szCs w:val="22"/>
        </w:rPr>
        <w:t>A+</w:t>
      </w:r>
      <w:r w:rsidRPr="00E11CA6">
        <w:rPr>
          <w:rFonts w:cs="Arial"/>
          <w:sz w:val="22"/>
          <w:szCs w:val="22"/>
        </w:rPr>
        <w:t xml:space="preserve">. </w:t>
      </w:r>
      <w:r w:rsidR="00BA5663" w:rsidRPr="00E11CA6">
        <w:rPr>
          <w:rFonts w:cs="Arial"/>
          <w:sz w:val="22"/>
          <w:szCs w:val="22"/>
        </w:rPr>
        <w:t>For all but one indicator</w:t>
      </w:r>
      <w:r w:rsidR="00D678AE" w:rsidRPr="00E11CA6">
        <w:rPr>
          <w:rFonts w:cs="Arial"/>
          <w:sz w:val="22"/>
          <w:szCs w:val="22"/>
        </w:rPr>
        <w:t xml:space="preserve"> </w:t>
      </w:r>
      <w:r w:rsidR="00E73686" w:rsidRPr="00E11CA6">
        <w:rPr>
          <w:rFonts w:cs="Arial"/>
          <w:sz w:val="22"/>
          <w:szCs w:val="22"/>
        </w:rPr>
        <w:t xml:space="preserve">under the output </w:t>
      </w:r>
      <w:r w:rsidRPr="00E11CA6">
        <w:rPr>
          <w:rFonts w:cs="Arial"/>
          <w:sz w:val="22"/>
          <w:szCs w:val="22"/>
        </w:rPr>
        <w:t>‘</w:t>
      </w:r>
      <w:r w:rsidR="436F0498" w:rsidRPr="00E11CA6">
        <w:rPr>
          <w:rFonts w:cs="Arial"/>
          <w:b/>
          <w:bCs/>
          <w:sz w:val="22"/>
          <w:szCs w:val="22"/>
        </w:rPr>
        <w:t>m</w:t>
      </w:r>
      <w:r w:rsidR="00D678AE" w:rsidRPr="00E11CA6">
        <w:rPr>
          <w:rFonts w:cs="Arial"/>
          <w:b/>
          <w:bCs/>
          <w:sz w:val="22"/>
          <w:szCs w:val="22"/>
        </w:rPr>
        <w:t>ore effective and joined up UK support driven by the Partnership’</w:t>
      </w:r>
      <w:r w:rsidRPr="00E11CA6">
        <w:rPr>
          <w:rFonts w:cs="Arial"/>
          <w:b/>
          <w:bCs/>
          <w:sz w:val="22"/>
          <w:szCs w:val="22"/>
        </w:rPr>
        <w:t xml:space="preserve">, </w:t>
      </w:r>
      <w:r w:rsidRPr="00E11CA6">
        <w:rPr>
          <w:rFonts w:cs="Arial"/>
          <w:sz w:val="22"/>
          <w:szCs w:val="22"/>
        </w:rPr>
        <w:t xml:space="preserve">the programme has either </w:t>
      </w:r>
      <w:r w:rsidR="00ED5F76" w:rsidRPr="00E11CA6">
        <w:rPr>
          <w:rFonts w:cs="Arial"/>
          <w:sz w:val="22"/>
          <w:szCs w:val="22"/>
        </w:rPr>
        <w:t>met</w:t>
      </w:r>
      <w:r w:rsidRPr="00E11CA6">
        <w:rPr>
          <w:rFonts w:cs="Arial"/>
          <w:sz w:val="22"/>
          <w:szCs w:val="22"/>
        </w:rPr>
        <w:t xml:space="preserve"> or significantly exceeded expectations. </w:t>
      </w:r>
      <w:r w:rsidR="007B1A87" w:rsidRPr="00E11CA6">
        <w:rPr>
          <w:rFonts w:cs="Arial"/>
          <w:sz w:val="22"/>
          <w:szCs w:val="22"/>
        </w:rPr>
        <w:t xml:space="preserve">This has been driven by internal cross Whitehall and embassy engagement which supports the coordination of </w:t>
      </w:r>
      <w:r w:rsidR="005B4F8B" w:rsidRPr="00E11CA6">
        <w:rPr>
          <w:rFonts w:cs="Arial"/>
          <w:sz w:val="22"/>
          <w:szCs w:val="22"/>
        </w:rPr>
        <w:t>the</w:t>
      </w:r>
      <w:r w:rsidR="007B1A87" w:rsidRPr="00E11CA6">
        <w:rPr>
          <w:rFonts w:cs="Arial"/>
          <w:sz w:val="22"/>
          <w:szCs w:val="22"/>
        </w:rPr>
        <w:t xml:space="preserve"> programmatic offer on NDCs.</w:t>
      </w:r>
    </w:p>
    <w:p w14:paraId="333A9583" w14:textId="77777777" w:rsidR="00E35F85" w:rsidRPr="00E11CA6" w:rsidRDefault="00E35F85" w:rsidP="009D2153">
      <w:pPr>
        <w:rPr>
          <w:rFonts w:cs="Arial"/>
          <w:sz w:val="22"/>
          <w:szCs w:val="22"/>
        </w:rPr>
      </w:pPr>
    </w:p>
    <w:p w14:paraId="7F620A95" w14:textId="4EA6E21D" w:rsidR="009009DB" w:rsidRPr="00E11CA6" w:rsidRDefault="00305647" w:rsidP="003E57DB">
      <w:pPr>
        <w:ind w:firstLine="720"/>
        <w:rPr>
          <w:rFonts w:eastAsia="Arial" w:cs="Arial"/>
          <w:sz w:val="22"/>
          <w:szCs w:val="22"/>
        </w:rPr>
      </w:pPr>
      <w:r w:rsidRPr="00E11CA6">
        <w:rPr>
          <w:rFonts w:cs="Arial"/>
          <w:sz w:val="22"/>
          <w:szCs w:val="22"/>
        </w:rPr>
        <w:t xml:space="preserve">There </w:t>
      </w:r>
      <w:r w:rsidR="00B43CAF" w:rsidRPr="00E11CA6">
        <w:rPr>
          <w:rFonts w:cs="Arial"/>
          <w:sz w:val="22"/>
          <w:szCs w:val="22"/>
        </w:rPr>
        <w:t>has</w:t>
      </w:r>
      <w:r w:rsidRPr="00E11CA6">
        <w:rPr>
          <w:rFonts w:cs="Arial"/>
          <w:sz w:val="22"/>
          <w:szCs w:val="22"/>
        </w:rPr>
        <w:t xml:space="preserve"> been </w:t>
      </w:r>
      <w:r w:rsidR="00674182" w:rsidRPr="00E11CA6">
        <w:rPr>
          <w:rFonts w:cs="Arial"/>
          <w:sz w:val="22"/>
          <w:szCs w:val="22"/>
        </w:rPr>
        <w:t xml:space="preserve">strong evidence of </w:t>
      </w:r>
      <w:r w:rsidR="000F6BEC" w:rsidRPr="00E11CA6">
        <w:rPr>
          <w:rFonts w:cs="Arial"/>
          <w:sz w:val="22"/>
          <w:szCs w:val="22"/>
        </w:rPr>
        <w:t xml:space="preserve">increased </w:t>
      </w:r>
      <w:r w:rsidR="00863A83" w:rsidRPr="00E11CA6">
        <w:rPr>
          <w:rFonts w:cs="Arial"/>
          <w:sz w:val="22"/>
          <w:szCs w:val="22"/>
        </w:rPr>
        <w:t xml:space="preserve">joined up UK support via multiple </w:t>
      </w:r>
      <w:r w:rsidR="00240A7B" w:rsidRPr="00E11CA6">
        <w:rPr>
          <w:rFonts w:cs="Arial"/>
          <w:sz w:val="22"/>
          <w:szCs w:val="22"/>
        </w:rPr>
        <w:t>channels</w:t>
      </w:r>
      <w:r w:rsidR="00863A83" w:rsidRPr="00E11CA6">
        <w:rPr>
          <w:rFonts w:cs="Arial"/>
          <w:sz w:val="22"/>
          <w:szCs w:val="22"/>
        </w:rPr>
        <w:t xml:space="preserve">. </w:t>
      </w:r>
      <w:r w:rsidR="00692299" w:rsidRPr="00E11CA6">
        <w:rPr>
          <w:rFonts w:cs="Arial"/>
          <w:sz w:val="22"/>
          <w:szCs w:val="22"/>
        </w:rPr>
        <w:t xml:space="preserve">For example, indicators 4.1 and 4.3 significantly surpassed their targets, demonstrating excellent progress in promoting the use of Partnership resources for decision-making across HMG, as well as in delivering </w:t>
      </w:r>
      <w:r w:rsidR="00692299" w:rsidRPr="00E11CA6">
        <w:rPr>
          <w:rFonts w:eastAsia="Arial" w:cs="Arial"/>
          <w:sz w:val="22"/>
          <w:szCs w:val="22"/>
        </w:rPr>
        <w:t>outreach products such as awareness</w:t>
      </w:r>
      <w:r w:rsidR="00692299" w:rsidRPr="00E11CA6">
        <w:rPr>
          <w:rFonts w:cs="Arial"/>
          <w:sz w:val="22"/>
          <w:szCs w:val="22"/>
        </w:rPr>
        <w:t>-</w:t>
      </w:r>
      <w:r w:rsidR="00692299" w:rsidRPr="00E11CA6">
        <w:rPr>
          <w:rFonts w:eastAsia="Arial" w:cs="Arial"/>
          <w:sz w:val="22"/>
          <w:szCs w:val="22"/>
        </w:rPr>
        <w:t>raising sessions.</w:t>
      </w:r>
    </w:p>
    <w:p w14:paraId="41DE41AF" w14:textId="6D36FB4B" w:rsidR="00D56E04" w:rsidRPr="00E11CA6" w:rsidRDefault="00D56E04" w:rsidP="00E72230">
      <w:pPr>
        <w:rPr>
          <w:rFonts w:eastAsia="Arial" w:cs="Arial"/>
          <w:sz w:val="22"/>
          <w:szCs w:val="22"/>
        </w:rPr>
      </w:pPr>
    </w:p>
    <w:p w14:paraId="1FAE5402" w14:textId="2CF804D6" w:rsidR="00A977CC" w:rsidRPr="00E11CA6" w:rsidRDefault="009009DB" w:rsidP="003E57DB">
      <w:pPr>
        <w:ind w:firstLine="720"/>
        <w:rPr>
          <w:rFonts w:eastAsia="Arial" w:cs="Arial"/>
          <w:sz w:val="22"/>
          <w:szCs w:val="22"/>
        </w:rPr>
      </w:pPr>
      <w:r w:rsidRPr="00E11CA6">
        <w:rPr>
          <w:rFonts w:eastAsia="Arial" w:cs="Arial"/>
          <w:sz w:val="22"/>
          <w:szCs w:val="22"/>
        </w:rPr>
        <w:t xml:space="preserve">This output did not receive an A++ </w:t>
      </w:r>
      <w:r w:rsidR="00D31C9C" w:rsidRPr="00E11CA6">
        <w:rPr>
          <w:rFonts w:eastAsia="Arial" w:cs="Arial"/>
          <w:sz w:val="22"/>
          <w:szCs w:val="22"/>
        </w:rPr>
        <w:t xml:space="preserve">as the </w:t>
      </w:r>
      <w:r w:rsidR="008B1A0A" w:rsidRPr="00E11CA6">
        <w:rPr>
          <w:rFonts w:eastAsia="Arial" w:cs="Arial"/>
          <w:sz w:val="22"/>
          <w:szCs w:val="22"/>
        </w:rPr>
        <w:t>target of</w:t>
      </w:r>
      <w:r w:rsidR="00D31C9C" w:rsidRPr="00E11CA6">
        <w:rPr>
          <w:rFonts w:eastAsia="Arial" w:cs="Arial"/>
          <w:sz w:val="22"/>
          <w:szCs w:val="22"/>
        </w:rPr>
        <w:t xml:space="preserve"> </w:t>
      </w:r>
      <w:r w:rsidR="008B1A0A" w:rsidRPr="00E11CA6">
        <w:rPr>
          <w:rFonts w:eastAsia="Arial" w:cs="Arial"/>
          <w:sz w:val="22"/>
          <w:szCs w:val="22"/>
        </w:rPr>
        <w:t>two</w:t>
      </w:r>
      <w:r w:rsidR="00D31C9C" w:rsidRPr="00E11CA6">
        <w:rPr>
          <w:rFonts w:eastAsia="Arial" w:cs="Arial"/>
          <w:sz w:val="22"/>
          <w:szCs w:val="22"/>
        </w:rPr>
        <w:t xml:space="preserve"> HMG programmes </w:t>
      </w:r>
      <w:r w:rsidR="008B1A0A" w:rsidRPr="00E11CA6">
        <w:rPr>
          <w:rFonts w:eastAsia="Arial" w:cs="Arial"/>
          <w:sz w:val="22"/>
          <w:szCs w:val="22"/>
        </w:rPr>
        <w:t>being</w:t>
      </w:r>
      <w:r w:rsidR="00D31C9C" w:rsidRPr="00E11CA6">
        <w:rPr>
          <w:rFonts w:eastAsia="Arial" w:cs="Arial"/>
          <w:sz w:val="22"/>
          <w:szCs w:val="22"/>
        </w:rPr>
        <w:t xml:space="preserve"> able to respond to and support requests received via the Partnership (indicator 4.2)</w:t>
      </w:r>
      <w:r w:rsidR="00142DD4" w:rsidRPr="00E11CA6">
        <w:rPr>
          <w:rFonts w:eastAsia="Arial" w:cs="Arial"/>
          <w:sz w:val="22"/>
          <w:szCs w:val="22"/>
        </w:rPr>
        <w:t xml:space="preserve"> was not met</w:t>
      </w:r>
      <w:r w:rsidR="00D31C9C" w:rsidRPr="00E11CA6">
        <w:rPr>
          <w:rFonts w:eastAsia="Arial" w:cs="Arial"/>
          <w:sz w:val="22"/>
          <w:szCs w:val="22"/>
        </w:rPr>
        <w:t>.</w:t>
      </w:r>
      <w:r w:rsidR="00B97B52" w:rsidRPr="00E11CA6">
        <w:rPr>
          <w:rFonts w:eastAsia="Arial" w:cs="Arial"/>
          <w:sz w:val="22"/>
          <w:szCs w:val="22"/>
        </w:rPr>
        <w:t xml:space="preserve"> </w:t>
      </w:r>
      <w:r w:rsidR="00D31C9C" w:rsidRPr="00E11CA6">
        <w:rPr>
          <w:rFonts w:eastAsia="Arial" w:cs="Arial"/>
          <w:sz w:val="22"/>
          <w:szCs w:val="22"/>
        </w:rPr>
        <w:t>This</w:t>
      </w:r>
      <w:r w:rsidR="0038050B" w:rsidRPr="00E11CA6">
        <w:rPr>
          <w:rFonts w:eastAsia="Arial" w:cs="Arial"/>
          <w:sz w:val="22"/>
          <w:szCs w:val="22"/>
        </w:rPr>
        <w:t xml:space="preserve"> as an indicator is </w:t>
      </w:r>
      <w:r w:rsidR="00B56CB4" w:rsidRPr="00E11CA6">
        <w:rPr>
          <w:rFonts w:eastAsia="Arial" w:cs="Arial"/>
          <w:sz w:val="22"/>
          <w:szCs w:val="22"/>
        </w:rPr>
        <w:t xml:space="preserve">particularly hard to influence </w:t>
      </w:r>
      <w:r w:rsidR="0038050B" w:rsidRPr="00E11CA6">
        <w:rPr>
          <w:rFonts w:eastAsia="Arial" w:cs="Arial"/>
          <w:sz w:val="22"/>
          <w:szCs w:val="22"/>
        </w:rPr>
        <w:t xml:space="preserve">because </w:t>
      </w:r>
      <w:r w:rsidR="00CB7551" w:rsidRPr="00E11CA6">
        <w:rPr>
          <w:rFonts w:eastAsia="Arial" w:cs="Arial"/>
          <w:sz w:val="22"/>
          <w:szCs w:val="22"/>
        </w:rPr>
        <w:t xml:space="preserve">it </w:t>
      </w:r>
      <w:r w:rsidR="00901A40" w:rsidRPr="00E11CA6">
        <w:rPr>
          <w:rFonts w:eastAsia="Arial" w:cs="Arial"/>
          <w:sz w:val="22"/>
          <w:szCs w:val="22"/>
        </w:rPr>
        <w:t>depends heavily on</w:t>
      </w:r>
      <w:r w:rsidR="00CB7551" w:rsidRPr="00E11CA6">
        <w:rPr>
          <w:rFonts w:eastAsia="Arial" w:cs="Arial"/>
          <w:sz w:val="22"/>
          <w:szCs w:val="22"/>
        </w:rPr>
        <w:t xml:space="preserve"> </w:t>
      </w:r>
      <w:r w:rsidR="00227750" w:rsidRPr="00E11CA6">
        <w:rPr>
          <w:rFonts w:eastAsia="Arial" w:cs="Arial"/>
          <w:sz w:val="22"/>
          <w:szCs w:val="22"/>
        </w:rPr>
        <w:t xml:space="preserve">the resources and time constraints of other programmes. </w:t>
      </w:r>
    </w:p>
    <w:p w14:paraId="1F15D505" w14:textId="77777777" w:rsidR="00A977CC" w:rsidRPr="00E11CA6" w:rsidRDefault="00A977CC" w:rsidP="00E72230">
      <w:pPr>
        <w:rPr>
          <w:rFonts w:eastAsia="Arial" w:cs="Arial"/>
          <w:sz w:val="22"/>
          <w:szCs w:val="22"/>
        </w:rPr>
      </w:pPr>
    </w:p>
    <w:p w14:paraId="0BC2FC5B" w14:textId="2CA5DDA4" w:rsidR="00276D04" w:rsidRPr="00E11CA6" w:rsidRDefault="00A977CC" w:rsidP="003E57DB">
      <w:pPr>
        <w:ind w:firstLine="720"/>
        <w:rPr>
          <w:rFonts w:eastAsia="Arial" w:cs="Arial"/>
          <w:sz w:val="22"/>
          <w:szCs w:val="22"/>
        </w:rPr>
      </w:pPr>
      <w:r w:rsidRPr="00E11CA6">
        <w:rPr>
          <w:rFonts w:eastAsia="Arial" w:cs="Arial"/>
          <w:sz w:val="22"/>
          <w:szCs w:val="22"/>
        </w:rPr>
        <w:t>Overall</w:t>
      </w:r>
      <w:r w:rsidR="00AD6F25" w:rsidRPr="00E11CA6">
        <w:rPr>
          <w:rFonts w:eastAsia="Arial" w:cs="Arial"/>
          <w:sz w:val="22"/>
          <w:szCs w:val="22"/>
        </w:rPr>
        <w:t>,</w:t>
      </w:r>
      <w:r w:rsidR="00B17953" w:rsidRPr="00E11CA6">
        <w:rPr>
          <w:rFonts w:eastAsia="Arial" w:cs="Arial"/>
          <w:sz w:val="22"/>
          <w:szCs w:val="22"/>
        </w:rPr>
        <w:t xml:space="preserve"> the programme has </w:t>
      </w:r>
      <w:r w:rsidR="00D56E04" w:rsidRPr="00E11CA6">
        <w:rPr>
          <w:rFonts w:eastAsia="Arial" w:cs="Arial"/>
          <w:sz w:val="22"/>
          <w:szCs w:val="22"/>
        </w:rPr>
        <w:t>achieved</w:t>
      </w:r>
      <w:r w:rsidR="00B17953" w:rsidRPr="00E11CA6">
        <w:rPr>
          <w:rFonts w:eastAsia="Arial" w:cs="Arial"/>
          <w:sz w:val="22"/>
          <w:szCs w:val="22"/>
        </w:rPr>
        <w:t xml:space="preserve"> </w:t>
      </w:r>
      <w:r w:rsidR="00786FF1" w:rsidRPr="00E11CA6">
        <w:rPr>
          <w:rFonts w:eastAsia="Arial" w:cs="Arial"/>
          <w:sz w:val="22"/>
          <w:szCs w:val="22"/>
        </w:rPr>
        <w:t xml:space="preserve">more effective and joined up support through </w:t>
      </w:r>
      <w:r w:rsidR="00F95199" w:rsidRPr="00E11CA6">
        <w:rPr>
          <w:rFonts w:eastAsia="Arial" w:cs="Arial"/>
          <w:sz w:val="22"/>
          <w:szCs w:val="22"/>
        </w:rPr>
        <w:t xml:space="preserve">HMG utilisation of </w:t>
      </w:r>
      <w:r w:rsidR="00AD6F25" w:rsidRPr="00E11CA6">
        <w:rPr>
          <w:rFonts w:eastAsia="Arial" w:cs="Arial"/>
          <w:sz w:val="22"/>
          <w:szCs w:val="22"/>
        </w:rPr>
        <w:t>Partnership</w:t>
      </w:r>
      <w:r w:rsidR="00F95199" w:rsidRPr="00E11CA6">
        <w:rPr>
          <w:rFonts w:eastAsia="Arial" w:cs="Arial"/>
          <w:sz w:val="22"/>
          <w:szCs w:val="22"/>
        </w:rPr>
        <w:t xml:space="preserve"> resources, increased outreach </w:t>
      </w:r>
      <w:r w:rsidR="007D3BFD" w:rsidRPr="00E11CA6">
        <w:rPr>
          <w:rFonts w:eastAsia="Arial" w:cs="Arial"/>
          <w:sz w:val="22"/>
          <w:szCs w:val="22"/>
        </w:rPr>
        <w:t>productivity</w:t>
      </w:r>
      <w:r w:rsidR="00067A10" w:rsidRPr="00E11CA6">
        <w:rPr>
          <w:rFonts w:eastAsia="Arial" w:cs="Arial"/>
          <w:sz w:val="22"/>
          <w:szCs w:val="22"/>
        </w:rPr>
        <w:t xml:space="preserve"> </w:t>
      </w:r>
      <w:r w:rsidR="007667FA" w:rsidRPr="00E11CA6">
        <w:rPr>
          <w:rFonts w:eastAsia="Arial" w:cs="Arial"/>
          <w:sz w:val="22"/>
          <w:szCs w:val="22"/>
        </w:rPr>
        <w:t>improved awareness of the Partnership across FCDO.</w:t>
      </w:r>
      <w:r w:rsidR="00AD6F25" w:rsidRPr="00E11CA6">
        <w:rPr>
          <w:rFonts w:eastAsia="Arial" w:cs="Arial"/>
          <w:sz w:val="22"/>
          <w:szCs w:val="22"/>
        </w:rPr>
        <w:t xml:space="preserve"> </w:t>
      </w:r>
      <w:r w:rsidR="00154AB7" w:rsidRPr="00E11CA6">
        <w:rPr>
          <w:rFonts w:eastAsia="Arial" w:cs="Arial"/>
          <w:sz w:val="22"/>
          <w:szCs w:val="22"/>
        </w:rPr>
        <w:t>These achievements justify the overall A+ rating.</w:t>
      </w:r>
    </w:p>
    <w:p w14:paraId="66F03943" w14:textId="77777777" w:rsidR="00896322" w:rsidRPr="00E72230" w:rsidRDefault="00896322" w:rsidP="00E72230">
      <w:pPr>
        <w:rPr>
          <w:rFonts w:eastAsia="Arial" w:cs="Arial"/>
        </w:rPr>
      </w:pPr>
    </w:p>
    <w:p w14:paraId="0190F16C" w14:textId="189FA629" w:rsidR="00F1164A" w:rsidRPr="003C5BF3" w:rsidRDefault="00F1164A" w:rsidP="00F1164A">
      <w:pPr>
        <w:jc w:val="both"/>
        <w:rPr>
          <w:rFonts w:cs="Arial"/>
          <w:bCs/>
          <w:sz w:val="22"/>
          <w:szCs w:val="22"/>
        </w:rPr>
      </w:pPr>
      <w:r w:rsidRPr="003C5BF3">
        <w:rPr>
          <w:b/>
          <w:bCs/>
          <w:i/>
          <w:iCs/>
          <w:sz w:val="28"/>
          <w:szCs w:val="28"/>
        </w:rPr>
        <w:t>Changes to this output, and any planned changes as a result of this review</w:t>
      </w:r>
      <w:r w:rsidRPr="003C5BF3">
        <w:rPr>
          <w:rFonts w:cs="Arial"/>
          <w:b/>
          <w:bCs/>
          <w:i/>
          <w:iCs/>
          <w:sz w:val="22"/>
          <w:szCs w:val="22"/>
        </w:rPr>
        <w:t xml:space="preserve"> </w:t>
      </w:r>
    </w:p>
    <w:p w14:paraId="308A5D6E" w14:textId="77777777" w:rsidR="00F1164A" w:rsidRPr="003C5BF3" w:rsidRDefault="00F1164A" w:rsidP="00F1164A">
      <w:pPr>
        <w:jc w:val="both"/>
        <w:rPr>
          <w:rFonts w:cs="Arial"/>
          <w:sz w:val="22"/>
          <w:szCs w:val="22"/>
        </w:rPr>
      </w:pPr>
    </w:p>
    <w:p w14:paraId="23F86467" w14:textId="6E8E8A39" w:rsidR="00F1164A" w:rsidRPr="00E11CA6" w:rsidRDefault="008878BB" w:rsidP="003E57DB">
      <w:pPr>
        <w:ind w:firstLine="720"/>
        <w:rPr>
          <w:rFonts w:cs="Arial"/>
          <w:sz w:val="22"/>
          <w:szCs w:val="22"/>
        </w:rPr>
      </w:pPr>
      <w:r w:rsidRPr="00E11CA6">
        <w:rPr>
          <w:rFonts w:cs="Arial"/>
          <w:sz w:val="22"/>
          <w:szCs w:val="22"/>
        </w:rPr>
        <w:t xml:space="preserve">This is the first year of a new </w:t>
      </w:r>
      <w:r w:rsidR="00065D3D">
        <w:rPr>
          <w:rFonts w:cs="Arial"/>
          <w:sz w:val="22"/>
          <w:szCs w:val="22"/>
        </w:rPr>
        <w:t>l</w:t>
      </w:r>
      <w:r w:rsidR="00A3148B">
        <w:rPr>
          <w:rFonts w:cs="Arial"/>
          <w:sz w:val="22"/>
          <w:szCs w:val="22"/>
        </w:rPr>
        <w:t>ogframe</w:t>
      </w:r>
      <w:r w:rsidRPr="00E11CA6">
        <w:rPr>
          <w:rFonts w:cs="Arial"/>
          <w:sz w:val="22"/>
          <w:szCs w:val="22"/>
        </w:rPr>
        <w:t xml:space="preserve"> and as such this is the first year that this output is being reported against, so there are no changes to report on. We will use this year’s results as a baseline for comparing future results</w:t>
      </w:r>
      <w:r w:rsidR="007D6C4B" w:rsidRPr="00E11CA6">
        <w:rPr>
          <w:rFonts w:cs="Arial"/>
          <w:sz w:val="22"/>
          <w:szCs w:val="22"/>
        </w:rPr>
        <w:t xml:space="preserve">. </w:t>
      </w:r>
    </w:p>
    <w:p w14:paraId="15B78994" w14:textId="77777777" w:rsidR="007D6C4B" w:rsidRPr="00E11CA6" w:rsidRDefault="007D6C4B" w:rsidP="003E57DB">
      <w:pPr>
        <w:rPr>
          <w:rFonts w:cs="Arial"/>
          <w:sz w:val="22"/>
          <w:szCs w:val="22"/>
        </w:rPr>
      </w:pPr>
    </w:p>
    <w:p w14:paraId="220EB3B3" w14:textId="516D6E99" w:rsidR="009B23C0" w:rsidRPr="00E11CA6" w:rsidRDefault="009B23C0" w:rsidP="003E57DB">
      <w:pPr>
        <w:ind w:firstLine="720"/>
        <w:rPr>
          <w:rFonts w:cs="Arial"/>
          <w:sz w:val="22"/>
          <w:szCs w:val="22"/>
        </w:rPr>
      </w:pPr>
      <w:r w:rsidRPr="00E11CA6">
        <w:rPr>
          <w:rFonts w:cs="Arial"/>
          <w:sz w:val="22"/>
          <w:szCs w:val="22"/>
        </w:rPr>
        <w:t>It is likely that the team will reassess</w:t>
      </w:r>
      <w:r w:rsidR="00486791" w:rsidRPr="00E11CA6">
        <w:rPr>
          <w:rFonts w:cs="Arial"/>
          <w:sz w:val="22"/>
          <w:szCs w:val="22"/>
        </w:rPr>
        <w:t xml:space="preserve"> the relevance</w:t>
      </w:r>
      <w:r w:rsidRPr="00E11CA6">
        <w:rPr>
          <w:rFonts w:cs="Arial"/>
          <w:sz w:val="22"/>
          <w:szCs w:val="22"/>
        </w:rPr>
        <w:t xml:space="preserve"> of indicator 4.2</w:t>
      </w:r>
      <w:r w:rsidR="5B23FE59" w:rsidRPr="00E11CA6">
        <w:rPr>
          <w:rFonts w:cs="Arial"/>
          <w:sz w:val="22"/>
          <w:szCs w:val="22"/>
        </w:rPr>
        <w:t xml:space="preserve"> as the current indicators do not fully reflect the </w:t>
      </w:r>
      <w:r w:rsidR="5F58CB3D" w:rsidRPr="00E11CA6">
        <w:rPr>
          <w:rFonts w:cs="Arial"/>
          <w:sz w:val="22"/>
          <w:szCs w:val="22"/>
        </w:rPr>
        <w:t>work done to support join up and have data collection limitations</w:t>
      </w:r>
      <w:r w:rsidR="00F42D7E" w:rsidRPr="00E11CA6">
        <w:rPr>
          <w:rFonts w:cs="Arial"/>
          <w:sz w:val="22"/>
          <w:szCs w:val="22"/>
        </w:rPr>
        <w:t xml:space="preserve">. </w:t>
      </w:r>
    </w:p>
    <w:p w14:paraId="3BDBA641" w14:textId="77777777" w:rsidR="00F15094" w:rsidRPr="00E11CA6" w:rsidRDefault="00F15094" w:rsidP="003E57DB">
      <w:pPr>
        <w:rPr>
          <w:rFonts w:cs="Arial"/>
          <w:sz w:val="22"/>
          <w:szCs w:val="22"/>
        </w:rPr>
      </w:pPr>
    </w:p>
    <w:p w14:paraId="0369E3EF" w14:textId="7B1B3EA9" w:rsidR="009B23C0" w:rsidRPr="00E11CA6" w:rsidRDefault="001F2AB7" w:rsidP="003E57DB">
      <w:pPr>
        <w:ind w:firstLine="720"/>
        <w:rPr>
          <w:rFonts w:cs="Arial"/>
          <w:sz w:val="22"/>
          <w:szCs w:val="22"/>
        </w:rPr>
      </w:pPr>
      <w:r w:rsidRPr="00E11CA6">
        <w:rPr>
          <w:rFonts w:cs="Arial"/>
          <w:sz w:val="22"/>
          <w:szCs w:val="22"/>
        </w:rPr>
        <w:lastRenderedPageBreak/>
        <w:t xml:space="preserve">For indicators 4.1 and 4.3, where targets have been significantly exceeded, </w:t>
      </w:r>
      <w:r w:rsidR="009C4326" w:rsidRPr="00E11CA6">
        <w:rPr>
          <w:rFonts w:cs="Arial"/>
          <w:sz w:val="22"/>
          <w:szCs w:val="22"/>
        </w:rPr>
        <w:t xml:space="preserve">resource permitting, </w:t>
      </w:r>
      <w:r w:rsidRPr="00E11CA6">
        <w:rPr>
          <w:rFonts w:cs="Arial"/>
          <w:sz w:val="22"/>
          <w:szCs w:val="22"/>
        </w:rPr>
        <w:t xml:space="preserve">the team plans to raise the targets in order to increase ambition and continue enhancing the effectiveness of the UK's coordinated support for the partnership. </w:t>
      </w:r>
    </w:p>
    <w:p w14:paraId="69E2D91F" w14:textId="77777777" w:rsidR="007D6C4B" w:rsidRPr="00E11CA6" w:rsidRDefault="007D6C4B" w:rsidP="003E57DB">
      <w:pPr>
        <w:rPr>
          <w:rFonts w:cs="Arial"/>
          <w:sz w:val="22"/>
          <w:szCs w:val="22"/>
        </w:rPr>
      </w:pPr>
    </w:p>
    <w:p w14:paraId="0B308F66" w14:textId="333430B8" w:rsidR="00F1164A" w:rsidRPr="003C5BF3" w:rsidRDefault="00F1164A" w:rsidP="00F1164A">
      <w:pPr>
        <w:jc w:val="both"/>
        <w:rPr>
          <w:rFonts w:cs="Arial"/>
          <w:bCs/>
          <w:sz w:val="22"/>
          <w:szCs w:val="22"/>
        </w:rPr>
      </w:pPr>
      <w:r w:rsidRPr="003C5BF3">
        <w:rPr>
          <w:b/>
          <w:bCs/>
          <w:i/>
          <w:iCs/>
          <w:sz w:val="28"/>
          <w:szCs w:val="28"/>
        </w:rPr>
        <w:t>Progress on recommendations from the previous AR, lessons learned this year, and recommendations for the year ahead</w:t>
      </w:r>
      <w:r w:rsidRPr="003C5BF3">
        <w:rPr>
          <w:rFonts w:cs="Arial"/>
          <w:b/>
          <w:bCs/>
        </w:rPr>
        <w:t xml:space="preserve"> </w:t>
      </w:r>
    </w:p>
    <w:p w14:paraId="60F9F692" w14:textId="77777777" w:rsidR="00F1164A" w:rsidRPr="003C5BF3" w:rsidRDefault="00F1164A" w:rsidP="00F1164A">
      <w:pPr>
        <w:tabs>
          <w:tab w:val="left" w:pos="8352"/>
        </w:tabs>
        <w:jc w:val="both"/>
        <w:rPr>
          <w:rFonts w:cs="Arial"/>
          <w:bCs/>
          <w:sz w:val="22"/>
          <w:szCs w:val="22"/>
        </w:rPr>
      </w:pPr>
    </w:p>
    <w:p w14:paraId="4CEFB2B7" w14:textId="40483B1A" w:rsidR="0039721C" w:rsidRDefault="0039721C" w:rsidP="000612C9">
      <w:pPr>
        <w:tabs>
          <w:tab w:val="left" w:pos="3495"/>
        </w:tabs>
        <w:rPr>
          <w:rFonts w:cs="Arial"/>
        </w:rPr>
      </w:pPr>
      <w:r w:rsidRPr="000612C9">
        <w:rPr>
          <w:rFonts w:cs="Arial"/>
        </w:rPr>
        <w:t xml:space="preserve">As this is the first year of a new </w:t>
      </w:r>
      <w:r w:rsidR="00A3148B">
        <w:rPr>
          <w:rFonts w:cs="Arial"/>
        </w:rPr>
        <w:t>logframe</w:t>
      </w:r>
      <w:r w:rsidRPr="000612C9">
        <w:rPr>
          <w:rFonts w:cs="Arial"/>
        </w:rPr>
        <w:t xml:space="preserve">, the recommendations from last year’s AR do not relate to these outputs. </w:t>
      </w:r>
    </w:p>
    <w:p w14:paraId="6E500835" w14:textId="77777777" w:rsidR="00D33013" w:rsidRDefault="00D33013" w:rsidP="000612C9">
      <w:pPr>
        <w:tabs>
          <w:tab w:val="left" w:pos="3495"/>
        </w:tabs>
        <w:rPr>
          <w:rFonts w:cs="Arial"/>
        </w:rPr>
      </w:pPr>
    </w:p>
    <w:p w14:paraId="36051FC9" w14:textId="77777777" w:rsidR="00D33013" w:rsidRPr="000612C9" w:rsidRDefault="00D33013" w:rsidP="000612C9">
      <w:pPr>
        <w:tabs>
          <w:tab w:val="left" w:pos="3495"/>
        </w:tabs>
        <w:rPr>
          <w:rFonts w:cs="Arial"/>
        </w:rPr>
      </w:pPr>
    </w:p>
    <w:p w14:paraId="2F0A97D9" w14:textId="77777777" w:rsidR="00F1164A" w:rsidRPr="003C5BF3" w:rsidRDefault="00F1164A" w:rsidP="004D5FD5">
      <w:pPr>
        <w:jc w:val="both"/>
        <w:rPr>
          <w:rFonts w:cs="Arial"/>
          <w:sz w:val="22"/>
          <w:szCs w:val="22"/>
        </w:rPr>
      </w:pPr>
    </w:p>
    <w:p w14:paraId="1FA67591" w14:textId="77777777" w:rsidR="00F1164A" w:rsidRPr="003C5BF3" w:rsidRDefault="00F1164A" w:rsidP="004D5FD5">
      <w:pPr>
        <w:jc w:val="both"/>
        <w:rPr>
          <w:rFonts w:cs="Arial"/>
          <w:sz w:val="22"/>
          <w:szCs w:val="22"/>
        </w:rPr>
      </w:pPr>
    </w:p>
    <w:tbl>
      <w:tblPr>
        <w:tblStyle w:val="TableGrid"/>
        <w:tblW w:w="0" w:type="auto"/>
        <w:tblLook w:val="04A0" w:firstRow="1" w:lastRow="0" w:firstColumn="1" w:lastColumn="0" w:noHBand="0" w:noVBand="1"/>
      </w:tblPr>
      <w:tblGrid>
        <w:gridCol w:w="9016"/>
      </w:tblGrid>
      <w:tr w:rsidR="00CB2873" w:rsidRPr="003C5BF3" w14:paraId="625A7711" w14:textId="77777777" w:rsidTr="527A8EFF">
        <w:tc>
          <w:tcPr>
            <w:tcW w:w="9016" w:type="dxa"/>
            <w:shd w:val="clear" w:color="auto" w:fill="DEEAF6" w:themeFill="accent5" w:themeFillTint="33"/>
          </w:tcPr>
          <w:p w14:paraId="78474CCE" w14:textId="7DA13CAE" w:rsidR="00CB2873" w:rsidRPr="003C5BF3" w:rsidRDefault="2C7057B1" w:rsidP="004D5FD5">
            <w:pPr>
              <w:jc w:val="both"/>
            </w:pPr>
            <w:bookmarkStart w:id="18" w:name="_Toc199421667"/>
            <w:r w:rsidRPr="003C5BF3">
              <w:rPr>
                <w:rStyle w:val="Heading1Char"/>
                <w:rFonts w:ascii="Arial" w:hAnsi="Arial" w:cs="Arial"/>
                <w:b/>
                <w:bCs/>
                <w:color w:val="auto"/>
              </w:rPr>
              <w:t>Section D: Pro</w:t>
            </w:r>
            <w:r w:rsidR="001330CE" w:rsidRPr="003C5BF3">
              <w:rPr>
                <w:rStyle w:val="Heading1Char"/>
                <w:rFonts w:ascii="Arial" w:hAnsi="Arial" w:cs="Arial"/>
                <w:b/>
                <w:bCs/>
                <w:color w:val="auto"/>
              </w:rPr>
              <w:t xml:space="preserve">gramme </w:t>
            </w:r>
            <w:r w:rsidRPr="003C5BF3">
              <w:rPr>
                <w:rStyle w:val="Heading1Char"/>
                <w:rFonts w:ascii="Arial" w:hAnsi="Arial" w:cs="Arial"/>
                <w:b/>
                <w:bCs/>
                <w:color w:val="auto"/>
              </w:rPr>
              <w:t>performance not captured by outputs</w:t>
            </w:r>
            <w:bookmarkEnd w:id="18"/>
            <w:r w:rsidRPr="003C5BF3">
              <w:t xml:space="preserve"> </w:t>
            </w:r>
          </w:p>
        </w:tc>
      </w:tr>
    </w:tbl>
    <w:p w14:paraId="4FEE25C2" w14:textId="2BC24BB2" w:rsidR="7B55E887" w:rsidRPr="003C5BF3" w:rsidRDefault="7B55E887" w:rsidP="7B55E887">
      <w:pPr>
        <w:jc w:val="both"/>
        <w:rPr>
          <w:rFonts w:cs="Arial"/>
          <w:sz w:val="22"/>
          <w:szCs w:val="22"/>
        </w:rPr>
      </w:pPr>
    </w:p>
    <w:p w14:paraId="6A67AA35" w14:textId="77777777" w:rsidR="00EC7CDF" w:rsidRDefault="57E062AF" w:rsidP="00D33013">
      <w:pPr>
        <w:ind w:firstLine="720"/>
        <w:rPr>
          <w:rFonts w:cs="Arial"/>
          <w:sz w:val="22"/>
          <w:szCs w:val="22"/>
        </w:rPr>
      </w:pPr>
      <w:r w:rsidRPr="00E11CA6">
        <w:rPr>
          <w:rFonts w:cs="Arial"/>
          <w:sz w:val="22"/>
          <w:szCs w:val="22"/>
        </w:rPr>
        <w:t xml:space="preserve">As this has been the first year of the new Business Case, with completely new delivery elements, the programme team has been focused on ensuring that there is better coordination between the Support Unit, the UK, the World Bank and UNDP. Better coordination between NDC Partnership members ensures that the Partnership is fully utilizing the resources available through its institutional members.   </w:t>
      </w:r>
    </w:p>
    <w:p w14:paraId="01CBF739" w14:textId="554F9DDA" w:rsidR="57E062AF" w:rsidRPr="00E11CA6" w:rsidRDefault="57E062AF" w:rsidP="00D33013">
      <w:pPr>
        <w:ind w:firstLine="720"/>
        <w:rPr>
          <w:rFonts w:cs="Arial"/>
          <w:sz w:val="22"/>
          <w:szCs w:val="22"/>
        </w:rPr>
      </w:pPr>
      <w:r w:rsidRPr="00E11CA6">
        <w:rPr>
          <w:rFonts w:cs="Arial"/>
          <w:sz w:val="22"/>
          <w:szCs w:val="22"/>
        </w:rPr>
        <w:t xml:space="preserve">This year </w:t>
      </w:r>
      <w:r w:rsidR="0067374B" w:rsidRPr="00E11CA6">
        <w:rPr>
          <w:rFonts w:cs="Arial"/>
          <w:sz w:val="22"/>
          <w:szCs w:val="22"/>
        </w:rPr>
        <w:t xml:space="preserve">the UK’s support has made a </w:t>
      </w:r>
      <w:r w:rsidR="5972CF4C" w:rsidRPr="00E11CA6">
        <w:rPr>
          <w:rFonts w:cs="Arial"/>
          <w:sz w:val="22"/>
          <w:szCs w:val="22"/>
        </w:rPr>
        <w:t>significant</w:t>
      </w:r>
      <w:r w:rsidR="0067374B" w:rsidRPr="00E11CA6">
        <w:rPr>
          <w:rFonts w:cs="Arial"/>
          <w:sz w:val="22"/>
          <w:szCs w:val="22"/>
        </w:rPr>
        <w:t xml:space="preserve"> contribution to</w:t>
      </w:r>
      <w:r w:rsidRPr="00E11CA6">
        <w:rPr>
          <w:rFonts w:cs="Arial"/>
          <w:sz w:val="22"/>
          <w:szCs w:val="22"/>
        </w:rPr>
        <w:t xml:space="preserve"> supporting the </w:t>
      </w:r>
      <w:r w:rsidR="7D263290" w:rsidRPr="00E11CA6">
        <w:rPr>
          <w:rFonts w:cs="Arial"/>
          <w:sz w:val="22"/>
          <w:szCs w:val="22"/>
        </w:rPr>
        <w:t xml:space="preserve">effectiveness of the Partnership’s </w:t>
      </w:r>
      <w:r w:rsidRPr="00E11CA6">
        <w:rPr>
          <w:rFonts w:cs="Arial"/>
          <w:sz w:val="22"/>
          <w:szCs w:val="22"/>
        </w:rPr>
        <w:t xml:space="preserve">Global Call </w:t>
      </w:r>
      <w:r w:rsidR="4762719F" w:rsidRPr="00E11CA6">
        <w:rPr>
          <w:rFonts w:cs="Arial"/>
          <w:sz w:val="22"/>
          <w:szCs w:val="22"/>
        </w:rPr>
        <w:t>for delivering</w:t>
      </w:r>
      <w:r w:rsidRPr="00E11CA6">
        <w:rPr>
          <w:rFonts w:cs="Arial"/>
          <w:sz w:val="22"/>
          <w:szCs w:val="22"/>
        </w:rPr>
        <w:t xml:space="preserve"> NDC 3.0 and LT-LEDS updates. The </w:t>
      </w:r>
      <w:r w:rsidR="3FDF5A37" w:rsidRPr="00E11CA6">
        <w:rPr>
          <w:rFonts w:cs="Arial"/>
          <w:sz w:val="22"/>
          <w:szCs w:val="22"/>
        </w:rPr>
        <w:t>Global Call aims to</w:t>
      </w:r>
      <w:r w:rsidRPr="00E11CA6">
        <w:rPr>
          <w:rFonts w:cs="Arial"/>
          <w:sz w:val="22"/>
          <w:szCs w:val="22"/>
        </w:rPr>
        <w:t xml:space="preserve"> </w:t>
      </w:r>
      <w:r w:rsidR="1ACF370F" w:rsidRPr="00E11CA6">
        <w:rPr>
          <w:rFonts w:cs="Arial"/>
          <w:sz w:val="22"/>
          <w:szCs w:val="22"/>
        </w:rPr>
        <w:t>support</w:t>
      </w:r>
      <w:r w:rsidRPr="00E11CA6">
        <w:rPr>
          <w:rFonts w:cs="Arial"/>
          <w:sz w:val="22"/>
          <w:szCs w:val="22"/>
        </w:rPr>
        <w:t xml:space="preserve"> countries in developing and aligning NDCs 3.0 and LT-LEDS through effective planning, transformative policy implementation, and tailored technical assistance.</w:t>
      </w:r>
      <w:r w:rsidR="31949346" w:rsidRPr="00E11CA6">
        <w:rPr>
          <w:rFonts w:cs="Arial"/>
          <w:sz w:val="22"/>
          <w:szCs w:val="22"/>
        </w:rPr>
        <w:t xml:space="preserve"> Without the support delivered through the NDC Support business case the demand from developing countries would have far exceeded the available support from the international community, undermining the central implementation mechan</w:t>
      </w:r>
      <w:r w:rsidR="17BB7F35" w:rsidRPr="00E11CA6">
        <w:rPr>
          <w:rFonts w:cs="Arial"/>
          <w:sz w:val="22"/>
          <w:szCs w:val="22"/>
        </w:rPr>
        <w:t>ism of the Paris agreement.</w:t>
      </w:r>
    </w:p>
    <w:p w14:paraId="7FCDE714" w14:textId="495B88D9" w:rsidR="57E062AF" w:rsidRPr="00E11CA6" w:rsidRDefault="57E062AF" w:rsidP="03200B27">
      <w:pPr>
        <w:jc w:val="both"/>
        <w:rPr>
          <w:sz w:val="22"/>
          <w:szCs w:val="22"/>
        </w:rPr>
      </w:pPr>
      <w:r w:rsidRPr="00E11CA6">
        <w:rPr>
          <w:rFonts w:cs="Arial"/>
          <w:sz w:val="22"/>
          <w:szCs w:val="22"/>
        </w:rPr>
        <w:t xml:space="preserve"> </w:t>
      </w:r>
    </w:p>
    <w:p w14:paraId="3AAF2C5C" w14:textId="4F28D914" w:rsidR="57E062AF" w:rsidRPr="00E11CA6" w:rsidRDefault="57E062AF" w:rsidP="00D33013">
      <w:pPr>
        <w:ind w:firstLine="720"/>
        <w:jc w:val="both"/>
        <w:rPr>
          <w:rFonts w:cs="Arial"/>
          <w:sz w:val="22"/>
          <w:szCs w:val="22"/>
        </w:rPr>
      </w:pPr>
      <w:r w:rsidRPr="00E11CA6">
        <w:rPr>
          <w:rFonts w:cs="Arial"/>
          <w:sz w:val="22"/>
          <w:szCs w:val="22"/>
        </w:rPr>
        <w:t>An</w:t>
      </w:r>
      <w:r w:rsidR="0E88A74F" w:rsidRPr="00E11CA6">
        <w:rPr>
          <w:rFonts w:cs="Arial"/>
          <w:sz w:val="22"/>
          <w:szCs w:val="22"/>
        </w:rPr>
        <w:t>other</w:t>
      </w:r>
      <w:r w:rsidRPr="00E11CA6">
        <w:rPr>
          <w:rFonts w:cs="Arial"/>
          <w:sz w:val="22"/>
          <w:szCs w:val="22"/>
        </w:rPr>
        <w:t xml:space="preserve"> important part of this year has been working on the New Work Programme. The Partnership operates in 5-year ‘work programs’, matched to the 5-year NDC cycle under the Paris Agreement which set out the overall strategic direction of the Partnership, the principles that members of the partnership sign up to, and the proposed areas of focus and modes of operation. The new 2026-2031 work program is now in the design stage and as a Steering Committee member the UK has a key role in shaping the new work programme and ultimately approving its sign off by the Co-Chairs (currently Brazil and Denmark) in the autumn ahead of COP30. The programme team has been actively involved in ensuring that the new Work Programme is in alignment with UK ICF priorities and captures our ideas for improving the delivery of support through the Partnership. The UK has supported the focus on </w:t>
      </w:r>
      <w:r w:rsidR="216B0230" w:rsidRPr="00E11CA6">
        <w:rPr>
          <w:rFonts w:cs="Arial"/>
          <w:sz w:val="22"/>
          <w:szCs w:val="22"/>
        </w:rPr>
        <w:t>core government capability</w:t>
      </w:r>
      <w:r w:rsidRPr="00E11CA6">
        <w:rPr>
          <w:rFonts w:cs="Arial"/>
          <w:sz w:val="22"/>
          <w:szCs w:val="22"/>
        </w:rPr>
        <w:t xml:space="preserve"> to enable country ownership of climate action</w:t>
      </w:r>
      <w:r w:rsidR="54F5DA9B" w:rsidRPr="00E11CA6">
        <w:rPr>
          <w:rFonts w:cs="Arial"/>
          <w:sz w:val="22"/>
          <w:szCs w:val="22"/>
        </w:rPr>
        <w:t xml:space="preserve">. </w:t>
      </w:r>
      <w:r w:rsidRPr="00E11CA6">
        <w:rPr>
          <w:rFonts w:cs="Arial"/>
          <w:sz w:val="22"/>
          <w:szCs w:val="22"/>
        </w:rPr>
        <w:t xml:space="preserve">During the discussions, the UK has been a strong advocate of leveraging collective efforts to unlock developing countries access to climate finance and using the NDC Partnership as a neutral broker between different climate finance stakeholders. </w:t>
      </w:r>
    </w:p>
    <w:p w14:paraId="3FA0221C" w14:textId="26DE17FF" w:rsidR="57E062AF" w:rsidRPr="00E11CA6" w:rsidRDefault="57E062AF" w:rsidP="03200B27">
      <w:pPr>
        <w:jc w:val="both"/>
        <w:rPr>
          <w:sz w:val="22"/>
          <w:szCs w:val="22"/>
        </w:rPr>
      </w:pPr>
      <w:r w:rsidRPr="00E11CA6">
        <w:rPr>
          <w:rFonts w:cs="Arial"/>
          <w:sz w:val="22"/>
          <w:szCs w:val="22"/>
        </w:rPr>
        <w:t xml:space="preserve"> </w:t>
      </w:r>
    </w:p>
    <w:p w14:paraId="14F48306" w14:textId="5D2AD948" w:rsidR="00A44A04" w:rsidRPr="00E11CA6" w:rsidRDefault="57E062AF" w:rsidP="00D33013">
      <w:pPr>
        <w:ind w:firstLine="720"/>
        <w:rPr>
          <w:rFonts w:cs="Arial"/>
          <w:sz w:val="22"/>
          <w:szCs w:val="22"/>
        </w:rPr>
      </w:pPr>
      <w:r w:rsidRPr="00E11CA6">
        <w:rPr>
          <w:rFonts w:cs="Arial"/>
          <w:sz w:val="22"/>
          <w:szCs w:val="22"/>
        </w:rPr>
        <w:t>Lastly, the UK has been actively involved in discussions about building on the success of the Partnership Action Fund. UK’s team has been focusing on strengthening the role of the PAF in NDC implementation and building on the momentum of NDC 3.0 updates</w:t>
      </w:r>
      <w:r w:rsidR="12C68A6E" w:rsidRPr="00E11CA6">
        <w:rPr>
          <w:rFonts w:cs="Arial"/>
          <w:sz w:val="22"/>
          <w:szCs w:val="22"/>
        </w:rPr>
        <w:t xml:space="preserve"> going forward.</w:t>
      </w:r>
    </w:p>
    <w:p w14:paraId="4FDE9072" w14:textId="77777777" w:rsidR="00A44A04" w:rsidRDefault="00A44A04">
      <w:pPr>
        <w:spacing w:after="160" w:line="259" w:lineRule="auto"/>
        <w:rPr>
          <w:rFonts w:cs="Arial"/>
        </w:rPr>
      </w:pPr>
      <w:r>
        <w:rPr>
          <w:rFonts w:cs="Arial"/>
        </w:rPr>
        <w:br w:type="page"/>
      </w:r>
    </w:p>
    <w:p w14:paraId="48AE2E16" w14:textId="77777777" w:rsidR="57E062AF" w:rsidRPr="00D33013" w:rsidRDefault="57E062AF" w:rsidP="00D33013">
      <w:pPr>
        <w:ind w:firstLine="720"/>
      </w:pPr>
    </w:p>
    <w:p w14:paraId="1B63C618" w14:textId="4396A74F" w:rsidR="003D222C" w:rsidRPr="003C5BF3" w:rsidRDefault="003D222C" w:rsidP="004D5FD5">
      <w:pPr>
        <w:jc w:val="both"/>
        <w:rPr>
          <w:rFonts w:cs="Arial"/>
          <w:sz w:val="22"/>
          <w:szCs w:val="22"/>
        </w:rPr>
      </w:pPr>
    </w:p>
    <w:tbl>
      <w:tblPr>
        <w:tblStyle w:val="TableGrid"/>
        <w:tblW w:w="0" w:type="auto"/>
        <w:tblLook w:val="04A0" w:firstRow="1" w:lastRow="0" w:firstColumn="1" w:lastColumn="0" w:noHBand="0" w:noVBand="1"/>
      </w:tblPr>
      <w:tblGrid>
        <w:gridCol w:w="9016"/>
      </w:tblGrid>
      <w:tr w:rsidR="00CB2873" w:rsidRPr="003C5BF3" w14:paraId="406A1DDB" w14:textId="77777777" w:rsidTr="527A8EFF">
        <w:tc>
          <w:tcPr>
            <w:tcW w:w="9016" w:type="dxa"/>
            <w:shd w:val="clear" w:color="auto" w:fill="DEEAF6" w:themeFill="accent5" w:themeFillTint="33"/>
          </w:tcPr>
          <w:p w14:paraId="5F18405D" w14:textId="15C9482A" w:rsidR="00CB2873" w:rsidRPr="003C5BF3" w:rsidRDefault="2C7057B1" w:rsidP="004D5FD5">
            <w:pPr>
              <w:jc w:val="both"/>
            </w:pPr>
            <w:bookmarkStart w:id="19" w:name="_Toc199421668"/>
            <w:r w:rsidRPr="003C5BF3">
              <w:rPr>
                <w:rStyle w:val="Heading1Char"/>
                <w:rFonts w:ascii="Arial" w:hAnsi="Arial" w:cs="Arial"/>
                <w:b/>
                <w:bCs/>
                <w:color w:val="auto"/>
              </w:rPr>
              <w:t>Section E: Risk</w:t>
            </w:r>
            <w:bookmarkEnd w:id="19"/>
            <w:r w:rsidRPr="003C5BF3">
              <w:t xml:space="preserve"> </w:t>
            </w:r>
          </w:p>
        </w:tc>
      </w:tr>
    </w:tbl>
    <w:p w14:paraId="7D07A5C2" w14:textId="77777777" w:rsidR="003D222C" w:rsidRPr="003C5BF3" w:rsidRDefault="003D222C" w:rsidP="004D5FD5">
      <w:pPr>
        <w:jc w:val="both"/>
        <w:rPr>
          <w:rFonts w:cs="Arial"/>
          <w:b/>
          <w:bCs/>
          <w:sz w:val="22"/>
          <w:szCs w:val="22"/>
        </w:rPr>
      </w:pPr>
    </w:p>
    <w:p w14:paraId="7CBD3830" w14:textId="77777777" w:rsidR="00B74143" w:rsidRPr="008C178A" w:rsidRDefault="00B74143" w:rsidP="007E0A5E">
      <w:pPr>
        <w:contextualSpacing/>
        <w:rPr>
          <w:rFonts w:cs="Arial"/>
          <w:b/>
          <w:bCs/>
          <w:sz w:val="28"/>
          <w:szCs w:val="28"/>
        </w:rPr>
      </w:pPr>
      <w:bookmarkStart w:id="20" w:name="_Toc199421669"/>
      <w:r w:rsidRPr="008C178A">
        <w:rPr>
          <w:rStyle w:val="Heading2Char"/>
        </w:rPr>
        <w:t>Overall risk rating</w:t>
      </w:r>
      <w:bookmarkEnd w:id="20"/>
      <w:r w:rsidRPr="008C178A">
        <w:rPr>
          <w:rFonts w:cs="Arial"/>
          <w:b/>
          <w:bCs/>
          <w:sz w:val="28"/>
          <w:szCs w:val="28"/>
        </w:rPr>
        <w:t xml:space="preserve">:  </w:t>
      </w:r>
    </w:p>
    <w:p w14:paraId="026FB9FF" w14:textId="77777777" w:rsidR="00D0302B" w:rsidRPr="003C5BF3" w:rsidRDefault="00D0302B" w:rsidP="004D5FD5">
      <w:pPr>
        <w:contextualSpacing/>
        <w:jc w:val="both"/>
        <w:rPr>
          <w:rFonts w:cs="Arial"/>
          <w:sz w:val="22"/>
          <w:szCs w:val="22"/>
        </w:rPr>
      </w:pPr>
    </w:p>
    <w:p w14:paraId="02219256" w14:textId="02845D18" w:rsidR="00B74143" w:rsidRPr="008E7F35" w:rsidRDefault="008E7F35" w:rsidP="004D5FD5">
      <w:pPr>
        <w:contextualSpacing/>
        <w:jc w:val="both"/>
        <w:rPr>
          <w:rFonts w:cs="Arial"/>
          <w:b/>
          <w:bCs/>
          <w:iCs/>
          <w:color w:val="000000" w:themeColor="text1"/>
        </w:rPr>
      </w:pPr>
      <w:r w:rsidRPr="008E7F35">
        <w:rPr>
          <w:rFonts w:cs="Arial"/>
          <w:b/>
          <w:bCs/>
          <w:iCs/>
          <w:color w:val="000000" w:themeColor="text1"/>
        </w:rPr>
        <w:t>Moderate</w:t>
      </w:r>
    </w:p>
    <w:p w14:paraId="3C5CF6C8" w14:textId="77777777" w:rsidR="00B74143" w:rsidRPr="003C5BF3" w:rsidRDefault="00B74143" w:rsidP="004D5FD5">
      <w:pPr>
        <w:jc w:val="both"/>
        <w:rPr>
          <w:rFonts w:cs="Arial"/>
          <w:b/>
          <w:bCs/>
          <w:sz w:val="22"/>
          <w:szCs w:val="22"/>
        </w:rPr>
      </w:pPr>
    </w:p>
    <w:p w14:paraId="55743C55" w14:textId="1976D92F" w:rsidR="00B74143" w:rsidRDefault="00B74143" w:rsidP="004D5FD5">
      <w:pPr>
        <w:jc w:val="both"/>
        <w:rPr>
          <w:rFonts w:cs="Arial"/>
          <w:sz w:val="22"/>
          <w:szCs w:val="22"/>
        </w:rPr>
      </w:pPr>
      <w:bookmarkStart w:id="21" w:name="_Toc199421670"/>
      <w:r w:rsidRPr="003C5BF3">
        <w:rPr>
          <w:rStyle w:val="Heading2Char"/>
        </w:rPr>
        <w:t>Overview of risk management</w:t>
      </w:r>
      <w:bookmarkEnd w:id="21"/>
      <w:r w:rsidRPr="003C5BF3">
        <w:rPr>
          <w:rFonts w:cs="Arial"/>
          <w:sz w:val="22"/>
          <w:szCs w:val="22"/>
        </w:rPr>
        <w:t xml:space="preserve"> </w:t>
      </w:r>
    </w:p>
    <w:p w14:paraId="05715E18" w14:textId="77777777" w:rsidR="007E0A5E" w:rsidRPr="003C5BF3" w:rsidRDefault="007E0A5E" w:rsidP="004D5FD5">
      <w:pPr>
        <w:jc w:val="both"/>
        <w:rPr>
          <w:rFonts w:cs="Arial"/>
          <w:sz w:val="22"/>
          <w:szCs w:val="22"/>
        </w:rPr>
      </w:pPr>
    </w:p>
    <w:p w14:paraId="5A829BB3" w14:textId="30870ACC" w:rsidR="007E0A5E" w:rsidRPr="00E11CA6" w:rsidRDefault="00C92412" w:rsidP="00A44A04">
      <w:pPr>
        <w:ind w:firstLine="720"/>
        <w:rPr>
          <w:rFonts w:cs="Arial"/>
          <w:sz w:val="22"/>
          <w:szCs w:val="22"/>
        </w:rPr>
      </w:pPr>
      <w:r w:rsidRPr="00E11CA6">
        <w:rPr>
          <w:sz w:val="22"/>
          <w:szCs w:val="22"/>
        </w:rPr>
        <w:t>The complexity of the new Business Case required a new approach to risk management as we are managing multiple delivery elements under different delivery partners. </w:t>
      </w:r>
      <w:r w:rsidR="003B1651" w:rsidRPr="00E11CA6">
        <w:rPr>
          <w:rFonts w:cs="Arial"/>
          <w:sz w:val="22"/>
          <w:szCs w:val="22"/>
        </w:rPr>
        <w:t xml:space="preserve">This requires us to have good oversight of </w:t>
      </w:r>
      <w:r w:rsidR="00317D43" w:rsidRPr="00E11CA6">
        <w:rPr>
          <w:rFonts w:cs="Arial"/>
          <w:sz w:val="22"/>
          <w:szCs w:val="22"/>
        </w:rPr>
        <w:t>risks and issues across the portfolio.</w:t>
      </w:r>
      <w:r w:rsidR="003B1651" w:rsidRPr="00E11CA6">
        <w:rPr>
          <w:rFonts w:cs="Arial"/>
          <w:sz w:val="22"/>
          <w:szCs w:val="22"/>
        </w:rPr>
        <w:t xml:space="preserve"> </w:t>
      </w:r>
      <w:r w:rsidRPr="00E11CA6">
        <w:rPr>
          <w:rFonts w:cs="Arial"/>
          <w:sz w:val="22"/>
          <w:szCs w:val="22"/>
        </w:rPr>
        <w:t xml:space="preserve">Throughout the </w:t>
      </w:r>
      <w:r w:rsidR="006B37FF" w:rsidRPr="00E11CA6">
        <w:rPr>
          <w:rFonts w:cs="Arial"/>
          <w:sz w:val="22"/>
          <w:szCs w:val="22"/>
        </w:rPr>
        <w:t>reporting</w:t>
      </w:r>
      <w:r w:rsidRPr="00E11CA6">
        <w:rPr>
          <w:rFonts w:cs="Arial"/>
          <w:sz w:val="22"/>
          <w:szCs w:val="22"/>
        </w:rPr>
        <w:t xml:space="preserve"> year, we have made efforts to prioriti</w:t>
      </w:r>
      <w:r w:rsidR="00F07220" w:rsidRPr="00E11CA6">
        <w:rPr>
          <w:rFonts w:cs="Arial"/>
          <w:sz w:val="22"/>
          <w:szCs w:val="22"/>
        </w:rPr>
        <w:t>s</w:t>
      </w:r>
      <w:r w:rsidRPr="00E11CA6">
        <w:rPr>
          <w:rFonts w:cs="Arial"/>
          <w:sz w:val="22"/>
          <w:szCs w:val="22"/>
        </w:rPr>
        <w:t>e continuous improvement of risk management through upskilling</w:t>
      </w:r>
      <w:r w:rsidR="0032723B" w:rsidRPr="00E11CA6">
        <w:rPr>
          <w:rFonts w:cs="Arial"/>
          <w:sz w:val="22"/>
          <w:szCs w:val="22"/>
        </w:rPr>
        <w:t xml:space="preserve"> the team</w:t>
      </w:r>
      <w:r w:rsidRPr="00E11CA6">
        <w:rPr>
          <w:rFonts w:cs="Arial"/>
          <w:sz w:val="22"/>
          <w:szCs w:val="22"/>
        </w:rPr>
        <w:t xml:space="preserve">, stronger reporting, and enhancements to our monitoring processes. </w:t>
      </w:r>
    </w:p>
    <w:p w14:paraId="53F0D08D" w14:textId="77777777" w:rsidR="002C3A0F" w:rsidRPr="00E11CA6" w:rsidRDefault="002C3A0F" w:rsidP="00BA1269">
      <w:pPr>
        <w:rPr>
          <w:rFonts w:cs="Arial"/>
          <w:b/>
          <w:i/>
          <w:sz w:val="22"/>
          <w:szCs w:val="22"/>
        </w:rPr>
      </w:pPr>
    </w:p>
    <w:p w14:paraId="7479C2A6" w14:textId="25946535" w:rsidR="00C92412" w:rsidRPr="00E11CA6" w:rsidRDefault="00C92412" w:rsidP="007E0A5E">
      <w:pPr>
        <w:ind w:firstLine="720"/>
        <w:rPr>
          <w:sz w:val="22"/>
          <w:szCs w:val="22"/>
        </w:rPr>
      </w:pPr>
      <w:r w:rsidRPr="00E11CA6">
        <w:rPr>
          <w:sz w:val="22"/>
          <w:szCs w:val="22"/>
        </w:rPr>
        <w:t>We implemented monthly risk and issue register review</w:t>
      </w:r>
      <w:r w:rsidR="00234B4D" w:rsidRPr="00E11CA6">
        <w:rPr>
          <w:sz w:val="22"/>
          <w:szCs w:val="22"/>
        </w:rPr>
        <w:t xml:space="preserve"> cycles</w:t>
      </w:r>
      <w:r w:rsidRPr="00E11CA6">
        <w:rPr>
          <w:sz w:val="22"/>
          <w:szCs w:val="22"/>
        </w:rPr>
        <w:t xml:space="preserve"> to identify, monitor, evaluate, and escalate risks as necessary. This regular review process helps us stay on top of potential risks and adjust our mitigation strategies accordingly. </w:t>
      </w:r>
      <w:r w:rsidR="006A7069" w:rsidRPr="00E11CA6">
        <w:rPr>
          <w:sz w:val="22"/>
          <w:szCs w:val="22"/>
        </w:rPr>
        <w:t xml:space="preserve">Additionally, </w:t>
      </w:r>
      <w:r w:rsidR="004B2E2B" w:rsidRPr="00E11CA6">
        <w:rPr>
          <w:sz w:val="22"/>
          <w:szCs w:val="22"/>
        </w:rPr>
        <w:t>instigating quarterly</w:t>
      </w:r>
      <w:r w:rsidRPr="00E11CA6">
        <w:rPr>
          <w:sz w:val="22"/>
          <w:szCs w:val="22"/>
        </w:rPr>
        <w:t xml:space="preserve"> risk management workshops </w:t>
      </w:r>
      <w:r w:rsidR="006A7069" w:rsidRPr="00E11CA6">
        <w:rPr>
          <w:sz w:val="22"/>
          <w:szCs w:val="22"/>
        </w:rPr>
        <w:t>has</w:t>
      </w:r>
      <w:r w:rsidRPr="00E11CA6">
        <w:rPr>
          <w:sz w:val="22"/>
          <w:szCs w:val="22"/>
        </w:rPr>
        <w:t xml:space="preserve"> been instrumental in </w:t>
      </w:r>
      <w:r w:rsidR="004B2E2B" w:rsidRPr="00E11CA6">
        <w:rPr>
          <w:sz w:val="22"/>
          <w:szCs w:val="22"/>
        </w:rPr>
        <w:t xml:space="preserve">providing space to discuss </w:t>
      </w:r>
      <w:r w:rsidRPr="00E11CA6">
        <w:rPr>
          <w:sz w:val="22"/>
          <w:szCs w:val="22"/>
        </w:rPr>
        <w:t xml:space="preserve">significant risks, such as those arising from geopolitical shifts and ODA budget cuts. These sessions </w:t>
      </w:r>
      <w:r w:rsidR="00695591" w:rsidRPr="00E11CA6">
        <w:rPr>
          <w:sz w:val="22"/>
          <w:szCs w:val="22"/>
        </w:rPr>
        <w:t>enable</w:t>
      </w:r>
      <w:r w:rsidRPr="00E11CA6">
        <w:rPr>
          <w:sz w:val="22"/>
          <w:szCs w:val="22"/>
        </w:rPr>
        <w:t xml:space="preserve"> </w:t>
      </w:r>
      <w:r w:rsidR="008C5CF9" w:rsidRPr="00E11CA6">
        <w:rPr>
          <w:sz w:val="22"/>
          <w:szCs w:val="22"/>
        </w:rPr>
        <w:t>the team</w:t>
      </w:r>
      <w:r w:rsidRPr="00E11CA6">
        <w:rPr>
          <w:sz w:val="22"/>
          <w:szCs w:val="22"/>
        </w:rPr>
        <w:t xml:space="preserve"> to discuss and evaluate mitigation strategies collaboratively, whilst encouraging a culture of risk management amongst programme managers.</w:t>
      </w:r>
    </w:p>
    <w:p w14:paraId="6D87B36E" w14:textId="77777777" w:rsidR="002F031D" w:rsidRPr="00E11CA6" w:rsidRDefault="002F031D" w:rsidP="002F031D">
      <w:pPr>
        <w:rPr>
          <w:sz w:val="22"/>
          <w:szCs w:val="22"/>
        </w:rPr>
      </w:pPr>
    </w:p>
    <w:p w14:paraId="2D307599" w14:textId="437226C8" w:rsidR="00C92412" w:rsidRPr="00E11CA6" w:rsidRDefault="00C92412" w:rsidP="001B18E5">
      <w:pPr>
        <w:ind w:firstLine="720"/>
        <w:rPr>
          <w:rFonts w:cs="Arial"/>
          <w:sz w:val="22"/>
          <w:szCs w:val="22"/>
        </w:rPr>
      </w:pPr>
      <w:r w:rsidRPr="00E11CA6">
        <w:rPr>
          <w:sz w:val="22"/>
          <w:szCs w:val="22"/>
        </w:rPr>
        <w:t xml:space="preserve">Half of </w:t>
      </w:r>
      <w:r w:rsidR="00E460FF" w:rsidRPr="00E11CA6">
        <w:rPr>
          <w:rFonts w:cs="Arial"/>
          <w:sz w:val="22"/>
          <w:szCs w:val="22"/>
        </w:rPr>
        <w:t>the team</w:t>
      </w:r>
      <w:r w:rsidRPr="00E11CA6">
        <w:rPr>
          <w:rFonts w:cs="Arial"/>
          <w:sz w:val="22"/>
          <w:szCs w:val="22"/>
        </w:rPr>
        <w:t xml:space="preserve"> undert</w:t>
      </w:r>
      <w:r w:rsidR="00E460FF" w:rsidRPr="00E11CA6">
        <w:rPr>
          <w:rFonts w:cs="Arial"/>
          <w:sz w:val="22"/>
          <w:szCs w:val="22"/>
        </w:rPr>
        <w:t>ook</w:t>
      </w:r>
      <w:r w:rsidRPr="00E11CA6">
        <w:rPr>
          <w:rFonts w:cs="Arial"/>
          <w:sz w:val="22"/>
          <w:szCs w:val="22"/>
        </w:rPr>
        <w:t xml:space="preserve"> the Managing Successful Programmes (MSP) qualification</w:t>
      </w:r>
      <w:r w:rsidR="00F56B81" w:rsidRPr="00E11CA6">
        <w:rPr>
          <w:rFonts w:cs="Arial"/>
          <w:sz w:val="22"/>
          <w:szCs w:val="22"/>
        </w:rPr>
        <w:t xml:space="preserve"> and the other half plan</w:t>
      </w:r>
      <w:r w:rsidR="00E460FF" w:rsidRPr="00E11CA6">
        <w:rPr>
          <w:rFonts w:cs="Arial"/>
          <w:sz w:val="22"/>
          <w:szCs w:val="22"/>
        </w:rPr>
        <w:t>s</w:t>
      </w:r>
      <w:r w:rsidR="00F56B81" w:rsidRPr="00E11CA6">
        <w:rPr>
          <w:rFonts w:cs="Arial"/>
          <w:sz w:val="22"/>
          <w:szCs w:val="22"/>
        </w:rPr>
        <w:t xml:space="preserve"> to undertake A</w:t>
      </w:r>
      <w:r w:rsidR="00BD57B5" w:rsidRPr="00E11CA6">
        <w:rPr>
          <w:rFonts w:cs="Arial"/>
          <w:sz w:val="22"/>
          <w:szCs w:val="22"/>
        </w:rPr>
        <w:t>P</w:t>
      </w:r>
      <w:r w:rsidR="00411644" w:rsidRPr="00E11CA6">
        <w:rPr>
          <w:rFonts w:cs="Arial"/>
          <w:sz w:val="22"/>
          <w:szCs w:val="22"/>
        </w:rPr>
        <w:t>M</w:t>
      </w:r>
      <w:r w:rsidR="00BD57B5" w:rsidRPr="00E11CA6">
        <w:rPr>
          <w:rFonts w:cs="Arial"/>
          <w:sz w:val="22"/>
          <w:szCs w:val="22"/>
        </w:rPr>
        <w:t xml:space="preserve"> </w:t>
      </w:r>
      <w:r w:rsidR="00411644" w:rsidRPr="00E11CA6">
        <w:rPr>
          <w:rFonts w:cs="Arial"/>
          <w:sz w:val="22"/>
          <w:szCs w:val="22"/>
        </w:rPr>
        <w:t>Project Management Qualification</w:t>
      </w:r>
      <w:r w:rsidR="00F63135" w:rsidRPr="00E11CA6">
        <w:rPr>
          <w:rFonts w:cs="Arial"/>
          <w:sz w:val="22"/>
          <w:szCs w:val="22"/>
        </w:rPr>
        <w:t xml:space="preserve">. Both these </w:t>
      </w:r>
      <w:r w:rsidR="00965475" w:rsidRPr="00E11CA6">
        <w:rPr>
          <w:rFonts w:cs="Arial"/>
          <w:sz w:val="22"/>
          <w:szCs w:val="22"/>
        </w:rPr>
        <w:t>qualifications emphasise</w:t>
      </w:r>
      <w:r w:rsidRPr="00E11CA6">
        <w:rPr>
          <w:rFonts w:cs="Arial"/>
          <w:sz w:val="22"/>
          <w:szCs w:val="22"/>
        </w:rPr>
        <w:t xml:space="preserve"> risk management as a core component. </w:t>
      </w:r>
      <w:r w:rsidR="00FC1188" w:rsidRPr="00E11CA6">
        <w:rPr>
          <w:rFonts w:cs="Arial"/>
          <w:sz w:val="22"/>
          <w:szCs w:val="22"/>
        </w:rPr>
        <w:t>These efforts to</w:t>
      </w:r>
      <w:r w:rsidRPr="00E11CA6">
        <w:rPr>
          <w:rFonts w:cs="Arial"/>
          <w:sz w:val="22"/>
          <w:szCs w:val="22"/>
        </w:rPr>
        <w:t xml:space="preserve"> </w:t>
      </w:r>
      <w:r w:rsidR="00FC1188" w:rsidRPr="00E11CA6">
        <w:rPr>
          <w:rFonts w:cs="Arial"/>
          <w:sz w:val="22"/>
          <w:szCs w:val="22"/>
        </w:rPr>
        <w:t>upskill</w:t>
      </w:r>
      <w:r w:rsidRPr="00E11CA6">
        <w:rPr>
          <w:rFonts w:cs="Arial"/>
          <w:sz w:val="22"/>
          <w:szCs w:val="22"/>
        </w:rPr>
        <w:t xml:space="preserve"> </w:t>
      </w:r>
      <w:r w:rsidR="00FC1188" w:rsidRPr="00E11CA6">
        <w:rPr>
          <w:rFonts w:cs="Arial"/>
          <w:sz w:val="22"/>
          <w:szCs w:val="22"/>
        </w:rPr>
        <w:t>have</w:t>
      </w:r>
      <w:r w:rsidRPr="00E11CA6">
        <w:rPr>
          <w:rFonts w:cs="Arial"/>
          <w:sz w:val="22"/>
          <w:szCs w:val="22"/>
        </w:rPr>
        <w:t xml:space="preserve"> equipped </w:t>
      </w:r>
      <w:r w:rsidR="00F63135" w:rsidRPr="00E11CA6">
        <w:rPr>
          <w:rFonts w:cs="Arial"/>
          <w:sz w:val="22"/>
          <w:szCs w:val="22"/>
        </w:rPr>
        <w:t>the</w:t>
      </w:r>
      <w:r w:rsidRPr="00E11CA6">
        <w:rPr>
          <w:rFonts w:cs="Arial"/>
          <w:sz w:val="22"/>
          <w:szCs w:val="22"/>
        </w:rPr>
        <w:t xml:space="preserve"> team with stronger risk management skills, enabling them to </w:t>
      </w:r>
      <w:r w:rsidR="00F0679F" w:rsidRPr="00E11CA6">
        <w:rPr>
          <w:rFonts w:cs="Arial"/>
          <w:sz w:val="22"/>
          <w:szCs w:val="22"/>
        </w:rPr>
        <w:t xml:space="preserve">plan for and </w:t>
      </w:r>
      <w:r w:rsidRPr="00E11CA6">
        <w:rPr>
          <w:rFonts w:cs="Arial"/>
          <w:sz w:val="22"/>
          <w:szCs w:val="22"/>
        </w:rPr>
        <w:t xml:space="preserve">handle complex risks. </w:t>
      </w:r>
      <w:r w:rsidR="00B90F42" w:rsidRPr="00E11CA6">
        <w:rPr>
          <w:rFonts w:cs="Arial"/>
          <w:sz w:val="22"/>
          <w:szCs w:val="22"/>
        </w:rPr>
        <w:t>The team</w:t>
      </w:r>
      <w:r w:rsidRPr="00E11CA6">
        <w:rPr>
          <w:rFonts w:cs="Arial"/>
          <w:sz w:val="22"/>
          <w:szCs w:val="22"/>
        </w:rPr>
        <w:t xml:space="preserve"> ha</w:t>
      </w:r>
      <w:r w:rsidR="00B90F42" w:rsidRPr="00E11CA6">
        <w:rPr>
          <w:rFonts w:cs="Arial"/>
          <w:sz w:val="22"/>
          <w:szCs w:val="22"/>
        </w:rPr>
        <w:t>s</w:t>
      </w:r>
      <w:r w:rsidRPr="00E11CA6">
        <w:rPr>
          <w:rFonts w:cs="Arial"/>
          <w:sz w:val="22"/>
          <w:szCs w:val="22"/>
        </w:rPr>
        <w:t xml:space="preserve"> </w:t>
      </w:r>
      <w:r w:rsidR="003E1570" w:rsidRPr="00E11CA6">
        <w:rPr>
          <w:rFonts w:cs="Arial"/>
          <w:sz w:val="22"/>
          <w:szCs w:val="22"/>
        </w:rPr>
        <w:t xml:space="preserve">also </w:t>
      </w:r>
      <w:r w:rsidRPr="00E11CA6">
        <w:rPr>
          <w:rFonts w:cs="Arial"/>
          <w:sz w:val="22"/>
          <w:szCs w:val="22"/>
        </w:rPr>
        <w:t xml:space="preserve">recruited a new </w:t>
      </w:r>
      <w:r w:rsidR="00EF43DC" w:rsidRPr="00E11CA6">
        <w:rPr>
          <w:rFonts w:cs="Arial"/>
          <w:sz w:val="22"/>
          <w:szCs w:val="22"/>
        </w:rPr>
        <w:t>programme manager</w:t>
      </w:r>
      <w:r w:rsidR="00965475" w:rsidRPr="00E11CA6">
        <w:rPr>
          <w:rFonts w:cs="Arial"/>
          <w:sz w:val="22"/>
          <w:szCs w:val="22"/>
        </w:rPr>
        <w:t xml:space="preserve"> </w:t>
      </w:r>
      <w:r w:rsidRPr="00E11CA6">
        <w:rPr>
          <w:rFonts w:cs="Arial"/>
          <w:sz w:val="22"/>
          <w:szCs w:val="22"/>
        </w:rPr>
        <w:t xml:space="preserve">to increase </w:t>
      </w:r>
      <w:r w:rsidR="00EF43DC" w:rsidRPr="00E11CA6">
        <w:rPr>
          <w:rFonts w:cs="Arial"/>
          <w:sz w:val="22"/>
          <w:szCs w:val="22"/>
        </w:rPr>
        <w:t>t</w:t>
      </w:r>
      <w:r w:rsidR="0012465F" w:rsidRPr="00E11CA6">
        <w:rPr>
          <w:rFonts w:cs="Arial"/>
          <w:sz w:val="22"/>
          <w:szCs w:val="22"/>
        </w:rPr>
        <w:t xml:space="preserve">he team’s </w:t>
      </w:r>
      <w:r w:rsidRPr="00E11CA6">
        <w:rPr>
          <w:rFonts w:cs="Arial"/>
          <w:sz w:val="22"/>
          <w:szCs w:val="22"/>
        </w:rPr>
        <w:t>programme management capacity</w:t>
      </w:r>
      <w:r w:rsidR="004C7724" w:rsidRPr="00E11CA6">
        <w:rPr>
          <w:rFonts w:cs="Arial"/>
          <w:sz w:val="22"/>
          <w:szCs w:val="22"/>
        </w:rPr>
        <w:t xml:space="preserve">. This recruitment has helped the team </w:t>
      </w:r>
      <w:r w:rsidRPr="00E11CA6">
        <w:rPr>
          <w:rFonts w:cs="Arial"/>
          <w:sz w:val="22"/>
          <w:szCs w:val="22"/>
        </w:rPr>
        <w:t xml:space="preserve">handle the increased complexity of </w:t>
      </w:r>
      <w:r w:rsidR="0012465F" w:rsidRPr="00E11CA6">
        <w:rPr>
          <w:rFonts w:cs="Arial"/>
          <w:sz w:val="22"/>
          <w:szCs w:val="22"/>
        </w:rPr>
        <w:t>the</w:t>
      </w:r>
      <w:r w:rsidRPr="00E11CA6">
        <w:rPr>
          <w:rFonts w:cs="Arial"/>
          <w:sz w:val="22"/>
          <w:szCs w:val="22"/>
        </w:rPr>
        <w:t xml:space="preserve"> portfolio</w:t>
      </w:r>
      <w:r w:rsidR="0012465F" w:rsidRPr="00E11CA6">
        <w:rPr>
          <w:rFonts w:cs="Arial"/>
          <w:sz w:val="22"/>
          <w:szCs w:val="22"/>
        </w:rPr>
        <w:t xml:space="preserve"> of elements</w:t>
      </w:r>
      <w:r w:rsidR="003C0D04" w:rsidRPr="00E11CA6">
        <w:rPr>
          <w:rFonts w:cs="Arial"/>
          <w:sz w:val="22"/>
          <w:szCs w:val="22"/>
        </w:rPr>
        <w:t>, delivery partners</w:t>
      </w:r>
      <w:r w:rsidR="0012465F" w:rsidRPr="00E11CA6">
        <w:rPr>
          <w:rFonts w:cs="Arial"/>
          <w:sz w:val="22"/>
          <w:szCs w:val="22"/>
        </w:rPr>
        <w:t xml:space="preserve"> and grants under them</w:t>
      </w:r>
      <w:r w:rsidRPr="00E11CA6">
        <w:rPr>
          <w:rFonts w:cs="Arial"/>
          <w:sz w:val="22"/>
          <w:szCs w:val="22"/>
        </w:rPr>
        <w:t xml:space="preserve">. These </w:t>
      </w:r>
      <w:r w:rsidR="00FE3571" w:rsidRPr="00E11CA6">
        <w:rPr>
          <w:rFonts w:cs="Arial"/>
          <w:sz w:val="22"/>
          <w:szCs w:val="22"/>
        </w:rPr>
        <w:t>actions</w:t>
      </w:r>
      <w:r w:rsidRPr="00E11CA6">
        <w:rPr>
          <w:rFonts w:cs="Arial"/>
          <w:sz w:val="22"/>
          <w:szCs w:val="22"/>
        </w:rPr>
        <w:t xml:space="preserve"> have formed a more proactive and meticulous approach </w:t>
      </w:r>
      <w:r w:rsidR="002948C9" w:rsidRPr="00E11CA6">
        <w:rPr>
          <w:rFonts w:cs="Arial"/>
          <w:sz w:val="22"/>
          <w:szCs w:val="22"/>
        </w:rPr>
        <w:t xml:space="preserve">to risk management, enabling </w:t>
      </w:r>
      <w:r w:rsidR="00845EE6" w:rsidRPr="00E11CA6">
        <w:rPr>
          <w:rFonts w:cs="Arial"/>
          <w:sz w:val="22"/>
          <w:szCs w:val="22"/>
        </w:rPr>
        <w:t>the team to</w:t>
      </w:r>
      <w:r w:rsidRPr="00E11CA6">
        <w:rPr>
          <w:rFonts w:cs="Arial"/>
          <w:sz w:val="22"/>
          <w:szCs w:val="22"/>
        </w:rPr>
        <w:t xml:space="preserve"> </w:t>
      </w:r>
      <w:r w:rsidR="00845EE6" w:rsidRPr="00E11CA6">
        <w:rPr>
          <w:rFonts w:cs="Arial"/>
          <w:sz w:val="22"/>
          <w:szCs w:val="22"/>
        </w:rPr>
        <w:t>better</w:t>
      </w:r>
      <w:r w:rsidRPr="00E11CA6">
        <w:rPr>
          <w:rFonts w:cs="Arial"/>
          <w:sz w:val="22"/>
          <w:szCs w:val="22"/>
        </w:rPr>
        <w:t xml:space="preserve"> </w:t>
      </w:r>
      <w:r w:rsidR="001C2A80" w:rsidRPr="00E11CA6">
        <w:rPr>
          <w:rFonts w:cs="Arial"/>
          <w:sz w:val="22"/>
          <w:szCs w:val="22"/>
        </w:rPr>
        <w:t>identify, assess, evaluate</w:t>
      </w:r>
      <w:r w:rsidR="00042FEA" w:rsidRPr="00E11CA6">
        <w:rPr>
          <w:rFonts w:cs="Arial"/>
          <w:sz w:val="22"/>
          <w:szCs w:val="22"/>
        </w:rPr>
        <w:t>,</w:t>
      </w:r>
      <w:r w:rsidR="001C2A80" w:rsidRPr="00E11CA6">
        <w:rPr>
          <w:rFonts w:cs="Arial"/>
          <w:sz w:val="22"/>
          <w:szCs w:val="22"/>
        </w:rPr>
        <w:t xml:space="preserve"> and monitor </w:t>
      </w:r>
      <w:r w:rsidRPr="00E11CA6">
        <w:rPr>
          <w:rFonts w:cs="Arial"/>
          <w:sz w:val="22"/>
          <w:szCs w:val="22"/>
        </w:rPr>
        <w:t xml:space="preserve">risks across all delivery elements. </w:t>
      </w:r>
    </w:p>
    <w:p w14:paraId="4A993E5C" w14:textId="039A1354" w:rsidR="005219A5" w:rsidRPr="00E11CA6" w:rsidRDefault="005219A5" w:rsidP="005219A5">
      <w:pPr>
        <w:rPr>
          <w:sz w:val="22"/>
          <w:szCs w:val="22"/>
        </w:rPr>
      </w:pPr>
    </w:p>
    <w:p w14:paraId="6160C63D" w14:textId="2D6A8159" w:rsidR="000753C9" w:rsidRPr="00E11CA6" w:rsidRDefault="00853566" w:rsidP="00943D7A">
      <w:pPr>
        <w:ind w:firstLine="720"/>
        <w:rPr>
          <w:sz w:val="22"/>
          <w:szCs w:val="22"/>
        </w:rPr>
      </w:pPr>
      <w:r w:rsidRPr="00E11CA6">
        <w:rPr>
          <w:sz w:val="22"/>
          <w:szCs w:val="22"/>
        </w:rPr>
        <w:t xml:space="preserve">In addition to the programme level risk management, </w:t>
      </w:r>
      <w:r w:rsidR="00647847" w:rsidRPr="00E11CA6">
        <w:rPr>
          <w:sz w:val="22"/>
          <w:szCs w:val="22"/>
        </w:rPr>
        <w:t>a fraud assessment was completed during this review period</w:t>
      </w:r>
      <w:r w:rsidR="00253260" w:rsidRPr="00E11CA6">
        <w:rPr>
          <w:sz w:val="22"/>
          <w:szCs w:val="22"/>
        </w:rPr>
        <w:t xml:space="preserve"> </w:t>
      </w:r>
      <w:r w:rsidR="00D91858" w:rsidRPr="00E11CA6">
        <w:rPr>
          <w:sz w:val="22"/>
          <w:szCs w:val="22"/>
        </w:rPr>
        <w:t xml:space="preserve">to comply with central DESNZ requirements. During this assessment the key fraud risks identified included </w:t>
      </w:r>
      <w:r w:rsidR="38D90EF2" w:rsidRPr="00E11CA6">
        <w:rPr>
          <w:sz w:val="22"/>
          <w:szCs w:val="22"/>
        </w:rPr>
        <w:t>misuse of government funds</w:t>
      </w:r>
      <w:r w:rsidR="00D91858" w:rsidRPr="00E11CA6">
        <w:rPr>
          <w:sz w:val="22"/>
          <w:szCs w:val="22"/>
        </w:rPr>
        <w:t>,</w:t>
      </w:r>
      <w:r w:rsidR="25EAE6DD" w:rsidRPr="00E11CA6">
        <w:rPr>
          <w:sz w:val="22"/>
          <w:szCs w:val="22"/>
        </w:rPr>
        <w:t xml:space="preserve"> collusion, a changing of bank accounts, retention of funds in error, ineligible expenditur</w:t>
      </w:r>
      <w:r w:rsidR="6306D79D" w:rsidRPr="00E11CA6">
        <w:rPr>
          <w:sz w:val="22"/>
          <w:szCs w:val="22"/>
        </w:rPr>
        <w:t xml:space="preserve">e and retention of residual monies. </w:t>
      </w:r>
      <w:r w:rsidR="00D91858" w:rsidRPr="00E11CA6">
        <w:rPr>
          <w:sz w:val="22"/>
          <w:szCs w:val="22"/>
        </w:rPr>
        <w:t xml:space="preserve"> </w:t>
      </w:r>
      <w:r w:rsidR="30B1B784" w:rsidRPr="00E11CA6">
        <w:rPr>
          <w:sz w:val="22"/>
          <w:szCs w:val="22"/>
        </w:rPr>
        <w:t>The fraud risk of</w:t>
      </w:r>
      <w:r w:rsidR="00D91858" w:rsidRPr="00E11CA6">
        <w:rPr>
          <w:sz w:val="22"/>
          <w:szCs w:val="22"/>
        </w:rPr>
        <w:t xml:space="preserve"> UK’s NDC Support across all elements was</w:t>
      </w:r>
      <w:r w:rsidR="00D21E81" w:rsidRPr="00E11CA6">
        <w:rPr>
          <w:sz w:val="22"/>
          <w:szCs w:val="22"/>
        </w:rPr>
        <w:t xml:space="preserve"> </w:t>
      </w:r>
      <w:r w:rsidR="00FE6D7B" w:rsidRPr="00E11CA6">
        <w:rPr>
          <w:sz w:val="22"/>
          <w:szCs w:val="22"/>
        </w:rPr>
        <w:t>given a medium</w:t>
      </w:r>
      <w:r w:rsidR="6901B149" w:rsidRPr="00E11CA6">
        <w:rPr>
          <w:sz w:val="22"/>
          <w:szCs w:val="22"/>
        </w:rPr>
        <w:t xml:space="preserve">. </w:t>
      </w:r>
      <w:r w:rsidR="00D21E81" w:rsidRPr="00E11CA6">
        <w:rPr>
          <w:sz w:val="22"/>
          <w:szCs w:val="22"/>
        </w:rPr>
        <w:t xml:space="preserve">Mitigating </w:t>
      </w:r>
      <w:r w:rsidR="70865ED7" w:rsidRPr="00E11CA6">
        <w:rPr>
          <w:sz w:val="22"/>
          <w:szCs w:val="22"/>
        </w:rPr>
        <w:t>a</w:t>
      </w:r>
      <w:r w:rsidR="00D21E81" w:rsidRPr="00E11CA6">
        <w:rPr>
          <w:sz w:val="22"/>
          <w:szCs w:val="22"/>
        </w:rPr>
        <w:t>ctions</w:t>
      </w:r>
      <w:r w:rsidR="00FE6D7B" w:rsidRPr="00E11CA6">
        <w:rPr>
          <w:sz w:val="22"/>
          <w:szCs w:val="22"/>
        </w:rPr>
        <w:t xml:space="preserve"> that will be undertaken throughout the life of the support package</w:t>
      </w:r>
      <w:r w:rsidR="00D21E81" w:rsidRPr="00E11CA6">
        <w:rPr>
          <w:sz w:val="22"/>
          <w:szCs w:val="22"/>
        </w:rPr>
        <w:t xml:space="preserve"> include </w:t>
      </w:r>
      <w:r w:rsidR="756620A2" w:rsidRPr="00E11CA6">
        <w:rPr>
          <w:sz w:val="22"/>
          <w:szCs w:val="22"/>
        </w:rPr>
        <w:t>a clear approach to managing fraud across our delivery partners,</w:t>
      </w:r>
      <w:r w:rsidR="4A8D8264" w:rsidRPr="00E11CA6">
        <w:rPr>
          <w:sz w:val="22"/>
          <w:szCs w:val="22"/>
        </w:rPr>
        <w:t xml:space="preserve"> strict definitions of </w:t>
      </w:r>
      <w:r w:rsidR="132CC1F4" w:rsidRPr="00E11CA6">
        <w:rPr>
          <w:sz w:val="22"/>
          <w:szCs w:val="22"/>
        </w:rPr>
        <w:t xml:space="preserve">eligible </w:t>
      </w:r>
      <w:r w:rsidR="4A8D8264" w:rsidRPr="00E11CA6">
        <w:rPr>
          <w:sz w:val="22"/>
          <w:szCs w:val="22"/>
        </w:rPr>
        <w:t>expenditure, institutional processes for making payments to delivery partners that require several level of approval</w:t>
      </w:r>
      <w:r w:rsidR="14BE28E9" w:rsidRPr="00E11CA6">
        <w:rPr>
          <w:sz w:val="22"/>
          <w:szCs w:val="22"/>
        </w:rPr>
        <w:t>s</w:t>
      </w:r>
      <w:r w:rsidR="756620A2" w:rsidRPr="00E11CA6">
        <w:rPr>
          <w:sz w:val="22"/>
          <w:szCs w:val="22"/>
        </w:rPr>
        <w:t xml:space="preserve"> a</w:t>
      </w:r>
      <w:r w:rsidR="6FD2FC53" w:rsidRPr="00E11CA6">
        <w:rPr>
          <w:sz w:val="22"/>
          <w:szCs w:val="22"/>
        </w:rPr>
        <w:t>nd</w:t>
      </w:r>
      <w:r w:rsidR="756620A2" w:rsidRPr="00E11CA6">
        <w:rPr>
          <w:sz w:val="22"/>
          <w:szCs w:val="22"/>
        </w:rPr>
        <w:t xml:space="preserve"> a due diligence process that deemed all our delivery partners to have strong fraud prevention policies</w:t>
      </w:r>
      <w:r w:rsidR="007736CF" w:rsidRPr="00E11CA6">
        <w:rPr>
          <w:sz w:val="22"/>
          <w:szCs w:val="22"/>
        </w:rPr>
        <w:t xml:space="preserve">. </w:t>
      </w:r>
    </w:p>
    <w:p w14:paraId="69F10B12" w14:textId="77777777" w:rsidR="000753C9" w:rsidRDefault="000753C9">
      <w:pPr>
        <w:spacing w:after="160" w:line="259" w:lineRule="auto"/>
      </w:pPr>
      <w:r>
        <w:br w:type="page"/>
      </w:r>
    </w:p>
    <w:p w14:paraId="6CC3C507" w14:textId="77777777" w:rsidR="005219A5" w:rsidRPr="001B18E5" w:rsidRDefault="005219A5" w:rsidP="00943D7A">
      <w:pPr>
        <w:ind w:firstLine="720"/>
      </w:pPr>
    </w:p>
    <w:p w14:paraId="6553C2DF" w14:textId="1EE75EE7" w:rsidR="00B74143" w:rsidRPr="003C5BF3" w:rsidRDefault="00B74143" w:rsidP="00E740B2">
      <w:pPr>
        <w:pStyle w:val="Heading2"/>
      </w:pPr>
      <w:bookmarkStart w:id="22" w:name="_Toc199421671"/>
      <w:r w:rsidRPr="003C5BF3">
        <w:t>Current risks</w:t>
      </w:r>
      <w:bookmarkEnd w:id="22"/>
    </w:p>
    <w:p w14:paraId="7CD7D9F1" w14:textId="77777777" w:rsidR="00B74143" w:rsidRPr="003C5BF3" w:rsidRDefault="00B74143" w:rsidP="004D5FD5">
      <w:pPr>
        <w:contextualSpacing/>
        <w:jc w:val="both"/>
        <w:rPr>
          <w:rFonts w:cs="Arial"/>
          <w:i/>
          <w:iCs/>
          <w:sz w:val="22"/>
          <w:szCs w:val="22"/>
        </w:rPr>
      </w:pPr>
    </w:p>
    <w:tbl>
      <w:tblPr>
        <w:tblStyle w:val="TableGrid"/>
        <w:tblW w:w="0" w:type="auto"/>
        <w:jc w:val="center"/>
        <w:tblLook w:val="04A0" w:firstRow="1" w:lastRow="0" w:firstColumn="1" w:lastColumn="0" w:noHBand="0" w:noVBand="1"/>
      </w:tblPr>
      <w:tblGrid>
        <w:gridCol w:w="3841"/>
        <w:gridCol w:w="3676"/>
        <w:gridCol w:w="1499"/>
      </w:tblGrid>
      <w:tr w:rsidR="00B74143" w:rsidRPr="003C5BF3" w14:paraId="44DB7905" w14:textId="77777777" w:rsidTr="5FFEA993">
        <w:trPr>
          <w:jc w:val="center"/>
        </w:trPr>
        <w:tc>
          <w:tcPr>
            <w:tcW w:w="3841" w:type="dxa"/>
            <w:shd w:val="clear" w:color="auto" w:fill="DEEAF6" w:themeFill="accent5" w:themeFillTint="33"/>
          </w:tcPr>
          <w:p w14:paraId="7FD0E27D" w14:textId="77777777" w:rsidR="00B74143" w:rsidRPr="0091478B" w:rsidRDefault="00B74143" w:rsidP="00537811">
            <w:pPr>
              <w:contextualSpacing/>
              <w:rPr>
                <w:rFonts w:cs="Arial"/>
                <w:b/>
                <w:bCs/>
                <w:sz w:val="20"/>
                <w:szCs w:val="20"/>
              </w:rPr>
            </w:pPr>
            <w:r w:rsidRPr="0091478B">
              <w:rPr>
                <w:rFonts w:cs="Arial"/>
                <w:b/>
                <w:bCs/>
                <w:sz w:val="20"/>
                <w:szCs w:val="20"/>
              </w:rPr>
              <w:t xml:space="preserve">Risk description </w:t>
            </w:r>
          </w:p>
        </w:tc>
        <w:tc>
          <w:tcPr>
            <w:tcW w:w="3676" w:type="dxa"/>
            <w:shd w:val="clear" w:color="auto" w:fill="DEEAF6" w:themeFill="accent5" w:themeFillTint="33"/>
          </w:tcPr>
          <w:p w14:paraId="0B8DE401" w14:textId="77777777" w:rsidR="00B74143" w:rsidRPr="0091478B" w:rsidRDefault="00B74143" w:rsidP="00537811">
            <w:pPr>
              <w:contextualSpacing/>
              <w:rPr>
                <w:rFonts w:cs="Arial"/>
                <w:b/>
                <w:bCs/>
                <w:sz w:val="20"/>
                <w:szCs w:val="20"/>
              </w:rPr>
            </w:pPr>
            <w:r w:rsidRPr="0091478B">
              <w:rPr>
                <w:rFonts w:cs="Arial"/>
                <w:b/>
                <w:bCs/>
                <w:sz w:val="20"/>
                <w:szCs w:val="20"/>
              </w:rPr>
              <w:t xml:space="preserve">Mitigation strategy </w:t>
            </w:r>
          </w:p>
        </w:tc>
        <w:tc>
          <w:tcPr>
            <w:tcW w:w="1499" w:type="dxa"/>
            <w:shd w:val="clear" w:color="auto" w:fill="DEEAF6" w:themeFill="accent5" w:themeFillTint="33"/>
          </w:tcPr>
          <w:p w14:paraId="5D70A0F3" w14:textId="77777777" w:rsidR="00B74143" w:rsidRPr="0091478B" w:rsidRDefault="00B74143" w:rsidP="00537811">
            <w:pPr>
              <w:contextualSpacing/>
              <w:rPr>
                <w:rFonts w:cs="Arial"/>
                <w:b/>
                <w:bCs/>
                <w:sz w:val="20"/>
                <w:szCs w:val="20"/>
              </w:rPr>
            </w:pPr>
            <w:r w:rsidRPr="0091478B">
              <w:rPr>
                <w:rFonts w:cs="Arial"/>
                <w:b/>
                <w:bCs/>
                <w:sz w:val="20"/>
                <w:szCs w:val="20"/>
              </w:rPr>
              <w:t>Residual Risk rating</w:t>
            </w:r>
          </w:p>
        </w:tc>
      </w:tr>
      <w:tr w:rsidR="00B74143" w:rsidRPr="003C5BF3" w14:paraId="38C3D524" w14:textId="77777777" w:rsidTr="5FFEA993">
        <w:trPr>
          <w:jc w:val="center"/>
        </w:trPr>
        <w:tc>
          <w:tcPr>
            <w:tcW w:w="3841" w:type="dxa"/>
          </w:tcPr>
          <w:p w14:paraId="4498CD4F" w14:textId="77777777" w:rsidR="00793654" w:rsidRPr="0091478B" w:rsidRDefault="00793654" w:rsidP="00537811">
            <w:pPr>
              <w:shd w:val="clear" w:color="auto" w:fill="FAFAFA"/>
              <w:spacing w:after="210"/>
              <w:rPr>
                <w:rFonts w:eastAsia="Arial" w:cs="Arial"/>
                <w:color w:val="242424"/>
                <w:sz w:val="20"/>
                <w:szCs w:val="20"/>
              </w:rPr>
            </w:pPr>
            <w:r w:rsidRPr="0091478B">
              <w:rPr>
                <w:rFonts w:eastAsia="Segoe UI" w:cs="Arial"/>
                <w:color w:val="242424"/>
                <w:sz w:val="20"/>
                <w:szCs w:val="20"/>
              </w:rPr>
              <w:t>There is a risk of reduced donor engagement and funding for the NDC Partnership's Support Unit and its implementing partners due to geopolitical changes and concerns about spending transparency. This could lead to decreased Official Development Assistance (ODA) allocations and a reduced focus on climate change by donor countries.</w:t>
            </w:r>
          </w:p>
          <w:p w14:paraId="35093753" w14:textId="77777777" w:rsidR="00793654" w:rsidRPr="0091478B" w:rsidRDefault="00793654" w:rsidP="00537811">
            <w:pPr>
              <w:shd w:val="clear" w:color="auto" w:fill="FAFAFA"/>
              <w:rPr>
                <w:rFonts w:eastAsia="Arial" w:cs="Arial"/>
                <w:color w:val="242424"/>
                <w:sz w:val="20"/>
                <w:szCs w:val="20"/>
              </w:rPr>
            </w:pPr>
            <w:r w:rsidRPr="0091478B">
              <w:rPr>
                <w:rFonts w:eastAsia="Segoe UI" w:cs="Arial"/>
                <w:color w:val="242424"/>
                <w:sz w:val="20"/>
                <w:szCs w:val="20"/>
              </w:rPr>
              <w:t>The impact includes a diminished ability of the Support Unit to facilitate key functions like matchmaking and knowledge sharing, and reduced support for developing countries. This may result in lower impact and ambition in developing, enhancing, and implementing NDCs.</w:t>
            </w:r>
          </w:p>
          <w:p w14:paraId="32BEA07D" w14:textId="77777777" w:rsidR="00B74143" w:rsidRPr="0091478B" w:rsidRDefault="00B74143" w:rsidP="00537811">
            <w:pPr>
              <w:contextualSpacing/>
              <w:rPr>
                <w:rFonts w:cs="Arial"/>
                <w:b/>
                <w:bCs/>
                <w:sz w:val="20"/>
                <w:szCs w:val="20"/>
              </w:rPr>
            </w:pPr>
          </w:p>
        </w:tc>
        <w:tc>
          <w:tcPr>
            <w:tcW w:w="3676" w:type="dxa"/>
          </w:tcPr>
          <w:p w14:paraId="3EDBA355" w14:textId="77777777" w:rsidR="00E8176C" w:rsidRPr="0091478B" w:rsidRDefault="00E8176C" w:rsidP="00537811">
            <w:pPr>
              <w:shd w:val="clear" w:color="auto" w:fill="FAFAFA"/>
              <w:spacing w:after="210"/>
              <w:contextualSpacing/>
              <w:rPr>
                <w:rFonts w:eastAsia="Arial" w:cs="Arial"/>
                <w:b/>
                <w:bCs/>
                <w:sz w:val="20"/>
                <w:szCs w:val="20"/>
              </w:rPr>
            </w:pPr>
            <w:r w:rsidRPr="0091478B">
              <w:rPr>
                <w:rFonts w:eastAsia="Segoe UI" w:cs="Arial"/>
                <w:color w:val="242424"/>
                <w:sz w:val="20"/>
                <w:szCs w:val="20"/>
              </w:rPr>
              <w:t>Collaborate with the Support Unit to maintain core functions despite potential financial shortfalls.</w:t>
            </w:r>
          </w:p>
          <w:p w14:paraId="0B15D045" w14:textId="77777777" w:rsidR="00E8176C" w:rsidRPr="0091478B" w:rsidRDefault="00E8176C" w:rsidP="00537811">
            <w:pPr>
              <w:shd w:val="clear" w:color="auto" w:fill="FAFAFA"/>
              <w:spacing w:after="210"/>
              <w:contextualSpacing/>
              <w:rPr>
                <w:rFonts w:eastAsia="Arial" w:cs="Arial"/>
                <w:color w:val="242424"/>
                <w:sz w:val="20"/>
                <w:szCs w:val="20"/>
              </w:rPr>
            </w:pPr>
          </w:p>
          <w:p w14:paraId="5EE3991E" w14:textId="77777777" w:rsidR="00E8176C" w:rsidRPr="0091478B" w:rsidRDefault="00E8176C" w:rsidP="00537811">
            <w:pPr>
              <w:shd w:val="clear" w:color="auto" w:fill="FAFAFA"/>
              <w:spacing w:after="210"/>
              <w:contextualSpacing/>
              <w:rPr>
                <w:rFonts w:eastAsia="Arial" w:cs="Arial"/>
                <w:color w:val="242424"/>
                <w:sz w:val="20"/>
                <w:szCs w:val="20"/>
              </w:rPr>
            </w:pPr>
            <w:r w:rsidRPr="0091478B">
              <w:rPr>
                <w:rFonts w:eastAsia="Segoe UI" w:cs="Arial"/>
                <w:color w:val="242424"/>
                <w:sz w:val="20"/>
                <w:szCs w:val="20"/>
              </w:rPr>
              <w:t xml:space="preserve">Leverage our position within the Steering Committee to advocate for enhanced transparency and increased oversight of spending. </w:t>
            </w:r>
          </w:p>
          <w:p w14:paraId="5C75FAA0" w14:textId="77777777" w:rsidR="00E8176C" w:rsidRPr="0091478B" w:rsidRDefault="00E8176C" w:rsidP="00537811">
            <w:pPr>
              <w:shd w:val="clear" w:color="auto" w:fill="FAFAFA"/>
              <w:spacing w:after="210"/>
              <w:contextualSpacing/>
              <w:rPr>
                <w:rFonts w:eastAsia="Arial" w:cs="Arial"/>
                <w:color w:val="242424"/>
                <w:sz w:val="20"/>
                <w:szCs w:val="20"/>
              </w:rPr>
            </w:pPr>
          </w:p>
          <w:p w14:paraId="351CA717" w14:textId="77777777" w:rsidR="00E8176C" w:rsidRPr="0091478B" w:rsidRDefault="00E8176C" w:rsidP="00537811">
            <w:pPr>
              <w:shd w:val="clear" w:color="auto" w:fill="FAFAFA"/>
              <w:spacing w:after="210"/>
              <w:contextualSpacing/>
              <w:rPr>
                <w:rFonts w:eastAsia="Segoe UI" w:cs="Arial"/>
                <w:color w:val="242424"/>
                <w:sz w:val="20"/>
                <w:szCs w:val="20"/>
              </w:rPr>
            </w:pPr>
            <w:r w:rsidRPr="0091478B">
              <w:rPr>
                <w:rFonts w:eastAsia="Segoe UI" w:cs="Arial"/>
                <w:color w:val="242424"/>
                <w:sz w:val="20"/>
                <w:szCs w:val="20"/>
              </w:rPr>
              <w:t xml:space="preserve">Contribute to the development of the 2026-2030 work programme, ensuring it reflects the realities of a lower-ODA world. </w:t>
            </w:r>
          </w:p>
          <w:p w14:paraId="0046659D" w14:textId="77777777" w:rsidR="00E85BA5" w:rsidRPr="0091478B" w:rsidRDefault="00E85BA5" w:rsidP="00537811">
            <w:pPr>
              <w:shd w:val="clear" w:color="auto" w:fill="FAFAFA"/>
              <w:spacing w:after="210"/>
              <w:contextualSpacing/>
              <w:rPr>
                <w:rFonts w:eastAsia="Arial" w:cs="Arial"/>
                <w:b/>
                <w:bCs/>
                <w:sz w:val="20"/>
                <w:szCs w:val="20"/>
              </w:rPr>
            </w:pPr>
          </w:p>
          <w:p w14:paraId="2742E477" w14:textId="77777777" w:rsidR="00E8176C" w:rsidRPr="0091478B" w:rsidRDefault="00E8176C" w:rsidP="00537811">
            <w:pPr>
              <w:shd w:val="clear" w:color="auto" w:fill="FAFAFA"/>
              <w:spacing w:after="210"/>
              <w:contextualSpacing/>
              <w:rPr>
                <w:rFonts w:eastAsia="Arial" w:cs="Arial"/>
                <w:b/>
                <w:bCs/>
                <w:sz w:val="20"/>
                <w:szCs w:val="20"/>
              </w:rPr>
            </w:pPr>
            <w:r w:rsidRPr="0091478B">
              <w:rPr>
                <w:rFonts w:eastAsia="Segoe UI" w:cs="Arial"/>
                <w:color w:val="242424"/>
                <w:sz w:val="20"/>
                <w:szCs w:val="20"/>
              </w:rPr>
              <w:t>Support philanthropic engagement to lessen reliance on public finance and work internally to align with initiatives like the GCF readiness fund.</w:t>
            </w:r>
          </w:p>
          <w:p w14:paraId="561FB5EC" w14:textId="77777777" w:rsidR="00B74143" w:rsidRPr="0091478B" w:rsidRDefault="00B74143" w:rsidP="00537811">
            <w:pPr>
              <w:contextualSpacing/>
              <w:rPr>
                <w:rFonts w:cs="Arial"/>
                <w:b/>
                <w:bCs/>
                <w:sz w:val="20"/>
                <w:szCs w:val="20"/>
              </w:rPr>
            </w:pPr>
          </w:p>
        </w:tc>
        <w:tc>
          <w:tcPr>
            <w:tcW w:w="1499" w:type="dxa"/>
            <w:shd w:val="clear" w:color="auto" w:fill="ED7D31" w:themeFill="accent2"/>
          </w:tcPr>
          <w:p w14:paraId="199308C3" w14:textId="7E765C2F" w:rsidR="00B74143" w:rsidRPr="0091478B" w:rsidRDefault="00E26862" w:rsidP="00537811">
            <w:pPr>
              <w:contextualSpacing/>
              <w:rPr>
                <w:rFonts w:cs="Arial"/>
                <w:sz w:val="20"/>
                <w:szCs w:val="20"/>
              </w:rPr>
            </w:pPr>
            <w:r w:rsidRPr="0091478B">
              <w:rPr>
                <w:rFonts w:cs="Arial"/>
                <w:sz w:val="20"/>
                <w:szCs w:val="20"/>
              </w:rPr>
              <w:t>Major</w:t>
            </w:r>
          </w:p>
        </w:tc>
      </w:tr>
      <w:tr w:rsidR="00D0302B" w:rsidRPr="003C5BF3" w14:paraId="4130C0B9" w14:textId="77777777" w:rsidTr="5FFEA993">
        <w:trPr>
          <w:jc w:val="center"/>
        </w:trPr>
        <w:tc>
          <w:tcPr>
            <w:tcW w:w="3841" w:type="dxa"/>
          </w:tcPr>
          <w:p w14:paraId="30A6472E" w14:textId="77777777" w:rsidR="00FB03A1" w:rsidRPr="0091478B" w:rsidRDefault="00FB03A1" w:rsidP="00537811">
            <w:pPr>
              <w:contextualSpacing/>
              <w:rPr>
                <w:rFonts w:cs="Arial"/>
                <w:sz w:val="20"/>
                <w:szCs w:val="20"/>
              </w:rPr>
            </w:pPr>
            <w:r w:rsidRPr="0091478B">
              <w:rPr>
                <w:rFonts w:cs="Arial"/>
                <w:sz w:val="20"/>
                <w:szCs w:val="20"/>
              </w:rPr>
              <w:t xml:space="preserve">There is a risk that the new 2026-2030 work program that is being developed this year will not correspond to the UK’s climate and development priorities. </w:t>
            </w:r>
          </w:p>
          <w:p w14:paraId="76056F06" w14:textId="77777777" w:rsidR="00FB03A1" w:rsidRPr="0091478B" w:rsidRDefault="00FB03A1" w:rsidP="00537811">
            <w:pPr>
              <w:contextualSpacing/>
              <w:rPr>
                <w:rFonts w:cs="Arial"/>
                <w:sz w:val="20"/>
                <w:szCs w:val="20"/>
              </w:rPr>
            </w:pPr>
          </w:p>
          <w:p w14:paraId="498125AD" w14:textId="77777777" w:rsidR="00FB03A1" w:rsidRPr="0091478B" w:rsidRDefault="00FB03A1" w:rsidP="00537811">
            <w:pPr>
              <w:contextualSpacing/>
              <w:rPr>
                <w:rFonts w:cs="Arial"/>
                <w:sz w:val="20"/>
                <w:szCs w:val="20"/>
              </w:rPr>
            </w:pPr>
            <w:r w:rsidRPr="0091478B">
              <w:rPr>
                <w:rFonts w:cs="Arial"/>
                <w:sz w:val="20"/>
                <w:szCs w:val="20"/>
              </w:rPr>
              <w:t xml:space="preserve">This is due to the multilateral nature of the partnership and the conflicting views between donor countries, developing countries and implementing/development partners as to the core function of the partnership including its overall role in the climate finance space and how it should be supporting countries/the Paris Agreement processes. </w:t>
            </w:r>
          </w:p>
          <w:p w14:paraId="7A8F3848" w14:textId="77777777" w:rsidR="00FB03A1" w:rsidRPr="0091478B" w:rsidRDefault="00FB03A1" w:rsidP="00537811">
            <w:pPr>
              <w:contextualSpacing/>
              <w:rPr>
                <w:rFonts w:cs="Arial"/>
                <w:sz w:val="20"/>
                <w:szCs w:val="20"/>
              </w:rPr>
            </w:pPr>
          </w:p>
          <w:p w14:paraId="4224FEA6" w14:textId="77777777" w:rsidR="00D0302B" w:rsidRPr="0091478B" w:rsidRDefault="00FB03A1" w:rsidP="00537811">
            <w:pPr>
              <w:contextualSpacing/>
              <w:rPr>
                <w:rFonts w:cs="Arial"/>
                <w:sz w:val="20"/>
                <w:szCs w:val="20"/>
              </w:rPr>
            </w:pPr>
            <w:r w:rsidRPr="0091478B">
              <w:rPr>
                <w:rFonts w:cs="Arial"/>
                <w:sz w:val="20"/>
                <w:szCs w:val="20"/>
              </w:rPr>
              <w:t>The impact of this would be reduced impact of the processes and funding that we have put in place under the ‘NDC Partnership extension business case’, as well as reduced engagement across HMG should the Partnership’s remit and role not align with UK priorities.</w:t>
            </w:r>
          </w:p>
          <w:p w14:paraId="16302730" w14:textId="636F2B93" w:rsidR="009C044B" w:rsidRPr="0091478B" w:rsidRDefault="009C044B" w:rsidP="00537811">
            <w:pPr>
              <w:contextualSpacing/>
              <w:rPr>
                <w:rFonts w:cs="Arial"/>
                <w:b/>
                <w:bCs/>
                <w:sz w:val="20"/>
                <w:szCs w:val="20"/>
              </w:rPr>
            </w:pPr>
          </w:p>
        </w:tc>
        <w:tc>
          <w:tcPr>
            <w:tcW w:w="3676" w:type="dxa"/>
          </w:tcPr>
          <w:p w14:paraId="570F53E8" w14:textId="75C66501" w:rsidR="00317189" w:rsidRPr="0091478B" w:rsidRDefault="00317189" w:rsidP="00537811">
            <w:pPr>
              <w:contextualSpacing/>
              <w:rPr>
                <w:rFonts w:cs="Arial"/>
                <w:sz w:val="20"/>
                <w:szCs w:val="20"/>
              </w:rPr>
            </w:pPr>
            <w:r w:rsidRPr="0091478B">
              <w:rPr>
                <w:rFonts w:cs="Arial"/>
                <w:sz w:val="20"/>
                <w:szCs w:val="20"/>
              </w:rPr>
              <w:t>We will collaborate with the Support Unit and other donors to ensure our priorities are reflected in the NWP and as a SC member. This includes:</w:t>
            </w:r>
          </w:p>
          <w:p w14:paraId="4934196B" w14:textId="77777777" w:rsidR="00742AD2" w:rsidRPr="0091478B" w:rsidRDefault="00742AD2" w:rsidP="00537811">
            <w:pPr>
              <w:contextualSpacing/>
              <w:rPr>
                <w:rFonts w:cs="Arial"/>
                <w:sz w:val="20"/>
                <w:szCs w:val="20"/>
              </w:rPr>
            </w:pPr>
          </w:p>
          <w:p w14:paraId="0212D203" w14:textId="15A296F3" w:rsidR="00317189" w:rsidRPr="0091478B" w:rsidRDefault="00317189" w:rsidP="00537811">
            <w:pPr>
              <w:pStyle w:val="ListParagraph"/>
              <w:numPr>
                <w:ilvl w:val="0"/>
                <w:numId w:val="65"/>
              </w:numPr>
              <w:rPr>
                <w:rFonts w:cs="Arial"/>
                <w:sz w:val="20"/>
              </w:rPr>
            </w:pPr>
            <w:r w:rsidRPr="0091478B">
              <w:rPr>
                <w:rFonts w:cs="Arial"/>
                <w:sz w:val="20"/>
              </w:rPr>
              <w:t xml:space="preserve">Advocating for a clearer position on the role for the Partnership, focusing on core government capability and institutional capacity building. </w:t>
            </w:r>
          </w:p>
          <w:p w14:paraId="270F71B1" w14:textId="35BA35B3" w:rsidR="00317189" w:rsidRPr="0091478B" w:rsidRDefault="00317189" w:rsidP="00537811">
            <w:pPr>
              <w:pStyle w:val="ListParagraph"/>
              <w:numPr>
                <w:ilvl w:val="0"/>
                <w:numId w:val="65"/>
              </w:numPr>
              <w:rPr>
                <w:rFonts w:cs="Arial"/>
                <w:sz w:val="20"/>
              </w:rPr>
            </w:pPr>
            <w:r w:rsidRPr="0091478B">
              <w:rPr>
                <w:rFonts w:cs="Arial"/>
                <w:sz w:val="20"/>
              </w:rPr>
              <w:t xml:space="preserve">Strengthening engagement with Ministries of Finance and overall Whole of Government approaches. </w:t>
            </w:r>
          </w:p>
          <w:p w14:paraId="505C27D1" w14:textId="5E14B294" w:rsidR="00D0302B" w:rsidRPr="0091478B" w:rsidRDefault="00317189" w:rsidP="00537811">
            <w:pPr>
              <w:pStyle w:val="ListParagraph"/>
              <w:numPr>
                <w:ilvl w:val="0"/>
                <w:numId w:val="65"/>
              </w:numPr>
              <w:rPr>
                <w:rFonts w:cs="Arial"/>
                <w:b/>
                <w:bCs/>
                <w:sz w:val="20"/>
              </w:rPr>
            </w:pPr>
            <w:r w:rsidRPr="0091478B">
              <w:rPr>
                <w:rFonts w:cs="Arial"/>
                <w:sz w:val="20"/>
              </w:rPr>
              <w:t>Ensure the N</w:t>
            </w:r>
            <w:r w:rsidR="00645F8E" w:rsidRPr="0091478B">
              <w:rPr>
                <w:rFonts w:cs="Arial"/>
                <w:sz w:val="20"/>
              </w:rPr>
              <w:t>ew</w:t>
            </w:r>
            <w:r w:rsidR="00D564C4" w:rsidRPr="0091478B">
              <w:rPr>
                <w:rFonts w:cs="Arial"/>
                <w:sz w:val="20"/>
              </w:rPr>
              <w:t xml:space="preserve"> Work </w:t>
            </w:r>
            <w:r w:rsidRPr="0091478B">
              <w:rPr>
                <w:rFonts w:cs="Arial"/>
                <w:sz w:val="20"/>
              </w:rPr>
              <w:t>P</w:t>
            </w:r>
            <w:r w:rsidR="00D564C4" w:rsidRPr="0091478B">
              <w:rPr>
                <w:rFonts w:cs="Arial"/>
                <w:sz w:val="20"/>
              </w:rPr>
              <w:t>rogramme</w:t>
            </w:r>
            <w:r w:rsidRPr="0091478B">
              <w:rPr>
                <w:rFonts w:cs="Arial"/>
                <w:sz w:val="20"/>
              </w:rPr>
              <w:t xml:space="preserve"> is socialised outside of the steering committee and can be used to influence seniors in relevant institutions like the MDBs and vertical funds such as the GCF.</w:t>
            </w:r>
          </w:p>
        </w:tc>
        <w:tc>
          <w:tcPr>
            <w:tcW w:w="1499" w:type="dxa"/>
            <w:shd w:val="clear" w:color="auto" w:fill="00B050"/>
          </w:tcPr>
          <w:p w14:paraId="7A704C6C" w14:textId="3E313DA7" w:rsidR="00D0302B" w:rsidRPr="0091478B" w:rsidRDefault="000D608F" w:rsidP="00537811">
            <w:pPr>
              <w:contextualSpacing/>
              <w:rPr>
                <w:rFonts w:cs="Arial"/>
                <w:sz w:val="20"/>
                <w:szCs w:val="20"/>
              </w:rPr>
            </w:pPr>
            <w:r w:rsidRPr="0091478B">
              <w:rPr>
                <w:rFonts w:cs="Arial"/>
                <w:sz w:val="20"/>
                <w:szCs w:val="20"/>
              </w:rPr>
              <w:t>M</w:t>
            </w:r>
            <w:r w:rsidR="00356D45" w:rsidRPr="0091478B">
              <w:rPr>
                <w:rFonts w:cs="Arial"/>
                <w:sz w:val="20"/>
                <w:szCs w:val="20"/>
              </w:rPr>
              <w:t>inor</w:t>
            </w:r>
            <w:r w:rsidRPr="0091478B">
              <w:rPr>
                <w:rFonts w:cs="Arial"/>
                <w:sz w:val="20"/>
                <w:szCs w:val="20"/>
              </w:rPr>
              <w:t xml:space="preserve"> </w:t>
            </w:r>
          </w:p>
        </w:tc>
      </w:tr>
      <w:tr w:rsidR="00D0302B" w:rsidRPr="003C5BF3" w14:paraId="7BF9B575" w14:textId="77777777" w:rsidTr="5FFEA993">
        <w:trPr>
          <w:jc w:val="center"/>
        </w:trPr>
        <w:tc>
          <w:tcPr>
            <w:tcW w:w="3841" w:type="dxa"/>
          </w:tcPr>
          <w:p w14:paraId="6D2C275E" w14:textId="57DA7071" w:rsidR="00D0302B" w:rsidRPr="0091478B" w:rsidRDefault="00393026" w:rsidP="00537811">
            <w:pPr>
              <w:contextualSpacing/>
              <w:rPr>
                <w:rFonts w:cs="Arial"/>
                <w:sz w:val="20"/>
                <w:szCs w:val="20"/>
              </w:rPr>
            </w:pPr>
            <w:r w:rsidRPr="0091478B">
              <w:rPr>
                <w:rFonts w:cs="Arial"/>
                <w:sz w:val="20"/>
                <w:szCs w:val="20"/>
              </w:rPr>
              <w:t xml:space="preserve">There is a risk that, due to the </w:t>
            </w:r>
            <w:r w:rsidR="43845063" w:rsidRPr="0091478B">
              <w:rPr>
                <w:rFonts w:cs="Arial"/>
                <w:sz w:val="20"/>
                <w:szCs w:val="20"/>
              </w:rPr>
              <w:t xml:space="preserve">planned </w:t>
            </w:r>
            <w:r w:rsidRPr="0091478B">
              <w:rPr>
                <w:rFonts w:cs="Arial"/>
                <w:sz w:val="20"/>
                <w:szCs w:val="20"/>
              </w:rPr>
              <w:t>cuts in ODA spend and the fact that the lifetime of the business case is across multiple spending review periods</w:t>
            </w:r>
            <w:r w:rsidR="00091323" w:rsidRPr="0091478B">
              <w:rPr>
                <w:rFonts w:cs="Arial"/>
                <w:sz w:val="20"/>
                <w:szCs w:val="20"/>
              </w:rPr>
              <w:t xml:space="preserve"> that </w:t>
            </w:r>
            <w:r w:rsidRPr="0091478B">
              <w:rPr>
                <w:rFonts w:cs="Arial"/>
                <w:sz w:val="20"/>
                <w:szCs w:val="20"/>
              </w:rPr>
              <w:t xml:space="preserve">there will be a decreased budget for ICF programming, which would likely lead to a </w:t>
            </w:r>
            <w:r w:rsidR="009321EF" w:rsidRPr="0091478B">
              <w:rPr>
                <w:rFonts w:cs="Arial"/>
                <w:sz w:val="20"/>
                <w:szCs w:val="20"/>
              </w:rPr>
              <w:t>reductions in</w:t>
            </w:r>
            <w:r w:rsidRPr="0091478B">
              <w:rPr>
                <w:rFonts w:cs="Arial"/>
                <w:sz w:val="20"/>
                <w:szCs w:val="20"/>
              </w:rPr>
              <w:t xml:space="preserve"> UK's contribution to NDC Partnership's budget</w:t>
            </w:r>
            <w:r w:rsidR="67186C45" w:rsidRPr="0091478B">
              <w:rPr>
                <w:rFonts w:cs="Arial"/>
                <w:sz w:val="20"/>
                <w:szCs w:val="20"/>
              </w:rPr>
              <w:t>.</w:t>
            </w:r>
          </w:p>
        </w:tc>
        <w:tc>
          <w:tcPr>
            <w:tcW w:w="3676" w:type="dxa"/>
          </w:tcPr>
          <w:p w14:paraId="3EB065F9" w14:textId="77777777" w:rsidR="000270FA" w:rsidRPr="0091478B" w:rsidRDefault="000270FA" w:rsidP="00537811">
            <w:pPr>
              <w:contextualSpacing/>
              <w:rPr>
                <w:rFonts w:cs="Arial"/>
                <w:sz w:val="20"/>
                <w:szCs w:val="20"/>
              </w:rPr>
            </w:pPr>
            <w:r w:rsidRPr="0091478B">
              <w:rPr>
                <w:rFonts w:cs="Arial"/>
                <w:sz w:val="20"/>
                <w:szCs w:val="20"/>
              </w:rPr>
              <w:t xml:space="preserve">We have all Ministerial and HMT approvals and will also be working on the case for the added value of the UK's contribution for NDC Partnership for the review of the wider ICF Portfolio. </w:t>
            </w:r>
          </w:p>
          <w:p w14:paraId="1044E7F6" w14:textId="77777777" w:rsidR="000270FA" w:rsidRPr="0091478B" w:rsidRDefault="000270FA" w:rsidP="00537811">
            <w:pPr>
              <w:contextualSpacing/>
              <w:rPr>
                <w:rFonts w:cs="Arial"/>
                <w:sz w:val="20"/>
                <w:szCs w:val="20"/>
              </w:rPr>
            </w:pPr>
          </w:p>
          <w:p w14:paraId="2AEE40CA" w14:textId="77777777" w:rsidR="00D0302B" w:rsidRPr="0091478B" w:rsidRDefault="000270FA" w:rsidP="00537811">
            <w:pPr>
              <w:contextualSpacing/>
              <w:rPr>
                <w:rFonts w:cs="Arial"/>
                <w:sz w:val="20"/>
                <w:szCs w:val="20"/>
              </w:rPr>
            </w:pPr>
            <w:r w:rsidRPr="0091478B">
              <w:rPr>
                <w:rFonts w:cs="Arial"/>
                <w:sz w:val="20"/>
                <w:szCs w:val="20"/>
              </w:rPr>
              <w:t xml:space="preserve">Ensure that it is possible to scale down or fully withdraw in future if budget is cut or insufficient funds secured in future SR exercises via the use of </w:t>
            </w:r>
            <w:r w:rsidRPr="0091478B">
              <w:rPr>
                <w:rFonts w:cs="Arial"/>
                <w:sz w:val="20"/>
                <w:szCs w:val="20"/>
              </w:rPr>
              <w:lastRenderedPageBreak/>
              <w:t>flexible agreements, gradual paying out of funds and the annual decision-making processes to allocate funding across all the elements.</w:t>
            </w:r>
          </w:p>
          <w:p w14:paraId="51EF2C12" w14:textId="3E838E6D" w:rsidR="00742AD2" w:rsidRPr="0091478B" w:rsidRDefault="00742AD2" w:rsidP="00537811">
            <w:pPr>
              <w:contextualSpacing/>
              <w:rPr>
                <w:rFonts w:cs="Arial"/>
                <w:sz w:val="20"/>
                <w:szCs w:val="20"/>
              </w:rPr>
            </w:pPr>
          </w:p>
        </w:tc>
        <w:tc>
          <w:tcPr>
            <w:tcW w:w="1499" w:type="dxa"/>
            <w:shd w:val="clear" w:color="auto" w:fill="ED7D31" w:themeFill="accent2"/>
          </w:tcPr>
          <w:p w14:paraId="5F7A902B" w14:textId="3BBDB813" w:rsidR="00D0302B" w:rsidRPr="0091478B" w:rsidRDefault="00A761A8" w:rsidP="00537811">
            <w:pPr>
              <w:contextualSpacing/>
              <w:rPr>
                <w:rFonts w:cs="Arial"/>
                <w:sz w:val="20"/>
                <w:szCs w:val="20"/>
              </w:rPr>
            </w:pPr>
            <w:r w:rsidRPr="0091478B">
              <w:rPr>
                <w:rFonts w:cs="Arial"/>
                <w:sz w:val="20"/>
                <w:szCs w:val="20"/>
              </w:rPr>
              <w:lastRenderedPageBreak/>
              <w:t>Major</w:t>
            </w:r>
          </w:p>
        </w:tc>
      </w:tr>
      <w:tr w:rsidR="00E0019B" w:rsidRPr="003C5BF3" w14:paraId="1F77452D" w14:textId="77777777" w:rsidTr="5FFEA993">
        <w:trPr>
          <w:jc w:val="center"/>
        </w:trPr>
        <w:tc>
          <w:tcPr>
            <w:tcW w:w="3841" w:type="dxa"/>
          </w:tcPr>
          <w:p w14:paraId="5EDD4CEB" w14:textId="62D6450D" w:rsidR="00E0019B" w:rsidRPr="0091478B" w:rsidRDefault="00E0019B" w:rsidP="00537811">
            <w:pPr>
              <w:contextualSpacing/>
              <w:rPr>
                <w:rFonts w:cs="Arial"/>
                <w:sz w:val="20"/>
                <w:szCs w:val="20"/>
              </w:rPr>
            </w:pPr>
            <w:r w:rsidRPr="0091478B">
              <w:rPr>
                <w:rFonts w:cs="Arial"/>
                <w:sz w:val="20"/>
                <w:szCs w:val="20"/>
              </w:rPr>
              <w:t>In relation to the risk above, there is an additional risk that we will not be able to procure an independent MEL partner as set out in the Business Case, due to the reduced budget and the need to prioritize core delivery of the support to the NDC Partnership.</w:t>
            </w:r>
          </w:p>
        </w:tc>
        <w:tc>
          <w:tcPr>
            <w:tcW w:w="3676" w:type="dxa"/>
          </w:tcPr>
          <w:p w14:paraId="6ADCB0CE" w14:textId="6ADBA772" w:rsidR="00E0019B" w:rsidRPr="0091478B" w:rsidRDefault="00E0019B" w:rsidP="00537811">
            <w:pPr>
              <w:contextualSpacing/>
              <w:rPr>
                <w:rFonts w:cs="Arial"/>
                <w:sz w:val="20"/>
                <w:szCs w:val="20"/>
              </w:rPr>
            </w:pPr>
            <w:r w:rsidRPr="0091478B">
              <w:rPr>
                <w:rFonts w:cs="Arial"/>
                <w:sz w:val="20"/>
                <w:szCs w:val="20"/>
              </w:rPr>
              <w:t xml:space="preserve">We are working on different scenarios based on the funding availability and the need to prioritize different workstreams. We will also be working closely with the analyst team to establish the best way forward. </w:t>
            </w:r>
          </w:p>
        </w:tc>
        <w:tc>
          <w:tcPr>
            <w:tcW w:w="1499" w:type="dxa"/>
            <w:shd w:val="clear" w:color="auto" w:fill="FFC000" w:themeFill="accent4"/>
          </w:tcPr>
          <w:p w14:paraId="2F77BC15" w14:textId="65E76E3F" w:rsidR="00E0019B" w:rsidRPr="0091478B" w:rsidRDefault="00E0019B" w:rsidP="00537811">
            <w:pPr>
              <w:contextualSpacing/>
              <w:rPr>
                <w:rFonts w:cs="Arial"/>
                <w:sz w:val="20"/>
                <w:szCs w:val="20"/>
              </w:rPr>
            </w:pPr>
            <w:r w:rsidRPr="0091478B">
              <w:rPr>
                <w:rFonts w:cs="Arial"/>
                <w:sz w:val="20"/>
                <w:szCs w:val="20"/>
              </w:rPr>
              <w:t xml:space="preserve">Moderate </w:t>
            </w:r>
          </w:p>
        </w:tc>
      </w:tr>
      <w:tr w:rsidR="00252DCC" w:rsidRPr="003C5BF3" w14:paraId="660A6176" w14:textId="77777777" w:rsidTr="5FFEA993">
        <w:trPr>
          <w:jc w:val="center"/>
        </w:trPr>
        <w:tc>
          <w:tcPr>
            <w:tcW w:w="3841" w:type="dxa"/>
          </w:tcPr>
          <w:p w14:paraId="5BC2E0C1" w14:textId="109BD21F" w:rsidR="00252DCC" w:rsidRPr="0091478B" w:rsidRDefault="39BB97B6" w:rsidP="00537811">
            <w:pPr>
              <w:contextualSpacing/>
              <w:rPr>
                <w:rFonts w:cs="Arial"/>
                <w:sz w:val="20"/>
                <w:szCs w:val="20"/>
              </w:rPr>
            </w:pPr>
            <w:r w:rsidRPr="0091478B">
              <w:rPr>
                <w:rFonts w:eastAsia="Calibri" w:cs="Arial"/>
                <w:color w:val="000000" w:themeColor="text1"/>
                <w:sz w:val="20"/>
                <w:szCs w:val="20"/>
              </w:rPr>
              <w:t>There is the risk that safeguarding and/or fraud issues may arise</w:t>
            </w:r>
            <w:r w:rsidR="29879394" w:rsidRPr="0091478B">
              <w:rPr>
                <w:rFonts w:eastAsia="Calibri" w:cs="Arial"/>
                <w:color w:val="000000" w:themeColor="text1"/>
                <w:sz w:val="20"/>
                <w:szCs w:val="20"/>
              </w:rPr>
              <w:t>. This is a particular risk for the CEF and PAF where we are funding individuals embedded within governments.</w:t>
            </w:r>
            <w:r w:rsidR="00D564C4" w:rsidRPr="0091478B">
              <w:rPr>
                <w:rFonts w:eastAsia="Calibri" w:cs="Arial"/>
                <w:color w:val="000000" w:themeColor="text1"/>
                <w:sz w:val="20"/>
                <w:szCs w:val="20"/>
              </w:rPr>
              <w:t xml:space="preserve"> </w:t>
            </w:r>
            <w:r w:rsidRPr="0091478B">
              <w:rPr>
                <w:rFonts w:eastAsia="Calibri" w:cs="Arial"/>
                <w:color w:val="000000" w:themeColor="text1"/>
                <w:sz w:val="20"/>
                <w:szCs w:val="20"/>
              </w:rPr>
              <w:t>This may result in long investigations that could hinder delivery and may cause reputational damage if not handle properly</w:t>
            </w:r>
            <w:r w:rsidR="7B06F02B" w:rsidRPr="0091478B">
              <w:rPr>
                <w:rFonts w:eastAsia="Calibri" w:cs="Arial"/>
                <w:color w:val="000000" w:themeColor="text1"/>
                <w:sz w:val="20"/>
                <w:szCs w:val="20"/>
              </w:rPr>
              <w:t xml:space="preserve">. </w:t>
            </w:r>
          </w:p>
        </w:tc>
        <w:tc>
          <w:tcPr>
            <w:tcW w:w="3676" w:type="dxa"/>
          </w:tcPr>
          <w:p w14:paraId="0ABCE7A5" w14:textId="171C5D6C" w:rsidR="00B074DB" w:rsidRPr="0091478B" w:rsidRDefault="00B074DB" w:rsidP="00537811">
            <w:pPr>
              <w:contextualSpacing/>
              <w:rPr>
                <w:rFonts w:cs="Arial"/>
                <w:sz w:val="20"/>
                <w:szCs w:val="20"/>
              </w:rPr>
            </w:pPr>
            <w:r w:rsidRPr="0091478B">
              <w:rPr>
                <w:rFonts w:cs="Arial"/>
                <w:sz w:val="20"/>
                <w:szCs w:val="20"/>
              </w:rPr>
              <w:t xml:space="preserve">UNOPS are responsible for ensuring there are no safeguarding </w:t>
            </w:r>
            <w:r w:rsidR="00CF0E7E" w:rsidRPr="0091478B">
              <w:rPr>
                <w:rFonts w:cs="Arial"/>
                <w:sz w:val="20"/>
                <w:szCs w:val="20"/>
              </w:rPr>
              <w:t>or</w:t>
            </w:r>
            <w:r w:rsidRPr="0091478B">
              <w:rPr>
                <w:rFonts w:cs="Arial"/>
                <w:sz w:val="20"/>
                <w:szCs w:val="20"/>
              </w:rPr>
              <w:t xml:space="preserve"> fraud issues</w:t>
            </w:r>
            <w:r w:rsidR="00CF0E7E" w:rsidRPr="0091478B">
              <w:rPr>
                <w:rFonts w:cs="Arial"/>
                <w:sz w:val="20"/>
                <w:szCs w:val="20"/>
              </w:rPr>
              <w:t xml:space="preserve"> relating to the recruitment of embedded advisors via the Country Engagement Fund and the PAF. </w:t>
            </w:r>
          </w:p>
          <w:p w14:paraId="0C0F4F0E" w14:textId="77777777" w:rsidR="00B074DB" w:rsidRPr="0091478B" w:rsidRDefault="00B074DB" w:rsidP="00537811">
            <w:pPr>
              <w:contextualSpacing/>
              <w:rPr>
                <w:rFonts w:cs="Arial"/>
                <w:sz w:val="20"/>
                <w:szCs w:val="20"/>
              </w:rPr>
            </w:pPr>
          </w:p>
          <w:p w14:paraId="216C0899" w14:textId="77777777" w:rsidR="00252DCC" w:rsidRPr="0091478B" w:rsidRDefault="00B074DB" w:rsidP="00537811">
            <w:pPr>
              <w:contextualSpacing/>
              <w:rPr>
                <w:rFonts w:cs="Arial"/>
                <w:sz w:val="20"/>
                <w:szCs w:val="20"/>
              </w:rPr>
            </w:pPr>
            <w:r w:rsidRPr="0091478B">
              <w:rPr>
                <w:rFonts w:cs="Arial"/>
                <w:sz w:val="20"/>
                <w:szCs w:val="20"/>
              </w:rPr>
              <w:t xml:space="preserve">In the </w:t>
            </w:r>
            <w:r w:rsidR="00CF0E7E" w:rsidRPr="0091478B">
              <w:rPr>
                <w:rFonts w:cs="Arial"/>
                <w:sz w:val="20"/>
                <w:szCs w:val="20"/>
              </w:rPr>
              <w:t>agreement</w:t>
            </w:r>
            <w:r w:rsidRPr="0091478B">
              <w:rPr>
                <w:rFonts w:cs="Arial"/>
                <w:sz w:val="20"/>
                <w:szCs w:val="20"/>
              </w:rPr>
              <w:t>, UNOPS/SU have a requirement to report such issues to us immediately and explain how they are dealing with them. Should these incidents occur, there are organisation-wide policies that apply on the Delivery Partner to deal and resolve these incidents, should they occur.</w:t>
            </w:r>
          </w:p>
          <w:p w14:paraId="5E353922" w14:textId="0F924670" w:rsidR="00CF0E7E" w:rsidRPr="0091478B" w:rsidRDefault="00CF0E7E" w:rsidP="00537811">
            <w:pPr>
              <w:contextualSpacing/>
              <w:rPr>
                <w:rFonts w:cs="Arial"/>
                <w:sz w:val="20"/>
                <w:szCs w:val="20"/>
              </w:rPr>
            </w:pPr>
          </w:p>
        </w:tc>
        <w:tc>
          <w:tcPr>
            <w:tcW w:w="1499" w:type="dxa"/>
            <w:shd w:val="clear" w:color="auto" w:fill="FFC000" w:themeFill="accent4"/>
          </w:tcPr>
          <w:p w14:paraId="3ADDB235" w14:textId="39FCD8F3" w:rsidR="00252DCC" w:rsidRPr="0091478B" w:rsidRDefault="00B074DB" w:rsidP="00537811">
            <w:pPr>
              <w:contextualSpacing/>
              <w:rPr>
                <w:rFonts w:cs="Arial"/>
                <w:sz w:val="20"/>
                <w:szCs w:val="20"/>
              </w:rPr>
            </w:pPr>
            <w:r w:rsidRPr="0091478B">
              <w:rPr>
                <w:rFonts w:cs="Arial"/>
                <w:sz w:val="20"/>
                <w:szCs w:val="20"/>
              </w:rPr>
              <w:t xml:space="preserve">Moderate </w:t>
            </w:r>
          </w:p>
        </w:tc>
      </w:tr>
      <w:tr w:rsidR="00AC39FF" w:rsidRPr="003C5BF3" w14:paraId="66C39AB5" w14:textId="77777777" w:rsidTr="5FFEA993">
        <w:trPr>
          <w:jc w:val="center"/>
        </w:trPr>
        <w:tc>
          <w:tcPr>
            <w:tcW w:w="3841" w:type="dxa"/>
          </w:tcPr>
          <w:p w14:paraId="0D9525AB" w14:textId="7BBC04BF" w:rsidR="00AC39FF" w:rsidRPr="0091478B" w:rsidRDefault="002F356C" w:rsidP="00537811">
            <w:pPr>
              <w:contextualSpacing/>
              <w:rPr>
                <w:rFonts w:eastAsia="Calibri" w:cs="Arial"/>
                <w:color w:val="000000" w:themeColor="text1"/>
                <w:sz w:val="20"/>
                <w:szCs w:val="20"/>
                <w:highlight w:val="yellow"/>
              </w:rPr>
            </w:pPr>
            <w:r w:rsidRPr="0091478B">
              <w:rPr>
                <w:rFonts w:eastAsia="Calibri" w:cs="Arial"/>
                <w:color w:val="000000" w:themeColor="text1"/>
                <w:sz w:val="20"/>
                <w:szCs w:val="20"/>
              </w:rPr>
              <w:t>There is a risk of not been able to recruit for the embedded advisor roles because in some regions, it is hard to recruit local embedded advisors (e.g. Pacific). Also, some issues with salary might incur recruitment and retainment issues. This could lead to reputational issues for the SU/NDC Partnership as it may be perceived as paying poorly or inconsistently, leading to issues for delivery</w:t>
            </w:r>
            <w:r w:rsidR="0C87E596" w:rsidRPr="0091478B">
              <w:rPr>
                <w:rFonts w:eastAsia="Calibri" w:cs="Arial"/>
                <w:color w:val="000000" w:themeColor="text1"/>
                <w:sz w:val="20"/>
                <w:szCs w:val="20"/>
              </w:rPr>
              <w:t>.</w:t>
            </w:r>
          </w:p>
          <w:p w14:paraId="6563322E" w14:textId="343C474D" w:rsidR="00CF0E7E" w:rsidRPr="0091478B" w:rsidRDefault="00CF0E7E" w:rsidP="00537811">
            <w:pPr>
              <w:contextualSpacing/>
              <w:rPr>
                <w:rFonts w:eastAsia="Calibri" w:cs="Arial"/>
                <w:color w:val="000000" w:themeColor="text1"/>
                <w:sz w:val="20"/>
                <w:szCs w:val="20"/>
              </w:rPr>
            </w:pPr>
          </w:p>
        </w:tc>
        <w:tc>
          <w:tcPr>
            <w:tcW w:w="3676" w:type="dxa"/>
          </w:tcPr>
          <w:p w14:paraId="0A397B12" w14:textId="77777777" w:rsidR="00BF170C" w:rsidRPr="0091478B" w:rsidRDefault="00BF170C" w:rsidP="00537811">
            <w:pPr>
              <w:shd w:val="clear" w:color="auto" w:fill="FFFFFF" w:themeFill="background1"/>
              <w:rPr>
                <w:rFonts w:eastAsia="Arial" w:cs="Arial"/>
                <w:color w:val="000000" w:themeColor="text1"/>
                <w:sz w:val="20"/>
                <w:szCs w:val="20"/>
              </w:rPr>
            </w:pPr>
            <w:r w:rsidRPr="0091478B">
              <w:rPr>
                <w:rFonts w:eastAsia="Calibri" w:cs="Arial"/>
                <w:color w:val="000000" w:themeColor="text1"/>
                <w:sz w:val="20"/>
                <w:szCs w:val="20"/>
              </w:rPr>
              <w:t xml:space="preserve">UNOPS hold the responsibility for this risk and will inform us through our governance channels of recruitment and retainment issues. </w:t>
            </w:r>
          </w:p>
          <w:p w14:paraId="5A330641" w14:textId="77777777" w:rsidR="00BF170C" w:rsidRPr="0091478B" w:rsidRDefault="00BF170C" w:rsidP="00537811">
            <w:pPr>
              <w:shd w:val="clear" w:color="auto" w:fill="FFFFFF" w:themeFill="background1"/>
              <w:rPr>
                <w:rFonts w:eastAsia="Arial" w:cs="Arial"/>
                <w:color w:val="000000" w:themeColor="text1"/>
                <w:sz w:val="20"/>
                <w:szCs w:val="20"/>
              </w:rPr>
            </w:pPr>
            <w:r w:rsidRPr="0091478B">
              <w:rPr>
                <w:rFonts w:eastAsia="Calibri" w:cs="Arial"/>
                <w:color w:val="000000" w:themeColor="text1"/>
                <w:sz w:val="20"/>
                <w:szCs w:val="20"/>
              </w:rPr>
              <w:t>They will involve us and post where necessary if there are any negotiations issues we need to be involved in.</w:t>
            </w:r>
          </w:p>
          <w:p w14:paraId="29890ED7" w14:textId="77777777" w:rsidR="00AC39FF" w:rsidRPr="0091478B" w:rsidRDefault="00AC39FF" w:rsidP="00537811">
            <w:pPr>
              <w:contextualSpacing/>
              <w:rPr>
                <w:rFonts w:cs="Arial"/>
                <w:sz w:val="20"/>
                <w:szCs w:val="20"/>
              </w:rPr>
            </w:pPr>
          </w:p>
        </w:tc>
        <w:tc>
          <w:tcPr>
            <w:tcW w:w="1499" w:type="dxa"/>
            <w:shd w:val="clear" w:color="auto" w:fill="FFC000" w:themeFill="accent4"/>
          </w:tcPr>
          <w:p w14:paraId="0A0B18D0" w14:textId="35D61434" w:rsidR="00AC39FF" w:rsidRPr="0091478B" w:rsidRDefault="00E46AF1" w:rsidP="00537811">
            <w:pPr>
              <w:contextualSpacing/>
              <w:rPr>
                <w:rFonts w:cs="Arial"/>
                <w:sz w:val="20"/>
                <w:szCs w:val="20"/>
              </w:rPr>
            </w:pPr>
            <w:r w:rsidRPr="0091478B">
              <w:rPr>
                <w:rFonts w:cs="Arial"/>
                <w:sz w:val="20"/>
                <w:szCs w:val="20"/>
              </w:rPr>
              <w:t>Moderate</w:t>
            </w:r>
          </w:p>
        </w:tc>
      </w:tr>
      <w:tr w:rsidR="00DC51E5" w:rsidRPr="003C5BF3" w14:paraId="009BEA96" w14:textId="77777777" w:rsidTr="5FFEA993">
        <w:trPr>
          <w:jc w:val="center"/>
        </w:trPr>
        <w:tc>
          <w:tcPr>
            <w:tcW w:w="3841" w:type="dxa"/>
          </w:tcPr>
          <w:p w14:paraId="138CEF3B" w14:textId="77777777" w:rsidR="00DC51E5" w:rsidRPr="0091478B" w:rsidRDefault="00DC51E5" w:rsidP="00537811">
            <w:pPr>
              <w:contextualSpacing/>
              <w:rPr>
                <w:rFonts w:eastAsia="Calibri" w:cs="Arial"/>
                <w:color w:val="000000" w:themeColor="text1"/>
                <w:sz w:val="20"/>
                <w:szCs w:val="20"/>
              </w:rPr>
            </w:pPr>
            <w:r w:rsidRPr="0091478B">
              <w:rPr>
                <w:rFonts w:eastAsia="Calibri" w:cs="Arial"/>
                <w:color w:val="000000" w:themeColor="text1"/>
                <w:sz w:val="20"/>
                <w:szCs w:val="20"/>
              </w:rPr>
              <w:t>There is a risk that PAF is not the most efficient utilization of UK funds. This is because UNOPS manages the fund and determines which countries the funds support. As the UK has limited control of the PAF, this could impact UK funds going to countries that are not the key priorities for us.</w:t>
            </w:r>
          </w:p>
          <w:p w14:paraId="3259A976" w14:textId="370A2F27" w:rsidR="00BA5E90" w:rsidRPr="0091478B" w:rsidRDefault="00BA5E90" w:rsidP="00537811">
            <w:pPr>
              <w:contextualSpacing/>
              <w:rPr>
                <w:rFonts w:eastAsia="Calibri" w:cs="Arial"/>
                <w:color w:val="000000" w:themeColor="text1"/>
                <w:sz w:val="20"/>
                <w:szCs w:val="20"/>
              </w:rPr>
            </w:pPr>
          </w:p>
        </w:tc>
        <w:tc>
          <w:tcPr>
            <w:tcW w:w="3676" w:type="dxa"/>
          </w:tcPr>
          <w:p w14:paraId="4C0D8422" w14:textId="77777777" w:rsidR="00DC51E5" w:rsidRPr="0091478B" w:rsidRDefault="00DC51E5" w:rsidP="00537811">
            <w:pPr>
              <w:shd w:val="clear" w:color="auto" w:fill="FFFFFF" w:themeFill="background1"/>
              <w:rPr>
                <w:rFonts w:eastAsia="Calibri" w:cs="Arial"/>
                <w:color w:val="000000" w:themeColor="text1"/>
                <w:sz w:val="20"/>
                <w:szCs w:val="20"/>
              </w:rPr>
            </w:pPr>
            <w:r w:rsidRPr="0091478B">
              <w:rPr>
                <w:rFonts w:eastAsia="Calibri" w:cs="Arial"/>
                <w:color w:val="000000" w:themeColor="text1"/>
                <w:sz w:val="20"/>
                <w:szCs w:val="20"/>
              </w:rPr>
              <w:t xml:space="preserve">Mapping of the PAF supply chain to ensure the best VfM while balancing this with the PAF's purpose to ensure that no country is left behind. </w:t>
            </w:r>
          </w:p>
          <w:p w14:paraId="34C6EF5B" w14:textId="0632204B" w:rsidR="00DC51E5" w:rsidRPr="0091478B" w:rsidRDefault="00DC51E5" w:rsidP="00537811">
            <w:pPr>
              <w:shd w:val="clear" w:color="auto" w:fill="FFFFFF" w:themeFill="background1"/>
              <w:rPr>
                <w:rFonts w:eastAsia="Calibri" w:cs="Arial"/>
                <w:color w:val="000000" w:themeColor="text1"/>
                <w:sz w:val="20"/>
                <w:szCs w:val="20"/>
              </w:rPr>
            </w:pPr>
            <w:r w:rsidRPr="0091478B">
              <w:rPr>
                <w:rFonts w:eastAsia="Calibri" w:cs="Arial"/>
                <w:color w:val="000000" w:themeColor="text1"/>
                <w:sz w:val="20"/>
                <w:szCs w:val="20"/>
              </w:rPr>
              <w:t>Ensuring effective engagement in the governance of the PAF is key here.</w:t>
            </w:r>
          </w:p>
        </w:tc>
        <w:tc>
          <w:tcPr>
            <w:tcW w:w="1499" w:type="dxa"/>
            <w:shd w:val="clear" w:color="auto" w:fill="ED7D31" w:themeFill="accent2"/>
          </w:tcPr>
          <w:p w14:paraId="4ED94794" w14:textId="4F517B60" w:rsidR="00DC51E5" w:rsidRPr="0091478B" w:rsidRDefault="00DC51E5" w:rsidP="00537811">
            <w:pPr>
              <w:contextualSpacing/>
              <w:rPr>
                <w:rFonts w:cs="Arial"/>
                <w:sz w:val="20"/>
                <w:szCs w:val="20"/>
              </w:rPr>
            </w:pPr>
            <w:r w:rsidRPr="0091478B">
              <w:rPr>
                <w:rFonts w:cs="Arial"/>
                <w:sz w:val="20"/>
                <w:szCs w:val="20"/>
              </w:rPr>
              <w:t xml:space="preserve">Major </w:t>
            </w:r>
          </w:p>
        </w:tc>
      </w:tr>
      <w:tr w:rsidR="00A42A4C" w:rsidRPr="003C5BF3" w14:paraId="14FBB732" w14:textId="77777777" w:rsidTr="5FFEA993">
        <w:trPr>
          <w:jc w:val="center"/>
        </w:trPr>
        <w:tc>
          <w:tcPr>
            <w:tcW w:w="3841" w:type="dxa"/>
          </w:tcPr>
          <w:p w14:paraId="7ECBA21F" w14:textId="77777777" w:rsidR="00A42A4C" w:rsidRPr="0091478B" w:rsidRDefault="0081695A" w:rsidP="00537811">
            <w:pPr>
              <w:contextualSpacing/>
              <w:rPr>
                <w:rFonts w:eastAsia="Calibri" w:cs="Arial"/>
                <w:color w:val="000000" w:themeColor="text1"/>
                <w:sz w:val="20"/>
                <w:szCs w:val="20"/>
              </w:rPr>
            </w:pPr>
            <w:r w:rsidRPr="0091478B">
              <w:rPr>
                <w:rFonts w:eastAsia="Calibri" w:cs="Arial"/>
                <w:color w:val="000000" w:themeColor="text1"/>
                <w:sz w:val="20"/>
                <w:szCs w:val="20"/>
              </w:rPr>
              <w:t>There is a risk that UNDP may not provide support or enough support for the agreed countries to submit their NDC 3.0 by COP30 because the Climate Promise is a multi-donor trust fund which we have less oversight of. However, this is unlikely as they have confirmed they're already providing support to 19 countries. There could be other factors limiting the delivery and this will have an impact on achieving the outcomes expected from our institutional first response support package.</w:t>
            </w:r>
          </w:p>
          <w:p w14:paraId="328C8048" w14:textId="3B1BFF31" w:rsidR="00BA5E90" w:rsidRPr="0091478B" w:rsidRDefault="00BA5E90" w:rsidP="00537811">
            <w:pPr>
              <w:contextualSpacing/>
              <w:rPr>
                <w:rFonts w:eastAsia="Calibri" w:cs="Arial"/>
                <w:color w:val="000000" w:themeColor="text1"/>
                <w:sz w:val="20"/>
                <w:szCs w:val="20"/>
              </w:rPr>
            </w:pPr>
          </w:p>
        </w:tc>
        <w:tc>
          <w:tcPr>
            <w:tcW w:w="3676" w:type="dxa"/>
          </w:tcPr>
          <w:p w14:paraId="53221A54" w14:textId="1F3E1615" w:rsidR="00A42A4C" w:rsidRPr="0091478B" w:rsidRDefault="00836AEC" w:rsidP="00537811">
            <w:pPr>
              <w:shd w:val="clear" w:color="auto" w:fill="FFFFFF" w:themeFill="background1"/>
              <w:rPr>
                <w:rFonts w:eastAsia="Calibri" w:cs="Arial"/>
                <w:color w:val="000000" w:themeColor="text1"/>
                <w:sz w:val="20"/>
                <w:szCs w:val="20"/>
              </w:rPr>
            </w:pPr>
            <w:r w:rsidRPr="0091478B">
              <w:rPr>
                <w:rFonts w:eastAsia="Calibri" w:cs="Arial"/>
                <w:color w:val="000000" w:themeColor="text1"/>
                <w:sz w:val="20"/>
                <w:szCs w:val="20"/>
              </w:rPr>
              <w:t>We will have a discussion with UNDP at senior level to hold them to account.</w:t>
            </w:r>
          </w:p>
        </w:tc>
        <w:tc>
          <w:tcPr>
            <w:tcW w:w="1499" w:type="dxa"/>
            <w:shd w:val="clear" w:color="auto" w:fill="FFC000" w:themeFill="accent4"/>
          </w:tcPr>
          <w:p w14:paraId="5E58EFFD" w14:textId="28441733" w:rsidR="00A42A4C" w:rsidRPr="0091478B" w:rsidRDefault="005D634C" w:rsidP="00537811">
            <w:pPr>
              <w:contextualSpacing/>
              <w:rPr>
                <w:rFonts w:cs="Arial"/>
                <w:sz w:val="20"/>
                <w:szCs w:val="20"/>
              </w:rPr>
            </w:pPr>
            <w:r w:rsidRPr="0091478B">
              <w:rPr>
                <w:rFonts w:cs="Arial"/>
                <w:sz w:val="20"/>
                <w:szCs w:val="20"/>
              </w:rPr>
              <w:t>Moderate</w:t>
            </w:r>
          </w:p>
        </w:tc>
      </w:tr>
      <w:tr w:rsidR="00A42A4C" w:rsidRPr="003C5BF3" w14:paraId="4B9C46DC" w14:textId="77777777" w:rsidTr="5FFEA993">
        <w:trPr>
          <w:jc w:val="center"/>
        </w:trPr>
        <w:tc>
          <w:tcPr>
            <w:tcW w:w="3841" w:type="dxa"/>
          </w:tcPr>
          <w:p w14:paraId="696DE839" w14:textId="1F5CA349" w:rsidR="00A42A4C" w:rsidRPr="0091478B" w:rsidRDefault="005268A4" w:rsidP="00537811">
            <w:pPr>
              <w:contextualSpacing/>
              <w:rPr>
                <w:rFonts w:eastAsia="Calibri" w:cs="Arial"/>
                <w:color w:val="000000" w:themeColor="text1"/>
                <w:sz w:val="20"/>
                <w:szCs w:val="20"/>
              </w:rPr>
            </w:pPr>
            <w:r w:rsidRPr="0091478B">
              <w:rPr>
                <w:rFonts w:eastAsia="Calibri" w:cs="Arial"/>
                <w:color w:val="000000" w:themeColor="text1"/>
                <w:sz w:val="20"/>
                <w:szCs w:val="20"/>
              </w:rPr>
              <w:lastRenderedPageBreak/>
              <w:t xml:space="preserve">There is a risk that we may not have sufficient oversight </w:t>
            </w:r>
            <w:r w:rsidR="000862B4" w:rsidRPr="0091478B">
              <w:rPr>
                <w:rFonts w:eastAsia="Calibri" w:cs="Arial"/>
                <w:color w:val="000000" w:themeColor="text1"/>
                <w:sz w:val="20"/>
                <w:szCs w:val="20"/>
              </w:rPr>
              <w:t>of how our contributions are being spent</w:t>
            </w:r>
            <w:r w:rsidRPr="0091478B">
              <w:rPr>
                <w:rFonts w:eastAsia="Calibri" w:cs="Arial"/>
                <w:color w:val="000000" w:themeColor="text1"/>
                <w:sz w:val="20"/>
                <w:szCs w:val="20"/>
              </w:rPr>
              <w:t xml:space="preserve"> because the </w:t>
            </w:r>
            <w:r w:rsidR="00B63F0D" w:rsidRPr="0091478B">
              <w:rPr>
                <w:rFonts w:eastAsia="Calibri" w:cs="Arial"/>
                <w:color w:val="000000" w:themeColor="text1"/>
                <w:sz w:val="20"/>
                <w:szCs w:val="20"/>
              </w:rPr>
              <w:t xml:space="preserve">WB </w:t>
            </w:r>
            <w:r w:rsidRPr="0091478B">
              <w:rPr>
                <w:rFonts w:eastAsia="Calibri" w:cs="Arial"/>
                <w:color w:val="000000" w:themeColor="text1"/>
                <w:sz w:val="20"/>
                <w:szCs w:val="20"/>
              </w:rPr>
              <w:t xml:space="preserve">CSF is a multi-donor fund which includes three different programmes including the NDC and LTS Support programme. </w:t>
            </w:r>
            <w:r w:rsidR="00904537" w:rsidRPr="0091478B">
              <w:rPr>
                <w:rFonts w:eastAsia="Calibri" w:cs="Arial"/>
                <w:color w:val="000000" w:themeColor="text1"/>
                <w:sz w:val="20"/>
                <w:szCs w:val="20"/>
              </w:rPr>
              <w:t xml:space="preserve">This </w:t>
            </w:r>
            <w:r w:rsidR="008E3AAF" w:rsidRPr="0091478B">
              <w:rPr>
                <w:rFonts w:eastAsia="Calibri" w:cs="Arial"/>
                <w:color w:val="000000" w:themeColor="text1"/>
                <w:sz w:val="20"/>
                <w:szCs w:val="20"/>
              </w:rPr>
              <w:t>could</w:t>
            </w:r>
            <w:r w:rsidRPr="0091478B">
              <w:rPr>
                <w:rFonts w:eastAsia="Calibri" w:cs="Arial"/>
                <w:color w:val="000000" w:themeColor="text1"/>
                <w:sz w:val="20"/>
                <w:szCs w:val="20"/>
              </w:rPr>
              <w:t xml:space="preserve"> result in our contribution not delivering </w:t>
            </w:r>
            <w:r w:rsidR="008E3AAF" w:rsidRPr="0091478B">
              <w:rPr>
                <w:rFonts w:eastAsia="Calibri" w:cs="Arial"/>
                <w:color w:val="000000" w:themeColor="text1"/>
                <w:sz w:val="20"/>
                <w:szCs w:val="20"/>
              </w:rPr>
              <w:t>on our aim of supporting</w:t>
            </w:r>
            <w:r w:rsidRPr="0091478B">
              <w:rPr>
                <w:rFonts w:eastAsia="Calibri" w:cs="Arial"/>
                <w:color w:val="000000" w:themeColor="text1"/>
                <w:sz w:val="20"/>
                <w:szCs w:val="20"/>
              </w:rPr>
              <w:t xml:space="preserve"> countries to develop and implement their NDC 3.0. </w:t>
            </w:r>
          </w:p>
        </w:tc>
        <w:tc>
          <w:tcPr>
            <w:tcW w:w="3676" w:type="dxa"/>
          </w:tcPr>
          <w:p w14:paraId="09B35BA3" w14:textId="6C79487C" w:rsidR="00FB21FB" w:rsidRPr="0091478B" w:rsidRDefault="00FB21FB" w:rsidP="00537811">
            <w:pPr>
              <w:shd w:val="clear" w:color="auto" w:fill="FFFFFF" w:themeFill="background1"/>
              <w:rPr>
                <w:rFonts w:eastAsia="Calibri" w:cs="Arial"/>
                <w:color w:val="000000" w:themeColor="text1"/>
                <w:sz w:val="20"/>
                <w:szCs w:val="20"/>
              </w:rPr>
            </w:pPr>
            <w:r w:rsidRPr="0091478B">
              <w:rPr>
                <w:rFonts w:eastAsia="Calibri" w:cs="Arial"/>
                <w:color w:val="000000" w:themeColor="text1"/>
                <w:sz w:val="20"/>
                <w:szCs w:val="20"/>
              </w:rPr>
              <w:t xml:space="preserve">We have a clear concept note with the World Bank and an active engagement in the Partnership Council/CSF advisory committees. </w:t>
            </w:r>
          </w:p>
          <w:p w14:paraId="3872AF3F" w14:textId="3E7808F3" w:rsidR="00A42A4C" w:rsidRPr="0091478B" w:rsidRDefault="00FB21FB" w:rsidP="00537811">
            <w:pPr>
              <w:shd w:val="clear" w:color="auto" w:fill="FFFFFF" w:themeFill="background1"/>
              <w:rPr>
                <w:rFonts w:eastAsia="Calibri" w:cs="Arial"/>
                <w:color w:val="000000" w:themeColor="text1"/>
                <w:sz w:val="20"/>
                <w:szCs w:val="20"/>
              </w:rPr>
            </w:pPr>
            <w:r w:rsidRPr="0091478B">
              <w:rPr>
                <w:rFonts w:eastAsia="Calibri" w:cs="Arial"/>
                <w:color w:val="000000" w:themeColor="text1"/>
                <w:sz w:val="20"/>
                <w:szCs w:val="20"/>
              </w:rPr>
              <w:t>We also have regular working level governance meetings which allow us to continue to influence the spend.</w:t>
            </w:r>
          </w:p>
        </w:tc>
        <w:tc>
          <w:tcPr>
            <w:tcW w:w="1499" w:type="dxa"/>
            <w:shd w:val="clear" w:color="auto" w:fill="FFC000" w:themeFill="accent4"/>
          </w:tcPr>
          <w:p w14:paraId="22B9C3E1" w14:textId="6E19E737" w:rsidR="00A42A4C" w:rsidRPr="0091478B" w:rsidRDefault="00FB21FB" w:rsidP="00537811">
            <w:pPr>
              <w:contextualSpacing/>
              <w:rPr>
                <w:rFonts w:cs="Arial"/>
                <w:sz w:val="20"/>
                <w:szCs w:val="20"/>
              </w:rPr>
            </w:pPr>
            <w:r w:rsidRPr="0091478B">
              <w:rPr>
                <w:rFonts w:cs="Arial"/>
                <w:sz w:val="20"/>
                <w:szCs w:val="20"/>
              </w:rPr>
              <w:t xml:space="preserve">Moderate </w:t>
            </w:r>
          </w:p>
        </w:tc>
      </w:tr>
      <w:tr w:rsidR="005E1ECA" w:rsidRPr="003C5BF3" w14:paraId="18E3E95B" w14:textId="77777777" w:rsidTr="5FFEA993">
        <w:trPr>
          <w:jc w:val="center"/>
        </w:trPr>
        <w:tc>
          <w:tcPr>
            <w:tcW w:w="3841" w:type="dxa"/>
          </w:tcPr>
          <w:p w14:paraId="3624F26B" w14:textId="3355D4ED" w:rsidR="005E1ECA" w:rsidRPr="0091478B" w:rsidRDefault="005E1ECA" w:rsidP="00537811">
            <w:pPr>
              <w:contextualSpacing/>
              <w:rPr>
                <w:rFonts w:eastAsia="Calibri" w:cs="Arial"/>
                <w:color w:val="000000" w:themeColor="text1"/>
                <w:sz w:val="20"/>
                <w:szCs w:val="20"/>
              </w:rPr>
            </w:pPr>
            <w:r w:rsidRPr="0091478B">
              <w:rPr>
                <w:rFonts w:eastAsia="Calibri" w:cs="Arial"/>
                <w:color w:val="000000" w:themeColor="text1"/>
                <w:sz w:val="20"/>
                <w:szCs w:val="20"/>
              </w:rPr>
              <w:t>There is a risk that the MEL partner/system will not effectively showcase the impact of the UK's contribution to the NDC Partnership. If this happens, we may not have enough evidence to prove that UK support has delivered on the Business Case outcomes.</w:t>
            </w:r>
          </w:p>
        </w:tc>
        <w:tc>
          <w:tcPr>
            <w:tcW w:w="3676" w:type="dxa"/>
          </w:tcPr>
          <w:p w14:paraId="7A0DBDAD" w14:textId="3EB82D96" w:rsidR="005E1ECA" w:rsidRPr="0091478B" w:rsidRDefault="005E1ECA" w:rsidP="00537811">
            <w:pPr>
              <w:shd w:val="clear" w:color="auto" w:fill="FFFFFF" w:themeFill="background1"/>
              <w:rPr>
                <w:rFonts w:eastAsia="Calibri" w:cs="Arial"/>
                <w:color w:val="000000" w:themeColor="text1"/>
                <w:sz w:val="20"/>
                <w:szCs w:val="20"/>
              </w:rPr>
            </w:pPr>
            <w:r w:rsidRPr="0091478B">
              <w:rPr>
                <w:rFonts w:eastAsia="Calibri" w:cs="Arial"/>
                <w:color w:val="000000" w:themeColor="text1"/>
                <w:sz w:val="20"/>
                <w:szCs w:val="20"/>
              </w:rPr>
              <w:t xml:space="preserve">Ensure that we have a MEL system that places emphasis on the importance of showcasing the impact of the UK contribution to the Partnership through the various elements of our funding. This has already been done through our </w:t>
            </w:r>
            <w:r w:rsidR="00A3148B" w:rsidRPr="0091478B">
              <w:rPr>
                <w:rFonts w:eastAsia="Calibri" w:cs="Arial"/>
                <w:color w:val="000000" w:themeColor="text1"/>
                <w:sz w:val="20"/>
                <w:szCs w:val="20"/>
              </w:rPr>
              <w:t>logframe</w:t>
            </w:r>
            <w:r w:rsidRPr="0091478B">
              <w:rPr>
                <w:rFonts w:eastAsia="Calibri" w:cs="Arial"/>
                <w:color w:val="000000" w:themeColor="text1"/>
                <w:sz w:val="20"/>
                <w:szCs w:val="20"/>
              </w:rPr>
              <w:t xml:space="preserve"> and agreement to update. Also, if we recruit a MEL Partner, we need to ensure expectations are well set out in the commercial Agreement.</w:t>
            </w:r>
          </w:p>
          <w:p w14:paraId="4274B196" w14:textId="47AB013D" w:rsidR="00BA5E90" w:rsidRPr="0091478B" w:rsidRDefault="00BA5E90" w:rsidP="00537811">
            <w:pPr>
              <w:shd w:val="clear" w:color="auto" w:fill="FFFFFF" w:themeFill="background1"/>
              <w:rPr>
                <w:rFonts w:eastAsia="Calibri" w:cs="Arial"/>
                <w:color w:val="000000" w:themeColor="text1"/>
                <w:sz w:val="20"/>
                <w:szCs w:val="20"/>
              </w:rPr>
            </w:pPr>
          </w:p>
        </w:tc>
        <w:tc>
          <w:tcPr>
            <w:tcW w:w="1499" w:type="dxa"/>
            <w:shd w:val="clear" w:color="auto" w:fill="FFC000" w:themeFill="accent4"/>
          </w:tcPr>
          <w:p w14:paraId="11CDA29C" w14:textId="48CB3204" w:rsidR="005E1ECA" w:rsidRPr="0091478B" w:rsidRDefault="001B0105" w:rsidP="00537811">
            <w:pPr>
              <w:contextualSpacing/>
              <w:rPr>
                <w:rFonts w:cs="Arial"/>
                <w:sz w:val="20"/>
                <w:szCs w:val="20"/>
              </w:rPr>
            </w:pPr>
            <w:r w:rsidRPr="0091478B">
              <w:rPr>
                <w:rFonts w:cs="Arial"/>
                <w:sz w:val="20"/>
                <w:szCs w:val="20"/>
              </w:rPr>
              <w:t xml:space="preserve">Moderate </w:t>
            </w:r>
          </w:p>
        </w:tc>
      </w:tr>
    </w:tbl>
    <w:p w14:paraId="68B30AF7" w14:textId="77777777" w:rsidR="00D0302B" w:rsidRPr="003C5BF3" w:rsidRDefault="00D0302B" w:rsidP="004D5FD5">
      <w:pPr>
        <w:contextualSpacing/>
        <w:jc w:val="both"/>
        <w:rPr>
          <w:rStyle w:val="Heading2Char"/>
        </w:rPr>
      </w:pPr>
    </w:p>
    <w:p w14:paraId="35CB9A45" w14:textId="58546014" w:rsidR="00B74143" w:rsidRPr="003C5BF3" w:rsidRDefault="00B74143" w:rsidP="004D5FD5">
      <w:pPr>
        <w:contextualSpacing/>
        <w:jc w:val="both"/>
        <w:rPr>
          <w:rFonts w:cs="Arial"/>
          <w:sz w:val="22"/>
          <w:szCs w:val="22"/>
        </w:rPr>
      </w:pPr>
      <w:bookmarkStart w:id="23" w:name="_Toc199421672"/>
      <w:r w:rsidRPr="003C5BF3">
        <w:rPr>
          <w:rStyle w:val="Heading2Char"/>
        </w:rPr>
        <w:t>Outstanding actions from risk assessment</w:t>
      </w:r>
      <w:bookmarkEnd w:id="23"/>
      <w:r w:rsidRPr="003C5BF3">
        <w:rPr>
          <w:rFonts w:cs="Arial"/>
          <w:b/>
          <w:bCs/>
          <w:sz w:val="22"/>
          <w:szCs w:val="22"/>
        </w:rPr>
        <w:t xml:space="preserve"> </w:t>
      </w:r>
    </w:p>
    <w:p w14:paraId="4EFB60CD" w14:textId="77777777" w:rsidR="00BA5E90" w:rsidRPr="00E11CA6" w:rsidRDefault="00BA5E90" w:rsidP="004D5FD5">
      <w:pPr>
        <w:contextualSpacing/>
        <w:jc w:val="both"/>
        <w:rPr>
          <w:rFonts w:cs="Arial"/>
          <w:sz w:val="22"/>
          <w:szCs w:val="22"/>
        </w:rPr>
      </w:pPr>
    </w:p>
    <w:p w14:paraId="12BF5444" w14:textId="086F596F" w:rsidR="00BA2FDA" w:rsidRPr="00E11CA6" w:rsidRDefault="00BA00C1" w:rsidP="005745C5">
      <w:pPr>
        <w:ind w:firstLine="720"/>
        <w:contextualSpacing/>
        <w:rPr>
          <w:rFonts w:cs="Arial"/>
          <w:sz w:val="22"/>
          <w:szCs w:val="22"/>
        </w:rPr>
      </w:pPr>
      <w:r w:rsidRPr="00E11CA6">
        <w:rPr>
          <w:rFonts w:cs="Arial"/>
          <w:sz w:val="22"/>
          <w:szCs w:val="22"/>
        </w:rPr>
        <w:t xml:space="preserve">All outstanding </w:t>
      </w:r>
      <w:r w:rsidR="00AA11D7" w:rsidRPr="00E11CA6">
        <w:rPr>
          <w:rFonts w:cs="Arial"/>
          <w:sz w:val="22"/>
          <w:szCs w:val="22"/>
        </w:rPr>
        <w:t xml:space="preserve">risks above moderate </w:t>
      </w:r>
      <w:r w:rsidR="00427462" w:rsidRPr="00E11CA6">
        <w:rPr>
          <w:rFonts w:cs="Arial"/>
          <w:sz w:val="22"/>
          <w:szCs w:val="22"/>
        </w:rPr>
        <w:t>are included above and are being managed through the processes detailed</w:t>
      </w:r>
      <w:r w:rsidR="00AE057D" w:rsidRPr="00E11CA6">
        <w:rPr>
          <w:rFonts w:cs="Arial"/>
          <w:sz w:val="22"/>
          <w:szCs w:val="22"/>
        </w:rPr>
        <w:t xml:space="preserve"> previously. </w:t>
      </w:r>
      <w:r w:rsidR="00897E28" w:rsidRPr="00E11CA6">
        <w:rPr>
          <w:rFonts w:cs="Arial"/>
          <w:sz w:val="22"/>
          <w:szCs w:val="22"/>
        </w:rPr>
        <w:t xml:space="preserve">These risks include some that were identified through the business case process and through the due diligence of delivery partners undertaken this year – namely UNDP. </w:t>
      </w:r>
    </w:p>
    <w:p w14:paraId="32C6BA3C" w14:textId="77777777" w:rsidR="00BA2FDA" w:rsidRDefault="00BA2FDA">
      <w:pPr>
        <w:spacing w:after="160" w:line="259" w:lineRule="auto"/>
        <w:rPr>
          <w:rFonts w:cs="Arial"/>
        </w:rPr>
      </w:pPr>
      <w:r>
        <w:rPr>
          <w:rFonts w:cs="Arial"/>
        </w:rPr>
        <w:br w:type="page"/>
      </w:r>
    </w:p>
    <w:p w14:paraId="6D80FCCE" w14:textId="77777777" w:rsidR="00BA5E90" w:rsidRPr="005745C5" w:rsidRDefault="00BA5E90" w:rsidP="005745C5">
      <w:pPr>
        <w:ind w:firstLine="720"/>
        <w:contextualSpacing/>
        <w:rPr>
          <w:rFonts w:cs="Arial"/>
        </w:rPr>
      </w:pPr>
    </w:p>
    <w:p w14:paraId="4ED4E9FA" w14:textId="59210279" w:rsidR="00CB2873" w:rsidRPr="003C5BF3" w:rsidRDefault="00CB2873" w:rsidP="004D5FD5">
      <w:pPr>
        <w:jc w:val="both"/>
        <w:rPr>
          <w:rFonts w:cs="Arial"/>
          <w:bCs/>
          <w:sz w:val="22"/>
          <w:szCs w:val="22"/>
        </w:rPr>
      </w:pPr>
    </w:p>
    <w:tbl>
      <w:tblPr>
        <w:tblStyle w:val="TableGrid"/>
        <w:tblW w:w="0" w:type="auto"/>
        <w:tblLook w:val="04A0" w:firstRow="1" w:lastRow="0" w:firstColumn="1" w:lastColumn="0" w:noHBand="0" w:noVBand="1"/>
      </w:tblPr>
      <w:tblGrid>
        <w:gridCol w:w="9016"/>
      </w:tblGrid>
      <w:tr w:rsidR="00CB2873" w:rsidRPr="003C5BF3" w14:paraId="3775346F" w14:textId="77777777" w:rsidTr="527A8EFF">
        <w:tc>
          <w:tcPr>
            <w:tcW w:w="9016" w:type="dxa"/>
            <w:shd w:val="clear" w:color="auto" w:fill="DEEAF6" w:themeFill="accent5" w:themeFillTint="33"/>
          </w:tcPr>
          <w:p w14:paraId="64B9656F" w14:textId="763E4CDD" w:rsidR="00CB2873" w:rsidRPr="003C5BF3" w:rsidRDefault="2C7057B1" w:rsidP="004D5FD5">
            <w:pPr>
              <w:jc w:val="both"/>
            </w:pPr>
            <w:bookmarkStart w:id="24" w:name="_Toc199421673"/>
            <w:r w:rsidRPr="003C5BF3">
              <w:rPr>
                <w:rStyle w:val="Heading1Char"/>
                <w:rFonts w:ascii="Arial" w:hAnsi="Arial" w:cs="Arial"/>
                <w:b/>
                <w:bCs/>
                <w:color w:val="auto"/>
              </w:rPr>
              <w:t>Section F: Programme management: delivery, VfM, commercial and financial performance</w:t>
            </w:r>
            <w:bookmarkEnd w:id="24"/>
            <w:r w:rsidRPr="003C5BF3">
              <w:t xml:space="preserve"> </w:t>
            </w:r>
          </w:p>
        </w:tc>
      </w:tr>
    </w:tbl>
    <w:p w14:paraId="6268AFF3" w14:textId="7623B8C4" w:rsidR="00CB2873" w:rsidRPr="003C5BF3" w:rsidRDefault="00CB2873" w:rsidP="004D5FD5">
      <w:pPr>
        <w:jc w:val="both"/>
        <w:rPr>
          <w:rFonts w:cs="Arial"/>
          <w:bCs/>
          <w:sz w:val="22"/>
          <w:szCs w:val="22"/>
        </w:rPr>
      </w:pPr>
    </w:p>
    <w:p w14:paraId="3B873EA5" w14:textId="3CFE817C" w:rsidR="003D222C" w:rsidRPr="003C5BF3" w:rsidRDefault="003D222C" w:rsidP="004D5FD5">
      <w:pPr>
        <w:jc w:val="both"/>
        <w:rPr>
          <w:rFonts w:cs="Arial"/>
          <w:b/>
          <w:bCs/>
          <w:sz w:val="22"/>
          <w:szCs w:val="22"/>
        </w:rPr>
      </w:pPr>
      <w:bookmarkStart w:id="25" w:name="_Toc199421674"/>
      <w:r w:rsidRPr="003C5BF3">
        <w:rPr>
          <w:rStyle w:val="Heading2Char"/>
        </w:rPr>
        <w:t>Summa</w:t>
      </w:r>
      <w:r w:rsidR="00272DF1" w:rsidRPr="003C5BF3">
        <w:rPr>
          <w:rStyle w:val="Heading2Char"/>
        </w:rPr>
        <w:t>ry of</w:t>
      </w:r>
      <w:r w:rsidRPr="003C5BF3">
        <w:rPr>
          <w:rStyle w:val="Heading2Char"/>
        </w:rPr>
        <w:t xml:space="preserve"> the performance of partners and </w:t>
      </w:r>
      <w:r w:rsidR="00BF633B" w:rsidRPr="003C5BF3">
        <w:rPr>
          <w:rStyle w:val="Heading2Char"/>
        </w:rPr>
        <w:t>DESNZ</w:t>
      </w:r>
      <w:r w:rsidRPr="003C5BF3">
        <w:rPr>
          <w:rStyle w:val="Heading2Char"/>
        </w:rPr>
        <w:t>, notably on commercial and financial issues, and including consideration of VfM.</w:t>
      </w:r>
      <w:bookmarkEnd w:id="25"/>
      <w:r w:rsidRPr="003C5BF3">
        <w:rPr>
          <w:rFonts w:cs="Arial"/>
          <w:b/>
          <w:bCs/>
          <w:sz w:val="22"/>
          <w:szCs w:val="22"/>
        </w:rPr>
        <w:t xml:space="preserve"> </w:t>
      </w:r>
    </w:p>
    <w:p w14:paraId="05533A0C" w14:textId="3F59B16A" w:rsidR="0A33CD8F" w:rsidRPr="003C5BF3" w:rsidRDefault="0A33CD8F" w:rsidP="0A33CD8F">
      <w:pPr>
        <w:jc w:val="both"/>
        <w:rPr>
          <w:rFonts w:cs="Arial"/>
          <w:i/>
          <w:iCs/>
          <w:color w:val="FF0000"/>
          <w:sz w:val="22"/>
          <w:szCs w:val="22"/>
          <w:lang w:eastAsia="en-GB"/>
        </w:rPr>
      </w:pPr>
    </w:p>
    <w:p w14:paraId="3A93D2C7" w14:textId="1EEEA24D" w:rsidR="1C3E0856" w:rsidRDefault="7A33C2FF" w:rsidP="005745C5">
      <w:pPr>
        <w:rPr>
          <w:rFonts w:cs="Arial"/>
          <w:b/>
          <w:bCs/>
          <w:color w:val="000000" w:themeColor="text1"/>
          <w:lang w:eastAsia="en-GB"/>
        </w:rPr>
      </w:pPr>
      <w:r w:rsidRPr="005745C5">
        <w:rPr>
          <w:rFonts w:cs="Arial"/>
          <w:b/>
          <w:bCs/>
          <w:color w:val="000000" w:themeColor="text1"/>
          <w:lang w:eastAsia="en-GB"/>
        </w:rPr>
        <w:t>Overall VfM</w:t>
      </w:r>
    </w:p>
    <w:p w14:paraId="5859147F" w14:textId="77777777" w:rsidR="005745C5" w:rsidRPr="005745C5" w:rsidRDefault="005745C5" w:rsidP="005745C5">
      <w:pPr>
        <w:rPr>
          <w:rFonts w:cs="Arial"/>
          <w:b/>
          <w:bCs/>
          <w:color w:val="000000" w:themeColor="text1"/>
          <w:lang w:eastAsia="en-GB"/>
        </w:rPr>
      </w:pPr>
    </w:p>
    <w:p w14:paraId="6113ED68" w14:textId="7B7D5801" w:rsidR="651AB222" w:rsidRPr="00E11CA6" w:rsidRDefault="651AB222" w:rsidP="005745C5">
      <w:pPr>
        <w:ind w:firstLine="720"/>
        <w:rPr>
          <w:rFonts w:eastAsia="Arial" w:cs="Arial"/>
          <w:color w:val="000000" w:themeColor="text1"/>
          <w:sz w:val="22"/>
          <w:szCs w:val="22"/>
          <w:lang w:eastAsia="en-GB"/>
        </w:rPr>
      </w:pPr>
      <w:r w:rsidRPr="00E11CA6">
        <w:rPr>
          <w:rFonts w:eastAsia="Arial" w:cs="Arial"/>
          <w:color w:val="000000" w:themeColor="text1"/>
          <w:sz w:val="22"/>
          <w:szCs w:val="22"/>
        </w:rPr>
        <w:t>This is the first year of delivery under the new Business Case</w:t>
      </w:r>
      <w:r w:rsidR="61D6F299" w:rsidRPr="00E11CA6">
        <w:rPr>
          <w:rFonts w:eastAsia="Arial" w:cs="Arial"/>
          <w:color w:val="000000" w:themeColor="text1"/>
          <w:sz w:val="22"/>
          <w:szCs w:val="22"/>
          <w:lang w:eastAsia="en-GB"/>
        </w:rPr>
        <w:t xml:space="preserve">, running from 2024 to 2031. The NDC Partnership is </w:t>
      </w:r>
      <w:r w:rsidR="00EE6399" w:rsidRPr="00E11CA6">
        <w:rPr>
          <w:rFonts w:eastAsia="Arial" w:cs="Arial"/>
          <w:color w:val="000000" w:themeColor="text1"/>
          <w:sz w:val="22"/>
          <w:szCs w:val="22"/>
          <w:lang w:eastAsia="en-GB"/>
        </w:rPr>
        <w:t>positioned</w:t>
      </w:r>
      <w:r w:rsidR="61D6F299" w:rsidRPr="00E11CA6">
        <w:rPr>
          <w:rFonts w:eastAsia="Arial" w:cs="Arial"/>
          <w:color w:val="000000" w:themeColor="text1"/>
          <w:sz w:val="22"/>
          <w:szCs w:val="22"/>
          <w:lang w:eastAsia="en-GB"/>
        </w:rPr>
        <w:t xml:space="preserve"> by developed country core members as a primary vehicle to drive and unite their international climate programming, multilateral engagements, and bilateral country programming by committing funding across the three key modalities for Partnership engagement: </w:t>
      </w:r>
    </w:p>
    <w:p w14:paraId="00CA909A" w14:textId="36E9B636" w:rsidR="61D6F299" w:rsidRPr="00E11CA6" w:rsidRDefault="61D6F299" w:rsidP="005745C5">
      <w:pPr>
        <w:rPr>
          <w:rFonts w:cs="Arial"/>
          <w:color w:val="000000" w:themeColor="text1"/>
          <w:sz w:val="22"/>
          <w:szCs w:val="22"/>
          <w:lang w:eastAsia="en-GB"/>
        </w:rPr>
      </w:pPr>
      <w:r w:rsidRPr="00E11CA6">
        <w:rPr>
          <w:rFonts w:cs="Arial"/>
          <w:color w:val="000000" w:themeColor="text1"/>
          <w:sz w:val="22"/>
          <w:szCs w:val="22"/>
          <w:lang w:eastAsia="en-GB"/>
        </w:rPr>
        <w:t xml:space="preserve"> </w:t>
      </w:r>
    </w:p>
    <w:p w14:paraId="04A301CF" w14:textId="0CE37182" w:rsidR="61D6F299" w:rsidRPr="00E11CA6" w:rsidRDefault="61D6F299" w:rsidP="005745C5">
      <w:pPr>
        <w:ind w:firstLine="720"/>
        <w:rPr>
          <w:rFonts w:cs="Arial"/>
          <w:color w:val="000000" w:themeColor="text1"/>
          <w:sz w:val="22"/>
          <w:szCs w:val="22"/>
          <w:lang w:eastAsia="en-GB"/>
        </w:rPr>
      </w:pPr>
      <w:r w:rsidRPr="00E11CA6">
        <w:rPr>
          <w:rFonts w:cs="Arial"/>
          <w:b/>
          <w:bCs/>
          <w:color w:val="000000" w:themeColor="text1"/>
          <w:sz w:val="22"/>
          <w:szCs w:val="22"/>
          <w:lang w:eastAsia="en-GB"/>
        </w:rPr>
        <w:t>The Partnership’s Support Unit</w:t>
      </w:r>
      <w:r w:rsidRPr="00E11CA6">
        <w:rPr>
          <w:rFonts w:cs="Arial"/>
          <w:color w:val="000000" w:themeColor="text1"/>
          <w:sz w:val="22"/>
          <w:szCs w:val="22"/>
          <w:lang w:eastAsia="en-GB"/>
        </w:rPr>
        <w:t>, which is responsible for operational costs, secretariat functions, country engagement, as well as knowledge and learning and is run by WRI, which the UK funds</w:t>
      </w:r>
      <w:r w:rsidR="00BA2FDA" w:rsidRPr="00E11CA6">
        <w:rPr>
          <w:rFonts w:cs="Arial"/>
          <w:color w:val="000000" w:themeColor="text1"/>
          <w:sz w:val="22"/>
          <w:szCs w:val="22"/>
          <w:lang w:eastAsia="en-GB"/>
        </w:rPr>
        <w:t>.</w:t>
      </w:r>
    </w:p>
    <w:p w14:paraId="5FF09023" w14:textId="695EF1FF" w:rsidR="61D6F299" w:rsidRPr="00E11CA6" w:rsidRDefault="61D6F299" w:rsidP="005745C5">
      <w:pPr>
        <w:rPr>
          <w:rFonts w:cs="Arial"/>
          <w:color w:val="000000" w:themeColor="text1"/>
          <w:sz w:val="22"/>
          <w:szCs w:val="22"/>
          <w:lang w:eastAsia="en-GB"/>
        </w:rPr>
      </w:pPr>
      <w:r w:rsidRPr="00E11CA6">
        <w:rPr>
          <w:rFonts w:cs="Arial"/>
          <w:color w:val="000000" w:themeColor="text1"/>
          <w:sz w:val="22"/>
          <w:szCs w:val="22"/>
          <w:lang w:eastAsia="en-GB"/>
        </w:rPr>
        <w:t xml:space="preserve"> </w:t>
      </w:r>
    </w:p>
    <w:p w14:paraId="26A9DE33" w14:textId="322F1DCA" w:rsidR="61D6F299" w:rsidRPr="00E11CA6" w:rsidRDefault="61D6F299" w:rsidP="005745C5">
      <w:pPr>
        <w:ind w:firstLine="720"/>
        <w:rPr>
          <w:rFonts w:cs="Arial"/>
          <w:color w:val="000000" w:themeColor="text1"/>
          <w:sz w:val="22"/>
          <w:szCs w:val="22"/>
          <w:lang w:eastAsia="en-GB"/>
        </w:rPr>
      </w:pPr>
      <w:r w:rsidRPr="00E11CA6">
        <w:rPr>
          <w:rFonts w:cs="Arial"/>
          <w:b/>
          <w:bCs/>
          <w:color w:val="000000" w:themeColor="text1"/>
          <w:sz w:val="22"/>
          <w:szCs w:val="22"/>
          <w:lang w:eastAsia="en-GB"/>
        </w:rPr>
        <w:t>First response</w:t>
      </w:r>
      <w:r w:rsidRPr="00E11CA6">
        <w:rPr>
          <w:rFonts w:cs="Arial"/>
          <w:color w:val="000000" w:themeColor="text1"/>
          <w:sz w:val="22"/>
          <w:szCs w:val="22"/>
          <w:lang w:eastAsia="en-GB"/>
        </w:rPr>
        <w:t xml:space="preserve"> for addressing members’ requests for support through developed country bilateral funds, such as the </w:t>
      </w:r>
      <w:r w:rsidRPr="00E11CA6">
        <w:rPr>
          <w:rFonts w:cs="Arial"/>
          <w:b/>
          <w:bCs/>
          <w:color w:val="000000" w:themeColor="text1"/>
          <w:sz w:val="22"/>
          <w:szCs w:val="22"/>
          <w:lang w:eastAsia="en-GB"/>
        </w:rPr>
        <w:t>UK’s Country Engagement Fund</w:t>
      </w:r>
      <w:r w:rsidRPr="00E11CA6">
        <w:rPr>
          <w:rFonts w:cs="Arial"/>
          <w:color w:val="000000" w:themeColor="text1"/>
          <w:sz w:val="22"/>
          <w:szCs w:val="22"/>
          <w:lang w:eastAsia="en-GB"/>
        </w:rPr>
        <w:t xml:space="preserve"> and </w:t>
      </w:r>
      <w:r w:rsidRPr="00E11CA6">
        <w:rPr>
          <w:rFonts w:cs="Arial"/>
          <w:b/>
          <w:bCs/>
          <w:color w:val="000000" w:themeColor="text1"/>
          <w:sz w:val="22"/>
          <w:szCs w:val="22"/>
          <w:lang w:eastAsia="en-GB"/>
        </w:rPr>
        <w:t>institutional member</w:t>
      </w:r>
      <w:r w:rsidRPr="00E11CA6">
        <w:rPr>
          <w:rFonts w:cs="Arial"/>
          <w:color w:val="000000" w:themeColor="text1"/>
          <w:sz w:val="22"/>
          <w:szCs w:val="22"/>
          <w:lang w:eastAsia="en-GB"/>
        </w:rPr>
        <w:t xml:space="preserve"> </w:t>
      </w:r>
      <w:r w:rsidRPr="00E11CA6">
        <w:rPr>
          <w:rFonts w:cs="Arial"/>
          <w:b/>
          <w:bCs/>
          <w:color w:val="000000" w:themeColor="text1"/>
          <w:sz w:val="22"/>
          <w:szCs w:val="22"/>
          <w:lang w:eastAsia="en-GB"/>
        </w:rPr>
        <w:t>initiatives</w:t>
      </w:r>
      <w:r w:rsidRPr="00E11CA6">
        <w:rPr>
          <w:rFonts w:cs="Arial"/>
          <w:color w:val="000000" w:themeColor="text1"/>
          <w:sz w:val="22"/>
          <w:szCs w:val="22"/>
          <w:lang w:eastAsia="en-GB"/>
        </w:rPr>
        <w:t xml:space="preserve"> and programmes such as </w:t>
      </w:r>
      <w:r w:rsidRPr="00E11CA6">
        <w:rPr>
          <w:rFonts w:cs="Arial"/>
          <w:b/>
          <w:bCs/>
          <w:color w:val="000000" w:themeColor="text1"/>
          <w:sz w:val="22"/>
          <w:szCs w:val="22"/>
          <w:lang w:eastAsia="en-GB"/>
        </w:rPr>
        <w:t>UNDP’s Climate Promise</w:t>
      </w:r>
      <w:r w:rsidRPr="00E11CA6">
        <w:rPr>
          <w:rFonts w:cs="Arial"/>
          <w:color w:val="000000" w:themeColor="text1"/>
          <w:sz w:val="22"/>
          <w:szCs w:val="22"/>
          <w:lang w:eastAsia="en-GB"/>
        </w:rPr>
        <w:t xml:space="preserve"> or </w:t>
      </w:r>
      <w:r w:rsidRPr="00E11CA6">
        <w:rPr>
          <w:rFonts w:cs="Arial"/>
          <w:b/>
          <w:bCs/>
          <w:color w:val="000000" w:themeColor="text1"/>
          <w:sz w:val="22"/>
          <w:szCs w:val="22"/>
          <w:lang w:eastAsia="en-GB"/>
        </w:rPr>
        <w:t>The World Bank’s Climate Support Facility</w:t>
      </w:r>
      <w:r w:rsidRPr="00E11CA6">
        <w:rPr>
          <w:rFonts w:cs="Arial"/>
          <w:color w:val="000000" w:themeColor="text1"/>
          <w:sz w:val="22"/>
          <w:szCs w:val="22"/>
          <w:lang w:eastAsia="en-GB"/>
        </w:rPr>
        <w:t xml:space="preserve">, which the UK have provided funding for the first time this year. </w:t>
      </w:r>
    </w:p>
    <w:p w14:paraId="43AD80A9" w14:textId="56465696" w:rsidR="61D6F299" w:rsidRPr="00E11CA6" w:rsidRDefault="61D6F299" w:rsidP="005745C5">
      <w:pPr>
        <w:rPr>
          <w:rFonts w:cs="Arial"/>
          <w:color w:val="000000" w:themeColor="text1"/>
          <w:sz w:val="22"/>
          <w:szCs w:val="22"/>
          <w:lang w:eastAsia="en-GB"/>
        </w:rPr>
      </w:pPr>
      <w:r w:rsidRPr="00E11CA6">
        <w:rPr>
          <w:rFonts w:cs="Arial"/>
          <w:color w:val="000000" w:themeColor="text1"/>
          <w:sz w:val="22"/>
          <w:szCs w:val="22"/>
          <w:lang w:eastAsia="en-GB"/>
        </w:rPr>
        <w:t xml:space="preserve"> </w:t>
      </w:r>
    </w:p>
    <w:p w14:paraId="7B71C449" w14:textId="3CAC72FA" w:rsidR="70DE8949" w:rsidRPr="00E11CA6" w:rsidRDefault="70DE8949" w:rsidP="005745C5">
      <w:pPr>
        <w:rPr>
          <w:rFonts w:cs="Arial"/>
          <w:color w:val="000000" w:themeColor="text1"/>
          <w:sz w:val="22"/>
          <w:szCs w:val="22"/>
          <w:lang w:eastAsia="en-GB"/>
        </w:rPr>
      </w:pPr>
      <w:r w:rsidRPr="00E11CA6">
        <w:rPr>
          <w:rFonts w:cs="Arial"/>
          <w:b/>
          <w:bCs/>
          <w:color w:val="000000" w:themeColor="text1"/>
          <w:sz w:val="22"/>
          <w:szCs w:val="22"/>
          <w:lang w:eastAsia="en-GB"/>
        </w:rPr>
        <w:t>T</w:t>
      </w:r>
      <w:r w:rsidR="61D6F299" w:rsidRPr="00E11CA6">
        <w:rPr>
          <w:rFonts w:cs="Arial"/>
          <w:b/>
          <w:bCs/>
          <w:color w:val="000000" w:themeColor="text1"/>
          <w:sz w:val="22"/>
          <w:szCs w:val="22"/>
          <w:lang w:eastAsia="en-GB"/>
        </w:rPr>
        <w:t>he Partnership Action Fund</w:t>
      </w:r>
      <w:r w:rsidR="7EB99EC4" w:rsidRPr="00E11CA6">
        <w:rPr>
          <w:rFonts w:cs="Arial"/>
          <w:b/>
          <w:bCs/>
          <w:color w:val="000000" w:themeColor="text1"/>
          <w:sz w:val="22"/>
          <w:szCs w:val="22"/>
          <w:lang w:eastAsia="en-GB"/>
        </w:rPr>
        <w:t>,</w:t>
      </w:r>
      <w:r w:rsidR="61D6F299" w:rsidRPr="00E11CA6">
        <w:rPr>
          <w:rFonts w:cs="Arial"/>
          <w:b/>
          <w:bCs/>
          <w:color w:val="000000" w:themeColor="text1"/>
          <w:sz w:val="22"/>
          <w:szCs w:val="22"/>
          <w:lang w:eastAsia="en-GB"/>
        </w:rPr>
        <w:t xml:space="preserve"> </w:t>
      </w:r>
      <w:r w:rsidR="61D6F299" w:rsidRPr="00E11CA6">
        <w:rPr>
          <w:rFonts w:cs="Arial"/>
          <w:color w:val="000000" w:themeColor="text1"/>
          <w:sz w:val="22"/>
          <w:szCs w:val="22"/>
          <w:lang w:eastAsia="en-GB"/>
        </w:rPr>
        <w:t>which is the NDC Partnership’s last-resort mechanism for addressing members’ requests for support and which the UK also has been funding.</w:t>
      </w:r>
    </w:p>
    <w:p w14:paraId="3C0D5170" w14:textId="2A195F52" w:rsidR="61D6F299" w:rsidRPr="00E11CA6" w:rsidRDefault="61D6F299" w:rsidP="005745C5">
      <w:pPr>
        <w:rPr>
          <w:rFonts w:cs="Arial"/>
          <w:color w:val="000000" w:themeColor="text1"/>
          <w:sz w:val="22"/>
          <w:szCs w:val="22"/>
          <w:lang w:eastAsia="en-GB"/>
        </w:rPr>
      </w:pPr>
      <w:r w:rsidRPr="00E11CA6">
        <w:rPr>
          <w:rFonts w:cs="Arial"/>
          <w:color w:val="000000" w:themeColor="text1"/>
          <w:sz w:val="22"/>
          <w:szCs w:val="22"/>
          <w:lang w:eastAsia="en-GB"/>
        </w:rPr>
        <w:t xml:space="preserve"> </w:t>
      </w:r>
    </w:p>
    <w:p w14:paraId="49A6CA7F" w14:textId="0AAA46E2" w:rsidR="61D6F299" w:rsidRPr="00E11CA6" w:rsidRDefault="61D6F299" w:rsidP="005745C5">
      <w:pPr>
        <w:ind w:firstLine="720"/>
        <w:rPr>
          <w:rFonts w:cs="Arial"/>
          <w:color w:val="000000" w:themeColor="text1"/>
          <w:sz w:val="22"/>
          <w:szCs w:val="22"/>
          <w:lang w:eastAsia="en-GB"/>
        </w:rPr>
      </w:pPr>
      <w:r w:rsidRPr="00E11CA6">
        <w:rPr>
          <w:rFonts w:cs="Arial"/>
          <w:color w:val="000000" w:themeColor="text1"/>
          <w:sz w:val="22"/>
          <w:szCs w:val="22"/>
          <w:lang w:eastAsia="en-GB"/>
        </w:rPr>
        <w:t xml:space="preserve">The first year of the multi-element approach has been providing VfM through enabling rapid response to demand, first by providing support to the </w:t>
      </w:r>
      <w:r w:rsidR="6CB05F78" w:rsidRPr="00E11CA6">
        <w:rPr>
          <w:rFonts w:cs="Arial"/>
          <w:color w:val="000000" w:themeColor="text1"/>
          <w:sz w:val="22"/>
          <w:szCs w:val="22"/>
          <w:lang w:eastAsia="en-GB"/>
        </w:rPr>
        <w:t>bilateral</w:t>
      </w:r>
      <w:r w:rsidRPr="00E11CA6">
        <w:rPr>
          <w:rFonts w:cs="Arial"/>
          <w:color w:val="000000" w:themeColor="text1"/>
          <w:sz w:val="22"/>
          <w:szCs w:val="22"/>
          <w:lang w:eastAsia="en-GB"/>
        </w:rPr>
        <w:t xml:space="preserve"> Country Engagement Fund, enabling countries to focus on their climate policy and develop their NDCs and in the 3rd and 4th quarters of the reporting year, we managed to provide funding to UNDP and the World Bank to further advance the goals of the Partnership.</w:t>
      </w:r>
      <w:r w:rsidR="6856AD99" w:rsidRPr="00E11CA6">
        <w:rPr>
          <w:rFonts w:cs="Arial"/>
          <w:color w:val="000000" w:themeColor="text1"/>
          <w:sz w:val="22"/>
          <w:szCs w:val="22"/>
          <w:lang w:eastAsia="en-GB"/>
        </w:rPr>
        <w:t xml:space="preserve"> There were delays in getting arrangements agreed upon with the World Bank and UNDP, due to delays with due diligence, however </w:t>
      </w:r>
      <w:r w:rsidR="00B24ACF" w:rsidRPr="00E11CA6">
        <w:rPr>
          <w:rFonts w:cs="Arial"/>
          <w:color w:val="000000" w:themeColor="text1"/>
          <w:sz w:val="22"/>
          <w:szCs w:val="22"/>
          <w:lang w:eastAsia="en-GB"/>
        </w:rPr>
        <w:t xml:space="preserve">the programme team </w:t>
      </w:r>
      <w:r w:rsidR="6856AD99" w:rsidRPr="00E11CA6">
        <w:rPr>
          <w:rFonts w:cs="Arial"/>
          <w:color w:val="000000" w:themeColor="text1"/>
          <w:sz w:val="22"/>
          <w:szCs w:val="22"/>
          <w:lang w:eastAsia="en-GB"/>
        </w:rPr>
        <w:t>w</w:t>
      </w:r>
      <w:r w:rsidR="00B24ACF" w:rsidRPr="00E11CA6">
        <w:rPr>
          <w:rFonts w:cs="Arial"/>
          <w:color w:val="000000" w:themeColor="text1"/>
          <w:sz w:val="22"/>
          <w:szCs w:val="22"/>
          <w:lang w:eastAsia="en-GB"/>
        </w:rPr>
        <w:t>as</w:t>
      </w:r>
      <w:r w:rsidR="6856AD99" w:rsidRPr="00E11CA6">
        <w:rPr>
          <w:rFonts w:cs="Arial"/>
          <w:color w:val="000000" w:themeColor="text1"/>
          <w:sz w:val="22"/>
          <w:szCs w:val="22"/>
          <w:lang w:eastAsia="en-GB"/>
        </w:rPr>
        <w:t xml:space="preserve"> able to resolve those and </w:t>
      </w:r>
      <w:r w:rsidR="3F6D066C" w:rsidRPr="00E11CA6">
        <w:rPr>
          <w:rFonts w:cs="Arial"/>
          <w:color w:val="000000" w:themeColor="text1"/>
          <w:sz w:val="22"/>
          <w:szCs w:val="22"/>
          <w:lang w:eastAsia="en-GB"/>
        </w:rPr>
        <w:t xml:space="preserve">provide the funding to enable developing countries to update their NDCs </w:t>
      </w:r>
      <w:r w:rsidR="62B1FA92" w:rsidRPr="00E11CA6">
        <w:rPr>
          <w:rFonts w:cs="Arial"/>
          <w:color w:val="000000" w:themeColor="text1"/>
          <w:sz w:val="22"/>
          <w:szCs w:val="22"/>
          <w:lang w:eastAsia="en-GB"/>
        </w:rPr>
        <w:t>and work on their LTS</w:t>
      </w:r>
      <w:r w:rsidR="3F6D066C" w:rsidRPr="00E11CA6">
        <w:rPr>
          <w:rFonts w:cs="Arial"/>
          <w:color w:val="000000" w:themeColor="text1"/>
          <w:sz w:val="22"/>
          <w:szCs w:val="22"/>
          <w:lang w:eastAsia="en-GB"/>
        </w:rPr>
        <w:t xml:space="preserve"> ahead of COP30.</w:t>
      </w:r>
    </w:p>
    <w:p w14:paraId="3B627241" w14:textId="166FB2CA" w:rsidR="25F1A018" w:rsidRPr="00E11CA6" w:rsidRDefault="25F1A018" w:rsidP="005745C5">
      <w:pPr>
        <w:rPr>
          <w:rFonts w:cs="Arial"/>
          <w:color w:val="000000" w:themeColor="text1"/>
          <w:sz w:val="22"/>
          <w:szCs w:val="22"/>
          <w:lang w:eastAsia="en-GB"/>
        </w:rPr>
      </w:pPr>
    </w:p>
    <w:p w14:paraId="1E8442A5" w14:textId="455B8944" w:rsidR="61D6F299" w:rsidRPr="00E11CA6" w:rsidRDefault="61D6F299" w:rsidP="005745C5">
      <w:pPr>
        <w:ind w:firstLine="720"/>
        <w:rPr>
          <w:rFonts w:cs="Arial"/>
          <w:color w:val="000000" w:themeColor="text1"/>
          <w:sz w:val="22"/>
          <w:szCs w:val="22"/>
          <w:lang w:eastAsia="en-GB"/>
        </w:rPr>
      </w:pPr>
      <w:r w:rsidRPr="00E11CA6">
        <w:rPr>
          <w:rFonts w:cs="Arial"/>
          <w:color w:val="000000" w:themeColor="text1"/>
          <w:sz w:val="22"/>
          <w:szCs w:val="22"/>
          <w:lang w:eastAsia="en-GB"/>
        </w:rPr>
        <w:t xml:space="preserve">Additionally, we moved payments forward for the Partnership Action Fund </w:t>
      </w:r>
      <w:r w:rsidR="7EECC5D0" w:rsidRPr="00E11CA6">
        <w:rPr>
          <w:rFonts w:cs="Arial"/>
          <w:color w:val="000000" w:themeColor="text1"/>
          <w:sz w:val="22"/>
          <w:szCs w:val="22"/>
          <w:lang w:eastAsia="en-GB"/>
        </w:rPr>
        <w:t>to 2023</w:t>
      </w:r>
      <w:r w:rsidRPr="00E11CA6">
        <w:rPr>
          <w:rFonts w:cs="Arial"/>
          <w:color w:val="000000" w:themeColor="text1"/>
          <w:sz w:val="22"/>
          <w:szCs w:val="22"/>
          <w:lang w:eastAsia="en-GB"/>
        </w:rPr>
        <w:t xml:space="preserve"> to ensure that demand for technical assistance </w:t>
      </w:r>
      <w:r w:rsidR="3851CB3D" w:rsidRPr="00E11CA6">
        <w:rPr>
          <w:rFonts w:cs="Arial"/>
          <w:color w:val="000000" w:themeColor="text1"/>
          <w:sz w:val="22"/>
          <w:szCs w:val="22"/>
          <w:lang w:eastAsia="en-GB"/>
        </w:rPr>
        <w:t>would</w:t>
      </w:r>
      <w:r w:rsidRPr="00E11CA6">
        <w:rPr>
          <w:rFonts w:cs="Arial"/>
          <w:color w:val="000000" w:themeColor="text1"/>
          <w:sz w:val="22"/>
          <w:szCs w:val="22"/>
          <w:lang w:eastAsia="en-GB"/>
        </w:rPr>
        <w:t xml:space="preserve"> be met</w:t>
      </w:r>
      <w:r w:rsidR="396F7221" w:rsidRPr="00E11CA6">
        <w:rPr>
          <w:rFonts w:cs="Arial"/>
          <w:color w:val="000000" w:themeColor="text1"/>
          <w:sz w:val="22"/>
          <w:szCs w:val="22"/>
          <w:lang w:eastAsia="en-GB"/>
        </w:rPr>
        <w:t xml:space="preserve"> to enable countries to update their NDCs</w:t>
      </w:r>
      <w:r w:rsidR="639E3243" w:rsidRPr="00E11CA6">
        <w:rPr>
          <w:rFonts w:cs="Arial"/>
          <w:color w:val="000000" w:themeColor="text1"/>
          <w:sz w:val="22"/>
          <w:szCs w:val="22"/>
          <w:lang w:eastAsia="en-GB"/>
        </w:rPr>
        <w:t xml:space="preserve">, as there was </w:t>
      </w:r>
      <w:r w:rsidR="5D7F3EBD" w:rsidRPr="00E11CA6">
        <w:rPr>
          <w:rFonts w:cs="Arial"/>
          <w:color w:val="000000" w:themeColor="text1"/>
          <w:sz w:val="22"/>
          <w:szCs w:val="22"/>
          <w:lang w:eastAsia="en-GB"/>
        </w:rPr>
        <w:t>increasing demand from developing countries and providing funding ahead of schedule enabled countries to receive the technical assistance they needed</w:t>
      </w:r>
      <w:r w:rsidR="2E03C2E1" w:rsidRPr="00E11CA6">
        <w:rPr>
          <w:rFonts w:cs="Arial"/>
          <w:color w:val="000000" w:themeColor="text1"/>
          <w:sz w:val="22"/>
          <w:szCs w:val="22"/>
          <w:lang w:eastAsia="en-GB"/>
        </w:rPr>
        <w:t xml:space="preserve">. </w:t>
      </w:r>
    </w:p>
    <w:p w14:paraId="4F8B0AA2" w14:textId="7A42E1BF" w:rsidR="61D6F299" w:rsidRPr="00E11CA6" w:rsidRDefault="61D6F299" w:rsidP="005745C5">
      <w:pPr>
        <w:rPr>
          <w:rFonts w:cs="Arial"/>
          <w:color w:val="000000" w:themeColor="text1"/>
          <w:sz w:val="22"/>
          <w:szCs w:val="22"/>
          <w:lang w:eastAsia="en-GB"/>
        </w:rPr>
      </w:pPr>
    </w:p>
    <w:p w14:paraId="39F3C588" w14:textId="2F35B778" w:rsidR="61D6F299" w:rsidRPr="00E11CA6" w:rsidRDefault="34EF673E" w:rsidP="00900DAA">
      <w:pPr>
        <w:ind w:firstLine="720"/>
        <w:rPr>
          <w:rFonts w:cs="Arial"/>
          <w:color w:val="000000" w:themeColor="text1"/>
          <w:sz w:val="22"/>
          <w:szCs w:val="22"/>
          <w:lang w:eastAsia="en-GB"/>
        </w:rPr>
      </w:pPr>
      <w:r w:rsidRPr="00E11CA6">
        <w:rPr>
          <w:rFonts w:cs="Arial"/>
          <w:color w:val="000000" w:themeColor="text1"/>
          <w:sz w:val="22"/>
          <w:szCs w:val="22"/>
          <w:lang w:eastAsia="en-GB"/>
        </w:rPr>
        <w:t>Additionally, the programme team</w:t>
      </w:r>
      <w:r w:rsidR="2E03C2E1" w:rsidRPr="00E11CA6">
        <w:rPr>
          <w:rFonts w:cs="Arial"/>
          <w:color w:val="000000" w:themeColor="text1"/>
          <w:sz w:val="22"/>
          <w:szCs w:val="22"/>
          <w:lang w:eastAsia="en-GB"/>
        </w:rPr>
        <w:t xml:space="preserve"> ha</w:t>
      </w:r>
      <w:r w:rsidR="436D8B6C" w:rsidRPr="00E11CA6">
        <w:rPr>
          <w:rFonts w:cs="Arial"/>
          <w:color w:val="000000" w:themeColor="text1"/>
          <w:sz w:val="22"/>
          <w:szCs w:val="22"/>
          <w:lang w:eastAsia="en-GB"/>
        </w:rPr>
        <w:t>s</w:t>
      </w:r>
      <w:r w:rsidR="61D6F299" w:rsidRPr="00E11CA6">
        <w:rPr>
          <w:rFonts w:cs="Arial"/>
          <w:color w:val="000000" w:themeColor="text1"/>
          <w:sz w:val="22"/>
          <w:szCs w:val="22"/>
          <w:lang w:eastAsia="en-GB"/>
        </w:rPr>
        <w:t xml:space="preserve"> been supporting overall VfM of the intervention by harnessing ready opportunities, such as the Climate Support Facility to deliver the programme’s aims.</w:t>
      </w:r>
    </w:p>
    <w:p w14:paraId="0A1BAAC1" w14:textId="51DC1700" w:rsidR="25F1A018" w:rsidRPr="005745C5" w:rsidRDefault="25F1A018" w:rsidP="005745C5">
      <w:pPr>
        <w:rPr>
          <w:rFonts w:cs="Arial"/>
          <w:color w:val="000000" w:themeColor="text1"/>
          <w:lang w:eastAsia="en-GB"/>
        </w:rPr>
      </w:pPr>
    </w:p>
    <w:p w14:paraId="6C208AE8" w14:textId="66FB980E" w:rsidR="3C012B55" w:rsidRPr="00E11CA6" w:rsidRDefault="3C012B55" w:rsidP="00900DAA">
      <w:pPr>
        <w:ind w:firstLine="720"/>
        <w:rPr>
          <w:rFonts w:cs="Arial"/>
          <w:color w:val="000000" w:themeColor="text1"/>
          <w:sz w:val="22"/>
          <w:szCs w:val="22"/>
          <w:lang w:eastAsia="en-GB"/>
        </w:rPr>
      </w:pPr>
      <w:r w:rsidRPr="00E11CA6">
        <w:rPr>
          <w:rFonts w:cs="Arial"/>
          <w:color w:val="000000" w:themeColor="text1"/>
          <w:sz w:val="22"/>
          <w:szCs w:val="22"/>
          <w:lang w:eastAsia="en-GB"/>
        </w:rPr>
        <w:t>Each of the elements has been providing Value for Money by having</w:t>
      </w:r>
      <w:r w:rsidR="6B678C85" w:rsidRPr="00E11CA6">
        <w:rPr>
          <w:rFonts w:cs="Arial"/>
          <w:color w:val="000000" w:themeColor="text1"/>
          <w:sz w:val="22"/>
          <w:szCs w:val="22"/>
          <w:lang w:eastAsia="en-GB"/>
        </w:rPr>
        <w:t xml:space="preserve"> </w:t>
      </w:r>
      <w:r w:rsidRPr="00E11CA6">
        <w:rPr>
          <w:rFonts w:cs="Arial"/>
          <w:color w:val="000000" w:themeColor="text1"/>
          <w:sz w:val="22"/>
          <w:szCs w:val="22"/>
          <w:lang w:eastAsia="en-GB"/>
        </w:rPr>
        <w:t>clearly agre</w:t>
      </w:r>
      <w:r w:rsidR="5C882A60" w:rsidRPr="00E11CA6">
        <w:rPr>
          <w:rFonts w:cs="Arial"/>
          <w:color w:val="000000" w:themeColor="text1"/>
          <w:sz w:val="22"/>
          <w:szCs w:val="22"/>
          <w:lang w:eastAsia="en-GB"/>
        </w:rPr>
        <w:t>ed objectives and deliverables</w:t>
      </w:r>
      <w:r w:rsidR="6DB3BDEC" w:rsidRPr="00E11CA6">
        <w:rPr>
          <w:rFonts w:cs="Arial"/>
          <w:color w:val="000000" w:themeColor="text1"/>
          <w:sz w:val="22"/>
          <w:szCs w:val="22"/>
          <w:lang w:eastAsia="en-GB"/>
        </w:rPr>
        <w:t>. The agreements</w:t>
      </w:r>
      <w:r w:rsidR="6DB3BDEC" w:rsidRPr="00E11CA6">
        <w:rPr>
          <w:rFonts w:eastAsia="Segoe UI" w:cs="Arial"/>
          <w:color w:val="000000" w:themeColor="text1"/>
          <w:sz w:val="22"/>
          <w:szCs w:val="22"/>
          <w:lang w:eastAsia="en-GB"/>
        </w:rPr>
        <w:t xml:space="preserve"> </w:t>
      </w:r>
      <w:r w:rsidR="6DB3BDEC" w:rsidRPr="00E11CA6">
        <w:rPr>
          <w:rFonts w:cs="Arial"/>
          <w:color w:val="000000" w:themeColor="text1"/>
          <w:sz w:val="22"/>
          <w:szCs w:val="22"/>
          <w:lang w:eastAsia="en-GB"/>
        </w:rPr>
        <w:t>include</w:t>
      </w:r>
      <w:r w:rsidR="6DB3BDEC" w:rsidRPr="00E11CA6">
        <w:rPr>
          <w:rFonts w:eastAsia="Segoe UI" w:cs="Arial"/>
          <w:color w:val="000000" w:themeColor="text1"/>
          <w:sz w:val="22"/>
          <w:szCs w:val="22"/>
          <w:lang w:eastAsia="en-GB"/>
        </w:rPr>
        <w:t xml:space="preserve"> provisions for monitoring and reporting. </w:t>
      </w:r>
      <w:r w:rsidR="1EAFBEB5" w:rsidRPr="00E11CA6">
        <w:rPr>
          <w:rFonts w:eastAsia="Segoe UI" w:cs="Arial"/>
          <w:color w:val="000000" w:themeColor="text1"/>
          <w:sz w:val="22"/>
          <w:szCs w:val="22"/>
          <w:lang w:eastAsia="en-GB"/>
        </w:rPr>
        <w:t xml:space="preserve">We have fortnightly meetings with WRI and UNOPS to discuss the programme’s progress and finances. We have quarterly meetings with the World Bank and UNDP to ensure </w:t>
      </w:r>
      <w:r w:rsidR="1EAFBEB5" w:rsidRPr="00E11CA6">
        <w:rPr>
          <w:rFonts w:eastAsia="Segoe UI" w:cs="Arial"/>
          <w:color w:val="000000" w:themeColor="text1"/>
          <w:sz w:val="22"/>
          <w:szCs w:val="22"/>
          <w:lang w:eastAsia="en-GB"/>
        </w:rPr>
        <w:lastRenderedPageBreak/>
        <w:t>accountability.</w:t>
      </w:r>
      <w:r w:rsidR="3869EAAD" w:rsidRPr="00E11CA6">
        <w:rPr>
          <w:rFonts w:eastAsia="Segoe UI" w:cs="Arial"/>
          <w:color w:val="000000" w:themeColor="text1"/>
          <w:sz w:val="22"/>
          <w:szCs w:val="22"/>
          <w:lang w:eastAsia="en-GB"/>
        </w:rPr>
        <w:t xml:space="preserve"> </w:t>
      </w:r>
      <w:r w:rsidR="4F009121" w:rsidRPr="00E11CA6">
        <w:rPr>
          <w:rFonts w:eastAsia="Segoe UI" w:cs="Arial"/>
          <w:color w:val="000000" w:themeColor="text1"/>
          <w:sz w:val="22"/>
          <w:szCs w:val="22"/>
          <w:lang w:eastAsia="en-GB"/>
        </w:rPr>
        <w:t>Having these governance arrangements in place</w:t>
      </w:r>
      <w:r w:rsidR="6DB3BDEC" w:rsidRPr="00E11CA6">
        <w:rPr>
          <w:rFonts w:eastAsia="Segoe UI" w:cs="Arial"/>
          <w:color w:val="000000" w:themeColor="text1"/>
          <w:sz w:val="22"/>
          <w:szCs w:val="22"/>
          <w:lang w:eastAsia="en-GB"/>
        </w:rPr>
        <w:t xml:space="preserve"> </w:t>
      </w:r>
      <w:r w:rsidR="6DB3BDEC" w:rsidRPr="00E11CA6">
        <w:rPr>
          <w:rFonts w:cs="Arial"/>
          <w:color w:val="000000" w:themeColor="text1"/>
          <w:sz w:val="22"/>
          <w:szCs w:val="22"/>
          <w:lang w:eastAsia="en-GB"/>
        </w:rPr>
        <w:t xml:space="preserve">ensures </w:t>
      </w:r>
      <w:r w:rsidR="3E471154" w:rsidRPr="00E11CA6">
        <w:rPr>
          <w:rFonts w:cs="Arial"/>
          <w:color w:val="000000" w:themeColor="text1"/>
          <w:sz w:val="22"/>
          <w:szCs w:val="22"/>
          <w:lang w:eastAsia="en-GB"/>
        </w:rPr>
        <w:t>delivery partners</w:t>
      </w:r>
      <w:r w:rsidR="6DB3BDEC" w:rsidRPr="00E11CA6">
        <w:rPr>
          <w:rFonts w:eastAsia="Segoe UI" w:cs="Arial"/>
          <w:color w:val="000000" w:themeColor="text1"/>
          <w:sz w:val="22"/>
          <w:szCs w:val="22"/>
          <w:lang w:eastAsia="en-GB"/>
        </w:rPr>
        <w:t xml:space="preserve"> </w:t>
      </w:r>
      <w:r w:rsidR="232D52FF" w:rsidRPr="00E11CA6">
        <w:rPr>
          <w:rFonts w:cs="Arial"/>
          <w:color w:val="000000" w:themeColor="text1"/>
          <w:sz w:val="22"/>
          <w:szCs w:val="22"/>
          <w:lang w:eastAsia="en-GB"/>
        </w:rPr>
        <w:t>are</w:t>
      </w:r>
      <w:r w:rsidR="6DB3BDEC" w:rsidRPr="00E11CA6">
        <w:rPr>
          <w:rFonts w:eastAsia="Segoe UI" w:cs="Arial"/>
          <w:color w:val="000000" w:themeColor="text1"/>
          <w:sz w:val="22"/>
          <w:szCs w:val="22"/>
          <w:lang w:eastAsia="en-GB"/>
        </w:rPr>
        <w:t xml:space="preserve"> accountable for the use of funds and that progress towards the agreed objectives is tracked and reported regularly. This transparency helps to ensure that the funds are being used efficiently and effectively</w:t>
      </w:r>
      <w:r w:rsidR="0905C635" w:rsidRPr="00E11CA6">
        <w:rPr>
          <w:rFonts w:cs="Arial"/>
          <w:color w:val="000000" w:themeColor="text1"/>
          <w:sz w:val="22"/>
          <w:szCs w:val="22"/>
          <w:lang w:eastAsia="en-GB"/>
        </w:rPr>
        <w:t>.</w:t>
      </w:r>
    </w:p>
    <w:p w14:paraId="4F3F894B" w14:textId="3F036687" w:rsidR="25F1A018" w:rsidRPr="00E11CA6" w:rsidRDefault="25F1A018" w:rsidP="005745C5">
      <w:pPr>
        <w:rPr>
          <w:rFonts w:cs="Arial"/>
          <w:color w:val="000000" w:themeColor="text1"/>
          <w:sz w:val="22"/>
          <w:szCs w:val="22"/>
          <w:lang w:eastAsia="en-GB"/>
        </w:rPr>
      </w:pPr>
    </w:p>
    <w:p w14:paraId="31A8599A" w14:textId="535F2ECC" w:rsidR="25F1A018" w:rsidRPr="00E11CA6" w:rsidRDefault="1FC40B56" w:rsidP="00900DAA">
      <w:pPr>
        <w:ind w:firstLine="720"/>
        <w:rPr>
          <w:rFonts w:cs="Arial"/>
          <w:color w:val="000000" w:themeColor="text1"/>
          <w:sz w:val="22"/>
          <w:szCs w:val="22"/>
          <w:lang w:eastAsia="en-GB"/>
        </w:rPr>
      </w:pPr>
      <w:r w:rsidRPr="00E11CA6">
        <w:rPr>
          <w:rFonts w:cs="Arial"/>
          <w:color w:val="000000" w:themeColor="text1"/>
          <w:sz w:val="22"/>
          <w:szCs w:val="22"/>
          <w:lang w:eastAsia="en-GB"/>
        </w:rPr>
        <w:t xml:space="preserve">In terms of performance of the different elements, we are awaiting the first </w:t>
      </w:r>
      <w:r w:rsidR="1AF5EB0F" w:rsidRPr="00E11CA6">
        <w:rPr>
          <w:rFonts w:cs="Arial"/>
          <w:color w:val="000000" w:themeColor="text1"/>
          <w:sz w:val="22"/>
          <w:szCs w:val="22"/>
          <w:lang w:eastAsia="en-GB"/>
        </w:rPr>
        <w:t xml:space="preserve"> narrative and financial </w:t>
      </w:r>
      <w:r w:rsidRPr="00E11CA6">
        <w:rPr>
          <w:rFonts w:cs="Arial"/>
          <w:color w:val="000000" w:themeColor="text1"/>
          <w:sz w:val="22"/>
          <w:szCs w:val="22"/>
          <w:lang w:eastAsia="en-GB"/>
        </w:rPr>
        <w:t xml:space="preserve">reporting </w:t>
      </w:r>
      <w:r w:rsidR="32B7A423" w:rsidRPr="00E11CA6">
        <w:rPr>
          <w:rFonts w:cs="Arial"/>
          <w:color w:val="000000" w:themeColor="text1"/>
          <w:sz w:val="22"/>
          <w:szCs w:val="22"/>
          <w:lang w:eastAsia="en-GB"/>
        </w:rPr>
        <w:t>for the Climate</w:t>
      </w:r>
      <w:r w:rsidRPr="00E11CA6">
        <w:rPr>
          <w:rFonts w:cs="Arial"/>
          <w:color w:val="000000" w:themeColor="text1"/>
          <w:sz w:val="22"/>
          <w:szCs w:val="22"/>
          <w:lang w:eastAsia="en-GB"/>
        </w:rPr>
        <w:t xml:space="preserve"> </w:t>
      </w:r>
      <w:r w:rsidR="32B7A423" w:rsidRPr="00E11CA6">
        <w:rPr>
          <w:rFonts w:cs="Arial"/>
          <w:color w:val="000000" w:themeColor="text1"/>
          <w:sz w:val="22"/>
          <w:szCs w:val="22"/>
          <w:lang w:eastAsia="en-GB"/>
        </w:rPr>
        <w:t>Promise, Climate Support Facility and the Country Engagement Fund</w:t>
      </w:r>
      <w:r w:rsidRPr="00E11CA6">
        <w:rPr>
          <w:rFonts w:cs="Arial"/>
          <w:color w:val="000000" w:themeColor="text1"/>
          <w:sz w:val="22"/>
          <w:szCs w:val="22"/>
          <w:lang w:eastAsia="en-GB"/>
        </w:rPr>
        <w:t xml:space="preserve"> to be provided to </w:t>
      </w:r>
      <w:r w:rsidR="004E3117" w:rsidRPr="00E11CA6">
        <w:rPr>
          <w:rFonts w:cs="Arial"/>
          <w:color w:val="000000" w:themeColor="text1"/>
          <w:sz w:val="22"/>
          <w:szCs w:val="22"/>
          <w:lang w:eastAsia="en-GB"/>
        </w:rPr>
        <w:t>DESNZ in</w:t>
      </w:r>
      <w:r w:rsidR="61D6F299" w:rsidRPr="00E11CA6">
        <w:rPr>
          <w:rFonts w:cs="Arial"/>
          <w:color w:val="000000" w:themeColor="text1"/>
          <w:sz w:val="22"/>
          <w:szCs w:val="22"/>
          <w:lang w:eastAsia="en-GB"/>
        </w:rPr>
        <w:t xml:space="preserve"> </w:t>
      </w:r>
      <w:r w:rsidR="09CD4404" w:rsidRPr="00E11CA6">
        <w:rPr>
          <w:rFonts w:cs="Arial"/>
          <w:color w:val="000000" w:themeColor="text1"/>
          <w:sz w:val="22"/>
          <w:szCs w:val="22"/>
          <w:lang w:eastAsia="en-GB"/>
        </w:rPr>
        <w:t>the Summer and Autumn of 2025</w:t>
      </w:r>
      <w:r w:rsidR="207A7E10" w:rsidRPr="00E11CA6">
        <w:rPr>
          <w:rFonts w:cs="Arial"/>
          <w:color w:val="000000" w:themeColor="text1"/>
          <w:sz w:val="22"/>
          <w:szCs w:val="22"/>
          <w:lang w:eastAsia="en-GB"/>
        </w:rPr>
        <w:t>, however our engagement with all Delivery Partners that work is being delivered as expected</w:t>
      </w:r>
      <w:r w:rsidR="2E1A52F5" w:rsidRPr="00E11CA6">
        <w:rPr>
          <w:rFonts w:cs="Arial"/>
          <w:color w:val="000000" w:themeColor="text1"/>
          <w:sz w:val="22"/>
          <w:szCs w:val="22"/>
          <w:lang w:eastAsia="en-GB"/>
        </w:rPr>
        <w:t xml:space="preserve"> and according to the conditions outlined in the framework and administration agreements with UNOPS, UNDP</w:t>
      </w:r>
      <w:r w:rsidR="0062AC62" w:rsidRPr="00E11CA6">
        <w:rPr>
          <w:rFonts w:cs="Arial"/>
          <w:color w:val="000000" w:themeColor="text1"/>
          <w:sz w:val="22"/>
          <w:szCs w:val="22"/>
          <w:lang w:eastAsia="en-GB"/>
        </w:rPr>
        <w:t>, WRI</w:t>
      </w:r>
      <w:r w:rsidR="2E1A52F5" w:rsidRPr="00E11CA6">
        <w:rPr>
          <w:rFonts w:cs="Arial"/>
          <w:color w:val="000000" w:themeColor="text1"/>
          <w:sz w:val="22"/>
          <w:szCs w:val="22"/>
          <w:lang w:eastAsia="en-GB"/>
        </w:rPr>
        <w:t xml:space="preserve"> </w:t>
      </w:r>
      <w:r w:rsidR="7C1A7DEC" w:rsidRPr="00E11CA6">
        <w:rPr>
          <w:rFonts w:cs="Arial"/>
          <w:color w:val="000000" w:themeColor="text1"/>
          <w:sz w:val="22"/>
          <w:szCs w:val="22"/>
          <w:lang w:eastAsia="en-GB"/>
        </w:rPr>
        <w:t>and the World Bank.</w:t>
      </w:r>
      <w:r w:rsidR="014CFECD" w:rsidRPr="00E11CA6">
        <w:rPr>
          <w:rFonts w:cs="Arial"/>
          <w:color w:val="000000" w:themeColor="text1"/>
          <w:sz w:val="22"/>
          <w:szCs w:val="22"/>
          <w:lang w:eastAsia="en-GB"/>
        </w:rPr>
        <w:t xml:space="preserve"> This ensures that the programme is performing as expected.</w:t>
      </w:r>
    </w:p>
    <w:p w14:paraId="1DCD2BA6" w14:textId="25EF2AC8" w:rsidR="61D6F299" w:rsidRPr="005745C5" w:rsidRDefault="61D6F299" w:rsidP="005745C5">
      <w:pPr>
        <w:rPr>
          <w:rFonts w:cs="Arial"/>
          <w:color w:val="000000" w:themeColor="text1"/>
          <w:lang w:eastAsia="en-GB"/>
        </w:rPr>
      </w:pPr>
      <w:r w:rsidRPr="005745C5">
        <w:rPr>
          <w:rFonts w:cs="Arial"/>
          <w:color w:val="000000" w:themeColor="text1"/>
          <w:lang w:eastAsia="en-GB"/>
        </w:rPr>
        <w:t xml:space="preserve"> </w:t>
      </w:r>
    </w:p>
    <w:p w14:paraId="7C57B8D0" w14:textId="2B145E8E" w:rsidR="61D6F299" w:rsidRPr="005745C5" w:rsidRDefault="61D6F299" w:rsidP="005745C5">
      <w:pPr>
        <w:rPr>
          <w:rFonts w:cs="Arial"/>
          <w:b/>
          <w:bCs/>
          <w:color w:val="000000" w:themeColor="text1"/>
          <w:lang w:eastAsia="en-GB"/>
        </w:rPr>
      </w:pPr>
      <w:r w:rsidRPr="005745C5">
        <w:rPr>
          <w:rFonts w:cs="Arial"/>
          <w:b/>
          <w:bCs/>
          <w:color w:val="000000" w:themeColor="text1"/>
          <w:lang w:eastAsia="en-GB"/>
        </w:rPr>
        <w:t>Assessment against Economy</w:t>
      </w:r>
    </w:p>
    <w:p w14:paraId="1593A6CD" w14:textId="35C1A784" w:rsidR="61D6F299" w:rsidRPr="003C5BF3" w:rsidRDefault="61D6F299" w:rsidP="0A33CD8F">
      <w:pPr>
        <w:jc w:val="both"/>
        <w:rPr>
          <w:rFonts w:cs="Arial"/>
          <w:color w:val="000000" w:themeColor="text1"/>
          <w:sz w:val="22"/>
          <w:szCs w:val="22"/>
          <w:lang w:eastAsia="en-GB"/>
        </w:rPr>
      </w:pPr>
      <w:r w:rsidRPr="003C5BF3">
        <w:rPr>
          <w:rFonts w:cs="Arial"/>
          <w:color w:val="000000" w:themeColor="text1"/>
          <w:sz w:val="22"/>
          <w:szCs w:val="22"/>
          <w:lang w:eastAsia="en-GB"/>
        </w:rPr>
        <w:t xml:space="preserve"> </w:t>
      </w:r>
    </w:p>
    <w:p w14:paraId="083EF5CB" w14:textId="27EFABDD" w:rsidR="61D6F299" w:rsidRPr="00E11CA6" w:rsidRDefault="61D6F299" w:rsidP="00D97511">
      <w:pPr>
        <w:ind w:firstLine="360"/>
        <w:jc w:val="both"/>
        <w:rPr>
          <w:rFonts w:cs="Arial"/>
          <w:color w:val="000000" w:themeColor="text1"/>
          <w:sz w:val="22"/>
          <w:szCs w:val="22"/>
          <w:lang w:eastAsia="en-GB"/>
        </w:rPr>
      </w:pPr>
      <w:r w:rsidRPr="00E11CA6">
        <w:rPr>
          <w:rFonts w:cs="Arial"/>
          <w:color w:val="000000" w:themeColor="text1"/>
          <w:sz w:val="22"/>
          <w:szCs w:val="22"/>
          <w:lang w:eastAsia="en-GB"/>
        </w:rPr>
        <w:t>The economy assessment considers whether inputs of the appropriate quality are at the right price. The key inputs of the UK’s support and engagement with NDC Partnership are</w:t>
      </w:r>
      <w:r w:rsidR="48F2E2A2" w:rsidRPr="00E11CA6">
        <w:rPr>
          <w:rFonts w:cs="Arial"/>
          <w:color w:val="000000" w:themeColor="text1"/>
          <w:sz w:val="22"/>
          <w:szCs w:val="22"/>
          <w:lang w:eastAsia="en-GB"/>
        </w:rPr>
        <w:t>:</w:t>
      </w:r>
      <w:r w:rsidRPr="00E11CA6">
        <w:rPr>
          <w:rFonts w:cs="Arial"/>
          <w:color w:val="000000" w:themeColor="text1"/>
          <w:sz w:val="22"/>
          <w:szCs w:val="22"/>
          <w:lang w:eastAsia="en-GB"/>
        </w:rPr>
        <w:t xml:space="preserve">  </w:t>
      </w:r>
    </w:p>
    <w:p w14:paraId="55ECC92A" w14:textId="5D7B487D" w:rsidR="61D6F299" w:rsidRPr="00E11CA6" w:rsidRDefault="61D6F299" w:rsidP="0A33CD8F">
      <w:pPr>
        <w:jc w:val="both"/>
        <w:rPr>
          <w:rFonts w:cs="Arial"/>
          <w:color w:val="000000" w:themeColor="text1"/>
          <w:sz w:val="22"/>
          <w:szCs w:val="22"/>
          <w:lang w:eastAsia="en-GB"/>
        </w:rPr>
      </w:pPr>
      <w:r w:rsidRPr="00E11CA6">
        <w:rPr>
          <w:rFonts w:cs="Arial"/>
          <w:color w:val="000000" w:themeColor="text1"/>
          <w:sz w:val="22"/>
          <w:szCs w:val="22"/>
          <w:lang w:eastAsia="en-GB"/>
        </w:rPr>
        <w:t xml:space="preserve"> </w:t>
      </w:r>
    </w:p>
    <w:p w14:paraId="40D6ED19" w14:textId="051E1A7C" w:rsidR="61D6F299" w:rsidRPr="00E11CA6" w:rsidRDefault="61D6F299" w:rsidP="52A16D2F">
      <w:pPr>
        <w:pStyle w:val="ListParagraph"/>
        <w:numPr>
          <w:ilvl w:val="0"/>
          <w:numId w:val="47"/>
        </w:numPr>
        <w:jc w:val="both"/>
        <w:rPr>
          <w:rFonts w:cs="Arial"/>
          <w:color w:val="000000" w:themeColor="text1"/>
          <w:sz w:val="22"/>
          <w:szCs w:val="22"/>
        </w:rPr>
      </w:pPr>
      <w:r w:rsidRPr="00E11CA6">
        <w:rPr>
          <w:rFonts w:cs="Arial"/>
          <w:color w:val="000000" w:themeColor="text1"/>
          <w:sz w:val="22"/>
          <w:szCs w:val="22"/>
        </w:rPr>
        <w:t xml:space="preserve">UK Membership of NDC Partnership. </w:t>
      </w:r>
    </w:p>
    <w:p w14:paraId="66F6CE5F" w14:textId="0BB2D35B" w:rsidR="61D6F299" w:rsidRPr="00E11CA6" w:rsidRDefault="61D6F299" w:rsidP="00D97511">
      <w:pPr>
        <w:rPr>
          <w:rFonts w:cs="Arial"/>
          <w:color w:val="000000" w:themeColor="text1"/>
          <w:sz w:val="22"/>
          <w:szCs w:val="22"/>
        </w:rPr>
      </w:pPr>
      <w:r w:rsidRPr="00E11CA6">
        <w:rPr>
          <w:rFonts w:cs="Arial"/>
          <w:color w:val="000000" w:themeColor="text1"/>
          <w:sz w:val="22"/>
          <w:szCs w:val="22"/>
        </w:rPr>
        <w:t xml:space="preserve">Funding to enable support to be provided to developing countries via four elements: </w:t>
      </w:r>
    </w:p>
    <w:p w14:paraId="67F508FC" w14:textId="77777777" w:rsidR="007136A8" w:rsidRPr="00E11CA6" w:rsidRDefault="007136A8" w:rsidP="00D97511">
      <w:pPr>
        <w:rPr>
          <w:rFonts w:cs="Arial"/>
          <w:color w:val="000000" w:themeColor="text1"/>
          <w:sz w:val="22"/>
          <w:szCs w:val="22"/>
        </w:rPr>
      </w:pPr>
    </w:p>
    <w:p w14:paraId="5F2FBB39" w14:textId="4CB71A69" w:rsidR="61D6F299" w:rsidRPr="00E11CA6" w:rsidRDefault="61D6F299" w:rsidP="00D97511">
      <w:pPr>
        <w:pStyle w:val="ListParagraph"/>
        <w:numPr>
          <w:ilvl w:val="0"/>
          <w:numId w:val="47"/>
        </w:numPr>
        <w:rPr>
          <w:rFonts w:cs="Arial"/>
          <w:color w:val="000000" w:themeColor="text1"/>
          <w:sz w:val="22"/>
          <w:szCs w:val="22"/>
        </w:rPr>
      </w:pPr>
      <w:r w:rsidRPr="00E11CA6">
        <w:rPr>
          <w:rFonts w:cs="Arial"/>
          <w:color w:val="000000" w:themeColor="text1"/>
          <w:sz w:val="22"/>
          <w:szCs w:val="22"/>
        </w:rPr>
        <w:t xml:space="preserve">Funding of the Support Unit  </w:t>
      </w:r>
    </w:p>
    <w:p w14:paraId="3E7FB926" w14:textId="3423C85C" w:rsidR="61D6F299" w:rsidRPr="00E11CA6" w:rsidRDefault="61D6F299" w:rsidP="00D97511">
      <w:pPr>
        <w:pStyle w:val="ListParagraph"/>
        <w:numPr>
          <w:ilvl w:val="0"/>
          <w:numId w:val="47"/>
        </w:numPr>
        <w:rPr>
          <w:rFonts w:cs="Arial"/>
          <w:color w:val="000000" w:themeColor="text1"/>
          <w:sz w:val="22"/>
          <w:szCs w:val="22"/>
        </w:rPr>
      </w:pPr>
      <w:r w:rsidRPr="00E11CA6">
        <w:rPr>
          <w:rFonts w:cs="Arial"/>
          <w:color w:val="000000" w:themeColor="text1"/>
          <w:sz w:val="22"/>
          <w:szCs w:val="22"/>
        </w:rPr>
        <w:t>First response via the bilateral UK Country Engagement Fund (delivered by UNOPS)</w:t>
      </w:r>
    </w:p>
    <w:p w14:paraId="05A1711E" w14:textId="494AF3F9" w:rsidR="61D6F299" w:rsidRPr="00E11CA6" w:rsidRDefault="61D6F299" w:rsidP="00D97511">
      <w:pPr>
        <w:pStyle w:val="ListParagraph"/>
        <w:numPr>
          <w:ilvl w:val="0"/>
          <w:numId w:val="47"/>
        </w:numPr>
        <w:rPr>
          <w:rFonts w:cs="Arial"/>
          <w:color w:val="000000" w:themeColor="text1"/>
          <w:sz w:val="22"/>
          <w:szCs w:val="22"/>
        </w:rPr>
      </w:pPr>
      <w:r w:rsidRPr="00E11CA6">
        <w:rPr>
          <w:rFonts w:cs="Arial"/>
          <w:color w:val="000000" w:themeColor="text1"/>
          <w:sz w:val="22"/>
          <w:szCs w:val="22"/>
        </w:rPr>
        <w:t xml:space="preserve">Institutional member first response mechanisms via UNDP and the World Bank </w:t>
      </w:r>
    </w:p>
    <w:p w14:paraId="3BD27E5F" w14:textId="210C3FBA" w:rsidR="61D6F299" w:rsidRPr="00E11CA6" w:rsidRDefault="61D6F299" w:rsidP="00D97511">
      <w:pPr>
        <w:pStyle w:val="ListParagraph"/>
        <w:numPr>
          <w:ilvl w:val="0"/>
          <w:numId w:val="47"/>
        </w:numPr>
        <w:rPr>
          <w:rFonts w:cs="Arial"/>
          <w:color w:val="000000" w:themeColor="text1"/>
          <w:sz w:val="22"/>
          <w:szCs w:val="22"/>
        </w:rPr>
      </w:pPr>
      <w:r w:rsidRPr="00E11CA6">
        <w:rPr>
          <w:rFonts w:cs="Arial"/>
          <w:color w:val="000000" w:themeColor="text1"/>
          <w:sz w:val="22"/>
          <w:szCs w:val="22"/>
        </w:rPr>
        <w:t xml:space="preserve">Funding for support via the Partnership Action Fund. </w:t>
      </w:r>
    </w:p>
    <w:p w14:paraId="5C7519F0" w14:textId="67643610" w:rsidR="61D6F299" w:rsidRPr="00E11CA6" w:rsidRDefault="61D6F299" w:rsidP="00C4534C">
      <w:pPr>
        <w:ind w:firstLine="360"/>
        <w:rPr>
          <w:rFonts w:cs="Arial"/>
          <w:color w:val="000000" w:themeColor="text1"/>
          <w:sz w:val="22"/>
          <w:szCs w:val="22"/>
          <w:lang w:eastAsia="en-GB"/>
        </w:rPr>
      </w:pPr>
      <w:r w:rsidRPr="00E11CA6">
        <w:rPr>
          <w:rFonts w:cs="Arial"/>
          <w:color w:val="000000" w:themeColor="text1"/>
          <w:sz w:val="22"/>
          <w:szCs w:val="22"/>
          <w:lang w:eastAsia="en-GB"/>
        </w:rPr>
        <w:t>Membership of the Partnership does not come with any direct costs, although does require staff capacity to engage and make the most of th</w:t>
      </w:r>
      <w:r w:rsidR="78FA399A" w:rsidRPr="00E11CA6">
        <w:rPr>
          <w:rFonts w:cs="Arial"/>
          <w:color w:val="000000" w:themeColor="text1"/>
          <w:sz w:val="22"/>
          <w:szCs w:val="22"/>
          <w:lang w:eastAsia="en-GB"/>
        </w:rPr>
        <w:t xml:space="preserve">e </w:t>
      </w:r>
      <w:r w:rsidRPr="00E11CA6">
        <w:rPr>
          <w:rFonts w:cs="Arial"/>
          <w:color w:val="000000" w:themeColor="text1"/>
          <w:sz w:val="22"/>
          <w:szCs w:val="22"/>
          <w:lang w:eastAsia="en-GB"/>
        </w:rPr>
        <w:t xml:space="preserve">UK’s contribution to the different elements. Being an active member of the Partnership ensures that the UK can benefit from the work and </w:t>
      </w:r>
      <w:r w:rsidR="0077706A" w:rsidRPr="00E11CA6">
        <w:rPr>
          <w:rFonts w:cs="Arial"/>
          <w:color w:val="000000" w:themeColor="text1"/>
          <w:sz w:val="22"/>
          <w:szCs w:val="22"/>
          <w:lang w:eastAsia="en-GB"/>
        </w:rPr>
        <w:t xml:space="preserve">outputs </w:t>
      </w:r>
      <w:r w:rsidRPr="00E11CA6">
        <w:rPr>
          <w:rFonts w:cs="Arial"/>
          <w:color w:val="000000" w:themeColor="text1"/>
          <w:sz w:val="22"/>
          <w:szCs w:val="22"/>
          <w:lang w:eastAsia="en-GB"/>
        </w:rPr>
        <w:t xml:space="preserve">of the Partnership, which delivers several benefits for developing countries and for the UK as a climate finance provider. This includes coordination with other donors and development partners, increased insight into the needs of developing country members, and a simpler and more streamlined way to ensure appropriate support can be provided to developing countries. </w:t>
      </w:r>
    </w:p>
    <w:p w14:paraId="2BEB4EA9" w14:textId="54198823" w:rsidR="4C125149" w:rsidRPr="00E11CA6" w:rsidRDefault="4C125149" w:rsidP="00C4534C">
      <w:pPr>
        <w:rPr>
          <w:rFonts w:cs="Arial"/>
          <w:color w:val="000000" w:themeColor="text1"/>
          <w:sz w:val="22"/>
          <w:szCs w:val="22"/>
          <w:lang w:eastAsia="en-GB"/>
        </w:rPr>
      </w:pPr>
    </w:p>
    <w:p w14:paraId="2B19E321" w14:textId="3A8794A4" w:rsidR="61D6F299" w:rsidRPr="00E11CA6" w:rsidRDefault="61D6F299" w:rsidP="00C4534C">
      <w:pPr>
        <w:ind w:firstLine="360"/>
        <w:rPr>
          <w:rFonts w:cs="Arial"/>
          <w:color w:val="000000" w:themeColor="text1"/>
          <w:sz w:val="22"/>
          <w:szCs w:val="22"/>
          <w:lang w:eastAsia="en-GB"/>
        </w:rPr>
      </w:pPr>
      <w:r w:rsidRPr="00E11CA6">
        <w:rPr>
          <w:rFonts w:cs="Arial"/>
          <w:color w:val="000000" w:themeColor="text1"/>
          <w:sz w:val="22"/>
          <w:szCs w:val="22"/>
          <w:lang w:eastAsia="en-GB"/>
        </w:rPr>
        <w:t xml:space="preserve">Our position as a funder and steering committee member also provides leverage and strengthens our position in international climate negotiations as it shows the UK to be an active member of an initiative dedicated to supporting countries to implement their NDCs and meet the goals of the Paris Agreement. </w:t>
      </w:r>
      <w:r w:rsidR="664AF1D4" w:rsidRPr="00E11CA6">
        <w:rPr>
          <w:rFonts w:cs="Arial"/>
          <w:color w:val="000000" w:themeColor="text1"/>
          <w:sz w:val="22"/>
          <w:szCs w:val="22"/>
          <w:lang w:eastAsia="en-GB"/>
        </w:rPr>
        <w:t xml:space="preserve">Benchmarking of administrative fees for each element was done as part of the business case and </w:t>
      </w:r>
      <w:r w:rsidR="564E413D" w:rsidRPr="00E11CA6">
        <w:rPr>
          <w:rFonts w:cs="Arial"/>
          <w:color w:val="000000" w:themeColor="text1"/>
          <w:sz w:val="22"/>
          <w:szCs w:val="22"/>
          <w:lang w:eastAsia="en-GB"/>
        </w:rPr>
        <w:t xml:space="preserve">forms part of the evaluation process for any new agreements/grants. </w:t>
      </w:r>
    </w:p>
    <w:p w14:paraId="2E5F844B" w14:textId="0D23F546" w:rsidR="61D6F299" w:rsidRPr="00E11CA6" w:rsidRDefault="61D6F299" w:rsidP="0A33CD8F">
      <w:pPr>
        <w:jc w:val="both"/>
        <w:rPr>
          <w:rFonts w:cs="Arial"/>
          <w:color w:val="000000" w:themeColor="text1"/>
          <w:sz w:val="22"/>
          <w:szCs w:val="22"/>
          <w:lang w:eastAsia="en-GB"/>
        </w:rPr>
      </w:pPr>
      <w:r w:rsidRPr="00E11CA6">
        <w:rPr>
          <w:rFonts w:cs="Arial"/>
          <w:color w:val="000000" w:themeColor="text1"/>
          <w:sz w:val="22"/>
          <w:szCs w:val="22"/>
          <w:lang w:eastAsia="en-GB"/>
        </w:rPr>
        <w:t xml:space="preserve"> </w:t>
      </w:r>
    </w:p>
    <w:p w14:paraId="5BE3D401" w14:textId="18CEED21" w:rsidR="61D6F299" w:rsidRPr="00E11CA6" w:rsidRDefault="78775094" w:rsidP="00437FA1">
      <w:pPr>
        <w:ind w:firstLine="360"/>
        <w:rPr>
          <w:rFonts w:cs="Arial"/>
          <w:color w:val="000000" w:themeColor="text1"/>
          <w:sz w:val="22"/>
          <w:szCs w:val="22"/>
          <w:lang w:eastAsia="en-GB"/>
        </w:rPr>
      </w:pPr>
      <w:r w:rsidRPr="00E11CA6">
        <w:rPr>
          <w:rFonts w:cs="Arial"/>
          <w:b/>
          <w:bCs/>
          <w:color w:val="000000" w:themeColor="text1"/>
          <w:sz w:val="22"/>
          <w:szCs w:val="22"/>
          <w:lang w:eastAsia="en-GB"/>
        </w:rPr>
        <w:t>Element 1 (Support Unit)</w:t>
      </w:r>
      <w:r w:rsidRPr="00E11CA6">
        <w:rPr>
          <w:rFonts w:cs="Arial"/>
          <w:color w:val="000000" w:themeColor="text1"/>
          <w:sz w:val="22"/>
          <w:szCs w:val="22"/>
          <w:lang w:eastAsia="en-GB"/>
        </w:rPr>
        <w:t xml:space="preserve"> funding is delivered via WRI who act as co-host of the SU alongside UNOPS, and the UNFCCC. WRI is a non-profit </w:t>
      </w:r>
      <w:r w:rsidR="52DC2D4C" w:rsidRPr="00E11CA6">
        <w:rPr>
          <w:rFonts w:cs="Arial"/>
          <w:color w:val="000000" w:themeColor="text1"/>
          <w:sz w:val="22"/>
          <w:szCs w:val="22"/>
          <w:lang w:eastAsia="en-GB"/>
        </w:rPr>
        <w:t>organization</w:t>
      </w:r>
      <w:r w:rsidRPr="00E11CA6">
        <w:rPr>
          <w:rFonts w:cs="Arial"/>
          <w:color w:val="000000" w:themeColor="text1"/>
          <w:sz w:val="22"/>
          <w:szCs w:val="22"/>
          <w:lang w:eastAsia="en-GB"/>
        </w:rPr>
        <w:t xml:space="preserve"> with all funds being used to </w:t>
      </w:r>
      <w:r w:rsidR="6C46ECDF" w:rsidRPr="00E11CA6">
        <w:rPr>
          <w:rFonts w:cs="Arial"/>
          <w:color w:val="000000" w:themeColor="text1"/>
          <w:sz w:val="22"/>
          <w:szCs w:val="22"/>
          <w:lang w:eastAsia="en-GB"/>
        </w:rPr>
        <w:t>deliver. The</w:t>
      </w:r>
      <w:r w:rsidRPr="00E11CA6">
        <w:rPr>
          <w:rFonts w:cs="Arial"/>
          <w:color w:val="000000" w:themeColor="text1"/>
          <w:sz w:val="22"/>
          <w:szCs w:val="22"/>
          <w:lang w:eastAsia="en-GB"/>
        </w:rPr>
        <w:t xml:space="preserve"> selection of the co-hosts was a multilateral decision made by the initial members of the </w:t>
      </w:r>
      <w:r w:rsidR="6BF785BA" w:rsidRPr="00E11CA6">
        <w:rPr>
          <w:rFonts w:cs="Arial"/>
          <w:color w:val="000000" w:themeColor="text1"/>
          <w:sz w:val="22"/>
          <w:szCs w:val="22"/>
          <w:lang w:eastAsia="en-GB"/>
        </w:rPr>
        <w:t>partnership and</w:t>
      </w:r>
      <w:r w:rsidRPr="00E11CA6">
        <w:rPr>
          <w:rFonts w:cs="Arial"/>
          <w:color w:val="000000" w:themeColor="text1"/>
          <w:sz w:val="22"/>
          <w:szCs w:val="22"/>
          <w:lang w:eastAsia="en-GB"/>
        </w:rPr>
        <w:t xml:space="preserve"> can only be changed through consensus. We have chosen to channel funding through WRI as there is </w:t>
      </w:r>
      <w:r w:rsidR="6BF785BA" w:rsidRPr="00E11CA6">
        <w:rPr>
          <w:rFonts w:cs="Arial"/>
          <w:color w:val="000000" w:themeColor="text1"/>
          <w:sz w:val="22"/>
          <w:szCs w:val="22"/>
          <w:lang w:eastAsia="en-GB"/>
        </w:rPr>
        <w:t>a demonstrable</w:t>
      </w:r>
      <w:r w:rsidRPr="00E11CA6">
        <w:rPr>
          <w:rFonts w:cs="Arial"/>
          <w:color w:val="000000" w:themeColor="text1"/>
          <w:sz w:val="22"/>
          <w:szCs w:val="22"/>
          <w:lang w:eastAsia="en-GB"/>
        </w:rPr>
        <w:t xml:space="preserve"> need for funding to be </w:t>
      </w:r>
      <w:r w:rsidR="6A5D97DF" w:rsidRPr="00E11CA6">
        <w:rPr>
          <w:rFonts w:cs="Arial"/>
          <w:color w:val="000000" w:themeColor="text1"/>
          <w:sz w:val="22"/>
          <w:szCs w:val="22"/>
          <w:lang w:eastAsia="en-GB"/>
        </w:rPr>
        <w:t>channelled</w:t>
      </w:r>
      <w:r w:rsidRPr="00E11CA6">
        <w:rPr>
          <w:rFonts w:cs="Arial"/>
          <w:color w:val="000000" w:themeColor="text1"/>
          <w:sz w:val="22"/>
          <w:szCs w:val="22"/>
          <w:lang w:eastAsia="en-GB"/>
        </w:rPr>
        <w:t xml:space="preserve"> through this co-host to complement funds provided by other countries to UNOPS and the UNFCCC. This ensures that the Support Unit continues to deliver its objectives effectively.  </w:t>
      </w:r>
    </w:p>
    <w:p w14:paraId="48732D34" w14:textId="0D195027" w:rsidR="61D6F299" w:rsidRPr="00E11CA6" w:rsidRDefault="61D6F299" w:rsidP="00C4534C">
      <w:pPr>
        <w:rPr>
          <w:rFonts w:cs="Arial"/>
          <w:color w:val="000000" w:themeColor="text1"/>
          <w:sz w:val="22"/>
          <w:szCs w:val="22"/>
          <w:lang w:eastAsia="en-GB"/>
        </w:rPr>
      </w:pPr>
      <w:r w:rsidRPr="00E11CA6">
        <w:rPr>
          <w:rFonts w:cs="Arial"/>
          <w:color w:val="000000" w:themeColor="text1"/>
          <w:sz w:val="22"/>
          <w:szCs w:val="22"/>
          <w:lang w:eastAsia="en-GB"/>
        </w:rPr>
        <w:t xml:space="preserve"> </w:t>
      </w:r>
    </w:p>
    <w:p w14:paraId="02BFDF45" w14:textId="2E794C73" w:rsidR="61D6F299" w:rsidRPr="00E11CA6" w:rsidRDefault="61D6F299" w:rsidP="00C4534C">
      <w:pPr>
        <w:ind w:firstLine="360"/>
        <w:rPr>
          <w:rFonts w:cs="Arial"/>
          <w:color w:val="000000" w:themeColor="text1"/>
          <w:sz w:val="22"/>
          <w:szCs w:val="22"/>
          <w:lang w:eastAsia="en-GB"/>
        </w:rPr>
      </w:pPr>
      <w:r w:rsidRPr="00E11CA6">
        <w:rPr>
          <w:rFonts w:cs="Arial"/>
          <w:color w:val="000000" w:themeColor="text1"/>
          <w:sz w:val="22"/>
          <w:szCs w:val="22"/>
          <w:lang w:eastAsia="en-GB"/>
        </w:rPr>
        <w:t>Funding to the Support Unit represents around 22% of the total funding we are allocating to support NDC Partnership over the next 7 years</w:t>
      </w:r>
      <w:r w:rsidR="00F70444" w:rsidRPr="00E11CA6">
        <w:rPr>
          <w:rFonts w:cs="Arial"/>
          <w:color w:val="000000" w:themeColor="text1"/>
          <w:sz w:val="22"/>
          <w:szCs w:val="22"/>
          <w:lang w:eastAsia="en-GB"/>
        </w:rPr>
        <w:t>, (funding availability dependent)</w:t>
      </w:r>
      <w:r w:rsidRPr="00E11CA6">
        <w:rPr>
          <w:rFonts w:cs="Arial"/>
          <w:color w:val="000000" w:themeColor="text1"/>
          <w:sz w:val="22"/>
          <w:szCs w:val="22"/>
          <w:lang w:eastAsia="en-GB"/>
        </w:rPr>
        <w:t xml:space="preserve">. We have been working with the Support Unit through WRI since the UK started providing funds to the Partnership in 2016 and they have proven to be a reliable partner, continuously focused on </w:t>
      </w:r>
      <w:r w:rsidRPr="00E11CA6">
        <w:rPr>
          <w:rFonts w:cs="Arial"/>
          <w:color w:val="000000" w:themeColor="text1"/>
          <w:sz w:val="22"/>
          <w:szCs w:val="22"/>
          <w:lang w:eastAsia="en-GB"/>
        </w:rPr>
        <w:lastRenderedPageBreak/>
        <w:t xml:space="preserve">improving the delivery of the Partnership. The Support Unit’s role goes significantly beyond a traditional secretariat; their role includes guiding and facilitating the Partnership’s work programmes, ensuring delivery of the country engagement process, including donor coordination and matching, and enabling the various </w:t>
      </w:r>
      <w:r w:rsidR="00C44CC5" w:rsidRPr="00E11CA6">
        <w:rPr>
          <w:rFonts w:cs="Arial"/>
          <w:color w:val="000000" w:themeColor="text1"/>
          <w:sz w:val="22"/>
          <w:szCs w:val="22"/>
          <w:lang w:eastAsia="en-GB"/>
        </w:rPr>
        <w:t>knowledge functions.</w:t>
      </w:r>
    </w:p>
    <w:p w14:paraId="37E89841" w14:textId="24841585" w:rsidR="61D6F299" w:rsidRPr="00E11CA6" w:rsidRDefault="61D6F299" w:rsidP="0A33CD8F">
      <w:pPr>
        <w:jc w:val="both"/>
        <w:rPr>
          <w:rFonts w:cs="Arial"/>
          <w:color w:val="000000" w:themeColor="text1"/>
          <w:sz w:val="22"/>
          <w:szCs w:val="22"/>
          <w:lang w:eastAsia="en-GB"/>
        </w:rPr>
      </w:pPr>
      <w:r w:rsidRPr="00E11CA6">
        <w:rPr>
          <w:rFonts w:cs="Arial"/>
          <w:color w:val="000000" w:themeColor="text1"/>
          <w:sz w:val="22"/>
          <w:szCs w:val="22"/>
          <w:lang w:eastAsia="en-GB"/>
        </w:rPr>
        <w:t xml:space="preserve"> </w:t>
      </w:r>
    </w:p>
    <w:p w14:paraId="1FEEEBE2" w14:textId="4091D99B" w:rsidR="61D6F299" w:rsidRPr="00E11CA6" w:rsidRDefault="61D6F299" w:rsidP="00C4534C">
      <w:pPr>
        <w:ind w:firstLine="360"/>
        <w:rPr>
          <w:rFonts w:cs="Arial"/>
          <w:color w:val="000000" w:themeColor="text1"/>
          <w:sz w:val="22"/>
          <w:szCs w:val="22"/>
          <w:lang w:eastAsia="en-GB"/>
        </w:rPr>
      </w:pPr>
      <w:r w:rsidRPr="00E11CA6">
        <w:rPr>
          <w:rFonts w:cs="Arial"/>
          <w:b/>
          <w:color w:val="000000" w:themeColor="text1"/>
          <w:sz w:val="22"/>
          <w:szCs w:val="22"/>
          <w:lang w:eastAsia="en-GB"/>
        </w:rPr>
        <w:t>Element 2 (Country Engagement Fund)</w:t>
      </w:r>
      <w:r w:rsidRPr="00E11CA6">
        <w:rPr>
          <w:rFonts w:cs="Arial"/>
          <w:color w:val="000000" w:themeColor="text1"/>
          <w:sz w:val="22"/>
          <w:szCs w:val="22"/>
          <w:lang w:eastAsia="en-GB"/>
        </w:rPr>
        <w:t xml:space="preserve"> and </w:t>
      </w:r>
      <w:r w:rsidRPr="00E11CA6">
        <w:rPr>
          <w:rFonts w:cs="Arial"/>
          <w:b/>
          <w:color w:val="000000" w:themeColor="text1"/>
          <w:sz w:val="22"/>
          <w:szCs w:val="22"/>
          <w:lang w:eastAsia="en-GB"/>
        </w:rPr>
        <w:t>element 4 (Partnership Action Fund)</w:t>
      </w:r>
      <w:r w:rsidRPr="00E11CA6">
        <w:rPr>
          <w:rFonts w:cs="Arial"/>
          <w:color w:val="000000" w:themeColor="text1"/>
          <w:sz w:val="22"/>
          <w:szCs w:val="22"/>
          <w:lang w:eastAsia="en-GB"/>
        </w:rPr>
        <w:t xml:space="preserve"> are delivered via UNOPS (one of three SU co-hosts). Co-host selection for these elements considered all aspects of VfM and concluded that UNOPS was the best choice from an ‘economy’ perspective and offered similar or higher efficiency, effectiveness, and equity to delivery through WRI. </w:t>
      </w:r>
    </w:p>
    <w:p w14:paraId="497550BE" w14:textId="1935E517" w:rsidR="61D6F299" w:rsidRPr="00E11CA6" w:rsidRDefault="61D6F299" w:rsidP="0A33CD8F">
      <w:pPr>
        <w:jc w:val="both"/>
        <w:rPr>
          <w:rFonts w:cs="Arial"/>
          <w:color w:val="000000" w:themeColor="text1"/>
          <w:sz w:val="22"/>
          <w:szCs w:val="22"/>
          <w:lang w:eastAsia="en-GB"/>
        </w:rPr>
      </w:pPr>
      <w:r w:rsidRPr="00E11CA6">
        <w:rPr>
          <w:rFonts w:cs="Arial"/>
          <w:color w:val="000000" w:themeColor="text1"/>
          <w:sz w:val="22"/>
          <w:szCs w:val="22"/>
          <w:lang w:eastAsia="en-GB"/>
        </w:rPr>
        <w:t xml:space="preserve"> </w:t>
      </w:r>
    </w:p>
    <w:p w14:paraId="3CF7AD47" w14:textId="19AF5F26" w:rsidR="61D6F299" w:rsidRPr="00E11CA6" w:rsidRDefault="61D6F299" w:rsidP="008E3C1B">
      <w:pPr>
        <w:ind w:firstLine="360"/>
        <w:rPr>
          <w:rFonts w:cs="Arial"/>
          <w:color w:val="000000" w:themeColor="text1"/>
          <w:sz w:val="22"/>
          <w:szCs w:val="22"/>
          <w:lang w:eastAsia="en-GB"/>
        </w:rPr>
      </w:pPr>
      <w:r w:rsidRPr="00E11CA6">
        <w:rPr>
          <w:rFonts w:cs="Arial"/>
          <w:color w:val="000000" w:themeColor="text1"/>
          <w:sz w:val="22"/>
          <w:szCs w:val="22"/>
          <w:lang w:eastAsia="en-GB"/>
        </w:rPr>
        <w:t xml:space="preserve">UNOPS are a non-profit organisation, </w:t>
      </w:r>
      <w:r w:rsidR="4C39F979" w:rsidRPr="00E11CA6">
        <w:rPr>
          <w:rFonts w:cs="Arial"/>
          <w:color w:val="000000" w:themeColor="text1"/>
          <w:sz w:val="22"/>
          <w:szCs w:val="22"/>
          <w:lang w:eastAsia="en-GB"/>
        </w:rPr>
        <w:t xml:space="preserve">and covering their admin expenditure </w:t>
      </w:r>
      <w:r w:rsidRPr="00E11CA6">
        <w:rPr>
          <w:rFonts w:cs="Arial"/>
          <w:color w:val="000000" w:themeColor="text1"/>
          <w:sz w:val="22"/>
          <w:szCs w:val="22"/>
          <w:lang w:eastAsia="en-GB"/>
        </w:rPr>
        <w:t>includes</w:t>
      </w:r>
      <w:r w:rsidR="1A1B3AA5" w:rsidRPr="00E11CA6">
        <w:rPr>
          <w:rFonts w:cs="Arial"/>
          <w:color w:val="000000" w:themeColor="text1"/>
          <w:sz w:val="22"/>
          <w:szCs w:val="22"/>
          <w:lang w:eastAsia="en-GB"/>
        </w:rPr>
        <w:t xml:space="preserve"> providing funds for</w:t>
      </w:r>
      <w:r w:rsidRPr="00E11CA6">
        <w:rPr>
          <w:rFonts w:cs="Arial"/>
          <w:color w:val="000000" w:themeColor="text1"/>
          <w:sz w:val="22"/>
          <w:szCs w:val="22"/>
          <w:lang w:eastAsia="en-GB"/>
        </w:rPr>
        <w:t xml:space="preserve"> legal, accounting, and contracting services to deliver the activities. Th</w:t>
      </w:r>
      <w:r w:rsidR="6D7E95D9" w:rsidRPr="00E11CA6">
        <w:rPr>
          <w:rFonts w:cs="Arial"/>
          <w:color w:val="000000" w:themeColor="text1"/>
          <w:sz w:val="22"/>
          <w:szCs w:val="22"/>
          <w:lang w:eastAsia="en-GB"/>
        </w:rPr>
        <w:t>eir administrative</w:t>
      </w:r>
      <w:r w:rsidRPr="00E11CA6">
        <w:rPr>
          <w:rFonts w:cs="Arial"/>
          <w:color w:val="000000" w:themeColor="text1"/>
          <w:sz w:val="22"/>
          <w:szCs w:val="22"/>
          <w:lang w:eastAsia="en-GB"/>
        </w:rPr>
        <w:t xml:space="preserve"> fee is consistent with other equivalent programmes delivered by UNOPS and is comparable with other technical assistance and capacity building delivery providers funded by the UK.  </w:t>
      </w:r>
      <w:r w:rsidR="2F913299" w:rsidRPr="00E11CA6">
        <w:rPr>
          <w:rFonts w:cs="Arial"/>
          <w:color w:val="000000" w:themeColor="text1"/>
          <w:sz w:val="22"/>
          <w:szCs w:val="22"/>
          <w:lang w:eastAsia="en-GB"/>
        </w:rPr>
        <w:t>I</w:t>
      </w:r>
      <w:r w:rsidRPr="00E11CA6">
        <w:rPr>
          <w:rFonts w:cs="Arial"/>
          <w:color w:val="000000" w:themeColor="text1"/>
          <w:sz w:val="22"/>
          <w:szCs w:val="22"/>
          <w:lang w:eastAsia="en-GB"/>
        </w:rPr>
        <w:t xml:space="preserve">t is consistent with other equivalent programmes delivered by UNOPS and is comparable with other technical assistance and capacity building delivery providers funded by the UK. </w:t>
      </w:r>
    </w:p>
    <w:p w14:paraId="3957D22E" w14:textId="44A2E279" w:rsidR="61D6F299" w:rsidRPr="00E11CA6" w:rsidRDefault="61D6F299" w:rsidP="0A33CD8F">
      <w:pPr>
        <w:jc w:val="both"/>
        <w:rPr>
          <w:rFonts w:cs="Arial"/>
          <w:color w:val="000000" w:themeColor="text1"/>
          <w:sz w:val="22"/>
          <w:szCs w:val="22"/>
          <w:lang w:eastAsia="en-GB"/>
        </w:rPr>
      </w:pPr>
      <w:r w:rsidRPr="00E11CA6">
        <w:rPr>
          <w:rFonts w:cs="Arial"/>
          <w:color w:val="000000" w:themeColor="text1"/>
          <w:sz w:val="22"/>
          <w:szCs w:val="22"/>
          <w:lang w:eastAsia="en-GB"/>
        </w:rPr>
        <w:t xml:space="preserve"> </w:t>
      </w:r>
    </w:p>
    <w:p w14:paraId="4E41A41C" w14:textId="5F843EB3" w:rsidR="61D6F299" w:rsidRPr="00E11CA6" w:rsidRDefault="61D6F299" w:rsidP="004963A8">
      <w:pPr>
        <w:ind w:firstLine="360"/>
        <w:rPr>
          <w:rFonts w:cs="Arial"/>
          <w:color w:val="000000" w:themeColor="text1"/>
          <w:sz w:val="22"/>
          <w:szCs w:val="22"/>
          <w:lang w:eastAsia="en-GB"/>
        </w:rPr>
      </w:pPr>
      <w:r w:rsidRPr="00E11CA6">
        <w:rPr>
          <w:rFonts w:cs="Arial"/>
          <w:b/>
          <w:color w:val="000000" w:themeColor="text1"/>
          <w:sz w:val="22"/>
          <w:szCs w:val="22"/>
          <w:lang w:eastAsia="en-GB"/>
        </w:rPr>
        <w:t xml:space="preserve">Elements 1 and </w:t>
      </w:r>
      <w:r w:rsidR="006F3E39" w:rsidRPr="00E11CA6">
        <w:rPr>
          <w:rFonts w:cs="Arial"/>
          <w:b/>
          <w:color w:val="000000" w:themeColor="text1"/>
          <w:sz w:val="22"/>
          <w:szCs w:val="22"/>
          <w:lang w:eastAsia="en-GB"/>
        </w:rPr>
        <w:t>2</w:t>
      </w:r>
      <w:r w:rsidRPr="00E11CA6">
        <w:rPr>
          <w:rFonts w:cs="Arial"/>
          <w:b/>
          <w:color w:val="000000" w:themeColor="text1"/>
          <w:sz w:val="22"/>
          <w:szCs w:val="22"/>
          <w:lang w:eastAsia="en-GB"/>
        </w:rPr>
        <w:t xml:space="preserve"> </w:t>
      </w:r>
      <w:r w:rsidRPr="00E11CA6">
        <w:rPr>
          <w:rFonts w:cs="Arial"/>
          <w:color w:val="000000" w:themeColor="text1"/>
          <w:sz w:val="22"/>
          <w:szCs w:val="22"/>
          <w:lang w:eastAsia="en-GB"/>
        </w:rPr>
        <w:t xml:space="preserve">being delivered by the Support Unit ensures economy as it places a large portion of the administrative and delivery burden onto the Support Unit, including due diligence, procurement, and reporting. It ensures that the most can be made of limited funding, with both economy and access advantages over the UK seeking to deliver the country engagement fund itself. </w:t>
      </w:r>
    </w:p>
    <w:p w14:paraId="03749482" w14:textId="3A21D99D" w:rsidR="61D6F299" w:rsidRPr="00E11CA6" w:rsidRDefault="61D6F299" w:rsidP="0A33CD8F">
      <w:pPr>
        <w:jc w:val="both"/>
        <w:rPr>
          <w:rFonts w:cs="Arial"/>
          <w:color w:val="000000" w:themeColor="text1"/>
          <w:sz w:val="22"/>
          <w:szCs w:val="22"/>
          <w:lang w:eastAsia="en-GB"/>
        </w:rPr>
      </w:pPr>
      <w:r w:rsidRPr="00E11CA6">
        <w:rPr>
          <w:rFonts w:cs="Arial"/>
          <w:color w:val="000000" w:themeColor="text1"/>
          <w:sz w:val="22"/>
          <w:szCs w:val="22"/>
          <w:lang w:eastAsia="en-GB"/>
        </w:rPr>
        <w:t xml:space="preserve"> </w:t>
      </w:r>
    </w:p>
    <w:p w14:paraId="194FF0FE" w14:textId="4E57B470" w:rsidR="61D6F299" w:rsidRPr="00E11CA6" w:rsidRDefault="1C1226BC" w:rsidP="00192FF0">
      <w:pPr>
        <w:ind w:firstLine="360"/>
        <w:rPr>
          <w:rFonts w:cs="Arial"/>
          <w:color w:val="000000" w:themeColor="text1"/>
          <w:sz w:val="22"/>
          <w:szCs w:val="22"/>
          <w:lang w:eastAsia="en-GB"/>
        </w:rPr>
      </w:pPr>
      <w:r w:rsidRPr="00E11CA6">
        <w:rPr>
          <w:rFonts w:cs="Arial"/>
          <w:b/>
          <w:bCs/>
          <w:color w:val="000000" w:themeColor="text1"/>
          <w:sz w:val="22"/>
          <w:szCs w:val="22"/>
          <w:lang w:eastAsia="en-GB"/>
        </w:rPr>
        <w:t>Element 3 (Institutional First Response)</w:t>
      </w:r>
      <w:r w:rsidRPr="00E11CA6">
        <w:rPr>
          <w:rFonts w:cs="Arial"/>
          <w:color w:val="000000" w:themeColor="text1"/>
          <w:sz w:val="22"/>
          <w:szCs w:val="22"/>
          <w:lang w:eastAsia="en-GB"/>
        </w:rPr>
        <w:t xml:space="preserve"> is being delivered by the World Bank and UNDP. </w:t>
      </w:r>
      <w:r w:rsidR="33624D29" w:rsidRPr="00E11CA6">
        <w:rPr>
          <w:rFonts w:cs="Arial"/>
          <w:color w:val="000000" w:themeColor="text1"/>
          <w:sz w:val="22"/>
          <w:szCs w:val="22"/>
          <w:lang w:eastAsia="en-GB"/>
        </w:rPr>
        <w:t xml:space="preserve">These Delivery Partners were selected due to their global </w:t>
      </w:r>
      <w:r w:rsidR="716594FD" w:rsidRPr="00E11CA6">
        <w:rPr>
          <w:rFonts w:cs="Arial"/>
          <w:color w:val="000000" w:themeColor="text1"/>
          <w:sz w:val="22"/>
          <w:szCs w:val="22"/>
          <w:lang w:eastAsia="en-GB"/>
        </w:rPr>
        <w:t>coverage, to</w:t>
      </w:r>
      <w:r w:rsidR="6B8F2F80" w:rsidRPr="00E11CA6">
        <w:rPr>
          <w:rFonts w:cs="Arial"/>
          <w:color w:val="000000" w:themeColor="text1"/>
          <w:sz w:val="22"/>
          <w:szCs w:val="22"/>
          <w:lang w:eastAsia="en-GB"/>
        </w:rPr>
        <w:t xml:space="preserve"> ensure that countries are able to update their NDCs and LTSs in an efficient and coordinated way</w:t>
      </w:r>
      <w:r w:rsidR="5F125215" w:rsidRPr="00E11CA6">
        <w:rPr>
          <w:rFonts w:cs="Arial"/>
          <w:color w:val="000000" w:themeColor="text1"/>
          <w:sz w:val="22"/>
          <w:szCs w:val="22"/>
          <w:lang w:eastAsia="en-GB"/>
        </w:rPr>
        <w:t>.</w:t>
      </w:r>
    </w:p>
    <w:p w14:paraId="0C534A64" w14:textId="45E7D01F" w:rsidR="61D6F299" w:rsidRPr="00E11CA6" w:rsidRDefault="61D6F299" w:rsidP="004963A8">
      <w:pPr>
        <w:rPr>
          <w:rFonts w:cs="Arial"/>
          <w:color w:val="000000" w:themeColor="text1"/>
          <w:sz w:val="22"/>
          <w:szCs w:val="22"/>
          <w:lang w:eastAsia="en-GB"/>
        </w:rPr>
      </w:pPr>
      <w:r w:rsidRPr="00E11CA6">
        <w:rPr>
          <w:rFonts w:cs="Arial"/>
          <w:color w:val="000000" w:themeColor="text1"/>
          <w:sz w:val="22"/>
          <w:szCs w:val="22"/>
          <w:lang w:eastAsia="en-GB"/>
        </w:rPr>
        <w:t xml:space="preserve"> </w:t>
      </w:r>
    </w:p>
    <w:p w14:paraId="5698D381" w14:textId="130DDAFD" w:rsidR="2D603292" w:rsidRPr="003C5BF3" w:rsidRDefault="2D603292" w:rsidP="2D603292">
      <w:pPr>
        <w:jc w:val="both"/>
        <w:rPr>
          <w:rFonts w:cs="Arial"/>
          <w:color w:val="000000" w:themeColor="text1"/>
          <w:sz w:val="22"/>
          <w:szCs w:val="22"/>
          <w:lang w:eastAsia="en-GB"/>
        </w:rPr>
      </w:pPr>
    </w:p>
    <w:p w14:paraId="354DA426" w14:textId="1D9CEE7E" w:rsidR="61D6F299" w:rsidRPr="00192FF0" w:rsidRDefault="61D6F299" w:rsidP="0A33CD8F">
      <w:pPr>
        <w:jc w:val="both"/>
        <w:rPr>
          <w:rFonts w:cs="Arial"/>
          <w:b/>
          <w:color w:val="000000" w:themeColor="text1"/>
          <w:lang w:eastAsia="en-GB"/>
        </w:rPr>
      </w:pPr>
      <w:r w:rsidRPr="00192FF0">
        <w:rPr>
          <w:rFonts w:cs="Arial"/>
          <w:b/>
          <w:color w:val="000000" w:themeColor="text1"/>
          <w:lang w:eastAsia="en-GB"/>
        </w:rPr>
        <w:t>Assessment against Efficiency</w:t>
      </w:r>
    </w:p>
    <w:p w14:paraId="2BF0DD69" w14:textId="7C09B1E7" w:rsidR="61D6F299" w:rsidRPr="003C5BF3" w:rsidRDefault="61D6F299" w:rsidP="0A33CD8F">
      <w:pPr>
        <w:jc w:val="both"/>
        <w:rPr>
          <w:rFonts w:cs="Arial"/>
          <w:color w:val="000000" w:themeColor="text1"/>
          <w:sz w:val="22"/>
          <w:szCs w:val="22"/>
          <w:lang w:eastAsia="en-GB"/>
        </w:rPr>
      </w:pPr>
      <w:r w:rsidRPr="003C5BF3">
        <w:rPr>
          <w:rFonts w:cs="Arial"/>
          <w:color w:val="000000" w:themeColor="text1"/>
          <w:sz w:val="22"/>
          <w:szCs w:val="22"/>
          <w:lang w:eastAsia="en-GB"/>
        </w:rPr>
        <w:t xml:space="preserve"> </w:t>
      </w:r>
    </w:p>
    <w:p w14:paraId="348E326A" w14:textId="373F1D90" w:rsidR="61D6F299" w:rsidRPr="00E11CA6" w:rsidRDefault="61D6F299" w:rsidP="00866888">
      <w:pPr>
        <w:ind w:firstLine="720"/>
        <w:rPr>
          <w:rFonts w:cs="Arial"/>
          <w:color w:val="000000" w:themeColor="text1"/>
          <w:sz w:val="22"/>
          <w:szCs w:val="22"/>
          <w:lang w:eastAsia="en-GB"/>
        </w:rPr>
      </w:pPr>
      <w:r w:rsidRPr="00E11CA6">
        <w:rPr>
          <w:rFonts w:cs="Arial"/>
          <w:color w:val="000000" w:themeColor="text1"/>
          <w:sz w:val="22"/>
          <w:szCs w:val="22"/>
          <w:lang w:eastAsia="en-GB"/>
        </w:rPr>
        <w:t>Efficiency is defined here as how well the programme will convert inputs into the desired outputs, which in this case are improved coordination and quality of demand and supply of support, increased capacity and capability of developing countries to implement their NDCs, developing countries establish and enhance climate plans, policies and processes, and more effective and joined up UK support driven by the Partnership. The multi-element approach, and annual process of reviewing the balance of funding to each element and delivery partner in response to changing circumstances and emerging results, support</w:t>
      </w:r>
      <w:r w:rsidR="09B4D7BC" w:rsidRPr="00E11CA6">
        <w:rPr>
          <w:rFonts w:cs="Arial"/>
          <w:color w:val="000000" w:themeColor="text1"/>
          <w:sz w:val="22"/>
          <w:szCs w:val="22"/>
          <w:lang w:eastAsia="en-GB"/>
        </w:rPr>
        <w:t>s</w:t>
      </w:r>
      <w:r w:rsidRPr="00E11CA6">
        <w:rPr>
          <w:rFonts w:cs="Arial"/>
          <w:color w:val="000000" w:themeColor="text1"/>
          <w:sz w:val="22"/>
          <w:szCs w:val="22"/>
          <w:lang w:eastAsia="en-GB"/>
        </w:rPr>
        <w:t xml:space="preserve"> efficiency as UK funding can be scaled up or down to support activities with the highest potential for success. </w:t>
      </w:r>
    </w:p>
    <w:p w14:paraId="3799082E" w14:textId="40CBE5A0" w:rsidR="0976481C" w:rsidRPr="00E11CA6" w:rsidRDefault="0976481C" w:rsidP="009D32B5">
      <w:pPr>
        <w:rPr>
          <w:rFonts w:cs="Arial"/>
          <w:color w:val="000000" w:themeColor="text1"/>
          <w:sz w:val="22"/>
          <w:szCs w:val="22"/>
          <w:lang w:eastAsia="en-GB"/>
        </w:rPr>
      </w:pPr>
    </w:p>
    <w:p w14:paraId="05C058A3" w14:textId="559BBCF2" w:rsidR="61D6F299" w:rsidRPr="00E11CA6" w:rsidRDefault="61D6F299" w:rsidP="009D32B5">
      <w:pPr>
        <w:ind w:firstLine="720"/>
        <w:rPr>
          <w:rFonts w:cs="Arial"/>
          <w:color w:val="000000" w:themeColor="text1"/>
          <w:sz w:val="22"/>
          <w:szCs w:val="22"/>
          <w:lang w:eastAsia="en-GB"/>
        </w:rPr>
      </w:pPr>
      <w:r w:rsidRPr="00E11CA6">
        <w:rPr>
          <w:rFonts w:cs="Arial"/>
          <w:color w:val="000000" w:themeColor="text1"/>
          <w:sz w:val="22"/>
          <w:szCs w:val="22"/>
          <w:lang w:eastAsia="en-GB"/>
        </w:rPr>
        <w:t xml:space="preserve">This approach, which builds uncertainty and change into the design, is essential for both efficiency and effectiveness when delivering in complex contexts with rapidly changing political and economic situations.  </w:t>
      </w:r>
    </w:p>
    <w:p w14:paraId="70CB3DA4" w14:textId="4E18B1F6" w:rsidR="61D6F299" w:rsidRPr="00E11CA6" w:rsidRDefault="61D6F299" w:rsidP="009D32B5">
      <w:pPr>
        <w:rPr>
          <w:rFonts w:cs="Arial"/>
          <w:color w:val="000000" w:themeColor="text1"/>
          <w:sz w:val="22"/>
          <w:szCs w:val="22"/>
          <w:lang w:eastAsia="en-GB"/>
        </w:rPr>
      </w:pPr>
      <w:r w:rsidRPr="00E11CA6">
        <w:rPr>
          <w:rFonts w:cs="Arial"/>
          <w:color w:val="000000" w:themeColor="text1"/>
          <w:sz w:val="22"/>
          <w:szCs w:val="22"/>
          <w:lang w:eastAsia="en-GB"/>
        </w:rPr>
        <w:t xml:space="preserve"> </w:t>
      </w:r>
    </w:p>
    <w:p w14:paraId="138FC45B" w14:textId="785BF527" w:rsidR="00C22957" w:rsidRPr="00E11CA6" w:rsidRDefault="00C22957" w:rsidP="009D32B5">
      <w:pPr>
        <w:ind w:firstLine="720"/>
        <w:rPr>
          <w:rFonts w:cs="Arial"/>
          <w:color w:val="000000" w:themeColor="text1"/>
          <w:sz w:val="22"/>
          <w:szCs w:val="22"/>
          <w:lang w:eastAsia="en-GB"/>
        </w:rPr>
      </w:pPr>
      <w:r w:rsidRPr="00E11CA6">
        <w:rPr>
          <w:rFonts w:cs="Arial"/>
          <w:color w:val="000000" w:themeColor="text1"/>
          <w:sz w:val="22"/>
          <w:szCs w:val="22"/>
          <w:lang w:eastAsia="en-GB"/>
        </w:rPr>
        <w:t xml:space="preserve">For the first year of </w:t>
      </w:r>
      <w:r w:rsidR="007308B4" w:rsidRPr="00E11CA6">
        <w:rPr>
          <w:rFonts w:cs="Arial"/>
          <w:color w:val="000000" w:themeColor="text1"/>
          <w:sz w:val="22"/>
          <w:szCs w:val="22"/>
          <w:lang w:eastAsia="en-GB"/>
        </w:rPr>
        <w:t>d</w:t>
      </w:r>
      <w:r w:rsidR="002378FD" w:rsidRPr="00E11CA6">
        <w:rPr>
          <w:rFonts w:cs="Arial"/>
          <w:color w:val="000000" w:themeColor="text1"/>
          <w:sz w:val="22"/>
          <w:szCs w:val="22"/>
          <w:lang w:eastAsia="en-GB"/>
        </w:rPr>
        <w:t xml:space="preserve">elivery </w:t>
      </w:r>
      <w:r w:rsidR="00F702C4" w:rsidRPr="00E11CA6">
        <w:rPr>
          <w:rFonts w:cs="Arial"/>
          <w:color w:val="000000" w:themeColor="text1"/>
          <w:sz w:val="22"/>
          <w:szCs w:val="22"/>
          <w:lang w:eastAsia="en-GB"/>
        </w:rPr>
        <w:t xml:space="preserve">under the new Business Case, 10 out of 16 indicators were either met, exceeded slightly or exceeded significantly </w:t>
      </w:r>
      <w:r w:rsidR="00BB64B4" w:rsidRPr="00E11CA6">
        <w:rPr>
          <w:rFonts w:cs="Arial"/>
          <w:color w:val="000000" w:themeColor="text1"/>
          <w:sz w:val="22"/>
          <w:szCs w:val="22"/>
          <w:lang w:eastAsia="en-GB"/>
        </w:rPr>
        <w:t>(6</w:t>
      </w:r>
      <w:r w:rsidR="00D74905" w:rsidRPr="00E11CA6">
        <w:rPr>
          <w:rFonts w:cs="Arial"/>
          <w:color w:val="000000" w:themeColor="text1"/>
          <w:sz w:val="22"/>
          <w:szCs w:val="22"/>
          <w:lang w:eastAsia="en-GB"/>
        </w:rPr>
        <w:t>2.5</w:t>
      </w:r>
      <w:r w:rsidR="00BB64B4" w:rsidRPr="00E11CA6">
        <w:rPr>
          <w:rFonts w:cs="Arial"/>
          <w:color w:val="000000" w:themeColor="text1"/>
          <w:sz w:val="22"/>
          <w:szCs w:val="22"/>
          <w:lang w:eastAsia="en-GB"/>
        </w:rPr>
        <w:t xml:space="preserve"> %), </w:t>
      </w:r>
      <w:r w:rsidR="00D74905" w:rsidRPr="00E11CA6">
        <w:rPr>
          <w:rFonts w:cs="Arial"/>
          <w:color w:val="000000" w:themeColor="text1"/>
          <w:sz w:val="22"/>
          <w:szCs w:val="22"/>
          <w:lang w:eastAsia="en-GB"/>
        </w:rPr>
        <w:t>2 were not met (12.5 %</w:t>
      </w:r>
      <w:r w:rsidR="00674F2A" w:rsidRPr="00E11CA6">
        <w:rPr>
          <w:rFonts w:cs="Arial"/>
          <w:color w:val="000000" w:themeColor="text1"/>
          <w:sz w:val="22"/>
          <w:szCs w:val="22"/>
          <w:lang w:eastAsia="en-GB"/>
        </w:rPr>
        <w:t>)</w:t>
      </w:r>
      <w:r w:rsidR="00653815" w:rsidRPr="00E11CA6">
        <w:rPr>
          <w:rFonts w:cs="Arial"/>
          <w:color w:val="000000" w:themeColor="text1"/>
          <w:sz w:val="22"/>
          <w:szCs w:val="22"/>
          <w:lang w:eastAsia="en-GB"/>
        </w:rPr>
        <w:t xml:space="preserve"> and 4 had no targets for this year</w:t>
      </w:r>
      <w:r w:rsidR="00445F98" w:rsidRPr="00E11CA6">
        <w:rPr>
          <w:rFonts w:cs="Arial"/>
          <w:color w:val="000000" w:themeColor="text1"/>
          <w:sz w:val="22"/>
          <w:szCs w:val="22"/>
          <w:lang w:eastAsia="en-GB"/>
        </w:rPr>
        <w:t xml:space="preserve"> (25 %)</w:t>
      </w:r>
      <w:r w:rsidR="00653815" w:rsidRPr="00E11CA6">
        <w:rPr>
          <w:rFonts w:cs="Arial"/>
          <w:color w:val="000000" w:themeColor="text1"/>
          <w:sz w:val="22"/>
          <w:szCs w:val="22"/>
          <w:lang w:eastAsia="en-GB"/>
        </w:rPr>
        <w:t xml:space="preserve">, however this year’s </w:t>
      </w:r>
      <w:r w:rsidR="00EC5AC1" w:rsidRPr="00E11CA6">
        <w:rPr>
          <w:rFonts w:cs="Arial"/>
          <w:color w:val="000000" w:themeColor="text1"/>
          <w:sz w:val="22"/>
          <w:szCs w:val="22"/>
          <w:lang w:eastAsia="en-GB"/>
        </w:rPr>
        <w:t xml:space="preserve">results will serve as a baseline. </w:t>
      </w:r>
    </w:p>
    <w:p w14:paraId="6AF2B073" w14:textId="77777777" w:rsidR="00505819" w:rsidRPr="003C5BF3" w:rsidRDefault="00505819" w:rsidP="0A33CD8F">
      <w:pPr>
        <w:jc w:val="both"/>
        <w:rPr>
          <w:rFonts w:cs="Arial"/>
          <w:color w:val="000000" w:themeColor="text1"/>
          <w:sz w:val="22"/>
          <w:szCs w:val="22"/>
          <w:lang w:eastAsia="en-GB"/>
        </w:rPr>
      </w:pPr>
    </w:p>
    <w:p w14:paraId="748A5D21" w14:textId="583F1C73" w:rsidR="61D6F299" w:rsidRPr="00633B03" w:rsidRDefault="61D6F299" w:rsidP="009D32B5">
      <w:pPr>
        <w:ind w:firstLine="720"/>
        <w:rPr>
          <w:rFonts w:cs="Arial"/>
          <w:color w:val="000000" w:themeColor="text1"/>
          <w:sz w:val="22"/>
          <w:szCs w:val="22"/>
          <w:lang w:eastAsia="en-GB"/>
        </w:rPr>
      </w:pPr>
      <w:r w:rsidRPr="00633B03">
        <w:rPr>
          <w:rFonts w:cs="Arial"/>
          <w:b/>
          <w:color w:val="000000" w:themeColor="text1"/>
          <w:sz w:val="22"/>
          <w:szCs w:val="22"/>
          <w:lang w:eastAsia="en-GB"/>
        </w:rPr>
        <w:t>Element 1 (Support Unit)</w:t>
      </w:r>
      <w:r w:rsidRPr="00633B03">
        <w:rPr>
          <w:rFonts w:cs="Arial"/>
          <w:color w:val="000000" w:themeColor="text1"/>
          <w:sz w:val="22"/>
          <w:szCs w:val="22"/>
          <w:lang w:eastAsia="en-GB"/>
        </w:rPr>
        <w:t xml:space="preserve"> has a strong track record of delivering high-quality outputs in line with targets since we started providing contributions to the NDC Partnership.  Continuation of this has been ensured through a rigorous grant management process during this year of </w:t>
      </w:r>
      <w:r w:rsidR="005D3009">
        <w:rPr>
          <w:rFonts w:cs="Arial"/>
          <w:color w:val="000000" w:themeColor="text1"/>
          <w:sz w:val="22"/>
          <w:szCs w:val="22"/>
          <w:lang w:eastAsia="en-GB"/>
        </w:rPr>
        <w:t>d</w:t>
      </w:r>
      <w:r w:rsidRPr="00633B03">
        <w:rPr>
          <w:rFonts w:cs="Arial"/>
          <w:color w:val="000000" w:themeColor="text1"/>
          <w:sz w:val="22"/>
          <w:szCs w:val="22"/>
          <w:lang w:eastAsia="en-GB"/>
        </w:rPr>
        <w:t xml:space="preserve">elivery. The NDC Partnership programme </w:t>
      </w:r>
      <w:r w:rsidR="00A3148B">
        <w:rPr>
          <w:rFonts w:cs="Arial"/>
          <w:color w:val="000000" w:themeColor="text1"/>
          <w:sz w:val="22"/>
          <w:szCs w:val="22"/>
          <w:lang w:eastAsia="en-GB"/>
        </w:rPr>
        <w:t>logframe</w:t>
      </w:r>
      <w:r w:rsidRPr="00633B03">
        <w:rPr>
          <w:rFonts w:cs="Arial"/>
          <w:color w:val="000000" w:themeColor="text1"/>
          <w:sz w:val="22"/>
          <w:szCs w:val="22"/>
          <w:lang w:eastAsia="en-GB"/>
        </w:rPr>
        <w:t xml:space="preserve"> measures outputs of the Partnership as a whole, as facilitated by the Support Unit. The Partnership is on track to </w:t>
      </w:r>
      <w:r w:rsidRPr="00633B03">
        <w:rPr>
          <w:rFonts w:cs="Arial"/>
          <w:color w:val="000000" w:themeColor="text1"/>
          <w:sz w:val="22"/>
          <w:szCs w:val="22"/>
          <w:lang w:eastAsia="en-GB"/>
        </w:rPr>
        <w:lastRenderedPageBreak/>
        <w:t>meet or exceed the majority of these targets and</w:t>
      </w:r>
      <w:r w:rsidR="004813B6" w:rsidRPr="00633B03">
        <w:rPr>
          <w:rFonts w:cs="Arial"/>
          <w:color w:val="000000" w:themeColor="text1"/>
          <w:sz w:val="22"/>
          <w:szCs w:val="22"/>
          <w:lang w:eastAsia="en-GB"/>
        </w:rPr>
        <w:t xml:space="preserve"> </w:t>
      </w:r>
      <w:r w:rsidRPr="00633B03">
        <w:rPr>
          <w:rFonts w:cs="Arial"/>
          <w:color w:val="000000" w:themeColor="text1"/>
          <w:sz w:val="22"/>
          <w:szCs w:val="22"/>
          <w:lang w:eastAsia="en-GB"/>
        </w:rPr>
        <w:t>has been consistent in its</w:t>
      </w:r>
      <w:r w:rsidR="0037738A" w:rsidRPr="00633B03">
        <w:rPr>
          <w:rFonts w:cs="Arial"/>
          <w:color w:val="000000" w:themeColor="text1"/>
          <w:sz w:val="22"/>
          <w:szCs w:val="22"/>
          <w:lang w:eastAsia="en-GB"/>
        </w:rPr>
        <w:t xml:space="preserve"> performance</w:t>
      </w:r>
      <w:r w:rsidR="00E42ADC" w:rsidRPr="00633B03">
        <w:rPr>
          <w:rFonts w:cs="Arial"/>
          <w:color w:val="000000" w:themeColor="text1"/>
          <w:sz w:val="22"/>
          <w:szCs w:val="22"/>
          <w:lang w:eastAsia="en-GB"/>
        </w:rPr>
        <w:t>. At</w:t>
      </w:r>
      <w:r w:rsidRPr="00633B03">
        <w:rPr>
          <w:rFonts w:cs="Arial"/>
          <w:color w:val="000000" w:themeColor="text1"/>
          <w:sz w:val="22"/>
          <w:szCs w:val="22"/>
          <w:lang w:eastAsia="en-GB"/>
        </w:rPr>
        <w:t xml:space="preserve"> the Partnership</w:t>
      </w:r>
      <w:r w:rsidR="721F94D2" w:rsidRPr="00633B03">
        <w:rPr>
          <w:rFonts w:cs="Arial"/>
          <w:color w:val="000000" w:themeColor="text1"/>
          <w:sz w:val="22"/>
          <w:szCs w:val="22"/>
          <w:lang w:eastAsia="en-GB"/>
        </w:rPr>
        <w:t xml:space="preserve"> level</w:t>
      </w:r>
      <w:r w:rsidRPr="00633B03">
        <w:rPr>
          <w:rFonts w:cs="Arial"/>
          <w:color w:val="000000" w:themeColor="text1"/>
          <w:sz w:val="22"/>
          <w:szCs w:val="22"/>
          <w:lang w:eastAsia="en-GB"/>
        </w:rPr>
        <w:t xml:space="preserve">, 24 out </w:t>
      </w:r>
      <w:r w:rsidR="00947F1A" w:rsidRPr="00633B03">
        <w:rPr>
          <w:rFonts w:cs="Arial"/>
          <w:color w:val="000000" w:themeColor="text1"/>
          <w:sz w:val="22"/>
          <w:szCs w:val="22"/>
          <w:lang w:eastAsia="en-GB"/>
        </w:rPr>
        <w:t>of 29</w:t>
      </w:r>
      <w:r w:rsidRPr="00633B03">
        <w:rPr>
          <w:rFonts w:cs="Arial"/>
          <w:color w:val="000000" w:themeColor="text1"/>
          <w:sz w:val="22"/>
          <w:szCs w:val="22"/>
          <w:lang w:eastAsia="en-GB"/>
        </w:rPr>
        <w:t xml:space="preserve"> indicators (83%) are on track to meet 2025 targets, with 18 (62%) exceeding their target. This is in large part due to the Support Unit’s focus on coordination between the members of the </w:t>
      </w:r>
      <w:r w:rsidR="00360A69" w:rsidRPr="00633B03">
        <w:rPr>
          <w:rFonts w:cs="Arial"/>
          <w:color w:val="000000" w:themeColor="text1"/>
          <w:sz w:val="22"/>
          <w:szCs w:val="22"/>
          <w:lang w:eastAsia="en-GB"/>
        </w:rPr>
        <w:t>Partnership</w:t>
      </w:r>
      <w:r w:rsidRPr="00633B03">
        <w:rPr>
          <w:rFonts w:cs="Arial"/>
          <w:color w:val="000000" w:themeColor="text1"/>
          <w:sz w:val="22"/>
          <w:szCs w:val="22"/>
          <w:lang w:eastAsia="en-GB"/>
        </w:rPr>
        <w:t>.</w:t>
      </w:r>
    </w:p>
    <w:p w14:paraId="28442B0F" w14:textId="18208913" w:rsidR="61D6F299" w:rsidRPr="003C5BF3" w:rsidRDefault="61D6F299" w:rsidP="0A33CD8F">
      <w:pPr>
        <w:jc w:val="both"/>
        <w:rPr>
          <w:rFonts w:cs="Arial"/>
          <w:color w:val="000000" w:themeColor="text1"/>
          <w:sz w:val="22"/>
          <w:szCs w:val="22"/>
          <w:lang w:eastAsia="en-GB"/>
        </w:rPr>
      </w:pPr>
      <w:r w:rsidRPr="003C5BF3">
        <w:rPr>
          <w:rFonts w:cs="Arial"/>
          <w:color w:val="000000" w:themeColor="text1"/>
          <w:sz w:val="22"/>
          <w:szCs w:val="22"/>
          <w:lang w:eastAsia="en-GB"/>
        </w:rPr>
        <w:t xml:space="preserve"> </w:t>
      </w:r>
    </w:p>
    <w:p w14:paraId="6020A129" w14:textId="5D5A076E" w:rsidR="61D6F299" w:rsidRPr="00633B03" w:rsidRDefault="61D6F299" w:rsidP="00A61017">
      <w:pPr>
        <w:ind w:firstLine="720"/>
        <w:rPr>
          <w:rFonts w:cs="Arial"/>
          <w:color w:val="000000" w:themeColor="text1"/>
          <w:sz w:val="22"/>
          <w:szCs w:val="22"/>
          <w:lang w:eastAsia="en-GB"/>
        </w:rPr>
      </w:pPr>
      <w:r w:rsidRPr="00633B03">
        <w:rPr>
          <w:rFonts w:cs="Arial"/>
          <w:b/>
          <w:color w:val="000000" w:themeColor="text1"/>
          <w:sz w:val="22"/>
          <w:szCs w:val="22"/>
          <w:lang w:eastAsia="en-GB"/>
        </w:rPr>
        <w:t>Element 2 (Country Engagement Fund)</w:t>
      </w:r>
      <w:r w:rsidRPr="00633B03">
        <w:rPr>
          <w:rFonts w:cs="Arial"/>
          <w:color w:val="000000" w:themeColor="text1"/>
          <w:sz w:val="22"/>
          <w:szCs w:val="22"/>
          <w:lang w:eastAsia="en-GB"/>
        </w:rPr>
        <w:t xml:space="preserve"> builds on the success of the UK TA Fund under the previous Business Case, which had a good track record of converting inputs (UK funding) to outputs (advisers/TA projects deployed). The options appraisal during the Business Case development process concluded that the scope of the bilateral fund should be narrowed, limiting activities to the deployment of embedded facilitators/advisers. This has helped to increase the efficiency of the fund by focusing delivery on activities most closely aligned to the Support Unit’s core country engagement work. Over the past reporting year, the CEF has provided funding for 1</w:t>
      </w:r>
      <w:r w:rsidR="00A61017" w:rsidRPr="00633B03">
        <w:rPr>
          <w:rFonts w:cs="Arial"/>
          <w:color w:val="000000" w:themeColor="text1"/>
          <w:sz w:val="22"/>
          <w:szCs w:val="22"/>
          <w:lang w:eastAsia="en-GB"/>
        </w:rPr>
        <w:t>2</w:t>
      </w:r>
      <w:r w:rsidRPr="00633B03">
        <w:rPr>
          <w:rFonts w:cs="Arial"/>
          <w:color w:val="000000" w:themeColor="text1"/>
          <w:sz w:val="22"/>
          <w:szCs w:val="22"/>
          <w:lang w:eastAsia="en-GB"/>
        </w:rPr>
        <w:t xml:space="preserve"> positions and through effective, continuous engagement with the Support Unit and UK staff in country, the roles supported by the UK have helped to advance NDC 3.0 processes at country level by funding in country facilitators and climate finance advisors. </w:t>
      </w:r>
    </w:p>
    <w:p w14:paraId="6903E793" w14:textId="2BCE26B4" w:rsidR="61D6F299" w:rsidRPr="00633B03" w:rsidRDefault="61D6F299" w:rsidP="0A33CD8F">
      <w:pPr>
        <w:jc w:val="both"/>
        <w:rPr>
          <w:rFonts w:cs="Arial"/>
          <w:color w:val="000000" w:themeColor="text1"/>
          <w:sz w:val="22"/>
          <w:szCs w:val="22"/>
          <w:lang w:eastAsia="en-GB"/>
        </w:rPr>
      </w:pPr>
      <w:r w:rsidRPr="00633B03">
        <w:rPr>
          <w:rFonts w:cs="Arial"/>
          <w:color w:val="000000" w:themeColor="text1"/>
          <w:sz w:val="22"/>
          <w:szCs w:val="22"/>
          <w:lang w:eastAsia="en-GB"/>
        </w:rPr>
        <w:t xml:space="preserve"> </w:t>
      </w:r>
    </w:p>
    <w:p w14:paraId="0013E9EE" w14:textId="595A52C9" w:rsidR="61D6F299" w:rsidRPr="00633B03" w:rsidRDefault="61D6F299" w:rsidP="00633B03">
      <w:pPr>
        <w:ind w:firstLine="720"/>
        <w:rPr>
          <w:rFonts w:cs="Arial"/>
          <w:color w:val="000000" w:themeColor="text1"/>
          <w:sz w:val="22"/>
          <w:szCs w:val="22"/>
          <w:lang w:eastAsia="en-GB"/>
        </w:rPr>
      </w:pPr>
      <w:r w:rsidRPr="00633B03">
        <w:rPr>
          <w:rFonts w:cs="Arial"/>
          <w:b/>
          <w:color w:val="000000" w:themeColor="text1"/>
          <w:sz w:val="22"/>
          <w:szCs w:val="22"/>
          <w:lang w:eastAsia="en-GB"/>
        </w:rPr>
        <w:t>Element 3 (Institutional member ‘first response’)</w:t>
      </w:r>
      <w:r w:rsidRPr="00633B03">
        <w:rPr>
          <w:rFonts w:cs="Arial"/>
          <w:color w:val="000000" w:themeColor="text1"/>
          <w:sz w:val="22"/>
          <w:szCs w:val="22"/>
          <w:lang w:eastAsia="en-GB"/>
        </w:rPr>
        <w:t xml:space="preserve"> has been used to scale-up delivery of existing high-performing initiatives, Climate Support Facility for the World Bank and Climate Promise for UNDP, in response to growing demand. VfM of each intervention has been considered as part of the selection process. When providing support to countries on their NDC enhancement</w:t>
      </w:r>
      <w:r w:rsidR="00624A39" w:rsidRPr="00633B03">
        <w:rPr>
          <w:rFonts w:cs="Arial"/>
          <w:color w:val="000000" w:themeColor="text1"/>
          <w:sz w:val="22"/>
          <w:szCs w:val="22"/>
          <w:lang w:eastAsia="en-GB"/>
        </w:rPr>
        <w:t>,</w:t>
      </w:r>
      <w:r w:rsidRPr="00633B03">
        <w:rPr>
          <w:rFonts w:cs="Arial"/>
          <w:color w:val="000000" w:themeColor="text1"/>
          <w:sz w:val="22"/>
          <w:szCs w:val="22"/>
          <w:lang w:eastAsia="en-GB"/>
        </w:rPr>
        <w:t xml:space="preserve"> UNDP leverages the results of its current portfolio of climate projects in a country, and builds on the foundations established through support under the first NDC revision cycle, which increases efficiency and reduces cost. The key output of a UK contribution to Climate Promise will be new NDCs</w:t>
      </w:r>
      <w:r w:rsidR="418BFD9F" w:rsidRPr="00633B03">
        <w:rPr>
          <w:rFonts w:cs="Arial"/>
          <w:color w:val="000000" w:themeColor="text1"/>
          <w:sz w:val="22"/>
          <w:szCs w:val="22"/>
          <w:lang w:eastAsia="en-GB"/>
        </w:rPr>
        <w:t>, which we are expecting ahead of COP30 in Autumn, 2025</w:t>
      </w:r>
      <w:r w:rsidRPr="00633B03">
        <w:rPr>
          <w:rFonts w:cs="Arial"/>
          <w:color w:val="000000" w:themeColor="text1"/>
          <w:sz w:val="22"/>
          <w:szCs w:val="22"/>
          <w:lang w:eastAsia="en-GB"/>
        </w:rPr>
        <w:t xml:space="preserve">. The Climate Promise has a track record of efficient delivery. UNDP Climate Promise supported 128 countries in their NDC enhancement in the </w:t>
      </w:r>
      <w:r w:rsidR="65B978B1" w:rsidRPr="00633B03">
        <w:rPr>
          <w:rFonts w:cs="Arial"/>
          <w:color w:val="000000" w:themeColor="text1"/>
          <w:sz w:val="22"/>
          <w:szCs w:val="22"/>
          <w:lang w:eastAsia="en-GB"/>
        </w:rPr>
        <w:t>previous</w:t>
      </w:r>
      <w:r w:rsidRPr="00633B03">
        <w:rPr>
          <w:rFonts w:cs="Arial"/>
          <w:color w:val="000000" w:themeColor="text1"/>
          <w:sz w:val="22"/>
          <w:szCs w:val="22"/>
          <w:lang w:eastAsia="en-GB"/>
        </w:rPr>
        <w:t xml:space="preserve"> revision period, UNDP have global presence, providing support in more than 170 countries and territories. This large footprint allows them to promote exchange of best practices and lessons learned which accelerate implementation while maximi</w:t>
      </w:r>
      <w:r w:rsidR="00C74D11" w:rsidRPr="00633B03">
        <w:rPr>
          <w:rFonts w:cs="Arial"/>
          <w:color w:val="000000" w:themeColor="text1"/>
          <w:sz w:val="22"/>
          <w:szCs w:val="22"/>
          <w:lang w:eastAsia="en-GB"/>
        </w:rPr>
        <w:t>s</w:t>
      </w:r>
      <w:r w:rsidRPr="00633B03">
        <w:rPr>
          <w:rFonts w:cs="Arial"/>
          <w:color w:val="000000" w:themeColor="text1"/>
          <w:sz w:val="22"/>
          <w:szCs w:val="22"/>
          <w:lang w:eastAsia="en-GB"/>
        </w:rPr>
        <w:t>ing the scope of action of a given project. Furthermore, UNDP’s climate promise has partnered with more than 30 international organizations and development agencies which ensures articulation and enhances implementation in countries.</w:t>
      </w:r>
    </w:p>
    <w:p w14:paraId="46ABF0CA" w14:textId="6206DEA0" w:rsidR="61D6F299" w:rsidRPr="00633B03" w:rsidRDefault="61D6F299" w:rsidP="0A33CD8F">
      <w:pPr>
        <w:jc w:val="both"/>
        <w:rPr>
          <w:rFonts w:cs="Arial"/>
          <w:color w:val="000000" w:themeColor="text1"/>
          <w:sz w:val="22"/>
          <w:szCs w:val="22"/>
          <w:lang w:eastAsia="en-GB"/>
        </w:rPr>
      </w:pPr>
      <w:r w:rsidRPr="00633B03">
        <w:rPr>
          <w:rFonts w:cs="Arial"/>
          <w:color w:val="000000" w:themeColor="text1"/>
          <w:sz w:val="22"/>
          <w:szCs w:val="22"/>
          <w:lang w:eastAsia="en-GB"/>
        </w:rPr>
        <w:t xml:space="preserve"> </w:t>
      </w:r>
    </w:p>
    <w:p w14:paraId="4B24299C" w14:textId="41CF3B4B" w:rsidR="61D6F299" w:rsidRPr="00633B03" w:rsidRDefault="61D6F299" w:rsidP="005C57F6">
      <w:pPr>
        <w:ind w:firstLine="720"/>
        <w:rPr>
          <w:rFonts w:cs="Arial"/>
          <w:color w:val="000000" w:themeColor="text1"/>
          <w:sz w:val="22"/>
          <w:szCs w:val="22"/>
          <w:lang w:eastAsia="en-GB"/>
        </w:rPr>
      </w:pPr>
      <w:r w:rsidRPr="00633B03">
        <w:rPr>
          <w:rFonts w:cs="Arial"/>
          <w:b/>
          <w:color w:val="000000" w:themeColor="text1"/>
          <w:sz w:val="22"/>
          <w:szCs w:val="22"/>
          <w:lang w:eastAsia="en-GB"/>
        </w:rPr>
        <w:t>The World Bank’s C</w:t>
      </w:r>
      <w:r w:rsidR="5DC993D6" w:rsidRPr="00633B03">
        <w:rPr>
          <w:rFonts w:cs="Arial"/>
          <w:b/>
          <w:color w:val="000000" w:themeColor="text1"/>
          <w:sz w:val="22"/>
          <w:szCs w:val="22"/>
          <w:lang w:eastAsia="en-GB"/>
        </w:rPr>
        <w:t xml:space="preserve">limate </w:t>
      </w:r>
      <w:r w:rsidRPr="00633B03">
        <w:rPr>
          <w:rFonts w:cs="Arial"/>
          <w:b/>
          <w:color w:val="000000" w:themeColor="text1"/>
          <w:sz w:val="22"/>
          <w:szCs w:val="22"/>
          <w:lang w:eastAsia="en-GB"/>
        </w:rPr>
        <w:t>S</w:t>
      </w:r>
      <w:r w:rsidR="708FDE25" w:rsidRPr="00633B03">
        <w:rPr>
          <w:rFonts w:cs="Arial"/>
          <w:b/>
          <w:color w:val="000000" w:themeColor="text1"/>
          <w:sz w:val="22"/>
          <w:szCs w:val="22"/>
          <w:lang w:eastAsia="en-GB"/>
        </w:rPr>
        <w:t xml:space="preserve">upport </w:t>
      </w:r>
      <w:r w:rsidRPr="00633B03">
        <w:rPr>
          <w:rFonts w:cs="Arial"/>
          <w:b/>
          <w:color w:val="000000" w:themeColor="text1"/>
          <w:sz w:val="22"/>
          <w:szCs w:val="22"/>
          <w:lang w:eastAsia="en-GB"/>
        </w:rPr>
        <w:t>F</w:t>
      </w:r>
      <w:r w:rsidR="502BAABE" w:rsidRPr="00633B03">
        <w:rPr>
          <w:rFonts w:cs="Arial"/>
          <w:b/>
          <w:color w:val="000000" w:themeColor="text1"/>
          <w:sz w:val="22"/>
          <w:szCs w:val="22"/>
          <w:lang w:eastAsia="en-GB"/>
        </w:rPr>
        <w:t>acility</w:t>
      </w:r>
      <w:r w:rsidRPr="00633B03">
        <w:rPr>
          <w:rFonts w:cs="Arial"/>
          <w:color w:val="000000" w:themeColor="text1"/>
          <w:sz w:val="22"/>
          <w:szCs w:val="22"/>
          <w:lang w:eastAsia="en-GB"/>
        </w:rPr>
        <w:t xml:space="preserve"> enables efficiency through providing the administration of fund transfers to a network of MDBs, ensuring that the most appropriate development bank can provide support to countries – which means that as a donor we do not need to set up individual agreements with each MDB. This coordination increases the speed of support delivery, reduces redundancy of support from multiple providers, and increases the quality of support through coordinating the complementary strengths of delivery partners. The CSF/its predecessor trust fund, the NDC Support Facility, has a track record of efficient delivery. In the last round of NDC updates the World Bank were a major delivery partner for the pooled multilateral Climate Action Enhancement Programme.</w:t>
      </w:r>
    </w:p>
    <w:p w14:paraId="74B14A06" w14:textId="5405DC77" w:rsidR="61D6F299" w:rsidRPr="00911E05" w:rsidRDefault="61D6F299" w:rsidP="005C57F6">
      <w:pPr>
        <w:rPr>
          <w:rFonts w:cs="Arial"/>
          <w:color w:val="000000" w:themeColor="text1"/>
          <w:sz w:val="22"/>
          <w:szCs w:val="22"/>
          <w:lang w:eastAsia="en-GB"/>
        </w:rPr>
      </w:pPr>
      <w:r w:rsidRPr="00633B03">
        <w:rPr>
          <w:rFonts w:cs="Arial"/>
          <w:color w:val="000000" w:themeColor="text1"/>
          <w:sz w:val="22"/>
          <w:szCs w:val="22"/>
          <w:lang w:eastAsia="en-GB"/>
        </w:rPr>
        <w:t xml:space="preserve"> </w:t>
      </w:r>
    </w:p>
    <w:p w14:paraId="1B4A51E9" w14:textId="7156DFF0" w:rsidR="005C57F6" w:rsidRPr="00911E05" w:rsidRDefault="61D6F299" w:rsidP="005C57F6">
      <w:pPr>
        <w:ind w:firstLine="720"/>
        <w:rPr>
          <w:rFonts w:cs="Arial"/>
          <w:color w:val="000000" w:themeColor="text1"/>
          <w:sz w:val="22"/>
          <w:szCs w:val="22"/>
          <w:lang w:eastAsia="en-GB"/>
        </w:rPr>
      </w:pPr>
      <w:r w:rsidRPr="00911E05">
        <w:rPr>
          <w:rFonts w:cs="Arial"/>
          <w:b/>
          <w:color w:val="000000" w:themeColor="text1"/>
          <w:sz w:val="22"/>
          <w:szCs w:val="22"/>
          <w:lang w:eastAsia="en-GB"/>
        </w:rPr>
        <w:t xml:space="preserve">Element 4 (PAF) </w:t>
      </w:r>
      <w:r w:rsidRPr="00911E05">
        <w:rPr>
          <w:rFonts w:cs="Arial"/>
          <w:color w:val="000000" w:themeColor="text1"/>
          <w:sz w:val="22"/>
          <w:szCs w:val="22"/>
          <w:lang w:eastAsia="en-GB"/>
        </w:rPr>
        <w:t>is a pooled fund. The fund supports the efficiency of international climate finance architecture by avoiding the need to set up a large number of new initiatives in response to small-scale demand. PAF improves the translation of inputs into outputs by avoiding duplicative set-up and administrative costs for the UK and other donors.  As of February 202</w:t>
      </w:r>
      <w:r w:rsidR="1EF944FB" w:rsidRPr="00911E05">
        <w:rPr>
          <w:rFonts w:cs="Arial"/>
          <w:color w:val="000000" w:themeColor="text1"/>
          <w:sz w:val="22"/>
          <w:szCs w:val="22"/>
          <w:lang w:eastAsia="en-GB"/>
        </w:rPr>
        <w:t>5</w:t>
      </w:r>
      <w:r w:rsidRPr="00911E05">
        <w:rPr>
          <w:rFonts w:cs="Arial"/>
          <w:color w:val="000000" w:themeColor="text1"/>
          <w:sz w:val="22"/>
          <w:szCs w:val="22"/>
          <w:lang w:eastAsia="en-GB"/>
        </w:rPr>
        <w:t>, PAF ha</w:t>
      </w:r>
      <w:r w:rsidR="00E97431">
        <w:rPr>
          <w:rFonts w:cs="Arial"/>
          <w:color w:val="000000" w:themeColor="text1"/>
          <w:sz w:val="22"/>
          <w:szCs w:val="22"/>
          <w:lang w:eastAsia="en-GB"/>
        </w:rPr>
        <w:t>d</w:t>
      </w:r>
      <w:r w:rsidR="00575AAA">
        <w:rPr>
          <w:rFonts w:cs="Arial"/>
          <w:color w:val="000000" w:themeColor="text1"/>
          <w:sz w:val="22"/>
          <w:szCs w:val="22"/>
          <w:lang w:eastAsia="en-GB"/>
        </w:rPr>
        <w:t xml:space="preserve"> </w:t>
      </w:r>
      <w:r w:rsidRPr="00911E05">
        <w:rPr>
          <w:rFonts w:cs="Arial"/>
          <w:color w:val="000000" w:themeColor="text1"/>
          <w:sz w:val="22"/>
          <w:szCs w:val="22"/>
          <w:lang w:eastAsia="en-GB"/>
        </w:rPr>
        <w:t xml:space="preserve">deployed US$ 32.24 million in PAF resources to 72 countries, effectively translating inputs (pooled funding from developed country members) into outputs </w:t>
      </w:r>
      <w:r w:rsidR="68BC58C5" w:rsidRPr="00911E05">
        <w:rPr>
          <w:rFonts w:cs="Arial"/>
          <w:color w:val="000000" w:themeColor="text1"/>
          <w:sz w:val="22"/>
          <w:szCs w:val="22"/>
          <w:lang w:eastAsia="en-GB"/>
        </w:rPr>
        <w:t xml:space="preserve">- </w:t>
      </w:r>
      <w:r w:rsidR="309B77EC" w:rsidRPr="00911E05">
        <w:rPr>
          <w:rFonts w:cs="Arial"/>
          <w:color w:val="000000" w:themeColor="text1"/>
          <w:sz w:val="22"/>
          <w:szCs w:val="22"/>
          <w:lang w:eastAsia="en-GB"/>
        </w:rPr>
        <w:t>t</w:t>
      </w:r>
      <w:r w:rsidRPr="00911E05">
        <w:rPr>
          <w:rFonts w:cs="Arial"/>
          <w:color w:val="000000" w:themeColor="text1"/>
          <w:sz w:val="22"/>
          <w:szCs w:val="22"/>
          <w:lang w:eastAsia="en-GB"/>
        </w:rPr>
        <w:t xml:space="preserve">echnical assistance delivered to </w:t>
      </w:r>
      <w:r w:rsidR="71A5365B" w:rsidRPr="00911E05">
        <w:rPr>
          <w:rFonts w:cs="Arial"/>
          <w:color w:val="000000" w:themeColor="text1"/>
          <w:sz w:val="22"/>
          <w:szCs w:val="22"/>
          <w:lang w:eastAsia="en-GB"/>
        </w:rPr>
        <w:t>7</w:t>
      </w:r>
      <w:r w:rsidRPr="00911E05">
        <w:rPr>
          <w:rFonts w:cs="Arial"/>
          <w:color w:val="000000" w:themeColor="text1"/>
          <w:sz w:val="22"/>
          <w:szCs w:val="22"/>
          <w:lang w:eastAsia="en-GB"/>
        </w:rPr>
        <w:t>2 countries with low support rates and critical unsupported activities. Efficiency continue</w:t>
      </w:r>
      <w:r w:rsidR="1E3EF4E7" w:rsidRPr="00911E05">
        <w:rPr>
          <w:rFonts w:cs="Arial"/>
          <w:color w:val="000000" w:themeColor="text1"/>
          <w:sz w:val="22"/>
          <w:szCs w:val="22"/>
          <w:lang w:eastAsia="en-GB"/>
        </w:rPr>
        <w:t>s</w:t>
      </w:r>
      <w:r w:rsidRPr="00911E05">
        <w:rPr>
          <w:rFonts w:cs="Arial"/>
          <w:color w:val="000000" w:themeColor="text1"/>
          <w:sz w:val="22"/>
          <w:szCs w:val="22"/>
          <w:lang w:eastAsia="en-GB"/>
        </w:rPr>
        <w:t xml:space="preserve"> to be monitored through regular reporting and challenged where necessary via the PAF Advisory Group</w:t>
      </w:r>
      <w:r w:rsidR="280F940F" w:rsidRPr="00911E05">
        <w:rPr>
          <w:rFonts w:cs="Arial"/>
          <w:color w:val="000000" w:themeColor="text1"/>
          <w:sz w:val="22"/>
          <w:szCs w:val="22"/>
          <w:lang w:eastAsia="en-GB"/>
        </w:rPr>
        <w:t xml:space="preserve">, with the main focus of discussion currently </w:t>
      </w:r>
    </w:p>
    <w:p w14:paraId="3B46D6CF" w14:textId="07E9BB87" w:rsidR="61D6F299" w:rsidRPr="00911E05" w:rsidRDefault="280F940F" w:rsidP="00754BBD">
      <w:pPr>
        <w:rPr>
          <w:rFonts w:cs="Arial"/>
          <w:color w:val="000000" w:themeColor="text1"/>
          <w:sz w:val="22"/>
          <w:szCs w:val="22"/>
          <w:lang w:eastAsia="en-GB"/>
        </w:rPr>
      </w:pPr>
      <w:r w:rsidRPr="00911E05">
        <w:rPr>
          <w:rFonts w:cs="Arial"/>
          <w:color w:val="000000" w:themeColor="text1"/>
          <w:sz w:val="22"/>
          <w:szCs w:val="22"/>
          <w:lang w:eastAsia="en-GB"/>
        </w:rPr>
        <w:t xml:space="preserve">being the extent to which the UK will continue funding </w:t>
      </w:r>
      <w:r w:rsidR="481B6A1F" w:rsidRPr="00911E05">
        <w:rPr>
          <w:rFonts w:cs="Arial"/>
          <w:color w:val="000000" w:themeColor="text1"/>
          <w:sz w:val="22"/>
          <w:szCs w:val="22"/>
          <w:lang w:eastAsia="en-GB"/>
        </w:rPr>
        <w:t>in the following years and how the PAF will support the delivery of the new Work Programme.</w:t>
      </w:r>
    </w:p>
    <w:p w14:paraId="609D3560" w14:textId="4CA9CEAA" w:rsidR="61D6F299" w:rsidRPr="00911E05" w:rsidRDefault="61D6F299" w:rsidP="005C57F6">
      <w:pPr>
        <w:rPr>
          <w:rFonts w:cs="Arial"/>
          <w:color w:val="000000" w:themeColor="text1"/>
          <w:sz w:val="22"/>
          <w:szCs w:val="22"/>
          <w:lang w:eastAsia="en-GB"/>
        </w:rPr>
      </w:pPr>
      <w:r w:rsidRPr="00911E05">
        <w:rPr>
          <w:rFonts w:cs="Arial"/>
          <w:color w:val="000000" w:themeColor="text1"/>
          <w:sz w:val="22"/>
          <w:szCs w:val="22"/>
          <w:lang w:eastAsia="en-GB"/>
        </w:rPr>
        <w:t xml:space="preserve"> </w:t>
      </w:r>
    </w:p>
    <w:p w14:paraId="53EBD057" w14:textId="7CCEB69C" w:rsidR="61D6F299" w:rsidRPr="00575AAA" w:rsidRDefault="61D6F299" w:rsidP="00575AAA">
      <w:pPr>
        <w:rPr>
          <w:rFonts w:cs="Arial"/>
          <w:b/>
          <w:color w:val="000000" w:themeColor="text1"/>
          <w:lang w:eastAsia="en-GB"/>
        </w:rPr>
      </w:pPr>
      <w:r w:rsidRPr="00F96B13">
        <w:rPr>
          <w:rFonts w:cs="Arial"/>
          <w:b/>
          <w:color w:val="000000" w:themeColor="text1"/>
          <w:lang w:eastAsia="en-GB"/>
        </w:rPr>
        <w:lastRenderedPageBreak/>
        <w:t xml:space="preserve">Assessment Against Effectiveness </w:t>
      </w:r>
    </w:p>
    <w:p w14:paraId="2A38EED1" w14:textId="566E8992" w:rsidR="61D6F299" w:rsidRPr="00911E05" w:rsidRDefault="61D6F299" w:rsidP="00754BBD">
      <w:pPr>
        <w:ind w:firstLine="720"/>
        <w:rPr>
          <w:rFonts w:cs="Arial"/>
          <w:color w:val="000000" w:themeColor="text1"/>
          <w:sz w:val="22"/>
          <w:szCs w:val="22"/>
          <w:lang w:eastAsia="en-GB"/>
        </w:rPr>
      </w:pPr>
      <w:r w:rsidRPr="00911E05">
        <w:rPr>
          <w:rFonts w:cs="Arial"/>
          <w:color w:val="000000" w:themeColor="text1"/>
          <w:sz w:val="22"/>
          <w:szCs w:val="22"/>
          <w:lang w:eastAsia="en-GB"/>
        </w:rPr>
        <w:t xml:space="preserve">Effectiveness refers to how well the outputs (which are under the direct control of the delivery partners) achieve the outcomes (over which there is less control). High potential for outcome and impact level change was a key consideration in the calibration of delivery mechanisms and funding levels, undertaken as part of the options assessment. The multi-element approach will support effectiveness of UK funding by enabling support to be scaled up or scaled down based on emerging results.  </w:t>
      </w:r>
      <w:r w:rsidR="5E8E509D" w:rsidRPr="00911E05">
        <w:rPr>
          <w:rFonts w:cs="Arial"/>
          <w:color w:val="000000" w:themeColor="text1"/>
          <w:sz w:val="22"/>
          <w:szCs w:val="22"/>
          <w:lang w:eastAsia="en-GB"/>
        </w:rPr>
        <w:t xml:space="preserve">In the time of writing this annual report, we do not yet have the full data from UK’s Delivery partners, however it will be provided later in 2025 and </w:t>
      </w:r>
      <w:r w:rsidR="68416747" w:rsidRPr="00911E05">
        <w:rPr>
          <w:rFonts w:cs="Arial"/>
          <w:color w:val="000000" w:themeColor="text1"/>
          <w:sz w:val="22"/>
          <w:szCs w:val="22"/>
          <w:lang w:eastAsia="en-GB"/>
        </w:rPr>
        <w:t xml:space="preserve">that data will form the assessment of the effectiveness of delivery for the next (2025/2026) annual review. </w:t>
      </w:r>
    </w:p>
    <w:p w14:paraId="5FAA5282" w14:textId="7F70161C" w:rsidR="61D6F299" w:rsidRPr="00911E05" w:rsidRDefault="61D6F299" w:rsidP="00754BBD">
      <w:pPr>
        <w:rPr>
          <w:rFonts w:cs="Arial"/>
          <w:color w:val="000000" w:themeColor="text1"/>
          <w:sz w:val="22"/>
          <w:szCs w:val="22"/>
          <w:lang w:eastAsia="en-GB"/>
        </w:rPr>
      </w:pPr>
      <w:r w:rsidRPr="00911E05">
        <w:rPr>
          <w:rFonts w:cs="Arial"/>
          <w:color w:val="000000" w:themeColor="text1"/>
          <w:sz w:val="22"/>
          <w:szCs w:val="22"/>
          <w:lang w:eastAsia="en-GB"/>
        </w:rPr>
        <w:t xml:space="preserve"> </w:t>
      </w:r>
    </w:p>
    <w:p w14:paraId="209C7944" w14:textId="043AECEE" w:rsidR="61D6F299" w:rsidRPr="00911E05" w:rsidRDefault="61D6F299" w:rsidP="00754BBD">
      <w:pPr>
        <w:ind w:firstLine="720"/>
        <w:rPr>
          <w:rFonts w:cs="Arial"/>
          <w:color w:val="000000" w:themeColor="text1"/>
          <w:sz w:val="22"/>
          <w:szCs w:val="22"/>
          <w:lang w:eastAsia="en-GB"/>
        </w:rPr>
      </w:pPr>
      <w:r w:rsidRPr="00911E05">
        <w:rPr>
          <w:rFonts w:cs="Arial"/>
          <w:b/>
          <w:bCs/>
          <w:color w:val="000000" w:themeColor="text1"/>
          <w:sz w:val="22"/>
          <w:szCs w:val="22"/>
          <w:lang w:eastAsia="en-GB"/>
        </w:rPr>
        <w:t xml:space="preserve">Element 1 (Support Unit) </w:t>
      </w:r>
      <w:r w:rsidRPr="00911E05">
        <w:rPr>
          <w:rFonts w:cs="Arial"/>
          <w:color w:val="000000" w:themeColor="text1"/>
          <w:sz w:val="22"/>
          <w:szCs w:val="22"/>
          <w:lang w:eastAsia="en-GB"/>
        </w:rPr>
        <w:t>guides and facilitates the overall results of the Partnership. To date the Partnership has supported 101 countries</w:t>
      </w:r>
      <w:r w:rsidR="048A253E" w:rsidRPr="00911E05">
        <w:rPr>
          <w:rFonts w:cs="Arial"/>
          <w:color w:val="000000" w:themeColor="text1"/>
          <w:sz w:val="22"/>
          <w:szCs w:val="22"/>
          <w:lang w:eastAsia="en-GB"/>
        </w:rPr>
        <w:t xml:space="preserve"> </w:t>
      </w:r>
      <w:r w:rsidRPr="00911E05">
        <w:rPr>
          <w:rFonts w:cs="Arial"/>
          <w:color w:val="000000" w:themeColor="text1"/>
          <w:sz w:val="22"/>
          <w:szCs w:val="22"/>
          <w:lang w:eastAsia="en-GB"/>
        </w:rPr>
        <w:t>and mobilized 200 partners to provide technical assistance to support member countries to set more ambitious targets, put in place NDC implementation plans and associated policies and regulation, and mobilise</w:t>
      </w:r>
      <w:r w:rsidR="0098525E" w:rsidRPr="00911E05">
        <w:rPr>
          <w:rFonts w:cs="Arial"/>
          <w:color w:val="000000" w:themeColor="text1"/>
          <w:sz w:val="22"/>
          <w:szCs w:val="22"/>
          <w:lang w:eastAsia="en-GB"/>
        </w:rPr>
        <w:t>d</w:t>
      </w:r>
      <w:r w:rsidRPr="00911E05">
        <w:rPr>
          <w:rFonts w:cs="Arial"/>
          <w:color w:val="000000" w:themeColor="text1"/>
          <w:sz w:val="22"/>
          <w:szCs w:val="22"/>
          <w:lang w:eastAsia="en-GB"/>
        </w:rPr>
        <w:t xml:space="preserve"> financing for implementation. </w:t>
      </w:r>
    </w:p>
    <w:p w14:paraId="11CEEF3B" w14:textId="50B1FAC2" w:rsidR="61D6F299" w:rsidRPr="00911E05" w:rsidRDefault="61D6F299" w:rsidP="0A33CD8F">
      <w:pPr>
        <w:jc w:val="both"/>
        <w:rPr>
          <w:rFonts w:cs="Arial"/>
          <w:color w:val="000000" w:themeColor="text1"/>
          <w:sz w:val="22"/>
          <w:szCs w:val="22"/>
          <w:lang w:eastAsia="en-GB"/>
        </w:rPr>
      </w:pPr>
      <w:r w:rsidRPr="00911E05">
        <w:rPr>
          <w:rFonts w:cs="Arial"/>
          <w:color w:val="000000" w:themeColor="text1"/>
          <w:sz w:val="22"/>
          <w:szCs w:val="22"/>
          <w:lang w:eastAsia="en-GB"/>
        </w:rPr>
        <w:t xml:space="preserve"> </w:t>
      </w:r>
    </w:p>
    <w:p w14:paraId="50A1D6F8" w14:textId="292F9956" w:rsidR="61D6F299" w:rsidRPr="00911E05" w:rsidRDefault="61D6F299" w:rsidP="006240EE">
      <w:pPr>
        <w:ind w:firstLine="720"/>
        <w:rPr>
          <w:rFonts w:cs="Arial"/>
          <w:color w:val="000000" w:themeColor="text1"/>
          <w:sz w:val="22"/>
          <w:szCs w:val="22"/>
          <w:lang w:eastAsia="en-GB"/>
        </w:rPr>
      </w:pPr>
      <w:r w:rsidRPr="00911E05">
        <w:rPr>
          <w:rFonts w:cs="Arial"/>
          <w:b/>
          <w:bCs/>
          <w:color w:val="000000" w:themeColor="text1"/>
          <w:sz w:val="22"/>
          <w:szCs w:val="22"/>
          <w:lang w:eastAsia="en-GB"/>
        </w:rPr>
        <w:t>Element 2 (Country Engagement Fund)</w:t>
      </w:r>
      <w:r w:rsidRPr="00911E05">
        <w:rPr>
          <w:rFonts w:cs="Arial"/>
          <w:color w:val="000000" w:themeColor="text1"/>
          <w:sz w:val="22"/>
          <w:szCs w:val="22"/>
          <w:lang w:eastAsia="en-GB"/>
        </w:rPr>
        <w:t xml:space="preserve"> targets a central part of the NDC Partnership model, supporting enhanced results through the deployment of embedded facilitators and advisers. In the first year of delivery, the CEF has supported 1</w:t>
      </w:r>
      <w:r w:rsidR="001504F3">
        <w:rPr>
          <w:rFonts w:cs="Arial"/>
          <w:color w:val="000000" w:themeColor="text1"/>
          <w:sz w:val="22"/>
          <w:szCs w:val="22"/>
          <w:lang w:eastAsia="en-GB"/>
        </w:rPr>
        <w:t>2</w:t>
      </w:r>
      <w:r w:rsidRPr="00911E05">
        <w:rPr>
          <w:rFonts w:cs="Arial"/>
          <w:color w:val="000000" w:themeColor="text1"/>
          <w:sz w:val="22"/>
          <w:szCs w:val="22"/>
          <w:lang w:eastAsia="en-GB"/>
        </w:rPr>
        <w:t xml:space="preserve"> countries</w:t>
      </w:r>
      <w:r w:rsidR="00246336" w:rsidRPr="00911E05">
        <w:rPr>
          <w:rFonts w:cs="Arial"/>
          <w:color w:val="000000" w:themeColor="text1"/>
          <w:sz w:val="22"/>
          <w:szCs w:val="22"/>
          <w:lang w:eastAsia="en-GB"/>
        </w:rPr>
        <w:t xml:space="preserve">, which </w:t>
      </w:r>
      <w:r w:rsidR="007370F3" w:rsidRPr="00911E05">
        <w:rPr>
          <w:rFonts w:cs="Arial"/>
          <w:color w:val="000000" w:themeColor="text1"/>
          <w:sz w:val="22"/>
          <w:szCs w:val="22"/>
          <w:lang w:eastAsia="en-GB"/>
        </w:rPr>
        <w:t>ensured that the target was met for this year,</w:t>
      </w:r>
      <w:r w:rsidRPr="00911E05">
        <w:rPr>
          <w:rFonts w:cs="Arial"/>
          <w:color w:val="000000" w:themeColor="text1"/>
          <w:sz w:val="22"/>
          <w:szCs w:val="22"/>
          <w:lang w:eastAsia="en-GB"/>
        </w:rPr>
        <w:t xml:space="preserve"> and built on the results of the previous business case. This increases the capacity of developing country governments to ensure outputs are used to enable the desired outcomes. </w:t>
      </w:r>
    </w:p>
    <w:p w14:paraId="38311B10" w14:textId="41137833" w:rsidR="61D6F299" w:rsidRPr="00911E05" w:rsidRDefault="61D6F299" w:rsidP="00F96B13">
      <w:pPr>
        <w:rPr>
          <w:rFonts w:cs="Arial"/>
          <w:color w:val="000000" w:themeColor="text1"/>
          <w:sz w:val="22"/>
          <w:szCs w:val="22"/>
          <w:lang w:eastAsia="en-GB"/>
        </w:rPr>
      </w:pPr>
      <w:r w:rsidRPr="00911E05">
        <w:rPr>
          <w:rFonts w:cs="Arial"/>
          <w:color w:val="000000" w:themeColor="text1"/>
          <w:sz w:val="22"/>
          <w:szCs w:val="22"/>
          <w:lang w:eastAsia="en-GB"/>
        </w:rPr>
        <w:t xml:space="preserve"> </w:t>
      </w:r>
    </w:p>
    <w:p w14:paraId="30D6E9B1" w14:textId="2A82B5A2" w:rsidR="61D6F299" w:rsidRPr="00911E05" w:rsidRDefault="61D6F299" w:rsidP="00F145EC">
      <w:pPr>
        <w:ind w:firstLine="720"/>
        <w:rPr>
          <w:rFonts w:cs="Arial"/>
          <w:color w:val="000000" w:themeColor="text1"/>
          <w:sz w:val="22"/>
          <w:szCs w:val="22"/>
          <w:lang w:eastAsia="en-GB"/>
        </w:rPr>
      </w:pPr>
      <w:r w:rsidRPr="00911E05">
        <w:rPr>
          <w:rFonts w:cs="Arial"/>
          <w:b/>
          <w:bCs/>
          <w:color w:val="000000" w:themeColor="text1"/>
          <w:sz w:val="22"/>
          <w:szCs w:val="22"/>
          <w:lang w:eastAsia="en-GB"/>
        </w:rPr>
        <w:t>Element 3 (institutional member ‘first response’)</w:t>
      </w:r>
      <w:r w:rsidRPr="00911E05">
        <w:rPr>
          <w:rFonts w:cs="Arial"/>
          <w:color w:val="000000" w:themeColor="text1"/>
          <w:sz w:val="22"/>
          <w:szCs w:val="22"/>
          <w:lang w:eastAsia="en-GB"/>
        </w:rPr>
        <w:t xml:space="preserve"> </w:t>
      </w:r>
      <w:r w:rsidR="21CD1B92" w:rsidRPr="00911E05">
        <w:rPr>
          <w:rFonts w:cs="Arial"/>
          <w:color w:val="000000" w:themeColor="text1"/>
          <w:sz w:val="22"/>
          <w:szCs w:val="22"/>
          <w:lang w:eastAsia="en-GB"/>
        </w:rPr>
        <w:t xml:space="preserve">has </w:t>
      </w:r>
      <w:r w:rsidRPr="00911E05">
        <w:rPr>
          <w:rFonts w:cs="Arial"/>
          <w:color w:val="000000" w:themeColor="text1"/>
          <w:sz w:val="22"/>
          <w:szCs w:val="22"/>
          <w:lang w:eastAsia="en-GB"/>
        </w:rPr>
        <w:t>boos</w:t>
      </w:r>
      <w:r w:rsidR="4DD4517B" w:rsidRPr="00911E05">
        <w:rPr>
          <w:rFonts w:cs="Arial"/>
          <w:color w:val="000000" w:themeColor="text1"/>
          <w:sz w:val="22"/>
          <w:szCs w:val="22"/>
          <w:lang w:eastAsia="en-GB"/>
        </w:rPr>
        <w:t>ted</w:t>
      </w:r>
      <w:r w:rsidRPr="00911E05">
        <w:rPr>
          <w:rFonts w:cs="Arial"/>
          <w:color w:val="000000" w:themeColor="text1"/>
          <w:sz w:val="22"/>
          <w:szCs w:val="22"/>
          <w:lang w:eastAsia="en-GB"/>
        </w:rPr>
        <w:t xml:space="preserve"> the capacity of </w:t>
      </w:r>
      <w:r w:rsidR="2D519046" w:rsidRPr="00911E05">
        <w:rPr>
          <w:rFonts w:cs="Arial"/>
          <w:color w:val="000000" w:themeColor="text1"/>
          <w:sz w:val="22"/>
          <w:szCs w:val="22"/>
          <w:lang w:eastAsia="en-GB"/>
        </w:rPr>
        <w:t xml:space="preserve">UNDP and the World Bank </w:t>
      </w:r>
      <w:r w:rsidRPr="00911E05">
        <w:rPr>
          <w:rFonts w:cs="Arial"/>
          <w:color w:val="000000" w:themeColor="text1"/>
          <w:sz w:val="22"/>
          <w:szCs w:val="22"/>
          <w:lang w:eastAsia="en-GB"/>
        </w:rPr>
        <w:t>to increase the outputs they are delivering for the Partnership</w:t>
      </w:r>
      <w:r w:rsidR="3571D7E8" w:rsidRPr="00911E05">
        <w:rPr>
          <w:rFonts w:cs="Arial"/>
          <w:color w:val="000000" w:themeColor="text1"/>
          <w:sz w:val="22"/>
          <w:szCs w:val="22"/>
          <w:lang w:eastAsia="en-GB"/>
        </w:rPr>
        <w:t>, which will contribute to achieving the Partnership’s outcomes</w:t>
      </w:r>
      <w:r w:rsidRPr="00911E05">
        <w:rPr>
          <w:rFonts w:cs="Arial"/>
          <w:color w:val="000000" w:themeColor="text1"/>
          <w:sz w:val="22"/>
          <w:szCs w:val="22"/>
          <w:lang w:eastAsia="en-GB"/>
        </w:rPr>
        <w:t>.</w:t>
      </w:r>
      <w:r w:rsidR="6CBE171D" w:rsidRPr="00911E05">
        <w:rPr>
          <w:rFonts w:cs="Arial"/>
          <w:color w:val="000000" w:themeColor="text1"/>
          <w:sz w:val="22"/>
          <w:szCs w:val="22"/>
          <w:lang w:eastAsia="en-GB"/>
        </w:rPr>
        <w:t xml:space="preserve"> Although there were</w:t>
      </w:r>
      <w:r w:rsidR="62486FBD" w:rsidRPr="00911E05">
        <w:rPr>
          <w:rFonts w:cs="Arial"/>
          <w:color w:val="000000" w:themeColor="text1"/>
          <w:sz w:val="22"/>
          <w:szCs w:val="22"/>
          <w:lang w:eastAsia="en-GB"/>
        </w:rPr>
        <w:t xml:space="preserve"> delays in signing the agreements</w:t>
      </w:r>
      <w:r w:rsidR="2E42FF4E" w:rsidRPr="00911E05">
        <w:rPr>
          <w:rFonts w:cs="Arial"/>
          <w:color w:val="000000" w:themeColor="text1"/>
          <w:sz w:val="22"/>
          <w:szCs w:val="22"/>
          <w:lang w:eastAsia="en-GB"/>
        </w:rPr>
        <w:t xml:space="preserve"> with the World Bank and UNDP</w:t>
      </w:r>
      <w:r w:rsidR="62486FBD" w:rsidRPr="00911E05">
        <w:rPr>
          <w:rFonts w:cs="Arial"/>
          <w:color w:val="000000" w:themeColor="text1"/>
          <w:sz w:val="22"/>
          <w:szCs w:val="22"/>
          <w:lang w:eastAsia="en-GB"/>
        </w:rPr>
        <w:t xml:space="preserve">, once that was completed, </w:t>
      </w:r>
      <w:r w:rsidR="6925501E" w:rsidRPr="00911E05">
        <w:rPr>
          <w:rFonts w:cs="Arial"/>
          <w:color w:val="000000" w:themeColor="text1"/>
          <w:sz w:val="22"/>
          <w:szCs w:val="22"/>
          <w:lang w:eastAsia="en-GB"/>
        </w:rPr>
        <w:t>both organizations have been providing UK’s funding to developing countries</w:t>
      </w:r>
      <w:r w:rsidR="49958AC5" w:rsidRPr="00911E05">
        <w:rPr>
          <w:rFonts w:cs="Arial"/>
          <w:color w:val="000000" w:themeColor="text1"/>
          <w:sz w:val="22"/>
          <w:szCs w:val="22"/>
          <w:lang w:eastAsia="en-GB"/>
        </w:rPr>
        <w:t xml:space="preserve"> and our engagement</w:t>
      </w:r>
      <w:r w:rsidR="6925501E" w:rsidRPr="00911E05">
        <w:rPr>
          <w:rFonts w:cs="Arial"/>
          <w:color w:val="000000" w:themeColor="text1"/>
          <w:sz w:val="22"/>
          <w:szCs w:val="22"/>
          <w:lang w:eastAsia="en-GB"/>
        </w:rPr>
        <w:t xml:space="preserve"> </w:t>
      </w:r>
      <w:r w:rsidR="49958AC5" w:rsidRPr="00911E05">
        <w:rPr>
          <w:rFonts w:cs="Arial"/>
          <w:color w:val="000000" w:themeColor="text1"/>
          <w:sz w:val="22"/>
          <w:szCs w:val="22"/>
          <w:lang w:eastAsia="en-GB"/>
        </w:rPr>
        <w:t>with the two organizations indicates that the support being provided is what we outlined in our agreements.</w:t>
      </w:r>
      <w:r w:rsidR="6925501E" w:rsidRPr="00911E05">
        <w:rPr>
          <w:rFonts w:cs="Arial"/>
          <w:color w:val="000000" w:themeColor="text1"/>
          <w:sz w:val="22"/>
          <w:szCs w:val="22"/>
          <w:lang w:eastAsia="en-GB"/>
        </w:rPr>
        <w:t xml:space="preserve"> </w:t>
      </w:r>
      <w:r w:rsidR="00677FA5" w:rsidRPr="00911E05">
        <w:rPr>
          <w:rFonts w:cs="Arial"/>
          <w:color w:val="000000" w:themeColor="text1"/>
          <w:sz w:val="22"/>
          <w:szCs w:val="22"/>
          <w:lang w:eastAsia="en-GB"/>
        </w:rPr>
        <w:t xml:space="preserve">Due to increased </w:t>
      </w:r>
      <w:r w:rsidR="00712801" w:rsidRPr="00911E05">
        <w:rPr>
          <w:rFonts w:cs="Arial"/>
          <w:color w:val="000000" w:themeColor="text1"/>
          <w:sz w:val="22"/>
          <w:szCs w:val="22"/>
          <w:lang w:eastAsia="en-GB"/>
        </w:rPr>
        <w:t xml:space="preserve">funding from the UK, both organizations have been able to provide more support for NDC 3.0 </w:t>
      </w:r>
      <w:r w:rsidR="00700DAE" w:rsidRPr="00911E05">
        <w:rPr>
          <w:rFonts w:cs="Arial"/>
          <w:color w:val="000000" w:themeColor="text1"/>
          <w:sz w:val="22"/>
          <w:szCs w:val="22"/>
          <w:lang w:eastAsia="en-GB"/>
        </w:rPr>
        <w:t xml:space="preserve">updates and Long Terms Strategies, initial reporting delivered through our governance meetings </w:t>
      </w:r>
      <w:r w:rsidR="00EE762F" w:rsidRPr="00911E05">
        <w:rPr>
          <w:rFonts w:cs="Arial"/>
          <w:color w:val="000000" w:themeColor="text1"/>
          <w:sz w:val="22"/>
          <w:szCs w:val="22"/>
          <w:lang w:eastAsia="en-GB"/>
        </w:rPr>
        <w:t>sho</w:t>
      </w:r>
      <w:r w:rsidR="00050B06" w:rsidRPr="00911E05">
        <w:rPr>
          <w:rFonts w:cs="Arial"/>
          <w:color w:val="000000" w:themeColor="text1"/>
          <w:sz w:val="22"/>
          <w:szCs w:val="22"/>
          <w:lang w:eastAsia="en-GB"/>
        </w:rPr>
        <w:t>ws that</w:t>
      </w:r>
      <w:r w:rsidR="00F70823" w:rsidRPr="00911E05">
        <w:rPr>
          <w:rFonts w:cs="Arial"/>
          <w:color w:val="000000" w:themeColor="text1"/>
          <w:sz w:val="22"/>
          <w:szCs w:val="22"/>
          <w:lang w:eastAsia="en-GB"/>
        </w:rPr>
        <w:t>, with UK funding, UNDP have been able to</w:t>
      </w:r>
      <w:r w:rsidR="00475C5D" w:rsidRPr="00911E05">
        <w:rPr>
          <w:rFonts w:cs="Arial"/>
          <w:color w:val="000000" w:themeColor="text1"/>
          <w:sz w:val="22"/>
          <w:szCs w:val="22"/>
          <w:lang w:eastAsia="en-GB"/>
        </w:rPr>
        <w:t xml:space="preserve"> start</w:t>
      </w:r>
      <w:r w:rsidR="00F70823" w:rsidRPr="00911E05">
        <w:rPr>
          <w:rFonts w:cs="Arial"/>
          <w:color w:val="000000" w:themeColor="text1"/>
          <w:sz w:val="22"/>
          <w:szCs w:val="22"/>
          <w:lang w:eastAsia="en-GB"/>
        </w:rPr>
        <w:t xml:space="preserve"> support</w:t>
      </w:r>
      <w:r w:rsidR="00475C5D" w:rsidRPr="00911E05">
        <w:rPr>
          <w:rFonts w:cs="Arial"/>
          <w:color w:val="000000" w:themeColor="text1"/>
          <w:sz w:val="22"/>
          <w:szCs w:val="22"/>
          <w:lang w:eastAsia="en-GB"/>
        </w:rPr>
        <w:t>ing</w:t>
      </w:r>
      <w:r w:rsidR="00F70823" w:rsidRPr="00911E05">
        <w:rPr>
          <w:rFonts w:cs="Arial"/>
          <w:color w:val="000000" w:themeColor="text1"/>
          <w:sz w:val="22"/>
          <w:szCs w:val="22"/>
          <w:lang w:eastAsia="en-GB"/>
        </w:rPr>
        <w:t xml:space="preserve"> 1</w:t>
      </w:r>
      <w:r w:rsidR="00DB6FDE">
        <w:rPr>
          <w:rFonts w:cs="Arial"/>
          <w:color w:val="000000" w:themeColor="text1"/>
          <w:sz w:val="22"/>
          <w:szCs w:val="22"/>
          <w:lang w:eastAsia="en-GB"/>
        </w:rPr>
        <w:t>8</w:t>
      </w:r>
      <w:r w:rsidR="00F70823" w:rsidRPr="00911E05">
        <w:rPr>
          <w:rFonts w:cs="Arial"/>
          <w:color w:val="000000" w:themeColor="text1"/>
          <w:sz w:val="22"/>
          <w:szCs w:val="22"/>
          <w:lang w:eastAsia="en-GB"/>
        </w:rPr>
        <w:t xml:space="preserve"> countries and the World Bank have been able to support 20 requests</w:t>
      </w:r>
      <w:r w:rsidR="00475C5D" w:rsidRPr="00911E05">
        <w:rPr>
          <w:rFonts w:cs="Arial"/>
          <w:color w:val="000000" w:themeColor="text1"/>
          <w:sz w:val="22"/>
          <w:szCs w:val="22"/>
          <w:lang w:eastAsia="en-GB"/>
        </w:rPr>
        <w:t>.</w:t>
      </w:r>
    </w:p>
    <w:p w14:paraId="7ADA9DF0" w14:textId="13CA9100" w:rsidR="38C93D77" w:rsidRPr="00911E05" w:rsidRDefault="38C93D77" w:rsidP="00F145EC">
      <w:pPr>
        <w:rPr>
          <w:rFonts w:cs="Arial"/>
          <w:color w:val="000000" w:themeColor="text1"/>
          <w:sz w:val="22"/>
          <w:szCs w:val="22"/>
          <w:lang w:eastAsia="en-GB"/>
        </w:rPr>
      </w:pPr>
    </w:p>
    <w:p w14:paraId="2233913E" w14:textId="22AA9158" w:rsidR="61D6F299" w:rsidRPr="00911E05" w:rsidRDefault="61D6F299" w:rsidP="00F145EC">
      <w:pPr>
        <w:ind w:firstLine="720"/>
        <w:rPr>
          <w:rFonts w:cs="Arial"/>
          <w:color w:val="000000" w:themeColor="text1"/>
          <w:sz w:val="22"/>
          <w:szCs w:val="22"/>
          <w:lang w:eastAsia="en-GB"/>
        </w:rPr>
      </w:pPr>
      <w:r w:rsidRPr="00911E05">
        <w:rPr>
          <w:rFonts w:cs="Arial"/>
          <w:b/>
          <w:color w:val="000000" w:themeColor="text1"/>
          <w:sz w:val="22"/>
          <w:szCs w:val="22"/>
          <w:lang w:eastAsia="en-GB"/>
        </w:rPr>
        <w:t>Element 4 (PAF)</w:t>
      </w:r>
      <w:r w:rsidRPr="00911E05">
        <w:rPr>
          <w:rFonts w:cs="Arial"/>
          <w:color w:val="000000" w:themeColor="text1"/>
          <w:sz w:val="22"/>
          <w:szCs w:val="22"/>
          <w:lang w:eastAsia="en-GB"/>
        </w:rPr>
        <w:t xml:space="preserve"> has been delivering activities since 2021. PAF has been successful in deploying support for critical support gaps and activities identified by the Support Unit. This support is aligned with a robust Theory of Change and is being delivered by institutional members with strong track records of contributing to the enabling conditions that allow the realisation of intended outcomes. </w:t>
      </w:r>
    </w:p>
    <w:p w14:paraId="6DC0D932" w14:textId="5175524E" w:rsidR="61D6F299" w:rsidRPr="003C5BF3" w:rsidRDefault="61D6F299" w:rsidP="0A33CD8F">
      <w:pPr>
        <w:jc w:val="both"/>
        <w:rPr>
          <w:rFonts w:cs="Arial"/>
          <w:b/>
          <w:color w:val="000000" w:themeColor="text1"/>
          <w:sz w:val="22"/>
          <w:szCs w:val="22"/>
          <w:lang w:eastAsia="en-GB"/>
        </w:rPr>
      </w:pPr>
      <w:r w:rsidRPr="003C5BF3">
        <w:rPr>
          <w:rFonts w:cs="Arial"/>
          <w:b/>
          <w:color w:val="000000" w:themeColor="text1"/>
          <w:sz w:val="22"/>
          <w:szCs w:val="22"/>
          <w:lang w:eastAsia="en-GB"/>
        </w:rPr>
        <w:t xml:space="preserve"> </w:t>
      </w:r>
    </w:p>
    <w:p w14:paraId="05144AAA" w14:textId="7C4CA10B" w:rsidR="61D6F299" w:rsidRPr="00F145EC" w:rsidRDefault="61D6F299" w:rsidP="00F145EC">
      <w:pPr>
        <w:rPr>
          <w:rFonts w:cs="Arial"/>
          <w:b/>
          <w:color w:val="000000" w:themeColor="text1"/>
          <w:lang w:eastAsia="en-GB"/>
        </w:rPr>
      </w:pPr>
      <w:r w:rsidRPr="00F145EC">
        <w:rPr>
          <w:rFonts w:cs="Arial"/>
          <w:b/>
          <w:color w:val="000000" w:themeColor="text1"/>
          <w:lang w:eastAsia="en-GB"/>
        </w:rPr>
        <w:t xml:space="preserve">Assessment Against Equity </w:t>
      </w:r>
    </w:p>
    <w:p w14:paraId="492E6FAD" w14:textId="0809AEA1" w:rsidR="61D6F299" w:rsidRPr="003C5BF3" w:rsidRDefault="61D6F299" w:rsidP="0A33CD8F">
      <w:pPr>
        <w:jc w:val="both"/>
        <w:rPr>
          <w:rFonts w:cs="Arial"/>
          <w:color w:val="000000" w:themeColor="text1"/>
          <w:sz w:val="22"/>
          <w:szCs w:val="22"/>
          <w:lang w:eastAsia="en-GB"/>
        </w:rPr>
      </w:pPr>
      <w:r w:rsidRPr="003C5BF3">
        <w:rPr>
          <w:rFonts w:cs="Arial"/>
          <w:color w:val="000000" w:themeColor="text1"/>
          <w:sz w:val="22"/>
          <w:szCs w:val="22"/>
          <w:lang w:eastAsia="en-GB"/>
        </w:rPr>
        <w:t xml:space="preserve"> </w:t>
      </w:r>
    </w:p>
    <w:p w14:paraId="72898790" w14:textId="6DFB2A53" w:rsidR="61D6F299" w:rsidRPr="00AB32E5" w:rsidRDefault="61D6F299" w:rsidP="00F145EC">
      <w:pPr>
        <w:ind w:firstLine="720"/>
        <w:rPr>
          <w:rFonts w:cs="Arial"/>
          <w:color w:val="000000" w:themeColor="text1"/>
          <w:sz w:val="22"/>
          <w:szCs w:val="22"/>
          <w:lang w:eastAsia="en-GB"/>
        </w:rPr>
      </w:pPr>
      <w:r w:rsidRPr="00AB32E5">
        <w:rPr>
          <w:rFonts w:cs="Arial"/>
          <w:color w:val="000000" w:themeColor="text1"/>
          <w:sz w:val="22"/>
          <w:szCs w:val="22"/>
          <w:lang w:eastAsia="en-GB"/>
        </w:rPr>
        <w:t xml:space="preserve">As the Partnership operates in developing countries, the legal framework for equity is the International Development Act, which requires the Minister to ‘have regard to the desirability of providing development assistance that is likely to contribute to reducing poverty in a way which is likely to contribute to reducing inequality between persons of different gender.’ The other protected characteristics in the Equality Act aren’t always as relevant outside of the UK, and as the Partnership has other donors there would need to be agreement about which characteristics to focus on </w:t>
      </w:r>
      <w:r w:rsidR="379C477F" w:rsidRPr="00AB32E5">
        <w:rPr>
          <w:rFonts w:cs="Arial"/>
          <w:color w:val="000000" w:themeColor="text1"/>
          <w:sz w:val="22"/>
          <w:szCs w:val="22"/>
          <w:lang w:eastAsia="en-GB"/>
        </w:rPr>
        <w:t>which is why</w:t>
      </w:r>
      <w:r w:rsidRPr="00AB32E5">
        <w:rPr>
          <w:rFonts w:cs="Arial"/>
          <w:color w:val="000000" w:themeColor="text1"/>
          <w:sz w:val="22"/>
          <w:szCs w:val="22"/>
          <w:lang w:eastAsia="en-GB"/>
        </w:rPr>
        <w:t xml:space="preserve"> the P</w:t>
      </w:r>
      <w:r w:rsidR="00B60A2A" w:rsidRPr="00AB32E5">
        <w:rPr>
          <w:rFonts w:cs="Arial"/>
          <w:color w:val="000000" w:themeColor="text1"/>
          <w:sz w:val="22"/>
          <w:szCs w:val="22"/>
          <w:lang w:eastAsia="en-GB"/>
        </w:rPr>
        <w:t xml:space="preserve">ublic </w:t>
      </w:r>
      <w:r w:rsidRPr="00AB32E5">
        <w:rPr>
          <w:rFonts w:cs="Arial"/>
          <w:color w:val="000000" w:themeColor="text1"/>
          <w:sz w:val="22"/>
          <w:szCs w:val="22"/>
          <w:lang w:eastAsia="en-GB"/>
        </w:rPr>
        <w:t>S</w:t>
      </w:r>
      <w:r w:rsidR="00B60A2A" w:rsidRPr="00AB32E5">
        <w:rPr>
          <w:rFonts w:cs="Arial"/>
          <w:color w:val="000000" w:themeColor="text1"/>
          <w:sz w:val="22"/>
          <w:szCs w:val="22"/>
          <w:lang w:eastAsia="en-GB"/>
        </w:rPr>
        <w:t xml:space="preserve">ector Equality </w:t>
      </w:r>
      <w:r w:rsidRPr="00AB32E5">
        <w:rPr>
          <w:rFonts w:cs="Arial"/>
          <w:color w:val="000000" w:themeColor="text1"/>
          <w:sz w:val="22"/>
          <w:szCs w:val="22"/>
          <w:lang w:eastAsia="en-GB"/>
        </w:rPr>
        <w:t>D</w:t>
      </w:r>
      <w:r w:rsidR="00B60A2A" w:rsidRPr="00AB32E5">
        <w:rPr>
          <w:rFonts w:cs="Arial"/>
          <w:color w:val="000000" w:themeColor="text1"/>
          <w:sz w:val="22"/>
          <w:szCs w:val="22"/>
          <w:lang w:eastAsia="en-GB"/>
        </w:rPr>
        <w:t>uty (PSED)</w:t>
      </w:r>
      <w:r w:rsidRPr="00AB32E5">
        <w:rPr>
          <w:rFonts w:cs="Arial"/>
          <w:color w:val="000000" w:themeColor="text1"/>
          <w:sz w:val="22"/>
          <w:szCs w:val="22"/>
          <w:lang w:eastAsia="en-GB"/>
        </w:rPr>
        <w:t xml:space="preserve"> analysis </w:t>
      </w:r>
      <w:r w:rsidR="57F72894" w:rsidRPr="00AB32E5">
        <w:rPr>
          <w:rFonts w:cs="Arial"/>
          <w:color w:val="000000" w:themeColor="text1"/>
          <w:sz w:val="22"/>
          <w:szCs w:val="22"/>
          <w:lang w:eastAsia="en-GB"/>
        </w:rPr>
        <w:t xml:space="preserve">focused </w:t>
      </w:r>
      <w:r w:rsidRPr="00AB32E5">
        <w:rPr>
          <w:rFonts w:cs="Arial"/>
          <w:color w:val="000000" w:themeColor="text1"/>
          <w:sz w:val="22"/>
          <w:szCs w:val="22"/>
          <w:lang w:eastAsia="en-GB"/>
        </w:rPr>
        <w:t>on gender</w:t>
      </w:r>
      <w:r w:rsidR="4C43EA7A" w:rsidRPr="00AB32E5">
        <w:rPr>
          <w:rFonts w:cs="Arial"/>
          <w:color w:val="000000" w:themeColor="text1"/>
          <w:sz w:val="22"/>
          <w:szCs w:val="22"/>
          <w:lang w:eastAsia="en-GB"/>
        </w:rPr>
        <w:t>.</w:t>
      </w:r>
    </w:p>
    <w:p w14:paraId="1216A9F0" w14:textId="0632F275" w:rsidR="61D6F299" w:rsidRPr="00AB32E5" w:rsidRDefault="61D6F299" w:rsidP="0A33CD8F">
      <w:pPr>
        <w:jc w:val="both"/>
        <w:rPr>
          <w:rFonts w:cs="Arial"/>
          <w:color w:val="000000" w:themeColor="text1"/>
          <w:sz w:val="22"/>
          <w:szCs w:val="22"/>
          <w:lang w:eastAsia="en-GB"/>
        </w:rPr>
      </w:pPr>
      <w:r w:rsidRPr="00AB32E5">
        <w:rPr>
          <w:rFonts w:cs="Arial"/>
          <w:color w:val="000000" w:themeColor="text1"/>
          <w:sz w:val="22"/>
          <w:szCs w:val="22"/>
          <w:lang w:eastAsia="en-GB"/>
        </w:rPr>
        <w:t xml:space="preserve"> </w:t>
      </w:r>
    </w:p>
    <w:p w14:paraId="053E1C70" w14:textId="71229693" w:rsidR="0057533F" w:rsidRPr="00AB32E5" w:rsidRDefault="61D6F299" w:rsidP="00A11B45">
      <w:pPr>
        <w:ind w:firstLine="720"/>
        <w:rPr>
          <w:rFonts w:cs="Arial"/>
          <w:color w:val="000000" w:themeColor="text1"/>
          <w:sz w:val="22"/>
          <w:szCs w:val="22"/>
          <w:lang w:eastAsia="en-GB"/>
        </w:rPr>
      </w:pPr>
      <w:r w:rsidRPr="00AB32E5">
        <w:rPr>
          <w:rFonts w:cs="Arial"/>
          <w:color w:val="000000" w:themeColor="text1"/>
          <w:sz w:val="22"/>
          <w:szCs w:val="22"/>
          <w:lang w:eastAsia="en-GB"/>
        </w:rPr>
        <w:t xml:space="preserve">Social Development is an intrinsic part of the Partnership’s model, which promotes a whole-of-society approach to designing and delivering NDCs. Recognising that achieving ambitious climate policy goals requires public acceptance, political will and capacity building </w:t>
      </w:r>
      <w:r w:rsidRPr="00AB32E5">
        <w:rPr>
          <w:rFonts w:cs="Arial"/>
          <w:color w:val="000000" w:themeColor="text1"/>
          <w:sz w:val="22"/>
          <w:szCs w:val="22"/>
          <w:lang w:eastAsia="en-GB"/>
        </w:rPr>
        <w:lastRenderedPageBreak/>
        <w:t xml:space="preserve">within government and society, the whole-of-society approach involves engaging diverse stakeholders at multiple levels and across various sectors. This </w:t>
      </w:r>
      <w:r w:rsidR="4463815E" w:rsidRPr="00AB32E5">
        <w:rPr>
          <w:rFonts w:cs="Arial"/>
          <w:color w:val="000000" w:themeColor="text1"/>
          <w:sz w:val="22"/>
          <w:szCs w:val="22"/>
          <w:lang w:eastAsia="en-GB"/>
        </w:rPr>
        <w:t xml:space="preserve">has </w:t>
      </w:r>
      <w:r w:rsidRPr="00AB32E5">
        <w:rPr>
          <w:rFonts w:cs="Arial"/>
          <w:color w:val="000000" w:themeColor="text1"/>
          <w:sz w:val="22"/>
          <w:szCs w:val="22"/>
          <w:lang w:eastAsia="en-GB"/>
        </w:rPr>
        <w:t>include</w:t>
      </w:r>
      <w:r w:rsidR="0FE069F0" w:rsidRPr="00AB32E5">
        <w:rPr>
          <w:rFonts w:cs="Arial"/>
          <w:color w:val="000000" w:themeColor="text1"/>
          <w:sz w:val="22"/>
          <w:szCs w:val="22"/>
          <w:lang w:eastAsia="en-GB"/>
        </w:rPr>
        <w:t>d</w:t>
      </w:r>
      <w:r w:rsidRPr="00AB32E5">
        <w:rPr>
          <w:rFonts w:cs="Arial"/>
          <w:color w:val="000000" w:themeColor="text1"/>
          <w:sz w:val="22"/>
          <w:szCs w:val="22"/>
          <w:lang w:eastAsia="en-GB"/>
        </w:rPr>
        <w:t xml:space="preserve"> building internal technical capacity to mainstream gender equality and social inclusion, ensuring diverse perspectives are incorporated. </w:t>
      </w:r>
    </w:p>
    <w:p w14:paraId="704120D8" w14:textId="77777777" w:rsidR="008556AC" w:rsidRPr="00AB32E5" w:rsidRDefault="008556AC" w:rsidP="00A11B45">
      <w:pPr>
        <w:rPr>
          <w:rFonts w:cs="Arial"/>
          <w:color w:val="000000" w:themeColor="text1"/>
          <w:sz w:val="22"/>
          <w:szCs w:val="22"/>
          <w:lang w:eastAsia="en-GB"/>
        </w:rPr>
      </w:pPr>
    </w:p>
    <w:p w14:paraId="4D60A176" w14:textId="669BB2F3" w:rsidR="61D6F299" w:rsidRPr="00AB32E5" w:rsidRDefault="61D6F299" w:rsidP="00A11B45">
      <w:pPr>
        <w:ind w:firstLine="720"/>
        <w:rPr>
          <w:rFonts w:cs="Arial"/>
          <w:color w:val="000000" w:themeColor="text1"/>
          <w:sz w:val="22"/>
          <w:szCs w:val="22"/>
          <w:lang w:eastAsia="en-GB"/>
        </w:rPr>
      </w:pPr>
      <w:r w:rsidRPr="00AB32E5">
        <w:rPr>
          <w:rFonts w:cs="Arial"/>
          <w:color w:val="000000" w:themeColor="text1"/>
          <w:sz w:val="22"/>
          <w:szCs w:val="22"/>
          <w:lang w:eastAsia="en-GB"/>
        </w:rPr>
        <w:t xml:space="preserve">Delivery partners across all elements of UK support </w:t>
      </w:r>
      <w:r w:rsidR="48AE7C78" w:rsidRPr="00AB32E5">
        <w:rPr>
          <w:rFonts w:cs="Arial"/>
          <w:color w:val="000000" w:themeColor="text1"/>
          <w:sz w:val="22"/>
          <w:szCs w:val="22"/>
          <w:lang w:eastAsia="en-GB"/>
        </w:rPr>
        <w:t>are</w:t>
      </w:r>
      <w:r w:rsidRPr="00AB32E5">
        <w:rPr>
          <w:rFonts w:cs="Arial"/>
          <w:color w:val="000000" w:themeColor="text1"/>
          <w:sz w:val="22"/>
          <w:szCs w:val="22"/>
          <w:lang w:eastAsia="en-GB"/>
        </w:rPr>
        <w:t xml:space="preserve"> expected to follow the Partnership’s whole-of-society best practice guidance in the design and delivery of activities. </w:t>
      </w:r>
    </w:p>
    <w:p w14:paraId="737A1AC2" w14:textId="77777777" w:rsidR="008556AC" w:rsidRPr="00AB32E5" w:rsidRDefault="008556AC" w:rsidP="00A11B45">
      <w:pPr>
        <w:rPr>
          <w:rFonts w:cs="Arial"/>
          <w:color w:val="000000" w:themeColor="text1"/>
          <w:sz w:val="22"/>
          <w:szCs w:val="22"/>
          <w:lang w:eastAsia="en-GB"/>
        </w:rPr>
      </w:pPr>
    </w:p>
    <w:p w14:paraId="0C3F5A69" w14:textId="1E9A2702" w:rsidR="0057533F" w:rsidRPr="00AB32E5" w:rsidRDefault="61D6F299" w:rsidP="00A11B45">
      <w:pPr>
        <w:ind w:firstLine="720"/>
        <w:rPr>
          <w:rFonts w:cs="Arial"/>
          <w:color w:val="000000" w:themeColor="text1"/>
          <w:sz w:val="22"/>
          <w:szCs w:val="22"/>
          <w:lang w:eastAsia="en-GB"/>
        </w:rPr>
      </w:pPr>
      <w:r w:rsidRPr="00AB32E5">
        <w:rPr>
          <w:rFonts w:cs="Arial"/>
          <w:color w:val="000000" w:themeColor="text1"/>
          <w:sz w:val="22"/>
          <w:szCs w:val="22"/>
          <w:lang w:eastAsia="en-GB"/>
        </w:rPr>
        <w:t xml:space="preserve">Gender equality is a key focus for the Partnership, guided by the Partnership’s gender strategy. The Partnership’s independent midterm review and the independent review of the UK TA Fund (predecessor to the Country Engagement Fund) put forward recommendations to improve gender-related outputs and outcomes. </w:t>
      </w:r>
    </w:p>
    <w:p w14:paraId="538178D3" w14:textId="77777777" w:rsidR="00850BE4" w:rsidRPr="003C5BF3" w:rsidRDefault="00850BE4" w:rsidP="004D5FD5">
      <w:pPr>
        <w:jc w:val="both"/>
        <w:rPr>
          <w:rFonts w:cs="Arial"/>
          <w:color w:val="000000" w:themeColor="text1"/>
          <w:sz w:val="22"/>
          <w:szCs w:val="22"/>
          <w:lang w:eastAsia="en-GB"/>
        </w:rPr>
      </w:pPr>
    </w:p>
    <w:p w14:paraId="270C84CF" w14:textId="650732B8" w:rsidR="24958D28" w:rsidRPr="003C5BF3" w:rsidRDefault="24958D28" w:rsidP="662399CC">
      <w:pPr>
        <w:tabs>
          <w:tab w:val="right" w:leader="dot" w:pos="9710"/>
        </w:tabs>
        <w:contextualSpacing/>
        <w:jc w:val="both"/>
        <w:rPr>
          <w:rFonts w:eastAsia="Arial" w:cs="Arial"/>
          <w:color w:val="000000" w:themeColor="text1"/>
          <w:sz w:val="22"/>
          <w:szCs w:val="22"/>
        </w:rPr>
      </w:pPr>
    </w:p>
    <w:p w14:paraId="4F23DEC2" w14:textId="4A9C7C7A" w:rsidR="3F76CE01" w:rsidRPr="003C5BF3" w:rsidRDefault="3F76CE01" w:rsidP="662399CC">
      <w:pPr>
        <w:tabs>
          <w:tab w:val="right" w:leader="dot" w:pos="9710"/>
        </w:tabs>
        <w:contextualSpacing/>
        <w:jc w:val="both"/>
        <w:rPr>
          <w:rFonts w:eastAsia="Arial" w:cs="Arial"/>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508"/>
        <w:gridCol w:w="4508"/>
      </w:tblGrid>
      <w:tr w:rsidR="24958D28" w:rsidRPr="003C5BF3" w14:paraId="36D3E058" w14:textId="77777777" w:rsidTr="004E1146">
        <w:trPr>
          <w:trHeight w:val="300"/>
        </w:trPr>
        <w:tc>
          <w:tcPr>
            <w:tcW w:w="4508" w:type="dxa"/>
            <w:tcMar>
              <w:top w:w="75" w:type="dxa"/>
              <w:left w:w="75" w:type="dxa"/>
              <w:bottom w:w="75" w:type="dxa"/>
              <w:right w:w="75" w:type="dxa"/>
            </w:tcMar>
          </w:tcPr>
          <w:p w14:paraId="3A09DD08" w14:textId="578BBF12" w:rsidR="24958D28" w:rsidRPr="00B95EE6" w:rsidRDefault="24958D28" w:rsidP="00A11B45">
            <w:pPr>
              <w:spacing w:line="276" w:lineRule="auto"/>
              <w:rPr>
                <w:rFonts w:eastAsia="Arial" w:cs="Arial"/>
                <w:color w:val="212121"/>
                <w:sz w:val="20"/>
                <w:szCs w:val="20"/>
              </w:rPr>
            </w:pPr>
            <w:r w:rsidRPr="00B95EE6">
              <w:rPr>
                <w:rFonts w:eastAsia="Arial" w:cs="Arial"/>
                <w:b/>
                <w:bCs/>
                <w:color w:val="212121"/>
                <w:sz w:val="20"/>
                <w:szCs w:val="20"/>
              </w:rPr>
              <w:t>Paris alignment pillar</w:t>
            </w:r>
          </w:p>
        </w:tc>
        <w:tc>
          <w:tcPr>
            <w:tcW w:w="4508" w:type="dxa"/>
            <w:tcMar>
              <w:top w:w="75" w:type="dxa"/>
              <w:left w:w="75" w:type="dxa"/>
              <w:bottom w:w="75" w:type="dxa"/>
              <w:right w:w="75" w:type="dxa"/>
            </w:tcMar>
          </w:tcPr>
          <w:p w14:paraId="5BAE3890" w14:textId="4ABF44DD" w:rsidR="24958D28" w:rsidRPr="00B95EE6" w:rsidRDefault="24958D28" w:rsidP="00A11B45">
            <w:pPr>
              <w:spacing w:line="276" w:lineRule="auto"/>
              <w:rPr>
                <w:rFonts w:eastAsia="Arial" w:cs="Arial"/>
                <w:color w:val="212121"/>
                <w:sz w:val="20"/>
                <w:szCs w:val="20"/>
              </w:rPr>
            </w:pPr>
            <w:r w:rsidRPr="00B95EE6">
              <w:rPr>
                <w:rFonts w:eastAsia="Arial" w:cs="Arial"/>
                <w:b/>
                <w:bCs/>
                <w:color w:val="212121"/>
                <w:sz w:val="20"/>
                <w:szCs w:val="20"/>
              </w:rPr>
              <w:t>Description of activity</w:t>
            </w:r>
          </w:p>
        </w:tc>
      </w:tr>
      <w:tr w:rsidR="24958D28" w:rsidRPr="003C5BF3" w14:paraId="74634EF1" w14:textId="77777777" w:rsidTr="004E1146">
        <w:trPr>
          <w:trHeight w:val="300"/>
        </w:trPr>
        <w:tc>
          <w:tcPr>
            <w:tcW w:w="4508" w:type="dxa"/>
            <w:tcMar>
              <w:top w:w="75" w:type="dxa"/>
              <w:left w:w="75" w:type="dxa"/>
              <w:bottom w:w="75" w:type="dxa"/>
              <w:right w:w="75" w:type="dxa"/>
            </w:tcMar>
          </w:tcPr>
          <w:p w14:paraId="74026F1A" w14:textId="628C2CE7" w:rsidR="24958D28" w:rsidRPr="00B95EE6" w:rsidRDefault="24958D28" w:rsidP="00A11B45">
            <w:pPr>
              <w:spacing w:line="276" w:lineRule="auto"/>
              <w:rPr>
                <w:rFonts w:eastAsia="Arial" w:cs="Arial"/>
                <w:color w:val="212121"/>
                <w:sz w:val="20"/>
                <w:szCs w:val="20"/>
              </w:rPr>
            </w:pPr>
            <w:r w:rsidRPr="00B95EE6">
              <w:rPr>
                <w:rFonts w:eastAsia="Arial" w:cs="Arial"/>
                <w:color w:val="212121"/>
                <w:sz w:val="20"/>
                <w:szCs w:val="20"/>
              </w:rPr>
              <w:t>How have you taken a proportional approach to climate and environment risk assurance?</w:t>
            </w:r>
          </w:p>
        </w:tc>
        <w:tc>
          <w:tcPr>
            <w:tcW w:w="4508" w:type="dxa"/>
            <w:tcMar>
              <w:top w:w="75" w:type="dxa"/>
              <w:left w:w="75" w:type="dxa"/>
              <w:bottom w:w="75" w:type="dxa"/>
              <w:right w:w="75" w:type="dxa"/>
            </w:tcMar>
          </w:tcPr>
          <w:p w14:paraId="75078B53" w14:textId="09D36044" w:rsidR="24958D28" w:rsidRPr="00B95EE6" w:rsidRDefault="27751421" w:rsidP="00A11B45">
            <w:pPr>
              <w:rPr>
                <w:rFonts w:eastAsia="Arial" w:cs="Arial"/>
                <w:sz w:val="20"/>
                <w:szCs w:val="20"/>
              </w:rPr>
            </w:pPr>
            <w:r w:rsidRPr="00B95EE6">
              <w:rPr>
                <w:rFonts w:eastAsia="Arial" w:cs="Arial"/>
                <w:color w:val="212121"/>
                <w:sz w:val="20"/>
                <w:szCs w:val="20"/>
              </w:rPr>
              <w:t>We carried out a climate and environment risk assessment as part of the writing the of the new Business Case</w:t>
            </w:r>
            <w:r w:rsidR="22F8EFA0" w:rsidRPr="00B95EE6">
              <w:rPr>
                <w:rFonts w:eastAsia="Arial" w:cs="Arial"/>
                <w:color w:val="212121"/>
                <w:sz w:val="20"/>
                <w:szCs w:val="20"/>
              </w:rPr>
              <w:t>. It determined that</w:t>
            </w:r>
            <w:r w:rsidR="22F8EFA0" w:rsidRPr="00B95EE6">
              <w:rPr>
                <w:rFonts w:eastAsia="Arial" w:cs="Arial"/>
                <w:color w:val="000000" w:themeColor="text1"/>
                <w:sz w:val="20"/>
                <w:szCs w:val="20"/>
              </w:rPr>
              <w:t xml:space="preserve"> the programme is either very low risk, or the proposal has considered risk management measures to minimize hazard impacts and associated risks, and that the programme may therefore have a potentially higher threshold against current and anticipated risks. </w:t>
            </w:r>
          </w:p>
          <w:p w14:paraId="206AEC96" w14:textId="5BD74A6F" w:rsidR="24958D28" w:rsidRPr="00B95EE6" w:rsidRDefault="24958D28" w:rsidP="00A11B45">
            <w:pPr>
              <w:spacing w:line="276" w:lineRule="auto"/>
              <w:rPr>
                <w:rFonts w:eastAsia="Arial" w:cs="Arial"/>
                <w:color w:val="212121"/>
                <w:sz w:val="20"/>
                <w:szCs w:val="20"/>
              </w:rPr>
            </w:pPr>
          </w:p>
        </w:tc>
      </w:tr>
      <w:tr w:rsidR="24958D28" w:rsidRPr="003C5BF3" w14:paraId="24F160CD" w14:textId="77777777" w:rsidTr="004E1146">
        <w:trPr>
          <w:trHeight w:val="300"/>
        </w:trPr>
        <w:tc>
          <w:tcPr>
            <w:tcW w:w="4508" w:type="dxa"/>
            <w:tcMar>
              <w:top w:w="75" w:type="dxa"/>
              <w:left w:w="75" w:type="dxa"/>
              <w:bottom w:w="75" w:type="dxa"/>
              <w:right w:w="75" w:type="dxa"/>
            </w:tcMar>
          </w:tcPr>
          <w:p w14:paraId="37F94F6E" w14:textId="4E36E106" w:rsidR="24958D28" w:rsidRPr="00B95EE6" w:rsidRDefault="24958D28" w:rsidP="00A11B45">
            <w:pPr>
              <w:spacing w:line="276" w:lineRule="auto"/>
              <w:rPr>
                <w:rFonts w:eastAsia="Arial" w:cs="Arial"/>
                <w:color w:val="212121"/>
                <w:sz w:val="20"/>
                <w:szCs w:val="20"/>
              </w:rPr>
            </w:pPr>
            <w:r w:rsidRPr="00B95EE6">
              <w:rPr>
                <w:rFonts w:eastAsia="Arial" w:cs="Arial"/>
                <w:color w:val="212121"/>
                <w:sz w:val="20"/>
                <w:szCs w:val="20"/>
              </w:rPr>
              <w:t>How have you taken a proportional approach to using shadow carbon pricing?</w:t>
            </w:r>
          </w:p>
        </w:tc>
        <w:tc>
          <w:tcPr>
            <w:tcW w:w="4508" w:type="dxa"/>
            <w:tcMar>
              <w:top w:w="75" w:type="dxa"/>
              <w:left w:w="75" w:type="dxa"/>
              <w:bottom w:w="75" w:type="dxa"/>
              <w:right w:w="75" w:type="dxa"/>
            </w:tcMar>
          </w:tcPr>
          <w:p w14:paraId="1043457E" w14:textId="7DD93A3A" w:rsidR="24958D28" w:rsidRPr="00B95EE6" w:rsidRDefault="24958D28" w:rsidP="00A11B45">
            <w:pPr>
              <w:spacing w:line="276" w:lineRule="auto"/>
              <w:rPr>
                <w:rFonts w:eastAsia="Arial" w:cs="Arial"/>
                <w:color w:val="212121"/>
                <w:sz w:val="20"/>
                <w:szCs w:val="20"/>
              </w:rPr>
            </w:pPr>
            <w:r w:rsidRPr="00B95EE6">
              <w:rPr>
                <w:rFonts w:eastAsia="Arial" w:cs="Arial"/>
                <w:color w:val="212121"/>
                <w:sz w:val="20"/>
                <w:szCs w:val="20"/>
              </w:rPr>
              <w:t xml:space="preserve"> </w:t>
            </w:r>
            <w:r w:rsidR="7CDBA374" w:rsidRPr="00B95EE6">
              <w:rPr>
                <w:rFonts w:eastAsia="Arial" w:cs="Arial"/>
                <w:color w:val="212121"/>
                <w:sz w:val="20"/>
                <w:szCs w:val="20"/>
              </w:rPr>
              <w:t>N</w:t>
            </w:r>
            <w:r w:rsidR="00FC2BED" w:rsidRPr="00B95EE6">
              <w:rPr>
                <w:rFonts w:eastAsia="Arial" w:cs="Arial"/>
                <w:color w:val="212121"/>
                <w:sz w:val="20"/>
                <w:szCs w:val="20"/>
              </w:rPr>
              <w:t>/A</w:t>
            </w:r>
          </w:p>
        </w:tc>
      </w:tr>
      <w:tr w:rsidR="24958D28" w:rsidRPr="003C5BF3" w14:paraId="3A0589D5" w14:textId="77777777" w:rsidTr="004E1146">
        <w:trPr>
          <w:trHeight w:val="300"/>
        </w:trPr>
        <w:tc>
          <w:tcPr>
            <w:tcW w:w="4508" w:type="dxa"/>
            <w:tcMar>
              <w:top w:w="75" w:type="dxa"/>
              <w:left w:w="75" w:type="dxa"/>
              <w:bottom w:w="75" w:type="dxa"/>
              <w:right w:w="75" w:type="dxa"/>
            </w:tcMar>
          </w:tcPr>
          <w:p w14:paraId="51F4163E" w14:textId="6044FA6D" w:rsidR="24958D28" w:rsidRPr="00B95EE6" w:rsidRDefault="24958D28" w:rsidP="00A11B45">
            <w:pPr>
              <w:spacing w:line="276" w:lineRule="auto"/>
              <w:rPr>
                <w:rFonts w:eastAsia="Arial" w:cs="Arial"/>
                <w:color w:val="212121"/>
                <w:sz w:val="20"/>
                <w:szCs w:val="20"/>
              </w:rPr>
            </w:pPr>
            <w:r w:rsidRPr="00B95EE6">
              <w:rPr>
                <w:rFonts w:eastAsia="Arial" w:cs="Arial"/>
                <w:color w:val="212121"/>
                <w:sz w:val="20"/>
                <w:szCs w:val="20"/>
              </w:rPr>
              <w:t>Does the programme adhere to HMG’s fossil fuel policy?</w:t>
            </w:r>
          </w:p>
        </w:tc>
        <w:tc>
          <w:tcPr>
            <w:tcW w:w="4508" w:type="dxa"/>
            <w:tcMar>
              <w:top w:w="75" w:type="dxa"/>
              <w:left w:w="75" w:type="dxa"/>
              <w:bottom w:w="75" w:type="dxa"/>
              <w:right w:w="75" w:type="dxa"/>
            </w:tcMar>
          </w:tcPr>
          <w:p w14:paraId="4D99C99B" w14:textId="474FA051" w:rsidR="24958D28" w:rsidRPr="00B95EE6" w:rsidRDefault="24958D28" w:rsidP="00A11B45">
            <w:pPr>
              <w:spacing w:line="276" w:lineRule="auto"/>
              <w:rPr>
                <w:rFonts w:eastAsia="Arial" w:cs="Arial"/>
                <w:color w:val="212121"/>
                <w:sz w:val="20"/>
                <w:szCs w:val="20"/>
              </w:rPr>
            </w:pPr>
            <w:r w:rsidRPr="00B95EE6">
              <w:rPr>
                <w:rFonts w:eastAsia="Arial" w:cs="Arial"/>
                <w:color w:val="212121"/>
                <w:sz w:val="20"/>
                <w:szCs w:val="20"/>
              </w:rPr>
              <w:t xml:space="preserve"> </w:t>
            </w:r>
            <w:r w:rsidR="1BB899CB" w:rsidRPr="00B95EE6">
              <w:rPr>
                <w:rFonts w:eastAsia="Arial" w:cs="Arial"/>
                <w:color w:val="212121"/>
                <w:sz w:val="20"/>
                <w:szCs w:val="20"/>
              </w:rPr>
              <w:t>Yes</w:t>
            </w:r>
          </w:p>
        </w:tc>
      </w:tr>
      <w:tr w:rsidR="24958D28" w:rsidRPr="003C5BF3" w14:paraId="5AFB0C88" w14:textId="77777777" w:rsidTr="004E1146">
        <w:trPr>
          <w:trHeight w:val="990"/>
        </w:trPr>
        <w:tc>
          <w:tcPr>
            <w:tcW w:w="4508" w:type="dxa"/>
            <w:tcMar>
              <w:top w:w="75" w:type="dxa"/>
              <w:left w:w="75" w:type="dxa"/>
              <w:bottom w:w="75" w:type="dxa"/>
              <w:right w:w="75" w:type="dxa"/>
            </w:tcMar>
          </w:tcPr>
          <w:p w14:paraId="046BB519" w14:textId="0AF09318" w:rsidR="24958D28" w:rsidRPr="00B95EE6" w:rsidRDefault="24958D28" w:rsidP="00A11B45">
            <w:pPr>
              <w:spacing w:line="276" w:lineRule="auto"/>
              <w:rPr>
                <w:rFonts w:eastAsia="Arial" w:cs="Arial"/>
                <w:color w:val="212121"/>
                <w:sz w:val="20"/>
                <w:szCs w:val="20"/>
              </w:rPr>
            </w:pPr>
            <w:r w:rsidRPr="00B95EE6">
              <w:rPr>
                <w:rFonts w:eastAsia="Arial" w:cs="Arial"/>
                <w:color w:val="212121"/>
                <w:sz w:val="20"/>
                <w:szCs w:val="20"/>
              </w:rPr>
              <w:t>Are you ensuring the programme does not undermine impacted countries climate plans?</w:t>
            </w:r>
          </w:p>
        </w:tc>
        <w:tc>
          <w:tcPr>
            <w:tcW w:w="4508" w:type="dxa"/>
            <w:tcMar>
              <w:top w:w="75" w:type="dxa"/>
              <w:left w:w="75" w:type="dxa"/>
              <w:bottom w:w="75" w:type="dxa"/>
              <w:right w:w="75" w:type="dxa"/>
            </w:tcMar>
          </w:tcPr>
          <w:p w14:paraId="6B3574C7" w14:textId="4BB363E1" w:rsidR="24958D28" w:rsidRPr="00B95EE6" w:rsidRDefault="51C5F3D2" w:rsidP="00A11B45">
            <w:pPr>
              <w:spacing w:line="276" w:lineRule="auto"/>
              <w:rPr>
                <w:rFonts w:eastAsia="Arial" w:cs="Arial"/>
                <w:color w:val="212121"/>
                <w:sz w:val="20"/>
                <w:szCs w:val="20"/>
              </w:rPr>
            </w:pPr>
            <w:r w:rsidRPr="00B95EE6">
              <w:rPr>
                <w:rFonts w:eastAsia="Arial" w:cs="Arial"/>
                <w:color w:val="212121"/>
                <w:sz w:val="20"/>
                <w:szCs w:val="20"/>
              </w:rPr>
              <w:t xml:space="preserve">As the programme is focused on providing capacity building and technical assistance for those plans, </w:t>
            </w:r>
            <w:r w:rsidR="0DB1EDCA" w:rsidRPr="00B95EE6">
              <w:rPr>
                <w:rFonts w:eastAsia="Arial" w:cs="Arial"/>
                <w:color w:val="212121"/>
                <w:sz w:val="20"/>
                <w:szCs w:val="20"/>
              </w:rPr>
              <w:t>it does not undermine them</w:t>
            </w:r>
          </w:p>
        </w:tc>
      </w:tr>
    </w:tbl>
    <w:p w14:paraId="54553C26" w14:textId="50981ECF" w:rsidR="24958D28" w:rsidRPr="003C5BF3" w:rsidRDefault="24958D28" w:rsidP="24958D28">
      <w:pPr>
        <w:jc w:val="both"/>
        <w:rPr>
          <w:rFonts w:cs="Arial"/>
          <w:sz w:val="22"/>
          <w:szCs w:val="22"/>
        </w:rPr>
      </w:pPr>
    </w:p>
    <w:p w14:paraId="31875769" w14:textId="07D42045" w:rsidR="24958D28" w:rsidRPr="003C5BF3" w:rsidRDefault="24958D28" w:rsidP="24958D28">
      <w:pPr>
        <w:jc w:val="both"/>
        <w:rPr>
          <w:rFonts w:cs="Arial"/>
          <w:sz w:val="22"/>
          <w:szCs w:val="22"/>
        </w:rPr>
      </w:pPr>
    </w:p>
    <w:tbl>
      <w:tblPr>
        <w:tblStyle w:val="TableGrid"/>
        <w:tblW w:w="0" w:type="auto"/>
        <w:tblInd w:w="-5" w:type="dxa"/>
        <w:tblLook w:val="04A0" w:firstRow="1" w:lastRow="0" w:firstColumn="1" w:lastColumn="0" w:noHBand="0" w:noVBand="1"/>
      </w:tblPr>
      <w:tblGrid>
        <w:gridCol w:w="4508"/>
        <w:gridCol w:w="2268"/>
      </w:tblGrid>
      <w:tr w:rsidR="00BE1D95" w:rsidRPr="00B95EE6" w14:paraId="237FE329" w14:textId="77777777" w:rsidTr="00995F8D">
        <w:tc>
          <w:tcPr>
            <w:tcW w:w="450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1FF5132" w14:textId="77777777" w:rsidR="003D222C" w:rsidRPr="00B95EE6" w:rsidRDefault="003D222C" w:rsidP="004D5FD5">
            <w:pPr>
              <w:jc w:val="both"/>
              <w:rPr>
                <w:rFonts w:cs="Arial"/>
                <w:sz w:val="20"/>
                <w:szCs w:val="20"/>
              </w:rPr>
            </w:pPr>
            <w:r w:rsidRPr="00B95EE6">
              <w:rPr>
                <w:rFonts w:cs="Arial"/>
                <w:sz w:val="20"/>
                <w:szCs w:val="20"/>
              </w:rPr>
              <w:t>Date of last narrative financial report</w:t>
            </w:r>
          </w:p>
        </w:tc>
        <w:tc>
          <w:tcPr>
            <w:tcW w:w="2268" w:type="dxa"/>
            <w:tcBorders>
              <w:top w:val="single" w:sz="4" w:space="0" w:color="auto"/>
              <w:left w:val="single" w:sz="4" w:space="0" w:color="auto"/>
              <w:bottom w:val="single" w:sz="4" w:space="0" w:color="auto"/>
              <w:right w:val="single" w:sz="4" w:space="0" w:color="auto"/>
            </w:tcBorders>
          </w:tcPr>
          <w:p w14:paraId="2ADAB5DF" w14:textId="34887707" w:rsidR="003D222C" w:rsidRPr="00B95EE6" w:rsidRDefault="00E74058" w:rsidP="004D5FD5">
            <w:pPr>
              <w:jc w:val="both"/>
              <w:rPr>
                <w:rFonts w:cs="Arial"/>
                <w:sz w:val="20"/>
                <w:szCs w:val="20"/>
              </w:rPr>
            </w:pPr>
            <w:r w:rsidRPr="00B95EE6">
              <w:rPr>
                <w:rFonts w:cs="Arial"/>
                <w:sz w:val="20"/>
                <w:szCs w:val="20"/>
              </w:rPr>
              <w:t>NA</w:t>
            </w:r>
          </w:p>
        </w:tc>
      </w:tr>
      <w:tr w:rsidR="00BE1D95" w:rsidRPr="00B95EE6" w14:paraId="1FE89B21" w14:textId="77777777" w:rsidTr="00995F8D">
        <w:tc>
          <w:tcPr>
            <w:tcW w:w="450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C3A69BE" w14:textId="77777777" w:rsidR="003D222C" w:rsidRPr="00B95EE6" w:rsidRDefault="003D222C" w:rsidP="004D5FD5">
            <w:pPr>
              <w:jc w:val="both"/>
              <w:rPr>
                <w:rFonts w:cs="Arial"/>
                <w:sz w:val="20"/>
                <w:szCs w:val="20"/>
              </w:rPr>
            </w:pPr>
            <w:r w:rsidRPr="00B95EE6">
              <w:rPr>
                <w:rFonts w:cs="Arial"/>
                <w:sz w:val="20"/>
                <w:szCs w:val="20"/>
              </w:rPr>
              <w:t>Date of last audited annual statement</w:t>
            </w:r>
          </w:p>
        </w:tc>
        <w:tc>
          <w:tcPr>
            <w:tcW w:w="2268" w:type="dxa"/>
            <w:tcBorders>
              <w:top w:val="single" w:sz="4" w:space="0" w:color="auto"/>
              <w:left w:val="single" w:sz="4" w:space="0" w:color="auto"/>
              <w:bottom w:val="single" w:sz="4" w:space="0" w:color="auto"/>
              <w:right w:val="single" w:sz="4" w:space="0" w:color="auto"/>
            </w:tcBorders>
          </w:tcPr>
          <w:p w14:paraId="67F793A9" w14:textId="3A7FD5F6" w:rsidR="003D222C" w:rsidRPr="00B95EE6" w:rsidRDefault="00E74058" w:rsidP="004D5FD5">
            <w:pPr>
              <w:jc w:val="both"/>
              <w:rPr>
                <w:rFonts w:cs="Arial"/>
                <w:sz w:val="20"/>
                <w:szCs w:val="20"/>
              </w:rPr>
            </w:pPr>
            <w:r w:rsidRPr="00B95EE6">
              <w:rPr>
                <w:rFonts w:cs="Arial"/>
                <w:sz w:val="20"/>
                <w:szCs w:val="20"/>
              </w:rPr>
              <w:t>NA</w:t>
            </w:r>
          </w:p>
        </w:tc>
      </w:tr>
    </w:tbl>
    <w:p w14:paraId="39940792" w14:textId="77777777" w:rsidR="003D222C" w:rsidRPr="00B95EE6" w:rsidRDefault="003D222C" w:rsidP="004D5FD5">
      <w:pPr>
        <w:spacing w:after="160" w:line="259" w:lineRule="auto"/>
        <w:jc w:val="both"/>
        <w:rPr>
          <w:rFonts w:cs="Arial"/>
          <w:sz w:val="20"/>
          <w:szCs w:val="20"/>
        </w:rPr>
      </w:pPr>
    </w:p>
    <w:p w14:paraId="7EF349EC" w14:textId="77777777" w:rsidR="003D222C" w:rsidRPr="003C5BF3" w:rsidRDefault="003D222C" w:rsidP="004D5FD5">
      <w:pPr>
        <w:spacing w:after="160" w:line="259" w:lineRule="auto"/>
        <w:jc w:val="both"/>
        <w:rPr>
          <w:rFonts w:cs="Arial"/>
          <w:sz w:val="22"/>
          <w:szCs w:val="22"/>
        </w:rPr>
      </w:pPr>
    </w:p>
    <w:p w14:paraId="4AB97E44" w14:textId="77777777" w:rsidR="003D222C" w:rsidRPr="00D80C6C" w:rsidRDefault="003D222C" w:rsidP="004D5FD5">
      <w:pPr>
        <w:jc w:val="both"/>
        <w:rPr>
          <w:rFonts w:cs="Arial"/>
          <w:sz w:val="22"/>
          <w:szCs w:val="22"/>
        </w:rPr>
      </w:pPr>
    </w:p>
    <w:sectPr w:rsidR="003D222C" w:rsidRPr="00D80C6C" w:rsidSect="001C6CE4">
      <w:headerReference w:type="default" r:id="rId20"/>
      <w:footerReference w:type="default" r:id="rId21"/>
      <w:headerReference w:type="first" r:id="rId22"/>
      <w:footerReference w:type="first" r:id="rId23"/>
      <w:pgSz w:w="11906" w:h="16838"/>
      <w:pgMar w:top="709" w:right="1440" w:bottom="709"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131B9" w14:textId="77777777" w:rsidR="009E2082" w:rsidRPr="003C5BF3" w:rsidRDefault="009E2082" w:rsidP="003D222C">
      <w:r w:rsidRPr="003C5BF3">
        <w:separator/>
      </w:r>
    </w:p>
  </w:endnote>
  <w:endnote w:type="continuationSeparator" w:id="0">
    <w:p w14:paraId="095AB3F3" w14:textId="77777777" w:rsidR="009E2082" w:rsidRPr="003C5BF3" w:rsidRDefault="009E2082" w:rsidP="003D222C">
      <w:r w:rsidRPr="003C5BF3">
        <w:continuationSeparator/>
      </w:r>
    </w:p>
  </w:endnote>
  <w:endnote w:type="continuationNotice" w:id="1">
    <w:p w14:paraId="1F6DEBA7" w14:textId="77777777" w:rsidR="009E2082" w:rsidRPr="003C5BF3" w:rsidRDefault="009E2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quot;Courier New&quo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779427"/>
      <w:docPartObj>
        <w:docPartGallery w:val="Page Numbers (Bottom of Page)"/>
        <w:docPartUnique/>
      </w:docPartObj>
    </w:sdtPr>
    <w:sdtEndPr/>
    <w:sdtContent>
      <w:p w14:paraId="6505D46B" w14:textId="26A3B61B" w:rsidR="00920D19" w:rsidRPr="003C5BF3" w:rsidRDefault="00920D19">
        <w:pPr>
          <w:pStyle w:val="Footer"/>
          <w:jc w:val="right"/>
        </w:pPr>
        <w:r w:rsidRPr="003C5BF3">
          <w:fldChar w:fldCharType="begin"/>
        </w:r>
        <w:r w:rsidRPr="003C5BF3">
          <w:instrText xml:space="preserve"> PAGE   \* MERGEFORMAT </w:instrText>
        </w:r>
        <w:r w:rsidRPr="003C5BF3">
          <w:fldChar w:fldCharType="separate"/>
        </w:r>
        <w:r w:rsidRPr="003C5BF3">
          <w:t>2</w:t>
        </w:r>
        <w:r w:rsidRPr="003C5BF3">
          <w:fldChar w:fldCharType="end"/>
        </w:r>
      </w:p>
    </w:sdtContent>
  </w:sdt>
  <w:p w14:paraId="1D872792" w14:textId="77777777" w:rsidR="00920D19" w:rsidRPr="003C5BF3" w:rsidRDefault="00920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DDCA5" w14:textId="71224BDC" w:rsidR="00090217" w:rsidRPr="003C5BF3" w:rsidRDefault="00B11C15" w:rsidP="00090217">
    <w:pPr>
      <w:pStyle w:val="BEISDate"/>
    </w:pPr>
    <w:r w:rsidRPr="003C5BF3">
      <w:t>June</w:t>
    </w:r>
    <w:r w:rsidR="00090217" w:rsidRPr="003C5BF3">
      <w:t xml:space="preserve"> 20</w:t>
    </w:r>
    <w:r w:rsidRPr="003C5BF3">
      <w:t>25</w:t>
    </w:r>
  </w:p>
  <w:p w14:paraId="4E83EFA8" w14:textId="77777777" w:rsidR="00090217" w:rsidRPr="003C5BF3" w:rsidRDefault="00090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E1F54" w14:textId="77777777" w:rsidR="009E2082" w:rsidRPr="003C5BF3" w:rsidRDefault="009E2082" w:rsidP="003D222C">
      <w:r w:rsidRPr="003C5BF3">
        <w:separator/>
      </w:r>
    </w:p>
  </w:footnote>
  <w:footnote w:type="continuationSeparator" w:id="0">
    <w:p w14:paraId="21C38E5B" w14:textId="77777777" w:rsidR="009E2082" w:rsidRPr="003C5BF3" w:rsidRDefault="009E2082" w:rsidP="003D222C">
      <w:r w:rsidRPr="003C5BF3">
        <w:continuationSeparator/>
      </w:r>
    </w:p>
  </w:footnote>
  <w:footnote w:type="continuationNotice" w:id="1">
    <w:p w14:paraId="3377B72E" w14:textId="77777777" w:rsidR="009E2082" w:rsidRPr="003C5BF3" w:rsidRDefault="009E20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91CB9" w14:textId="0BFB85EB" w:rsidR="00164467" w:rsidRDefault="00B11C15">
    <w:pPr>
      <w:pStyle w:val="Header"/>
      <w:rPr>
        <w:color w:val="041E42"/>
        <w:sz w:val="22"/>
      </w:rPr>
    </w:pPr>
    <w:r w:rsidRPr="003C5BF3">
      <w:rPr>
        <w:color w:val="041E42"/>
        <w:sz w:val="22"/>
      </w:rPr>
      <w:t>NDC Support through NDC Partnership Annual Review, 2025</w:t>
    </w:r>
  </w:p>
  <w:p w14:paraId="6D364A51" w14:textId="77777777" w:rsidR="0047272A" w:rsidRPr="003C5BF3" w:rsidRDefault="00472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BA78C" w14:textId="2ECCA5CD" w:rsidR="00C67FEB" w:rsidRPr="003C5BF3" w:rsidRDefault="00E64702">
    <w:pPr>
      <w:pStyle w:val="Header"/>
    </w:pPr>
    <w:r w:rsidRPr="003C5BF3">
      <w:rPr>
        <w:noProof/>
      </w:rPr>
      <w:drawing>
        <wp:inline distT="0" distB="0" distL="0" distR="0" wp14:anchorId="653BEA8C" wp14:editId="2F7827DB">
          <wp:extent cx="2131029" cy="936702"/>
          <wp:effectExtent l="0" t="0" r="0" b="0"/>
          <wp:docPr id="1165208529" name="Picture 11652085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208529"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7930" cy="944131"/>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CmvfX27L" int2:invalidationBookmarkName="" int2:hashCode="p7J8aYgLY/GtnW" int2:id="PYgFgdhr">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332F"/>
    <w:multiLevelType w:val="hybridMultilevel"/>
    <w:tmpl w:val="AC06E282"/>
    <w:lvl w:ilvl="0" w:tplc="874847B0">
      <w:start w:val="1"/>
      <w:numFmt w:val="bullet"/>
      <w:lvlText w:val=""/>
      <w:lvlJc w:val="left"/>
      <w:pPr>
        <w:ind w:left="720" w:hanging="360"/>
      </w:pPr>
      <w:rPr>
        <w:rFonts w:ascii="Symbol" w:hAnsi="Symbol" w:hint="default"/>
      </w:rPr>
    </w:lvl>
    <w:lvl w:ilvl="1" w:tplc="83B41D82" w:tentative="1">
      <w:start w:val="1"/>
      <w:numFmt w:val="bullet"/>
      <w:lvlText w:val="o"/>
      <w:lvlJc w:val="left"/>
      <w:pPr>
        <w:ind w:left="1440" w:hanging="360"/>
      </w:pPr>
      <w:rPr>
        <w:rFonts w:ascii="Courier New" w:hAnsi="Courier New" w:hint="default"/>
      </w:rPr>
    </w:lvl>
    <w:lvl w:ilvl="2" w:tplc="5A1AEB40" w:tentative="1">
      <w:start w:val="1"/>
      <w:numFmt w:val="bullet"/>
      <w:lvlText w:val=""/>
      <w:lvlJc w:val="left"/>
      <w:pPr>
        <w:ind w:left="2160" w:hanging="360"/>
      </w:pPr>
      <w:rPr>
        <w:rFonts w:ascii="Wingdings" w:hAnsi="Wingdings" w:hint="default"/>
      </w:rPr>
    </w:lvl>
    <w:lvl w:ilvl="3" w:tplc="7E90D5C8" w:tentative="1">
      <w:start w:val="1"/>
      <w:numFmt w:val="bullet"/>
      <w:lvlText w:val=""/>
      <w:lvlJc w:val="left"/>
      <w:pPr>
        <w:ind w:left="2880" w:hanging="360"/>
      </w:pPr>
      <w:rPr>
        <w:rFonts w:ascii="Symbol" w:hAnsi="Symbol" w:hint="default"/>
      </w:rPr>
    </w:lvl>
    <w:lvl w:ilvl="4" w:tplc="D51AC4B0" w:tentative="1">
      <w:start w:val="1"/>
      <w:numFmt w:val="bullet"/>
      <w:lvlText w:val="o"/>
      <w:lvlJc w:val="left"/>
      <w:pPr>
        <w:ind w:left="3600" w:hanging="360"/>
      </w:pPr>
      <w:rPr>
        <w:rFonts w:ascii="Courier New" w:hAnsi="Courier New" w:hint="default"/>
      </w:rPr>
    </w:lvl>
    <w:lvl w:ilvl="5" w:tplc="4B02DE46" w:tentative="1">
      <w:start w:val="1"/>
      <w:numFmt w:val="bullet"/>
      <w:lvlText w:val=""/>
      <w:lvlJc w:val="left"/>
      <w:pPr>
        <w:ind w:left="4320" w:hanging="360"/>
      </w:pPr>
      <w:rPr>
        <w:rFonts w:ascii="Wingdings" w:hAnsi="Wingdings" w:hint="default"/>
      </w:rPr>
    </w:lvl>
    <w:lvl w:ilvl="6" w:tplc="C26AEB2C" w:tentative="1">
      <w:start w:val="1"/>
      <w:numFmt w:val="bullet"/>
      <w:lvlText w:val=""/>
      <w:lvlJc w:val="left"/>
      <w:pPr>
        <w:ind w:left="5040" w:hanging="360"/>
      </w:pPr>
      <w:rPr>
        <w:rFonts w:ascii="Symbol" w:hAnsi="Symbol" w:hint="default"/>
      </w:rPr>
    </w:lvl>
    <w:lvl w:ilvl="7" w:tplc="7A72E96E" w:tentative="1">
      <w:start w:val="1"/>
      <w:numFmt w:val="bullet"/>
      <w:lvlText w:val="o"/>
      <w:lvlJc w:val="left"/>
      <w:pPr>
        <w:ind w:left="5760" w:hanging="360"/>
      </w:pPr>
      <w:rPr>
        <w:rFonts w:ascii="Courier New" w:hAnsi="Courier New" w:hint="default"/>
      </w:rPr>
    </w:lvl>
    <w:lvl w:ilvl="8" w:tplc="DB643F34" w:tentative="1">
      <w:start w:val="1"/>
      <w:numFmt w:val="bullet"/>
      <w:lvlText w:val=""/>
      <w:lvlJc w:val="left"/>
      <w:pPr>
        <w:ind w:left="6480" w:hanging="360"/>
      </w:pPr>
      <w:rPr>
        <w:rFonts w:ascii="Wingdings" w:hAnsi="Wingdings" w:hint="default"/>
      </w:rPr>
    </w:lvl>
  </w:abstractNum>
  <w:abstractNum w:abstractNumId="1" w15:restartNumberingAfterBreak="0">
    <w:nsid w:val="0081106C"/>
    <w:multiLevelType w:val="hybridMultilevel"/>
    <w:tmpl w:val="68E0F8CE"/>
    <w:lvl w:ilvl="0" w:tplc="748A5EAC">
      <w:start w:val="1"/>
      <w:numFmt w:val="bullet"/>
      <w:lvlText w:val=""/>
      <w:lvlJc w:val="left"/>
      <w:pPr>
        <w:ind w:left="720" w:hanging="360"/>
      </w:pPr>
      <w:rPr>
        <w:rFonts w:ascii="Symbol" w:hAnsi="Symbol" w:hint="default"/>
      </w:rPr>
    </w:lvl>
    <w:lvl w:ilvl="1" w:tplc="465CCF04" w:tentative="1">
      <w:start w:val="1"/>
      <w:numFmt w:val="bullet"/>
      <w:lvlText w:val="o"/>
      <w:lvlJc w:val="left"/>
      <w:pPr>
        <w:ind w:left="1440" w:hanging="360"/>
      </w:pPr>
      <w:rPr>
        <w:rFonts w:ascii="Courier New" w:hAnsi="Courier New" w:hint="default"/>
      </w:rPr>
    </w:lvl>
    <w:lvl w:ilvl="2" w:tplc="55F4DAD8" w:tentative="1">
      <w:start w:val="1"/>
      <w:numFmt w:val="bullet"/>
      <w:lvlText w:val=""/>
      <w:lvlJc w:val="left"/>
      <w:pPr>
        <w:ind w:left="2160" w:hanging="360"/>
      </w:pPr>
      <w:rPr>
        <w:rFonts w:ascii="Wingdings" w:hAnsi="Wingdings" w:hint="default"/>
      </w:rPr>
    </w:lvl>
    <w:lvl w:ilvl="3" w:tplc="23A6D992" w:tentative="1">
      <w:start w:val="1"/>
      <w:numFmt w:val="bullet"/>
      <w:lvlText w:val=""/>
      <w:lvlJc w:val="left"/>
      <w:pPr>
        <w:ind w:left="2880" w:hanging="360"/>
      </w:pPr>
      <w:rPr>
        <w:rFonts w:ascii="Symbol" w:hAnsi="Symbol" w:hint="default"/>
      </w:rPr>
    </w:lvl>
    <w:lvl w:ilvl="4" w:tplc="524478F8" w:tentative="1">
      <w:start w:val="1"/>
      <w:numFmt w:val="bullet"/>
      <w:lvlText w:val="o"/>
      <w:lvlJc w:val="left"/>
      <w:pPr>
        <w:ind w:left="3600" w:hanging="360"/>
      </w:pPr>
      <w:rPr>
        <w:rFonts w:ascii="Courier New" w:hAnsi="Courier New" w:hint="default"/>
      </w:rPr>
    </w:lvl>
    <w:lvl w:ilvl="5" w:tplc="63ECBE4A" w:tentative="1">
      <w:start w:val="1"/>
      <w:numFmt w:val="bullet"/>
      <w:lvlText w:val=""/>
      <w:lvlJc w:val="left"/>
      <w:pPr>
        <w:ind w:left="4320" w:hanging="360"/>
      </w:pPr>
      <w:rPr>
        <w:rFonts w:ascii="Wingdings" w:hAnsi="Wingdings" w:hint="default"/>
      </w:rPr>
    </w:lvl>
    <w:lvl w:ilvl="6" w:tplc="92BA6E34" w:tentative="1">
      <w:start w:val="1"/>
      <w:numFmt w:val="bullet"/>
      <w:lvlText w:val=""/>
      <w:lvlJc w:val="left"/>
      <w:pPr>
        <w:ind w:left="5040" w:hanging="360"/>
      </w:pPr>
      <w:rPr>
        <w:rFonts w:ascii="Symbol" w:hAnsi="Symbol" w:hint="default"/>
      </w:rPr>
    </w:lvl>
    <w:lvl w:ilvl="7" w:tplc="5CAC9830" w:tentative="1">
      <w:start w:val="1"/>
      <w:numFmt w:val="bullet"/>
      <w:lvlText w:val="o"/>
      <w:lvlJc w:val="left"/>
      <w:pPr>
        <w:ind w:left="5760" w:hanging="360"/>
      </w:pPr>
      <w:rPr>
        <w:rFonts w:ascii="Courier New" w:hAnsi="Courier New" w:hint="default"/>
      </w:rPr>
    </w:lvl>
    <w:lvl w:ilvl="8" w:tplc="062E741C" w:tentative="1">
      <w:start w:val="1"/>
      <w:numFmt w:val="bullet"/>
      <w:lvlText w:val=""/>
      <w:lvlJc w:val="left"/>
      <w:pPr>
        <w:ind w:left="6480" w:hanging="360"/>
      </w:pPr>
      <w:rPr>
        <w:rFonts w:ascii="Wingdings" w:hAnsi="Wingdings" w:hint="default"/>
      </w:rPr>
    </w:lvl>
  </w:abstractNum>
  <w:abstractNum w:abstractNumId="2" w15:restartNumberingAfterBreak="0">
    <w:nsid w:val="0289601D"/>
    <w:multiLevelType w:val="multilevel"/>
    <w:tmpl w:val="1686632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02BE5C6B"/>
    <w:multiLevelType w:val="hybridMultilevel"/>
    <w:tmpl w:val="CFA8FF22"/>
    <w:lvl w:ilvl="0" w:tplc="50AA10D0">
      <w:start w:val="1"/>
      <w:numFmt w:val="decimal"/>
      <w:lvlText w:val="%1."/>
      <w:lvlJc w:val="left"/>
      <w:pPr>
        <w:ind w:left="720" w:hanging="360"/>
      </w:pPr>
    </w:lvl>
    <w:lvl w:ilvl="1" w:tplc="65A4CB9E" w:tentative="1">
      <w:start w:val="1"/>
      <w:numFmt w:val="lowerLetter"/>
      <w:lvlText w:val="%2."/>
      <w:lvlJc w:val="left"/>
      <w:pPr>
        <w:ind w:left="1440" w:hanging="360"/>
      </w:pPr>
    </w:lvl>
    <w:lvl w:ilvl="2" w:tplc="02083848" w:tentative="1">
      <w:start w:val="1"/>
      <w:numFmt w:val="lowerRoman"/>
      <w:lvlText w:val="%3."/>
      <w:lvlJc w:val="right"/>
      <w:pPr>
        <w:ind w:left="2160" w:hanging="180"/>
      </w:pPr>
    </w:lvl>
    <w:lvl w:ilvl="3" w:tplc="9E56CE0E" w:tentative="1">
      <w:start w:val="1"/>
      <w:numFmt w:val="decimal"/>
      <w:lvlText w:val="%4."/>
      <w:lvlJc w:val="left"/>
      <w:pPr>
        <w:ind w:left="2880" w:hanging="360"/>
      </w:pPr>
    </w:lvl>
    <w:lvl w:ilvl="4" w:tplc="A84CFD9C" w:tentative="1">
      <w:start w:val="1"/>
      <w:numFmt w:val="lowerLetter"/>
      <w:lvlText w:val="%5."/>
      <w:lvlJc w:val="left"/>
      <w:pPr>
        <w:ind w:left="3600" w:hanging="360"/>
      </w:pPr>
    </w:lvl>
    <w:lvl w:ilvl="5" w:tplc="E0FA5CF4" w:tentative="1">
      <w:start w:val="1"/>
      <w:numFmt w:val="lowerRoman"/>
      <w:lvlText w:val="%6."/>
      <w:lvlJc w:val="right"/>
      <w:pPr>
        <w:ind w:left="4320" w:hanging="180"/>
      </w:pPr>
    </w:lvl>
    <w:lvl w:ilvl="6" w:tplc="87761EDE" w:tentative="1">
      <w:start w:val="1"/>
      <w:numFmt w:val="decimal"/>
      <w:lvlText w:val="%7."/>
      <w:lvlJc w:val="left"/>
      <w:pPr>
        <w:ind w:left="5040" w:hanging="360"/>
      </w:pPr>
    </w:lvl>
    <w:lvl w:ilvl="7" w:tplc="7CB81E80" w:tentative="1">
      <w:start w:val="1"/>
      <w:numFmt w:val="lowerLetter"/>
      <w:lvlText w:val="%8."/>
      <w:lvlJc w:val="left"/>
      <w:pPr>
        <w:ind w:left="5760" w:hanging="360"/>
      </w:pPr>
    </w:lvl>
    <w:lvl w:ilvl="8" w:tplc="55B8F606" w:tentative="1">
      <w:start w:val="1"/>
      <w:numFmt w:val="lowerRoman"/>
      <w:lvlText w:val="%9."/>
      <w:lvlJc w:val="right"/>
      <w:pPr>
        <w:ind w:left="6480" w:hanging="180"/>
      </w:pPr>
    </w:lvl>
  </w:abstractNum>
  <w:abstractNum w:abstractNumId="4" w15:restartNumberingAfterBreak="0">
    <w:nsid w:val="03660750"/>
    <w:multiLevelType w:val="multilevel"/>
    <w:tmpl w:val="63BE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1ECDC1"/>
    <w:multiLevelType w:val="hybridMultilevel"/>
    <w:tmpl w:val="FFFFFFFF"/>
    <w:lvl w:ilvl="0" w:tplc="A34AF6FA">
      <w:start w:val="1"/>
      <w:numFmt w:val="bullet"/>
      <w:lvlText w:val=""/>
      <w:lvlJc w:val="left"/>
      <w:pPr>
        <w:ind w:left="720" w:hanging="360"/>
      </w:pPr>
      <w:rPr>
        <w:rFonts w:ascii="Symbol" w:hAnsi="Symbol" w:hint="default"/>
      </w:rPr>
    </w:lvl>
    <w:lvl w:ilvl="1" w:tplc="58985A3C">
      <w:start w:val="1"/>
      <w:numFmt w:val="bullet"/>
      <w:lvlText w:val="o"/>
      <w:lvlJc w:val="left"/>
      <w:pPr>
        <w:ind w:left="1009" w:hanging="363"/>
      </w:pPr>
      <w:rPr>
        <w:rFonts w:ascii="Courier New" w:hAnsi="Courier New" w:hint="default"/>
      </w:rPr>
    </w:lvl>
    <w:lvl w:ilvl="2" w:tplc="326EEC26">
      <w:start w:val="1"/>
      <w:numFmt w:val="bullet"/>
      <w:lvlText w:val=""/>
      <w:lvlJc w:val="left"/>
      <w:pPr>
        <w:ind w:left="2160" w:hanging="360"/>
      </w:pPr>
      <w:rPr>
        <w:rFonts w:ascii="Wingdings" w:hAnsi="Wingdings" w:hint="default"/>
      </w:rPr>
    </w:lvl>
    <w:lvl w:ilvl="3" w:tplc="F2986EFA">
      <w:start w:val="1"/>
      <w:numFmt w:val="bullet"/>
      <w:lvlText w:val=""/>
      <w:lvlJc w:val="left"/>
      <w:pPr>
        <w:ind w:left="2880" w:hanging="360"/>
      </w:pPr>
      <w:rPr>
        <w:rFonts w:ascii="Symbol" w:hAnsi="Symbol" w:hint="default"/>
      </w:rPr>
    </w:lvl>
    <w:lvl w:ilvl="4" w:tplc="D97C22CC">
      <w:start w:val="1"/>
      <w:numFmt w:val="bullet"/>
      <w:lvlText w:val="o"/>
      <w:lvlJc w:val="left"/>
      <w:pPr>
        <w:ind w:left="3600" w:hanging="360"/>
      </w:pPr>
      <w:rPr>
        <w:rFonts w:ascii="Courier New" w:hAnsi="Courier New" w:hint="default"/>
      </w:rPr>
    </w:lvl>
    <w:lvl w:ilvl="5" w:tplc="3AF41AE2">
      <w:start w:val="1"/>
      <w:numFmt w:val="bullet"/>
      <w:lvlText w:val=""/>
      <w:lvlJc w:val="left"/>
      <w:pPr>
        <w:ind w:left="4320" w:hanging="360"/>
      </w:pPr>
      <w:rPr>
        <w:rFonts w:ascii="Wingdings" w:hAnsi="Wingdings" w:hint="default"/>
      </w:rPr>
    </w:lvl>
    <w:lvl w:ilvl="6" w:tplc="A4B89866">
      <w:start w:val="1"/>
      <w:numFmt w:val="bullet"/>
      <w:lvlText w:val=""/>
      <w:lvlJc w:val="left"/>
      <w:pPr>
        <w:ind w:left="5040" w:hanging="360"/>
      </w:pPr>
      <w:rPr>
        <w:rFonts w:ascii="Symbol" w:hAnsi="Symbol" w:hint="default"/>
      </w:rPr>
    </w:lvl>
    <w:lvl w:ilvl="7" w:tplc="F3940EEC">
      <w:start w:val="1"/>
      <w:numFmt w:val="bullet"/>
      <w:lvlText w:val="o"/>
      <w:lvlJc w:val="left"/>
      <w:pPr>
        <w:ind w:left="5760" w:hanging="360"/>
      </w:pPr>
      <w:rPr>
        <w:rFonts w:ascii="Courier New" w:hAnsi="Courier New" w:hint="default"/>
      </w:rPr>
    </w:lvl>
    <w:lvl w:ilvl="8" w:tplc="D148628E">
      <w:start w:val="1"/>
      <w:numFmt w:val="bullet"/>
      <w:lvlText w:val=""/>
      <w:lvlJc w:val="left"/>
      <w:pPr>
        <w:ind w:left="6480" w:hanging="360"/>
      </w:pPr>
      <w:rPr>
        <w:rFonts w:ascii="Wingdings" w:hAnsi="Wingdings" w:hint="default"/>
      </w:rPr>
    </w:lvl>
  </w:abstractNum>
  <w:abstractNum w:abstractNumId="6" w15:restartNumberingAfterBreak="0">
    <w:nsid w:val="08FC6C89"/>
    <w:multiLevelType w:val="multilevel"/>
    <w:tmpl w:val="2F065B1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0B0168D6"/>
    <w:multiLevelType w:val="hybridMultilevel"/>
    <w:tmpl w:val="39EC8F28"/>
    <w:lvl w:ilvl="0" w:tplc="E1A0534A">
      <w:start w:val="1"/>
      <w:numFmt w:val="decimal"/>
      <w:lvlText w:val="%1."/>
      <w:lvlJc w:val="left"/>
      <w:pPr>
        <w:ind w:left="720" w:hanging="360"/>
      </w:pPr>
    </w:lvl>
    <w:lvl w:ilvl="1" w:tplc="AE2E95F2">
      <w:start w:val="1"/>
      <w:numFmt w:val="lowerLetter"/>
      <w:lvlText w:val="%2."/>
      <w:lvlJc w:val="left"/>
      <w:pPr>
        <w:ind w:left="1440" w:hanging="360"/>
      </w:pPr>
    </w:lvl>
    <w:lvl w:ilvl="2" w:tplc="CA76AD9A" w:tentative="1">
      <w:start w:val="1"/>
      <w:numFmt w:val="lowerRoman"/>
      <w:lvlText w:val="%3."/>
      <w:lvlJc w:val="right"/>
      <w:pPr>
        <w:ind w:left="2160" w:hanging="180"/>
      </w:pPr>
    </w:lvl>
    <w:lvl w:ilvl="3" w:tplc="9C981120" w:tentative="1">
      <w:start w:val="1"/>
      <w:numFmt w:val="decimal"/>
      <w:lvlText w:val="%4."/>
      <w:lvlJc w:val="left"/>
      <w:pPr>
        <w:ind w:left="2880" w:hanging="360"/>
      </w:pPr>
    </w:lvl>
    <w:lvl w:ilvl="4" w:tplc="4156DE30" w:tentative="1">
      <w:start w:val="1"/>
      <w:numFmt w:val="lowerLetter"/>
      <w:lvlText w:val="%5."/>
      <w:lvlJc w:val="left"/>
      <w:pPr>
        <w:ind w:left="3600" w:hanging="360"/>
      </w:pPr>
    </w:lvl>
    <w:lvl w:ilvl="5" w:tplc="656E8466" w:tentative="1">
      <w:start w:val="1"/>
      <w:numFmt w:val="lowerRoman"/>
      <w:lvlText w:val="%6."/>
      <w:lvlJc w:val="right"/>
      <w:pPr>
        <w:ind w:left="4320" w:hanging="180"/>
      </w:pPr>
    </w:lvl>
    <w:lvl w:ilvl="6" w:tplc="B96AAA74" w:tentative="1">
      <w:start w:val="1"/>
      <w:numFmt w:val="decimal"/>
      <w:lvlText w:val="%7."/>
      <w:lvlJc w:val="left"/>
      <w:pPr>
        <w:ind w:left="5040" w:hanging="360"/>
      </w:pPr>
    </w:lvl>
    <w:lvl w:ilvl="7" w:tplc="BBECF114" w:tentative="1">
      <w:start w:val="1"/>
      <w:numFmt w:val="lowerLetter"/>
      <w:lvlText w:val="%8."/>
      <w:lvlJc w:val="left"/>
      <w:pPr>
        <w:ind w:left="5760" w:hanging="360"/>
      </w:pPr>
    </w:lvl>
    <w:lvl w:ilvl="8" w:tplc="2CE21F4E" w:tentative="1">
      <w:start w:val="1"/>
      <w:numFmt w:val="lowerRoman"/>
      <w:lvlText w:val="%9."/>
      <w:lvlJc w:val="right"/>
      <w:pPr>
        <w:ind w:left="6480" w:hanging="180"/>
      </w:pPr>
    </w:lvl>
  </w:abstractNum>
  <w:abstractNum w:abstractNumId="8" w15:restartNumberingAfterBreak="0">
    <w:nsid w:val="0E9473E6"/>
    <w:multiLevelType w:val="hybridMultilevel"/>
    <w:tmpl w:val="353E0DA6"/>
    <w:lvl w:ilvl="0" w:tplc="3282F336">
      <w:start w:val="1"/>
      <w:numFmt w:val="bullet"/>
      <w:lvlText w:val=""/>
      <w:lvlJc w:val="left"/>
      <w:pPr>
        <w:ind w:left="720" w:hanging="360"/>
      </w:pPr>
      <w:rPr>
        <w:rFonts w:ascii="Symbol" w:hAnsi="Symbol" w:hint="default"/>
      </w:rPr>
    </w:lvl>
    <w:lvl w:ilvl="1" w:tplc="F45C1DC8" w:tentative="1">
      <w:start w:val="1"/>
      <w:numFmt w:val="bullet"/>
      <w:lvlText w:val="o"/>
      <w:lvlJc w:val="left"/>
      <w:pPr>
        <w:ind w:left="1440" w:hanging="360"/>
      </w:pPr>
      <w:rPr>
        <w:rFonts w:ascii="Courier New" w:hAnsi="Courier New" w:hint="default"/>
      </w:rPr>
    </w:lvl>
    <w:lvl w:ilvl="2" w:tplc="D2E056B4" w:tentative="1">
      <w:start w:val="1"/>
      <w:numFmt w:val="bullet"/>
      <w:lvlText w:val=""/>
      <w:lvlJc w:val="left"/>
      <w:pPr>
        <w:ind w:left="2160" w:hanging="360"/>
      </w:pPr>
      <w:rPr>
        <w:rFonts w:ascii="Wingdings" w:hAnsi="Wingdings" w:hint="default"/>
      </w:rPr>
    </w:lvl>
    <w:lvl w:ilvl="3" w:tplc="9D7E9CA6" w:tentative="1">
      <w:start w:val="1"/>
      <w:numFmt w:val="bullet"/>
      <w:lvlText w:val=""/>
      <w:lvlJc w:val="left"/>
      <w:pPr>
        <w:ind w:left="2880" w:hanging="360"/>
      </w:pPr>
      <w:rPr>
        <w:rFonts w:ascii="Symbol" w:hAnsi="Symbol" w:hint="default"/>
      </w:rPr>
    </w:lvl>
    <w:lvl w:ilvl="4" w:tplc="3A541F8C" w:tentative="1">
      <w:start w:val="1"/>
      <w:numFmt w:val="bullet"/>
      <w:lvlText w:val="o"/>
      <w:lvlJc w:val="left"/>
      <w:pPr>
        <w:ind w:left="3600" w:hanging="360"/>
      </w:pPr>
      <w:rPr>
        <w:rFonts w:ascii="Courier New" w:hAnsi="Courier New" w:hint="default"/>
      </w:rPr>
    </w:lvl>
    <w:lvl w:ilvl="5" w:tplc="7D7A495C" w:tentative="1">
      <w:start w:val="1"/>
      <w:numFmt w:val="bullet"/>
      <w:lvlText w:val=""/>
      <w:lvlJc w:val="left"/>
      <w:pPr>
        <w:ind w:left="4320" w:hanging="360"/>
      </w:pPr>
      <w:rPr>
        <w:rFonts w:ascii="Wingdings" w:hAnsi="Wingdings" w:hint="default"/>
      </w:rPr>
    </w:lvl>
    <w:lvl w:ilvl="6" w:tplc="C95C6D02" w:tentative="1">
      <w:start w:val="1"/>
      <w:numFmt w:val="bullet"/>
      <w:lvlText w:val=""/>
      <w:lvlJc w:val="left"/>
      <w:pPr>
        <w:ind w:left="5040" w:hanging="360"/>
      </w:pPr>
      <w:rPr>
        <w:rFonts w:ascii="Symbol" w:hAnsi="Symbol" w:hint="default"/>
      </w:rPr>
    </w:lvl>
    <w:lvl w:ilvl="7" w:tplc="69E6FA90" w:tentative="1">
      <w:start w:val="1"/>
      <w:numFmt w:val="bullet"/>
      <w:lvlText w:val="o"/>
      <w:lvlJc w:val="left"/>
      <w:pPr>
        <w:ind w:left="5760" w:hanging="360"/>
      </w:pPr>
      <w:rPr>
        <w:rFonts w:ascii="Courier New" w:hAnsi="Courier New" w:hint="default"/>
      </w:rPr>
    </w:lvl>
    <w:lvl w:ilvl="8" w:tplc="F05459E8" w:tentative="1">
      <w:start w:val="1"/>
      <w:numFmt w:val="bullet"/>
      <w:lvlText w:val=""/>
      <w:lvlJc w:val="left"/>
      <w:pPr>
        <w:ind w:left="6480" w:hanging="360"/>
      </w:pPr>
      <w:rPr>
        <w:rFonts w:ascii="Wingdings" w:hAnsi="Wingdings" w:hint="default"/>
      </w:rPr>
    </w:lvl>
  </w:abstractNum>
  <w:abstractNum w:abstractNumId="9" w15:restartNumberingAfterBreak="0">
    <w:nsid w:val="123D2261"/>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742041E"/>
    <w:multiLevelType w:val="multilevel"/>
    <w:tmpl w:val="A8ECFA22"/>
    <w:lvl w:ilvl="0">
      <w:start w:val="1"/>
      <w:numFmt w:val="decimal"/>
      <w:lvlText w:val="%1."/>
      <w:lvlJc w:val="left"/>
      <w:pPr>
        <w:tabs>
          <w:tab w:val="num" w:pos="720"/>
        </w:tabs>
        <w:ind w:left="720" w:hanging="360"/>
      </w:pPr>
      <w:rPr>
        <w:sz w:val="20"/>
      </w:rPr>
    </w:lvl>
    <w:lvl w:ilvl="1">
      <w:start w:val="1"/>
      <w:numFmt w:val="lowerLetter"/>
      <w:lvlText w:val="%2)"/>
      <w:lvlJc w:val="left"/>
      <w:pPr>
        <w:ind w:left="1440" w:hanging="360"/>
      </w:p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BA5287"/>
    <w:multiLevelType w:val="multilevel"/>
    <w:tmpl w:val="6054F30A"/>
    <w:lvl w:ilvl="0">
      <w:start w:val="1"/>
      <w:numFmt w:val="decimal"/>
      <w:lvlText w:val="%1."/>
      <w:lvlJc w:val="left"/>
      <w:pPr>
        <w:tabs>
          <w:tab w:val="num" w:pos="720"/>
        </w:tabs>
        <w:ind w:left="720" w:hanging="360"/>
      </w:pPr>
      <w:rPr>
        <w:rFonts w:ascii="Arial" w:hAnsi="Arial" w:hint="default"/>
        <w:b w:val="0"/>
        <w:bCs/>
        <w:sz w:val="20"/>
      </w:rPr>
    </w:lvl>
    <w:lvl w:ilvl="1">
      <w:start w:val="1"/>
      <w:numFmt w:val="lowerLetter"/>
      <w:lvlText w:val="%2)"/>
      <w:lvlJc w:val="left"/>
      <w:pPr>
        <w:ind w:left="1440" w:hanging="360"/>
      </w:p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2975CB"/>
    <w:multiLevelType w:val="hybridMultilevel"/>
    <w:tmpl w:val="D7FEBE96"/>
    <w:lvl w:ilvl="0" w:tplc="15AA6F04">
      <w:start w:val="1"/>
      <w:numFmt w:val="bullet"/>
      <w:lvlText w:val=""/>
      <w:lvlJc w:val="left"/>
      <w:pPr>
        <w:ind w:left="720" w:hanging="360"/>
      </w:pPr>
      <w:rPr>
        <w:rFonts w:ascii="Symbol" w:hAnsi="Symbol" w:hint="default"/>
      </w:rPr>
    </w:lvl>
    <w:lvl w:ilvl="1" w:tplc="4D5C2CEC">
      <w:start w:val="1"/>
      <w:numFmt w:val="lowerLetter"/>
      <w:lvlText w:val="%2."/>
      <w:lvlJc w:val="left"/>
      <w:pPr>
        <w:ind w:left="1440" w:hanging="360"/>
      </w:pPr>
    </w:lvl>
    <w:lvl w:ilvl="2" w:tplc="9F9EFD5A">
      <w:start w:val="1"/>
      <w:numFmt w:val="lowerRoman"/>
      <w:lvlText w:val="%3."/>
      <w:lvlJc w:val="right"/>
      <w:pPr>
        <w:ind w:left="2160" w:hanging="180"/>
      </w:pPr>
    </w:lvl>
    <w:lvl w:ilvl="3" w:tplc="07161B3E">
      <w:start w:val="1"/>
      <w:numFmt w:val="decimal"/>
      <w:lvlText w:val="%4."/>
      <w:lvlJc w:val="left"/>
      <w:pPr>
        <w:ind w:left="2880" w:hanging="360"/>
      </w:pPr>
    </w:lvl>
    <w:lvl w:ilvl="4" w:tplc="5F0E1E00">
      <w:start w:val="1"/>
      <w:numFmt w:val="lowerLetter"/>
      <w:lvlText w:val="%5."/>
      <w:lvlJc w:val="left"/>
      <w:pPr>
        <w:ind w:left="3600" w:hanging="360"/>
      </w:pPr>
    </w:lvl>
    <w:lvl w:ilvl="5" w:tplc="2ACE7B42">
      <w:start w:val="1"/>
      <w:numFmt w:val="lowerRoman"/>
      <w:lvlText w:val="%6."/>
      <w:lvlJc w:val="right"/>
      <w:pPr>
        <w:ind w:left="4320" w:hanging="180"/>
      </w:pPr>
    </w:lvl>
    <w:lvl w:ilvl="6" w:tplc="30745F52">
      <w:start w:val="1"/>
      <w:numFmt w:val="decimal"/>
      <w:lvlText w:val="%7."/>
      <w:lvlJc w:val="left"/>
      <w:pPr>
        <w:ind w:left="5040" w:hanging="360"/>
      </w:pPr>
    </w:lvl>
    <w:lvl w:ilvl="7" w:tplc="489E4CBE">
      <w:start w:val="1"/>
      <w:numFmt w:val="lowerLetter"/>
      <w:lvlText w:val="%8."/>
      <w:lvlJc w:val="left"/>
      <w:pPr>
        <w:ind w:left="5760" w:hanging="360"/>
      </w:pPr>
    </w:lvl>
    <w:lvl w:ilvl="8" w:tplc="98C0AD08">
      <w:start w:val="1"/>
      <w:numFmt w:val="lowerRoman"/>
      <w:lvlText w:val="%9."/>
      <w:lvlJc w:val="right"/>
      <w:pPr>
        <w:ind w:left="6480" w:hanging="180"/>
      </w:pPr>
    </w:lvl>
  </w:abstractNum>
  <w:abstractNum w:abstractNumId="13" w15:restartNumberingAfterBreak="0">
    <w:nsid w:val="1AC35234"/>
    <w:multiLevelType w:val="hybridMultilevel"/>
    <w:tmpl w:val="C9B84288"/>
    <w:lvl w:ilvl="0" w:tplc="7568897C">
      <w:start w:val="1"/>
      <w:numFmt w:val="bullet"/>
      <w:lvlText w:val="-"/>
      <w:lvlJc w:val="left"/>
      <w:pPr>
        <w:ind w:left="1080" w:hanging="360"/>
      </w:pPr>
      <w:rPr>
        <w:rFonts w:ascii="Courier New" w:hAnsi="Courier New" w:hint="default"/>
      </w:rPr>
    </w:lvl>
    <w:lvl w:ilvl="1" w:tplc="E6DC3808">
      <w:start w:val="1"/>
      <w:numFmt w:val="bullet"/>
      <w:lvlText w:val="o"/>
      <w:lvlJc w:val="left"/>
      <w:pPr>
        <w:ind w:left="1800" w:hanging="360"/>
      </w:pPr>
      <w:rPr>
        <w:rFonts w:ascii="Courier New" w:hAnsi="Courier New" w:hint="default"/>
      </w:rPr>
    </w:lvl>
    <w:lvl w:ilvl="2" w:tplc="176835EA" w:tentative="1">
      <w:start w:val="1"/>
      <w:numFmt w:val="bullet"/>
      <w:lvlText w:val=""/>
      <w:lvlJc w:val="left"/>
      <w:pPr>
        <w:ind w:left="2520" w:hanging="360"/>
      </w:pPr>
      <w:rPr>
        <w:rFonts w:ascii="Wingdings" w:hAnsi="Wingdings" w:hint="default"/>
      </w:rPr>
    </w:lvl>
    <w:lvl w:ilvl="3" w:tplc="9AB6A816" w:tentative="1">
      <w:start w:val="1"/>
      <w:numFmt w:val="bullet"/>
      <w:lvlText w:val=""/>
      <w:lvlJc w:val="left"/>
      <w:pPr>
        <w:ind w:left="3240" w:hanging="360"/>
      </w:pPr>
      <w:rPr>
        <w:rFonts w:ascii="Symbol" w:hAnsi="Symbol" w:hint="default"/>
      </w:rPr>
    </w:lvl>
    <w:lvl w:ilvl="4" w:tplc="E76478DA" w:tentative="1">
      <w:start w:val="1"/>
      <w:numFmt w:val="bullet"/>
      <w:lvlText w:val="o"/>
      <w:lvlJc w:val="left"/>
      <w:pPr>
        <w:ind w:left="3960" w:hanging="360"/>
      </w:pPr>
      <w:rPr>
        <w:rFonts w:ascii="Courier New" w:hAnsi="Courier New" w:hint="default"/>
      </w:rPr>
    </w:lvl>
    <w:lvl w:ilvl="5" w:tplc="C3B8FD42" w:tentative="1">
      <w:start w:val="1"/>
      <w:numFmt w:val="bullet"/>
      <w:lvlText w:val=""/>
      <w:lvlJc w:val="left"/>
      <w:pPr>
        <w:ind w:left="4680" w:hanging="360"/>
      </w:pPr>
      <w:rPr>
        <w:rFonts w:ascii="Wingdings" w:hAnsi="Wingdings" w:hint="default"/>
      </w:rPr>
    </w:lvl>
    <w:lvl w:ilvl="6" w:tplc="842292BE" w:tentative="1">
      <w:start w:val="1"/>
      <w:numFmt w:val="bullet"/>
      <w:lvlText w:val=""/>
      <w:lvlJc w:val="left"/>
      <w:pPr>
        <w:ind w:left="5400" w:hanging="360"/>
      </w:pPr>
      <w:rPr>
        <w:rFonts w:ascii="Symbol" w:hAnsi="Symbol" w:hint="default"/>
      </w:rPr>
    </w:lvl>
    <w:lvl w:ilvl="7" w:tplc="F9968DD6" w:tentative="1">
      <w:start w:val="1"/>
      <w:numFmt w:val="bullet"/>
      <w:lvlText w:val="o"/>
      <w:lvlJc w:val="left"/>
      <w:pPr>
        <w:ind w:left="6120" w:hanging="360"/>
      </w:pPr>
      <w:rPr>
        <w:rFonts w:ascii="Courier New" w:hAnsi="Courier New" w:hint="default"/>
      </w:rPr>
    </w:lvl>
    <w:lvl w:ilvl="8" w:tplc="CA244A90" w:tentative="1">
      <w:start w:val="1"/>
      <w:numFmt w:val="bullet"/>
      <w:lvlText w:val=""/>
      <w:lvlJc w:val="left"/>
      <w:pPr>
        <w:ind w:left="6840" w:hanging="360"/>
      </w:pPr>
      <w:rPr>
        <w:rFonts w:ascii="Wingdings" w:hAnsi="Wingdings" w:hint="default"/>
      </w:rPr>
    </w:lvl>
  </w:abstractNum>
  <w:abstractNum w:abstractNumId="14" w15:restartNumberingAfterBreak="0">
    <w:nsid w:val="1C8A17B6"/>
    <w:multiLevelType w:val="hybridMultilevel"/>
    <w:tmpl w:val="AA8C3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9F27C9"/>
    <w:multiLevelType w:val="multilevel"/>
    <w:tmpl w:val="6054F30A"/>
    <w:lvl w:ilvl="0">
      <w:start w:val="1"/>
      <w:numFmt w:val="decimal"/>
      <w:lvlText w:val="%1."/>
      <w:lvlJc w:val="left"/>
      <w:pPr>
        <w:tabs>
          <w:tab w:val="num" w:pos="720"/>
        </w:tabs>
        <w:ind w:left="720" w:hanging="360"/>
      </w:pPr>
      <w:rPr>
        <w:rFonts w:ascii="Arial" w:hAnsi="Arial" w:hint="default"/>
        <w:b w:val="0"/>
        <w:bCs/>
        <w:sz w:val="20"/>
      </w:rPr>
    </w:lvl>
    <w:lvl w:ilvl="1">
      <w:start w:val="1"/>
      <w:numFmt w:val="lowerLetter"/>
      <w:lvlText w:val="%2)"/>
      <w:lvlJc w:val="left"/>
      <w:pPr>
        <w:ind w:left="1440" w:hanging="360"/>
      </w:p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EC3C81"/>
    <w:multiLevelType w:val="multilevel"/>
    <w:tmpl w:val="A8ECFA22"/>
    <w:lvl w:ilvl="0">
      <w:start w:val="1"/>
      <w:numFmt w:val="decimal"/>
      <w:lvlText w:val="%1."/>
      <w:lvlJc w:val="left"/>
      <w:pPr>
        <w:tabs>
          <w:tab w:val="num" w:pos="720"/>
        </w:tabs>
        <w:ind w:left="720" w:hanging="360"/>
      </w:pPr>
      <w:rPr>
        <w:sz w:val="20"/>
      </w:rPr>
    </w:lvl>
    <w:lvl w:ilvl="1">
      <w:start w:val="1"/>
      <w:numFmt w:val="lowerLetter"/>
      <w:lvlText w:val="%2)"/>
      <w:lvlJc w:val="left"/>
      <w:pPr>
        <w:ind w:left="1440" w:hanging="360"/>
      </w:p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1446F8"/>
    <w:multiLevelType w:val="hybridMultilevel"/>
    <w:tmpl w:val="A8ECFA22"/>
    <w:lvl w:ilvl="0" w:tplc="68805062">
      <w:start w:val="1"/>
      <w:numFmt w:val="bullet"/>
      <w:lvlText w:val="-"/>
      <w:lvlJc w:val="left"/>
      <w:pPr>
        <w:tabs>
          <w:tab w:val="num" w:pos="720"/>
        </w:tabs>
        <w:ind w:left="720" w:hanging="360"/>
      </w:pPr>
      <w:rPr>
        <w:rFonts w:ascii="Symbol" w:hAnsi="Symbol" w:hint="default"/>
        <w:sz w:val="20"/>
      </w:rPr>
    </w:lvl>
    <w:lvl w:ilvl="1" w:tplc="0EF6751C">
      <w:start w:val="1"/>
      <w:numFmt w:val="lowerLetter"/>
      <w:lvlText w:val="%2)"/>
      <w:lvlJc w:val="left"/>
      <w:pPr>
        <w:ind w:left="1440" w:hanging="360"/>
      </w:pPr>
    </w:lvl>
    <w:lvl w:ilvl="2" w:tplc="542A483A">
      <w:start w:val="1"/>
      <w:numFmt w:val="decimal"/>
      <w:lvlText w:val="%3."/>
      <w:lvlJc w:val="left"/>
      <w:pPr>
        <w:ind w:left="2160" w:hanging="360"/>
      </w:pPr>
    </w:lvl>
    <w:lvl w:ilvl="3" w:tplc="2F10DD0E" w:tentative="1">
      <w:start w:val="1"/>
      <w:numFmt w:val="bullet"/>
      <w:lvlText w:val=""/>
      <w:lvlJc w:val="left"/>
      <w:pPr>
        <w:tabs>
          <w:tab w:val="num" w:pos="2880"/>
        </w:tabs>
        <w:ind w:left="2880" w:hanging="360"/>
      </w:pPr>
      <w:rPr>
        <w:rFonts w:ascii="Symbol" w:hAnsi="Symbol" w:hint="default"/>
        <w:sz w:val="20"/>
      </w:rPr>
    </w:lvl>
    <w:lvl w:ilvl="4" w:tplc="F33E1AF4" w:tentative="1">
      <w:start w:val="1"/>
      <w:numFmt w:val="bullet"/>
      <w:lvlText w:val=""/>
      <w:lvlJc w:val="left"/>
      <w:pPr>
        <w:tabs>
          <w:tab w:val="num" w:pos="3600"/>
        </w:tabs>
        <w:ind w:left="3600" w:hanging="360"/>
      </w:pPr>
      <w:rPr>
        <w:rFonts w:ascii="Symbol" w:hAnsi="Symbol" w:hint="default"/>
        <w:sz w:val="20"/>
      </w:rPr>
    </w:lvl>
    <w:lvl w:ilvl="5" w:tplc="43521CA2" w:tentative="1">
      <w:start w:val="1"/>
      <w:numFmt w:val="bullet"/>
      <w:lvlText w:val=""/>
      <w:lvlJc w:val="left"/>
      <w:pPr>
        <w:tabs>
          <w:tab w:val="num" w:pos="4320"/>
        </w:tabs>
        <w:ind w:left="4320" w:hanging="360"/>
      </w:pPr>
      <w:rPr>
        <w:rFonts w:ascii="Symbol" w:hAnsi="Symbol" w:hint="default"/>
        <w:sz w:val="20"/>
      </w:rPr>
    </w:lvl>
    <w:lvl w:ilvl="6" w:tplc="D2DCB812" w:tentative="1">
      <w:start w:val="1"/>
      <w:numFmt w:val="bullet"/>
      <w:lvlText w:val=""/>
      <w:lvlJc w:val="left"/>
      <w:pPr>
        <w:tabs>
          <w:tab w:val="num" w:pos="5040"/>
        </w:tabs>
        <w:ind w:left="5040" w:hanging="360"/>
      </w:pPr>
      <w:rPr>
        <w:rFonts w:ascii="Symbol" w:hAnsi="Symbol" w:hint="default"/>
        <w:sz w:val="20"/>
      </w:rPr>
    </w:lvl>
    <w:lvl w:ilvl="7" w:tplc="1B68D35E" w:tentative="1">
      <w:start w:val="1"/>
      <w:numFmt w:val="bullet"/>
      <w:lvlText w:val=""/>
      <w:lvlJc w:val="left"/>
      <w:pPr>
        <w:tabs>
          <w:tab w:val="num" w:pos="5760"/>
        </w:tabs>
        <w:ind w:left="5760" w:hanging="360"/>
      </w:pPr>
      <w:rPr>
        <w:rFonts w:ascii="Symbol" w:hAnsi="Symbol" w:hint="default"/>
        <w:sz w:val="20"/>
      </w:rPr>
    </w:lvl>
    <w:lvl w:ilvl="8" w:tplc="77DA80B2"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7F3614"/>
    <w:multiLevelType w:val="multilevel"/>
    <w:tmpl w:val="D402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862167"/>
    <w:multiLevelType w:val="multilevel"/>
    <w:tmpl w:val="FFFFFFFF"/>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20" w15:restartNumberingAfterBreak="0">
    <w:nsid w:val="21B13E5F"/>
    <w:multiLevelType w:val="hybridMultilevel"/>
    <w:tmpl w:val="1EDE7E52"/>
    <w:lvl w:ilvl="0" w:tplc="4D12221E">
      <w:start w:val="1"/>
      <w:numFmt w:val="bullet"/>
      <w:lvlText w:val=""/>
      <w:lvlJc w:val="left"/>
      <w:pPr>
        <w:ind w:left="720" w:hanging="360"/>
      </w:pPr>
      <w:rPr>
        <w:rFonts w:ascii="Symbol" w:hAnsi="Symbol" w:hint="default"/>
      </w:rPr>
    </w:lvl>
    <w:lvl w:ilvl="1" w:tplc="2A3CAE58">
      <w:start w:val="1"/>
      <w:numFmt w:val="bullet"/>
      <w:lvlText w:val="o"/>
      <w:lvlJc w:val="left"/>
      <w:pPr>
        <w:ind w:left="1440" w:hanging="360"/>
      </w:pPr>
      <w:rPr>
        <w:rFonts w:ascii="Courier New" w:hAnsi="Courier New" w:hint="default"/>
      </w:rPr>
    </w:lvl>
    <w:lvl w:ilvl="2" w:tplc="EA929828">
      <w:start w:val="1"/>
      <w:numFmt w:val="bullet"/>
      <w:lvlText w:val=""/>
      <w:lvlJc w:val="left"/>
      <w:pPr>
        <w:ind w:left="2160" w:hanging="360"/>
      </w:pPr>
      <w:rPr>
        <w:rFonts w:ascii="Wingdings" w:hAnsi="Wingdings" w:hint="default"/>
      </w:rPr>
    </w:lvl>
    <w:lvl w:ilvl="3" w:tplc="C90A150C">
      <w:start w:val="1"/>
      <w:numFmt w:val="bullet"/>
      <w:lvlText w:val=""/>
      <w:lvlJc w:val="left"/>
      <w:pPr>
        <w:ind w:left="2880" w:hanging="360"/>
      </w:pPr>
      <w:rPr>
        <w:rFonts w:ascii="Symbol" w:hAnsi="Symbol" w:hint="default"/>
      </w:rPr>
    </w:lvl>
    <w:lvl w:ilvl="4" w:tplc="CA7A21F6">
      <w:start w:val="1"/>
      <w:numFmt w:val="bullet"/>
      <w:lvlText w:val="o"/>
      <w:lvlJc w:val="left"/>
      <w:pPr>
        <w:ind w:left="3600" w:hanging="360"/>
      </w:pPr>
      <w:rPr>
        <w:rFonts w:ascii="Courier New" w:hAnsi="Courier New" w:hint="default"/>
      </w:rPr>
    </w:lvl>
    <w:lvl w:ilvl="5" w:tplc="250698D8">
      <w:start w:val="1"/>
      <w:numFmt w:val="bullet"/>
      <w:lvlText w:val=""/>
      <w:lvlJc w:val="left"/>
      <w:pPr>
        <w:ind w:left="4320" w:hanging="360"/>
      </w:pPr>
      <w:rPr>
        <w:rFonts w:ascii="Wingdings" w:hAnsi="Wingdings" w:hint="default"/>
      </w:rPr>
    </w:lvl>
    <w:lvl w:ilvl="6" w:tplc="06CC3F78">
      <w:start w:val="1"/>
      <w:numFmt w:val="bullet"/>
      <w:lvlText w:val=""/>
      <w:lvlJc w:val="left"/>
      <w:pPr>
        <w:ind w:left="5040" w:hanging="360"/>
      </w:pPr>
      <w:rPr>
        <w:rFonts w:ascii="Symbol" w:hAnsi="Symbol" w:hint="default"/>
      </w:rPr>
    </w:lvl>
    <w:lvl w:ilvl="7" w:tplc="313675E0">
      <w:start w:val="1"/>
      <w:numFmt w:val="bullet"/>
      <w:lvlText w:val="o"/>
      <w:lvlJc w:val="left"/>
      <w:pPr>
        <w:ind w:left="5760" w:hanging="360"/>
      </w:pPr>
      <w:rPr>
        <w:rFonts w:ascii="Courier New" w:hAnsi="Courier New" w:hint="default"/>
      </w:rPr>
    </w:lvl>
    <w:lvl w:ilvl="8" w:tplc="7C9614FC">
      <w:start w:val="1"/>
      <w:numFmt w:val="bullet"/>
      <w:lvlText w:val=""/>
      <w:lvlJc w:val="left"/>
      <w:pPr>
        <w:ind w:left="6480" w:hanging="360"/>
      </w:pPr>
      <w:rPr>
        <w:rFonts w:ascii="Wingdings" w:hAnsi="Wingdings" w:hint="default"/>
      </w:rPr>
    </w:lvl>
  </w:abstractNum>
  <w:abstractNum w:abstractNumId="21" w15:restartNumberingAfterBreak="0">
    <w:nsid w:val="22072FE6"/>
    <w:multiLevelType w:val="multilevel"/>
    <w:tmpl w:val="98B4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356490D"/>
    <w:multiLevelType w:val="hybridMultilevel"/>
    <w:tmpl w:val="90A452C8"/>
    <w:lvl w:ilvl="0" w:tplc="10E6B3E6">
      <w:start w:val="1"/>
      <w:numFmt w:val="bullet"/>
      <w:lvlText w:val="-"/>
      <w:lvlJc w:val="left"/>
      <w:pPr>
        <w:ind w:left="1080" w:hanging="360"/>
      </w:pPr>
      <w:rPr>
        <w:rFonts w:ascii="Courier New" w:hAnsi="Courier New" w:hint="default"/>
      </w:rPr>
    </w:lvl>
    <w:lvl w:ilvl="1" w:tplc="EE48D4B0">
      <w:start w:val="1"/>
      <w:numFmt w:val="bullet"/>
      <w:lvlText w:val="o"/>
      <w:lvlJc w:val="left"/>
      <w:pPr>
        <w:ind w:left="1800" w:hanging="360"/>
      </w:pPr>
      <w:rPr>
        <w:rFonts w:ascii="Courier New" w:hAnsi="Courier New" w:hint="default"/>
      </w:rPr>
    </w:lvl>
    <w:lvl w:ilvl="2" w:tplc="1A50E810" w:tentative="1">
      <w:start w:val="1"/>
      <w:numFmt w:val="bullet"/>
      <w:lvlText w:val=""/>
      <w:lvlJc w:val="left"/>
      <w:pPr>
        <w:ind w:left="2520" w:hanging="360"/>
      </w:pPr>
      <w:rPr>
        <w:rFonts w:ascii="Wingdings" w:hAnsi="Wingdings" w:hint="default"/>
      </w:rPr>
    </w:lvl>
    <w:lvl w:ilvl="3" w:tplc="69741FE4" w:tentative="1">
      <w:start w:val="1"/>
      <w:numFmt w:val="bullet"/>
      <w:lvlText w:val=""/>
      <w:lvlJc w:val="left"/>
      <w:pPr>
        <w:ind w:left="3240" w:hanging="360"/>
      </w:pPr>
      <w:rPr>
        <w:rFonts w:ascii="Symbol" w:hAnsi="Symbol" w:hint="default"/>
      </w:rPr>
    </w:lvl>
    <w:lvl w:ilvl="4" w:tplc="C6E86980" w:tentative="1">
      <w:start w:val="1"/>
      <w:numFmt w:val="bullet"/>
      <w:lvlText w:val="o"/>
      <w:lvlJc w:val="left"/>
      <w:pPr>
        <w:ind w:left="3960" w:hanging="360"/>
      </w:pPr>
      <w:rPr>
        <w:rFonts w:ascii="Courier New" w:hAnsi="Courier New" w:hint="default"/>
      </w:rPr>
    </w:lvl>
    <w:lvl w:ilvl="5" w:tplc="DA520054" w:tentative="1">
      <w:start w:val="1"/>
      <w:numFmt w:val="bullet"/>
      <w:lvlText w:val=""/>
      <w:lvlJc w:val="left"/>
      <w:pPr>
        <w:ind w:left="4680" w:hanging="360"/>
      </w:pPr>
      <w:rPr>
        <w:rFonts w:ascii="Wingdings" w:hAnsi="Wingdings" w:hint="default"/>
      </w:rPr>
    </w:lvl>
    <w:lvl w:ilvl="6" w:tplc="DF00BC04" w:tentative="1">
      <w:start w:val="1"/>
      <w:numFmt w:val="bullet"/>
      <w:lvlText w:val=""/>
      <w:lvlJc w:val="left"/>
      <w:pPr>
        <w:ind w:left="5400" w:hanging="360"/>
      </w:pPr>
      <w:rPr>
        <w:rFonts w:ascii="Symbol" w:hAnsi="Symbol" w:hint="default"/>
      </w:rPr>
    </w:lvl>
    <w:lvl w:ilvl="7" w:tplc="870443E4" w:tentative="1">
      <w:start w:val="1"/>
      <w:numFmt w:val="bullet"/>
      <w:lvlText w:val="o"/>
      <w:lvlJc w:val="left"/>
      <w:pPr>
        <w:ind w:left="6120" w:hanging="360"/>
      </w:pPr>
      <w:rPr>
        <w:rFonts w:ascii="Courier New" w:hAnsi="Courier New" w:hint="default"/>
      </w:rPr>
    </w:lvl>
    <w:lvl w:ilvl="8" w:tplc="FF16AE94" w:tentative="1">
      <w:start w:val="1"/>
      <w:numFmt w:val="bullet"/>
      <w:lvlText w:val=""/>
      <w:lvlJc w:val="left"/>
      <w:pPr>
        <w:ind w:left="6840" w:hanging="360"/>
      </w:pPr>
      <w:rPr>
        <w:rFonts w:ascii="Wingdings" w:hAnsi="Wingdings" w:hint="default"/>
      </w:rPr>
    </w:lvl>
  </w:abstractNum>
  <w:abstractNum w:abstractNumId="23" w15:restartNumberingAfterBreak="0">
    <w:nsid w:val="287063C7"/>
    <w:multiLevelType w:val="multilevel"/>
    <w:tmpl w:val="FFFFFFFF"/>
    <w:lvl w:ilvl="0">
      <w:start w:val="3"/>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24" w15:restartNumberingAfterBreak="0">
    <w:nsid w:val="2A6E73B3"/>
    <w:multiLevelType w:val="hybridMultilevel"/>
    <w:tmpl w:val="39EC8F28"/>
    <w:lvl w:ilvl="0" w:tplc="514E9874">
      <w:start w:val="1"/>
      <w:numFmt w:val="decimal"/>
      <w:lvlText w:val="%1."/>
      <w:lvlJc w:val="left"/>
      <w:pPr>
        <w:ind w:left="720" w:hanging="360"/>
      </w:pPr>
    </w:lvl>
    <w:lvl w:ilvl="1" w:tplc="1BBEABE8">
      <w:start w:val="1"/>
      <w:numFmt w:val="lowerLetter"/>
      <w:lvlText w:val="%2."/>
      <w:lvlJc w:val="left"/>
      <w:pPr>
        <w:ind w:left="1440" w:hanging="360"/>
      </w:pPr>
    </w:lvl>
    <w:lvl w:ilvl="2" w:tplc="57D8691E" w:tentative="1">
      <w:start w:val="1"/>
      <w:numFmt w:val="lowerRoman"/>
      <w:lvlText w:val="%3."/>
      <w:lvlJc w:val="right"/>
      <w:pPr>
        <w:ind w:left="2160" w:hanging="180"/>
      </w:pPr>
    </w:lvl>
    <w:lvl w:ilvl="3" w:tplc="259E961C" w:tentative="1">
      <w:start w:val="1"/>
      <w:numFmt w:val="decimal"/>
      <w:lvlText w:val="%4."/>
      <w:lvlJc w:val="left"/>
      <w:pPr>
        <w:ind w:left="2880" w:hanging="360"/>
      </w:pPr>
    </w:lvl>
    <w:lvl w:ilvl="4" w:tplc="31526AE2" w:tentative="1">
      <w:start w:val="1"/>
      <w:numFmt w:val="lowerLetter"/>
      <w:lvlText w:val="%5."/>
      <w:lvlJc w:val="left"/>
      <w:pPr>
        <w:ind w:left="3600" w:hanging="360"/>
      </w:pPr>
    </w:lvl>
    <w:lvl w:ilvl="5" w:tplc="BEA207D8" w:tentative="1">
      <w:start w:val="1"/>
      <w:numFmt w:val="lowerRoman"/>
      <w:lvlText w:val="%6."/>
      <w:lvlJc w:val="right"/>
      <w:pPr>
        <w:ind w:left="4320" w:hanging="180"/>
      </w:pPr>
    </w:lvl>
    <w:lvl w:ilvl="6" w:tplc="60981E20" w:tentative="1">
      <w:start w:val="1"/>
      <w:numFmt w:val="decimal"/>
      <w:lvlText w:val="%7."/>
      <w:lvlJc w:val="left"/>
      <w:pPr>
        <w:ind w:left="5040" w:hanging="360"/>
      </w:pPr>
    </w:lvl>
    <w:lvl w:ilvl="7" w:tplc="1D1E8378" w:tentative="1">
      <w:start w:val="1"/>
      <w:numFmt w:val="lowerLetter"/>
      <w:lvlText w:val="%8."/>
      <w:lvlJc w:val="left"/>
      <w:pPr>
        <w:ind w:left="5760" w:hanging="360"/>
      </w:pPr>
    </w:lvl>
    <w:lvl w:ilvl="8" w:tplc="301C2D84" w:tentative="1">
      <w:start w:val="1"/>
      <w:numFmt w:val="lowerRoman"/>
      <w:lvlText w:val="%9."/>
      <w:lvlJc w:val="right"/>
      <w:pPr>
        <w:ind w:left="6480" w:hanging="180"/>
      </w:pPr>
    </w:lvl>
  </w:abstractNum>
  <w:abstractNum w:abstractNumId="25" w15:restartNumberingAfterBreak="0">
    <w:nsid w:val="2C12A8B1"/>
    <w:multiLevelType w:val="hybridMultilevel"/>
    <w:tmpl w:val="FFFFFFFF"/>
    <w:lvl w:ilvl="0" w:tplc="39BE78B2">
      <w:start w:val="1"/>
      <w:numFmt w:val="bullet"/>
      <w:lvlText w:val=""/>
      <w:lvlJc w:val="left"/>
      <w:pPr>
        <w:ind w:left="855" w:hanging="360"/>
      </w:pPr>
      <w:rPr>
        <w:rFonts w:ascii="Symbol" w:hAnsi="Symbol" w:hint="default"/>
      </w:rPr>
    </w:lvl>
    <w:lvl w:ilvl="1" w:tplc="B75260EA">
      <w:start w:val="1"/>
      <w:numFmt w:val="bullet"/>
      <w:lvlText w:val="o"/>
      <w:lvlJc w:val="left"/>
      <w:pPr>
        <w:ind w:left="1440" w:hanging="360"/>
      </w:pPr>
      <w:rPr>
        <w:rFonts w:ascii="Courier New" w:hAnsi="Courier New" w:hint="default"/>
      </w:rPr>
    </w:lvl>
    <w:lvl w:ilvl="2" w:tplc="6A78E95E">
      <w:start w:val="1"/>
      <w:numFmt w:val="bullet"/>
      <w:lvlText w:val=""/>
      <w:lvlJc w:val="left"/>
      <w:pPr>
        <w:ind w:left="2160" w:hanging="360"/>
      </w:pPr>
      <w:rPr>
        <w:rFonts w:ascii="Wingdings" w:hAnsi="Wingdings" w:hint="default"/>
      </w:rPr>
    </w:lvl>
    <w:lvl w:ilvl="3" w:tplc="5AA4B774">
      <w:start w:val="1"/>
      <w:numFmt w:val="bullet"/>
      <w:lvlText w:val=""/>
      <w:lvlJc w:val="left"/>
      <w:pPr>
        <w:ind w:left="2880" w:hanging="360"/>
      </w:pPr>
      <w:rPr>
        <w:rFonts w:ascii="Symbol" w:hAnsi="Symbol" w:hint="default"/>
      </w:rPr>
    </w:lvl>
    <w:lvl w:ilvl="4" w:tplc="53CEA138">
      <w:start w:val="1"/>
      <w:numFmt w:val="bullet"/>
      <w:lvlText w:val="o"/>
      <w:lvlJc w:val="left"/>
      <w:pPr>
        <w:ind w:left="3600" w:hanging="360"/>
      </w:pPr>
      <w:rPr>
        <w:rFonts w:ascii="Courier New" w:hAnsi="Courier New" w:hint="default"/>
      </w:rPr>
    </w:lvl>
    <w:lvl w:ilvl="5" w:tplc="6A9E8724">
      <w:start w:val="1"/>
      <w:numFmt w:val="bullet"/>
      <w:lvlText w:val=""/>
      <w:lvlJc w:val="left"/>
      <w:pPr>
        <w:ind w:left="4320" w:hanging="360"/>
      </w:pPr>
      <w:rPr>
        <w:rFonts w:ascii="Wingdings" w:hAnsi="Wingdings" w:hint="default"/>
      </w:rPr>
    </w:lvl>
    <w:lvl w:ilvl="6" w:tplc="F5906054">
      <w:start w:val="1"/>
      <w:numFmt w:val="bullet"/>
      <w:lvlText w:val=""/>
      <w:lvlJc w:val="left"/>
      <w:pPr>
        <w:ind w:left="5040" w:hanging="360"/>
      </w:pPr>
      <w:rPr>
        <w:rFonts w:ascii="Symbol" w:hAnsi="Symbol" w:hint="default"/>
      </w:rPr>
    </w:lvl>
    <w:lvl w:ilvl="7" w:tplc="1050107E">
      <w:start w:val="1"/>
      <w:numFmt w:val="bullet"/>
      <w:lvlText w:val="o"/>
      <w:lvlJc w:val="left"/>
      <w:pPr>
        <w:ind w:left="5760" w:hanging="360"/>
      </w:pPr>
      <w:rPr>
        <w:rFonts w:ascii="Courier New" w:hAnsi="Courier New" w:hint="default"/>
      </w:rPr>
    </w:lvl>
    <w:lvl w:ilvl="8" w:tplc="058C2A08">
      <w:start w:val="1"/>
      <w:numFmt w:val="bullet"/>
      <w:lvlText w:val=""/>
      <w:lvlJc w:val="left"/>
      <w:pPr>
        <w:ind w:left="6480" w:hanging="360"/>
      </w:pPr>
      <w:rPr>
        <w:rFonts w:ascii="Wingdings" w:hAnsi="Wingdings" w:hint="default"/>
      </w:rPr>
    </w:lvl>
  </w:abstractNum>
  <w:abstractNum w:abstractNumId="26" w15:restartNumberingAfterBreak="0">
    <w:nsid w:val="31774C53"/>
    <w:multiLevelType w:val="multilevel"/>
    <w:tmpl w:val="FFFFFFFF"/>
    <w:lvl w:ilvl="0">
      <w:start w:val="4"/>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27" w15:restartNumberingAfterBreak="0">
    <w:nsid w:val="318C0D9D"/>
    <w:multiLevelType w:val="multilevel"/>
    <w:tmpl w:val="A8ECFA22"/>
    <w:lvl w:ilvl="0">
      <w:start w:val="1"/>
      <w:numFmt w:val="decimal"/>
      <w:lvlText w:val="%1."/>
      <w:lvlJc w:val="left"/>
      <w:pPr>
        <w:tabs>
          <w:tab w:val="num" w:pos="720"/>
        </w:tabs>
        <w:ind w:left="720" w:hanging="360"/>
      </w:pPr>
      <w:rPr>
        <w:sz w:val="20"/>
      </w:rPr>
    </w:lvl>
    <w:lvl w:ilvl="1">
      <w:start w:val="1"/>
      <w:numFmt w:val="lowerLetter"/>
      <w:lvlText w:val="%2)"/>
      <w:lvlJc w:val="left"/>
      <w:pPr>
        <w:ind w:left="1440" w:hanging="360"/>
      </w:p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5426D5"/>
    <w:multiLevelType w:val="multilevel"/>
    <w:tmpl w:val="A8ECFA22"/>
    <w:lvl w:ilvl="0">
      <w:start w:val="1"/>
      <w:numFmt w:val="decimal"/>
      <w:lvlText w:val="%1."/>
      <w:lvlJc w:val="left"/>
      <w:pPr>
        <w:tabs>
          <w:tab w:val="num" w:pos="720"/>
        </w:tabs>
        <w:ind w:left="720" w:hanging="360"/>
      </w:pPr>
      <w:rPr>
        <w:sz w:val="20"/>
      </w:rPr>
    </w:lvl>
    <w:lvl w:ilvl="1">
      <w:start w:val="1"/>
      <w:numFmt w:val="lowerLetter"/>
      <w:lvlText w:val="%2)"/>
      <w:lvlJc w:val="left"/>
      <w:pPr>
        <w:ind w:left="1440" w:hanging="360"/>
      </w:p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5D02479"/>
    <w:multiLevelType w:val="multilevel"/>
    <w:tmpl w:val="EA92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6E53166"/>
    <w:multiLevelType w:val="multilevel"/>
    <w:tmpl w:val="9BE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855487B"/>
    <w:multiLevelType w:val="hybridMultilevel"/>
    <w:tmpl w:val="0EB20E74"/>
    <w:lvl w:ilvl="0" w:tplc="5A5CE3A0">
      <w:start w:val="1"/>
      <w:numFmt w:val="lowerLetter"/>
      <w:lvlText w:val="%1)"/>
      <w:lvlJc w:val="left"/>
      <w:pPr>
        <w:ind w:left="720" w:hanging="360"/>
      </w:pPr>
    </w:lvl>
    <w:lvl w:ilvl="1" w:tplc="094E62F2" w:tentative="1">
      <w:start w:val="1"/>
      <w:numFmt w:val="lowerLetter"/>
      <w:lvlText w:val="%2."/>
      <w:lvlJc w:val="left"/>
      <w:pPr>
        <w:ind w:left="1440" w:hanging="360"/>
      </w:pPr>
    </w:lvl>
    <w:lvl w:ilvl="2" w:tplc="380442E2" w:tentative="1">
      <w:start w:val="1"/>
      <w:numFmt w:val="lowerRoman"/>
      <w:lvlText w:val="%3."/>
      <w:lvlJc w:val="right"/>
      <w:pPr>
        <w:ind w:left="2160" w:hanging="180"/>
      </w:pPr>
    </w:lvl>
    <w:lvl w:ilvl="3" w:tplc="59E4F952" w:tentative="1">
      <w:start w:val="1"/>
      <w:numFmt w:val="decimal"/>
      <w:lvlText w:val="%4."/>
      <w:lvlJc w:val="left"/>
      <w:pPr>
        <w:ind w:left="2880" w:hanging="360"/>
      </w:pPr>
    </w:lvl>
    <w:lvl w:ilvl="4" w:tplc="7D606A12" w:tentative="1">
      <w:start w:val="1"/>
      <w:numFmt w:val="lowerLetter"/>
      <w:lvlText w:val="%5."/>
      <w:lvlJc w:val="left"/>
      <w:pPr>
        <w:ind w:left="3600" w:hanging="360"/>
      </w:pPr>
    </w:lvl>
    <w:lvl w:ilvl="5" w:tplc="B7F611CC" w:tentative="1">
      <w:start w:val="1"/>
      <w:numFmt w:val="lowerRoman"/>
      <w:lvlText w:val="%6."/>
      <w:lvlJc w:val="right"/>
      <w:pPr>
        <w:ind w:left="4320" w:hanging="180"/>
      </w:pPr>
    </w:lvl>
    <w:lvl w:ilvl="6" w:tplc="FD7C0FDC" w:tentative="1">
      <w:start w:val="1"/>
      <w:numFmt w:val="decimal"/>
      <w:lvlText w:val="%7."/>
      <w:lvlJc w:val="left"/>
      <w:pPr>
        <w:ind w:left="5040" w:hanging="360"/>
      </w:pPr>
    </w:lvl>
    <w:lvl w:ilvl="7" w:tplc="A85C79C0" w:tentative="1">
      <w:start w:val="1"/>
      <w:numFmt w:val="lowerLetter"/>
      <w:lvlText w:val="%8."/>
      <w:lvlJc w:val="left"/>
      <w:pPr>
        <w:ind w:left="5760" w:hanging="360"/>
      </w:pPr>
    </w:lvl>
    <w:lvl w:ilvl="8" w:tplc="5728288A" w:tentative="1">
      <w:start w:val="1"/>
      <w:numFmt w:val="lowerRoman"/>
      <w:lvlText w:val="%9."/>
      <w:lvlJc w:val="right"/>
      <w:pPr>
        <w:ind w:left="6480" w:hanging="180"/>
      </w:pPr>
    </w:lvl>
  </w:abstractNum>
  <w:abstractNum w:abstractNumId="32" w15:restartNumberingAfterBreak="0">
    <w:nsid w:val="3F8C445E"/>
    <w:multiLevelType w:val="multilevel"/>
    <w:tmpl w:val="FFFFFFFF"/>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092641F"/>
    <w:multiLevelType w:val="hybridMultilevel"/>
    <w:tmpl w:val="78F4A624"/>
    <w:lvl w:ilvl="0" w:tplc="16E0D58C">
      <w:start w:val="1"/>
      <w:numFmt w:val="bullet"/>
      <w:lvlText w:val=""/>
      <w:lvlJc w:val="left"/>
      <w:pPr>
        <w:ind w:left="720" w:hanging="360"/>
      </w:pPr>
      <w:rPr>
        <w:rFonts w:ascii="Symbol" w:hAnsi="Symbol" w:hint="default"/>
      </w:rPr>
    </w:lvl>
    <w:lvl w:ilvl="1" w:tplc="14FC8412" w:tentative="1">
      <w:start w:val="1"/>
      <w:numFmt w:val="bullet"/>
      <w:lvlText w:val="o"/>
      <w:lvlJc w:val="left"/>
      <w:pPr>
        <w:ind w:left="1440" w:hanging="360"/>
      </w:pPr>
      <w:rPr>
        <w:rFonts w:ascii="Courier New" w:hAnsi="Courier New" w:hint="default"/>
      </w:rPr>
    </w:lvl>
    <w:lvl w:ilvl="2" w:tplc="31E80684" w:tentative="1">
      <w:start w:val="1"/>
      <w:numFmt w:val="bullet"/>
      <w:lvlText w:val=""/>
      <w:lvlJc w:val="left"/>
      <w:pPr>
        <w:ind w:left="2160" w:hanging="360"/>
      </w:pPr>
      <w:rPr>
        <w:rFonts w:ascii="Wingdings" w:hAnsi="Wingdings" w:hint="default"/>
      </w:rPr>
    </w:lvl>
    <w:lvl w:ilvl="3" w:tplc="569C18DA" w:tentative="1">
      <w:start w:val="1"/>
      <w:numFmt w:val="bullet"/>
      <w:lvlText w:val=""/>
      <w:lvlJc w:val="left"/>
      <w:pPr>
        <w:ind w:left="2880" w:hanging="360"/>
      </w:pPr>
      <w:rPr>
        <w:rFonts w:ascii="Symbol" w:hAnsi="Symbol" w:hint="default"/>
      </w:rPr>
    </w:lvl>
    <w:lvl w:ilvl="4" w:tplc="A9661F04" w:tentative="1">
      <w:start w:val="1"/>
      <w:numFmt w:val="bullet"/>
      <w:lvlText w:val="o"/>
      <w:lvlJc w:val="left"/>
      <w:pPr>
        <w:ind w:left="3600" w:hanging="360"/>
      </w:pPr>
      <w:rPr>
        <w:rFonts w:ascii="Courier New" w:hAnsi="Courier New" w:hint="default"/>
      </w:rPr>
    </w:lvl>
    <w:lvl w:ilvl="5" w:tplc="6038BB0A" w:tentative="1">
      <w:start w:val="1"/>
      <w:numFmt w:val="bullet"/>
      <w:lvlText w:val=""/>
      <w:lvlJc w:val="left"/>
      <w:pPr>
        <w:ind w:left="4320" w:hanging="360"/>
      </w:pPr>
      <w:rPr>
        <w:rFonts w:ascii="Wingdings" w:hAnsi="Wingdings" w:hint="default"/>
      </w:rPr>
    </w:lvl>
    <w:lvl w:ilvl="6" w:tplc="E15C1082" w:tentative="1">
      <w:start w:val="1"/>
      <w:numFmt w:val="bullet"/>
      <w:lvlText w:val=""/>
      <w:lvlJc w:val="left"/>
      <w:pPr>
        <w:ind w:left="5040" w:hanging="360"/>
      </w:pPr>
      <w:rPr>
        <w:rFonts w:ascii="Symbol" w:hAnsi="Symbol" w:hint="default"/>
      </w:rPr>
    </w:lvl>
    <w:lvl w:ilvl="7" w:tplc="A7AC14FE" w:tentative="1">
      <w:start w:val="1"/>
      <w:numFmt w:val="bullet"/>
      <w:lvlText w:val="o"/>
      <w:lvlJc w:val="left"/>
      <w:pPr>
        <w:ind w:left="5760" w:hanging="360"/>
      </w:pPr>
      <w:rPr>
        <w:rFonts w:ascii="Courier New" w:hAnsi="Courier New" w:hint="default"/>
      </w:rPr>
    </w:lvl>
    <w:lvl w:ilvl="8" w:tplc="D486D39A" w:tentative="1">
      <w:start w:val="1"/>
      <w:numFmt w:val="bullet"/>
      <w:lvlText w:val=""/>
      <w:lvlJc w:val="left"/>
      <w:pPr>
        <w:ind w:left="6480" w:hanging="360"/>
      </w:pPr>
      <w:rPr>
        <w:rFonts w:ascii="Wingdings" w:hAnsi="Wingdings" w:hint="default"/>
      </w:rPr>
    </w:lvl>
  </w:abstractNum>
  <w:abstractNum w:abstractNumId="34" w15:restartNumberingAfterBreak="0">
    <w:nsid w:val="410B1514"/>
    <w:multiLevelType w:val="multilevel"/>
    <w:tmpl w:val="FFFFFFFF"/>
    <w:lvl w:ilvl="0">
      <w:start w:val="2"/>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35" w15:restartNumberingAfterBreak="0">
    <w:nsid w:val="42920D45"/>
    <w:multiLevelType w:val="hybridMultilevel"/>
    <w:tmpl w:val="61429EB2"/>
    <w:lvl w:ilvl="0" w:tplc="7DE41EE4">
      <w:start w:val="1"/>
      <w:numFmt w:val="decimal"/>
      <w:lvlText w:val="%1."/>
      <w:lvlJc w:val="left"/>
      <w:pPr>
        <w:ind w:left="720" w:hanging="360"/>
      </w:pPr>
    </w:lvl>
    <w:lvl w:ilvl="1" w:tplc="88F8F2A0" w:tentative="1">
      <w:start w:val="1"/>
      <w:numFmt w:val="lowerLetter"/>
      <w:lvlText w:val="%2."/>
      <w:lvlJc w:val="left"/>
      <w:pPr>
        <w:ind w:left="1440" w:hanging="360"/>
      </w:pPr>
    </w:lvl>
    <w:lvl w:ilvl="2" w:tplc="92A8D862" w:tentative="1">
      <w:start w:val="1"/>
      <w:numFmt w:val="lowerRoman"/>
      <w:lvlText w:val="%3."/>
      <w:lvlJc w:val="right"/>
      <w:pPr>
        <w:ind w:left="2160" w:hanging="180"/>
      </w:pPr>
    </w:lvl>
    <w:lvl w:ilvl="3" w:tplc="CF70ABCE" w:tentative="1">
      <w:start w:val="1"/>
      <w:numFmt w:val="decimal"/>
      <w:lvlText w:val="%4."/>
      <w:lvlJc w:val="left"/>
      <w:pPr>
        <w:ind w:left="2880" w:hanging="360"/>
      </w:pPr>
    </w:lvl>
    <w:lvl w:ilvl="4" w:tplc="A3766964" w:tentative="1">
      <w:start w:val="1"/>
      <w:numFmt w:val="lowerLetter"/>
      <w:lvlText w:val="%5."/>
      <w:lvlJc w:val="left"/>
      <w:pPr>
        <w:ind w:left="3600" w:hanging="360"/>
      </w:pPr>
    </w:lvl>
    <w:lvl w:ilvl="5" w:tplc="771E1926" w:tentative="1">
      <w:start w:val="1"/>
      <w:numFmt w:val="lowerRoman"/>
      <w:lvlText w:val="%6."/>
      <w:lvlJc w:val="right"/>
      <w:pPr>
        <w:ind w:left="4320" w:hanging="180"/>
      </w:pPr>
    </w:lvl>
    <w:lvl w:ilvl="6" w:tplc="43E07A74" w:tentative="1">
      <w:start w:val="1"/>
      <w:numFmt w:val="decimal"/>
      <w:lvlText w:val="%7."/>
      <w:lvlJc w:val="left"/>
      <w:pPr>
        <w:ind w:left="5040" w:hanging="360"/>
      </w:pPr>
    </w:lvl>
    <w:lvl w:ilvl="7" w:tplc="4864AEF8" w:tentative="1">
      <w:start w:val="1"/>
      <w:numFmt w:val="lowerLetter"/>
      <w:lvlText w:val="%8."/>
      <w:lvlJc w:val="left"/>
      <w:pPr>
        <w:ind w:left="5760" w:hanging="360"/>
      </w:pPr>
    </w:lvl>
    <w:lvl w:ilvl="8" w:tplc="EBD84EEC" w:tentative="1">
      <w:start w:val="1"/>
      <w:numFmt w:val="lowerRoman"/>
      <w:lvlText w:val="%9."/>
      <w:lvlJc w:val="right"/>
      <w:pPr>
        <w:ind w:left="6480" w:hanging="180"/>
      </w:pPr>
    </w:lvl>
  </w:abstractNum>
  <w:abstractNum w:abstractNumId="36" w15:restartNumberingAfterBreak="0">
    <w:nsid w:val="42A9E51D"/>
    <w:multiLevelType w:val="multilevel"/>
    <w:tmpl w:val="FFFFFFFF"/>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4396BB9"/>
    <w:multiLevelType w:val="multilevel"/>
    <w:tmpl w:val="FFFFFFFF"/>
    <w:lvl w:ilvl="0">
      <w:numFmt w:val="decimal"/>
      <w:lvlText w:val=""/>
      <w:lvlJc w:val="left"/>
      <w:pPr>
        <w:tabs>
          <w:tab w:val="num" w:pos="360"/>
        </w:tabs>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44467EE2"/>
    <w:multiLevelType w:val="hybridMultilevel"/>
    <w:tmpl w:val="148C98AA"/>
    <w:lvl w:ilvl="0" w:tplc="427C040C">
      <w:start w:val="1"/>
      <w:numFmt w:val="bullet"/>
      <w:lvlText w:val="-"/>
      <w:lvlJc w:val="left"/>
      <w:pPr>
        <w:ind w:left="1080" w:hanging="360"/>
      </w:pPr>
      <w:rPr>
        <w:rFonts w:ascii="Courier New" w:hAnsi="Courier New" w:hint="default"/>
      </w:rPr>
    </w:lvl>
    <w:lvl w:ilvl="1" w:tplc="7C7ADFE4">
      <w:start w:val="1"/>
      <w:numFmt w:val="bullet"/>
      <w:lvlText w:val="-"/>
      <w:lvlJc w:val="left"/>
      <w:pPr>
        <w:ind w:left="1800" w:hanging="360"/>
      </w:pPr>
      <w:rPr>
        <w:rFonts w:ascii="Courier New" w:hAnsi="Courier New" w:hint="default"/>
      </w:rPr>
    </w:lvl>
    <w:lvl w:ilvl="2" w:tplc="D126336A" w:tentative="1">
      <w:start w:val="1"/>
      <w:numFmt w:val="bullet"/>
      <w:lvlText w:val=""/>
      <w:lvlJc w:val="left"/>
      <w:pPr>
        <w:ind w:left="2520" w:hanging="360"/>
      </w:pPr>
      <w:rPr>
        <w:rFonts w:ascii="Wingdings" w:hAnsi="Wingdings" w:hint="default"/>
      </w:rPr>
    </w:lvl>
    <w:lvl w:ilvl="3" w:tplc="FB80EE26" w:tentative="1">
      <w:start w:val="1"/>
      <w:numFmt w:val="bullet"/>
      <w:lvlText w:val=""/>
      <w:lvlJc w:val="left"/>
      <w:pPr>
        <w:ind w:left="3240" w:hanging="360"/>
      </w:pPr>
      <w:rPr>
        <w:rFonts w:ascii="Symbol" w:hAnsi="Symbol" w:hint="default"/>
      </w:rPr>
    </w:lvl>
    <w:lvl w:ilvl="4" w:tplc="ADFE813E" w:tentative="1">
      <w:start w:val="1"/>
      <w:numFmt w:val="bullet"/>
      <w:lvlText w:val="o"/>
      <w:lvlJc w:val="left"/>
      <w:pPr>
        <w:ind w:left="3960" w:hanging="360"/>
      </w:pPr>
      <w:rPr>
        <w:rFonts w:ascii="Courier New" w:hAnsi="Courier New" w:hint="default"/>
      </w:rPr>
    </w:lvl>
    <w:lvl w:ilvl="5" w:tplc="CF6E45AC" w:tentative="1">
      <w:start w:val="1"/>
      <w:numFmt w:val="bullet"/>
      <w:lvlText w:val=""/>
      <w:lvlJc w:val="left"/>
      <w:pPr>
        <w:ind w:left="4680" w:hanging="360"/>
      </w:pPr>
      <w:rPr>
        <w:rFonts w:ascii="Wingdings" w:hAnsi="Wingdings" w:hint="default"/>
      </w:rPr>
    </w:lvl>
    <w:lvl w:ilvl="6" w:tplc="6CC43614" w:tentative="1">
      <w:start w:val="1"/>
      <w:numFmt w:val="bullet"/>
      <w:lvlText w:val=""/>
      <w:lvlJc w:val="left"/>
      <w:pPr>
        <w:ind w:left="5400" w:hanging="360"/>
      </w:pPr>
      <w:rPr>
        <w:rFonts w:ascii="Symbol" w:hAnsi="Symbol" w:hint="default"/>
      </w:rPr>
    </w:lvl>
    <w:lvl w:ilvl="7" w:tplc="06C4CA70" w:tentative="1">
      <w:start w:val="1"/>
      <w:numFmt w:val="bullet"/>
      <w:lvlText w:val="o"/>
      <w:lvlJc w:val="left"/>
      <w:pPr>
        <w:ind w:left="6120" w:hanging="360"/>
      </w:pPr>
      <w:rPr>
        <w:rFonts w:ascii="Courier New" w:hAnsi="Courier New" w:hint="default"/>
      </w:rPr>
    </w:lvl>
    <w:lvl w:ilvl="8" w:tplc="ADD2D7A6" w:tentative="1">
      <w:start w:val="1"/>
      <w:numFmt w:val="bullet"/>
      <w:lvlText w:val=""/>
      <w:lvlJc w:val="left"/>
      <w:pPr>
        <w:ind w:left="6840" w:hanging="360"/>
      </w:pPr>
      <w:rPr>
        <w:rFonts w:ascii="Wingdings" w:hAnsi="Wingdings" w:hint="default"/>
      </w:rPr>
    </w:lvl>
  </w:abstractNum>
  <w:abstractNum w:abstractNumId="39" w15:restartNumberingAfterBreak="0">
    <w:nsid w:val="46F97A37"/>
    <w:multiLevelType w:val="hybridMultilevel"/>
    <w:tmpl w:val="B3068798"/>
    <w:lvl w:ilvl="0" w:tplc="FD94A7E6">
      <w:start w:val="1"/>
      <w:numFmt w:val="bullet"/>
      <w:lvlText w:val="-"/>
      <w:lvlJc w:val="left"/>
      <w:pPr>
        <w:ind w:left="1080" w:hanging="360"/>
      </w:pPr>
      <w:rPr>
        <w:rFonts w:ascii="Courier New" w:hAnsi="Courier New" w:hint="default"/>
      </w:rPr>
    </w:lvl>
    <w:lvl w:ilvl="1" w:tplc="C62E5D58">
      <w:start w:val="1"/>
      <w:numFmt w:val="bullet"/>
      <w:lvlText w:val="o"/>
      <w:lvlJc w:val="left"/>
      <w:pPr>
        <w:ind w:left="1800" w:hanging="360"/>
      </w:pPr>
      <w:rPr>
        <w:rFonts w:ascii="Courier New" w:hAnsi="Courier New" w:hint="default"/>
      </w:rPr>
    </w:lvl>
    <w:lvl w:ilvl="2" w:tplc="674C2784" w:tentative="1">
      <w:start w:val="1"/>
      <w:numFmt w:val="bullet"/>
      <w:lvlText w:val=""/>
      <w:lvlJc w:val="left"/>
      <w:pPr>
        <w:ind w:left="2520" w:hanging="360"/>
      </w:pPr>
      <w:rPr>
        <w:rFonts w:ascii="Wingdings" w:hAnsi="Wingdings" w:hint="default"/>
      </w:rPr>
    </w:lvl>
    <w:lvl w:ilvl="3" w:tplc="4342B174" w:tentative="1">
      <w:start w:val="1"/>
      <w:numFmt w:val="bullet"/>
      <w:lvlText w:val=""/>
      <w:lvlJc w:val="left"/>
      <w:pPr>
        <w:ind w:left="3240" w:hanging="360"/>
      </w:pPr>
      <w:rPr>
        <w:rFonts w:ascii="Symbol" w:hAnsi="Symbol" w:hint="default"/>
      </w:rPr>
    </w:lvl>
    <w:lvl w:ilvl="4" w:tplc="52AAB924" w:tentative="1">
      <w:start w:val="1"/>
      <w:numFmt w:val="bullet"/>
      <w:lvlText w:val="o"/>
      <w:lvlJc w:val="left"/>
      <w:pPr>
        <w:ind w:left="3960" w:hanging="360"/>
      </w:pPr>
      <w:rPr>
        <w:rFonts w:ascii="Courier New" w:hAnsi="Courier New" w:hint="default"/>
      </w:rPr>
    </w:lvl>
    <w:lvl w:ilvl="5" w:tplc="152445BA" w:tentative="1">
      <w:start w:val="1"/>
      <w:numFmt w:val="bullet"/>
      <w:lvlText w:val=""/>
      <w:lvlJc w:val="left"/>
      <w:pPr>
        <w:ind w:left="4680" w:hanging="360"/>
      </w:pPr>
      <w:rPr>
        <w:rFonts w:ascii="Wingdings" w:hAnsi="Wingdings" w:hint="default"/>
      </w:rPr>
    </w:lvl>
    <w:lvl w:ilvl="6" w:tplc="63144FDC" w:tentative="1">
      <w:start w:val="1"/>
      <w:numFmt w:val="bullet"/>
      <w:lvlText w:val=""/>
      <w:lvlJc w:val="left"/>
      <w:pPr>
        <w:ind w:left="5400" w:hanging="360"/>
      </w:pPr>
      <w:rPr>
        <w:rFonts w:ascii="Symbol" w:hAnsi="Symbol" w:hint="default"/>
      </w:rPr>
    </w:lvl>
    <w:lvl w:ilvl="7" w:tplc="277E8C34" w:tentative="1">
      <w:start w:val="1"/>
      <w:numFmt w:val="bullet"/>
      <w:lvlText w:val="o"/>
      <w:lvlJc w:val="left"/>
      <w:pPr>
        <w:ind w:left="6120" w:hanging="360"/>
      </w:pPr>
      <w:rPr>
        <w:rFonts w:ascii="Courier New" w:hAnsi="Courier New" w:hint="default"/>
      </w:rPr>
    </w:lvl>
    <w:lvl w:ilvl="8" w:tplc="156A085C" w:tentative="1">
      <w:start w:val="1"/>
      <w:numFmt w:val="bullet"/>
      <w:lvlText w:val=""/>
      <w:lvlJc w:val="left"/>
      <w:pPr>
        <w:ind w:left="6840" w:hanging="360"/>
      </w:pPr>
      <w:rPr>
        <w:rFonts w:ascii="Wingdings" w:hAnsi="Wingdings" w:hint="default"/>
      </w:rPr>
    </w:lvl>
  </w:abstractNum>
  <w:abstractNum w:abstractNumId="40" w15:restartNumberingAfterBreak="0">
    <w:nsid w:val="49116134"/>
    <w:multiLevelType w:val="multilevel"/>
    <w:tmpl w:val="6054F30A"/>
    <w:lvl w:ilvl="0">
      <w:start w:val="1"/>
      <w:numFmt w:val="decimal"/>
      <w:lvlText w:val="%1."/>
      <w:lvlJc w:val="left"/>
      <w:pPr>
        <w:tabs>
          <w:tab w:val="num" w:pos="720"/>
        </w:tabs>
        <w:ind w:left="720" w:hanging="360"/>
      </w:pPr>
      <w:rPr>
        <w:rFonts w:ascii="Arial" w:hAnsi="Arial" w:hint="default"/>
        <w:b w:val="0"/>
        <w:bCs/>
        <w:sz w:val="20"/>
      </w:rPr>
    </w:lvl>
    <w:lvl w:ilvl="1">
      <w:start w:val="1"/>
      <w:numFmt w:val="lowerLetter"/>
      <w:lvlText w:val="%2)"/>
      <w:lvlJc w:val="left"/>
      <w:pPr>
        <w:ind w:left="1440" w:hanging="360"/>
      </w:p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ADE68FF"/>
    <w:multiLevelType w:val="hybridMultilevel"/>
    <w:tmpl w:val="80105F06"/>
    <w:lvl w:ilvl="0" w:tplc="2D6AB212">
      <w:start w:val="1"/>
      <w:numFmt w:val="decimal"/>
      <w:lvlText w:val="%1."/>
      <w:lvlJc w:val="left"/>
      <w:pPr>
        <w:ind w:left="720" w:hanging="360"/>
      </w:pPr>
    </w:lvl>
    <w:lvl w:ilvl="1" w:tplc="D7D83556" w:tentative="1">
      <w:start w:val="1"/>
      <w:numFmt w:val="lowerLetter"/>
      <w:lvlText w:val="%2."/>
      <w:lvlJc w:val="left"/>
      <w:pPr>
        <w:ind w:left="1440" w:hanging="360"/>
      </w:pPr>
    </w:lvl>
    <w:lvl w:ilvl="2" w:tplc="92E4DC0A" w:tentative="1">
      <w:start w:val="1"/>
      <w:numFmt w:val="lowerRoman"/>
      <w:lvlText w:val="%3."/>
      <w:lvlJc w:val="right"/>
      <w:pPr>
        <w:ind w:left="2160" w:hanging="180"/>
      </w:pPr>
    </w:lvl>
    <w:lvl w:ilvl="3" w:tplc="2CEA74B8" w:tentative="1">
      <w:start w:val="1"/>
      <w:numFmt w:val="decimal"/>
      <w:lvlText w:val="%4."/>
      <w:lvlJc w:val="left"/>
      <w:pPr>
        <w:ind w:left="2880" w:hanging="360"/>
      </w:pPr>
    </w:lvl>
    <w:lvl w:ilvl="4" w:tplc="44721864" w:tentative="1">
      <w:start w:val="1"/>
      <w:numFmt w:val="lowerLetter"/>
      <w:lvlText w:val="%5."/>
      <w:lvlJc w:val="left"/>
      <w:pPr>
        <w:ind w:left="3600" w:hanging="360"/>
      </w:pPr>
    </w:lvl>
    <w:lvl w:ilvl="5" w:tplc="FFF607BE" w:tentative="1">
      <w:start w:val="1"/>
      <w:numFmt w:val="lowerRoman"/>
      <w:lvlText w:val="%6."/>
      <w:lvlJc w:val="right"/>
      <w:pPr>
        <w:ind w:left="4320" w:hanging="180"/>
      </w:pPr>
    </w:lvl>
    <w:lvl w:ilvl="6" w:tplc="3F38DAFA" w:tentative="1">
      <w:start w:val="1"/>
      <w:numFmt w:val="decimal"/>
      <w:lvlText w:val="%7."/>
      <w:lvlJc w:val="left"/>
      <w:pPr>
        <w:ind w:left="5040" w:hanging="360"/>
      </w:pPr>
    </w:lvl>
    <w:lvl w:ilvl="7" w:tplc="24B81A74" w:tentative="1">
      <w:start w:val="1"/>
      <w:numFmt w:val="lowerLetter"/>
      <w:lvlText w:val="%8."/>
      <w:lvlJc w:val="left"/>
      <w:pPr>
        <w:ind w:left="5760" w:hanging="360"/>
      </w:pPr>
    </w:lvl>
    <w:lvl w:ilvl="8" w:tplc="3EF81942" w:tentative="1">
      <w:start w:val="1"/>
      <w:numFmt w:val="lowerRoman"/>
      <w:lvlText w:val="%9."/>
      <w:lvlJc w:val="right"/>
      <w:pPr>
        <w:ind w:left="6480" w:hanging="180"/>
      </w:pPr>
    </w:lvl>
  </w:abstractNum>
  <w:abstractNum w:abstractNumId="42" w15:restartNumberingAfterBreak="0">
    <w:nsid w:val="4E847CFD"/>
    <w:multiLevelType w:val="hybridMultilevel"/>
    <w:tmpl w:val="FFFFFFFF"/>
    <w:lvl w:ilvl="0" w:tplc="BAEC5FA4">
      <w:start w:val="1"/>
      <w:numFmt w:val="bullet"/>
      <w:lvlText w:val=""/>
      <w:lvlJc w:val="left"/>
      <w:pPr>
        <w:ind w:left="720" w:hanging="360"/>
      </w:pPr>
      <w:rPr>
        <w:rFonts w:ascii="Symbol" w:hAnsi="Symbol" w:hint="default"/>
      </w:rPr>
    </w:lvl>
    <w:lvl w:ilvl="1" w:tplc="A1FA9172">
      <w:start w:val="1"/>
      <w:numFmt w:val="bullet"/>
      <w:lvlText w:val="o"/>
      <w:lvlJc w:val="left"/>
      <w:pPr>
        <w:ind w:left="1440" w:hanging="360"/>
      </w:pPr>
      <w:rPr>
        <w:rFonts w:ascii="Courier New" w:hAnsi="Courier New" w:hint="default"/>
      </w:rPr>
    </w:lvl>
    <w:lvl w:ilvl="2" w:tplc="27DC933C">
      <w:start w:val="1"/>
      <w:numFmt w:val="bullet"/>
      <w:lvlText w:val=""/>
      <w:lvlJc w:val="left"/>
      <w:pPr>
        <w:ind w:left="2160" w:hanging="360"/>
      </w:pPr>
      <w:rPr>
        <w:rFonts w:ascii="Wingdings" w:hAnsi="Wingdings" w:hint="default"/>
      </w:rPr>
    </w:lvl>
    <w:lvl w:ilvl="3" w:tplc="FC747CA0">
      <w:start w:val="1"/>
      <w:numFmt w:val="bullet"/>
      <w:lvlText w:val=""/>
      <w:lvlJc w:val="left"/>
      <w:pPr>
        <w:ind w:left="2880" w:hanging="360"/>
      </w:pPr>
      <w:rPr>
        <w:rFonts w:ascii="Symbol" w:hAnsi="Symbol" w:hint="default"/>
      </w:rPr>
    </w:lvl>
    <w:lvl w:ilvl="4" w:tplc="A56804BE">
      <w:start w:val="1"/>
      <w:numFmt w:val="bullet"/>
      <w:lvlText w:val="o"/>
      <w:lvlJc w:val="left"/>
      <w:pPr>
        <w:ind w:left="3600" w:hanging="360"/>
      </w:pPr>
      <w:rPr>
        <w:rFonts w:ascii="Courier New" w:hAnsi="Courier New" w:hint="default"/>
      </w:rPr>
    </w:lvl>
    <w:lvl w:ilvl="5" w:tplc="69CE8246">
      <w:start w:val="1"/>
      <w:numFmt w:val="bullet"/>
      <w:lvlText w:val=""/>
      <w:lvlJc w:val="left"/>
      <w:pPr>
        <w:ind w:left="4320" w:hanging="360"/>
      </w:pPr>
      <w:rPr>
        <w:rFonts w:ascii="Wingdings" w:hAnsi="Wingdings" w:hint="default"/>
      </w:rPr>
    </w:lvl>
    <w:lvl w:ilvl="6" w:tplc="1FDA6D90">
      <w:start w:val="1"/>
      <w:numFmt w:val="bullet"/>
      <w:lvlText w:val=""/>
      <w:lvlJc w:val="left"/>
      <w:pPr>
        <w:ind w:left="5040" w:hanging="360"/>
      </w:pPr>
      <w:rPr>
        <w:rFonts w:ascii="Symbol" w:hAnsi="Symbol" w:hint="default"/>
      </w:rPr>
    </w:lvl>
    <w:lvl w:ilvl="7" w:tplc="AC966C78">
      <w:start w:val="1"/>
      <w:numFmt w:val="bullet"/>
      <w:lvlText w:val="o"/>
      <w:lvlJc w:val="left"/>
      <w:pPr>
        <w:ind w:left="5760" w:hanging="360"/>
      </w:pPr>
      <w:rPr>
        <w:rFonts w:ascii="Courier New" w:hAnsi="Courier New" w:hint="default"/>
      </w:rPr>
    </w:lvl>
    <w:lvl w:ilvl="8" w:tplc="D77672B8">
      <w:start w:val="1"/>
      <w:numFmt w:val="bullet"/>
      <w:lvlText w:val=""/>
      <w:lvlJc w:val="left"/>
      <w:pPr>
        <w:ind w:left="6480" w:hanging="360"/>
      </w:pPr>
      <w:rPr>
        <w:rFonts w:ascii="Wingdings" w:hAnsi="Wingdings" w:hint="default"/>
      </w:rPr>
    </w:lvl>
  </w:abstractNum>
  <w:abstractNum w:abstractNumId="43" w15:restartNumberingAfterBreak="0">
    <w:nsid w:val="509355C0"/>
    <w:multiLevelType w:val="multilevel"/>
    <w:tmpl w:val="6054F30A"/>
    <w:lvl w:ilvl="0">
      <w:start w:val="1"/>
      <w:numFmt w:val="decimal"/>
      <w:lvlText w:val="%1."/>
      <w:lvlJc w:val="left"/>
      <w:pPr>
        <w:tabs>
          <w:tab w:val="num" w:pos="720"/>
        </w:tabs>
        <w:ind w:left="720" w:hanging="360"/>
      </w:pPr>
      <w:rPr>
        <w:rFonts w:ascii="Arial" w:hAnsi="Arial" w:hint="default"/>
        <w:b w:val="0"/>
        <w:bCs/>
        <w:sz w:val="20"/>
      </w:rPr>
    </w:lvl>
    <w:lvl w:ilvl="1">
      <w:start w:val="1"/>
      <w:numFmt w:val="lowerLetter"/>
      <w:lvlText w:val="%2)"/>
      <w:lvlJc w:val="left"/>
      <w:pPr>
        <w:ind w:left="1440" w:hanging="360"/>
      </w:p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11C5FC1"/>
    <w:multiLevelType w:val="hybridMultilevel"/>
    <w:tmpl w:val="FFFFFFFF"/>
    <w:lvl w:ilvl="0" w:tplc="DE423882">
      <w:start w:val="1"/>
      <w:numFmt w:val="lowerLetter"/>
      <w:lvlText w:val="%1)"/>
      <w:lvlJc w:val="left"/>
      <w:pPr>
        <w:ind w:left="1080" w:hanging="360"/>
      </w:pPr>
    </w:lvl>
    <w:lvl w:ilvl="1" w:tplc="3A3EBC6E">
      <w:start w:val="1"/>
      <w:numFmt w:val="lowerLetter"/>
      <w:lvlText w:val="%2."/>
      <w:lvlJc w:val="left"/>
      <w:pPr>
        <w:ind w:left="1800" w:hanging="360"/>
      </w:pPr>
    </w:lvl>
    <w:lvl w:ilvl="2" w:tplc="482637D2">
      <w:start w:val="1"/>
      <w:numFmt w:val="lowerRoman"/>
      <w:lvlText w:val="%3."/>
      <w:lvlJc w:val="right"/>
      <w:pPr>
        <w:ind w:left="2520" w:hanging="180"/>
      </w:pPr>
    </w:lvl>
    <w:lvl w:ilvl="3" w:tplc="D784930A">
      <w:start w:val="1"/>
      <w:numFmt w:val="decimal"/>
      <w:lvlText w:val="%4."/>
      <w:lvlJc w:val="left"/>
      <w:pPr>
        <w:ind w:left="3240" w:hanging="360"/>
      </w:pPr>
    </w:lvl>
    <w:lvl w:ilvl="4" w:tplc="5D5AE2D8">
      <w:start w:val="1"/>
      <w:numFmt w:val="lowerLetter"/>
      <w:lvlText w:val="%5."/>
      <w:lvlJc w:val="left"/>
      <w:pPr>
        <w:ind w:left="3960" w:hanging="360"/>
      </w:pPr>
    </w:lvl>
    <w:lvl w:ilvl="5" w:tplc="285A6A5E">
      <w:start w:val="1"/>
      <w:numFmt w:val="lowerRoman"/>
      <w:lvlText w:val="%6."/>
      <w:lvlJc w:val="right"/>
      <w:pPr>
        <w:ind w:left="4680" w:hanging="180"/>
      </w:pPr>
    </w:lvl>
    <w:lvl w:ilvl="6" w:tplc="F2EAA08A">
      <w:start w:val="1"/>
      <w:numFmt w:val="decimal"/>
      <w:lvlText w:val="%7."/>
      <w:lvlJc w:val="left"/>
      <w:pPr>
        <w:ind w:left="5400" w:hanging="360"/>
      </w:pPr>
    </w:lvl>
    <w:lvl w:ilvl="7" w:tplc="4822D39E">
      <w:start w:val="1"/>
      <w:numFmt w:val="lowerLetter"/>
      <w:lvlText w:val="%8."/>
      <w:lvlJc w:val="left"/>
      <w:pPr>
        <w:ind w:left="6120" w:hanging="360"/>
      </w:pPr>
    </w:lvl>
    <w:lvl w:ilvl="8" w:tplc="F542A864">
      <w:start w:val="1"/>
      <w:numFmt w:val="lowerRoman"/>
      <w:lvlText w:val="%9."/>
      <w:lvlJc w:val="right"/>
      <w:pPr>
        <w:ind w:left="6840" w:hanging="180"/>
      </w:pPr>
    </w:lvl>
  </w:abstractNum>
  <w:abstractNum w:abstractNumId="45" w15:restartNumberingAfterBreak="0">
    <w:nsid w:val="52001B62"/>
    <w:multiLevelType w:val="hybridMultilevel"/>
    <w:tmpl w:val="735ADDC4"/>
    <w:lvl w:ilvl="0" w:tplc="E2E29B5C">
      <w:start w:val="1"/>
      <w:numFmt w:val="bullet"/>
      <w:lvlText w:val=""/>
      <w:lvlJc w:val="left"/>
      <w:pPr>
        <w:ind w:left="720" w:hanging="360"/>
      </w:pPr>
      <w:rPr>
        <w:rFonts w:ascii="Symbol" w:hAnsi="Symbol" w:hint="default"/>
      </w:rPr>
    </w:lvl>
    <w:lvl w:ilvl="1" w:tplc="C97AFF56" w:tentative="1">
      <w:start w:val="1"/>
      <w:numFmt w:val="bullet"/>
      <w:lvlText w:val="o"/>
      <w:lvlJc w:val="left"/>
      <w:pPr>
        <w:ind w:left="1440" w:hanging="360"/>
      </w:pPr>
      <w:rPr>
        <w:rFonts w:ascii="Courier New" w:hAnsi="Courier New" w:hint="default"/>
      </w:rPr>
    </w:lvl>
    <w:lvl w:ilvl="2" w:tplc="37EE2422" w:tentative="1">
      <w:start w:val="1"/>
      <w:numFmt w:val="bullet"/>
      <w:lvlText w:val=""/>
      <w:lvlJc w:val="left"/>
      <w:pPr>
        <w:ind w:left="2160" w:hanging="360"/>
      </w:pPr>
      <w:rPr>
        <w:rFonts w:ascii="Wingdings" w:hAnsi="Wingdings" w:hint="default"/>
      </w:rPr>
    </w:lvl>
    <w:lvl w:ilvl="3" w:tplc="98F800FC" w:tentative="1">
      <w:start w:val="1"/>
      <w:numFmt w:val="bullet"/>
      <w:lvlText w:val=""/>
      <w:lvlJc w:val="left"/>
      <w:pPr>
        <w:ind w:left="2880" w:hanging="360"/>
      </w:pPr>
      <w:rPr>
        <w:rFonts w:ascii="Symbol" w:hAnsi="Symbol" w:hint="default"/>
      </w:rPr>
    </w:lvl>
    <w:lvl w:ilvl="4" w:tplc="2A623A38" w:tentative="1">
      <w:start w:val="1"/>
      <w:numFmt w:val="bullet"/>
      <w:lvlText w:val="o"/>
      <w:lvlJc w:val="left"/>
      <w:pPr>
        <w:ind w:left="3600" w:hanging="360"/>
      </w:pPr>
      <w:rPr>
        <w:rFonts w:ascii="Courier New" w:hAnsi="Courier New" w:hint="default"/>
      </w:rPr>
    </w:lvl>
    <w:lvl w:ilvl="5" w:tplc="D7987E36" w:tentative="1">
      <w:start w:val="1"/>
      <w:numFmt w:val="bullet"/>
      <w:lvlText w:val=""/>
      <w:lvlJc w:val="left"/>
      <w:pPr>
        <w:ind w:left="4320" w:hanging="360"/>
      </w:pPr>
      <w:rPr>
        <w:rFonts w:ascii="Wingdings" w:hAnsi="Wingdings" w:hint="default"/>
      </w:rPr>
    </w:lvl>
    <w:lvl w:ilvl="6" w:tplc="53DC928A" w:tentative="1">
      <w:start w:val="1"/>
      <w:numFmt w:val="bullet"/>
      <w:lvlText w:val=""/>
      <w:lvlJc w:val="left"/>
      <w:pPr>
        <w:ind w:left="5040" w:hanging="360"/>
      </w:pPr>
      <w:rPr>
        <w:rFonts w:ascii="Symbol" w:hAnsi="Symbol" w:hint="default"/>
      </w:rPr>
    </w:lvl>
    <w:lvl w:ilvl="7" w:tplc="65B66B96" w:tentative="1">
      <w:start w:val="1"/>
      <w:numFmt w:val="bullet"/>
      <w:lvlText w:val="o"/>
      <w:lvlJc w:val="left"/>
      <w:pPr>
        <w:ind w:left="5760" w:hanging="360"/>
      </w:pPr>
      <w:rPr>
        <w:rFonts w:ascii="Courier New" w:hAnsi="Courier New" w:hint="default"/>
      </w:rPr>
    </w:lvl>
    <w:lvl w:ilvl="8" w:tplc="E12CED6E" w:tentative="1">
      <w:start w:val="1"/>
      <w:numFmt w:val="bullet"/>
      <w:lvlText w:val=""/>
      <w:lvlJc w:val="left"/>
      <w:pPr>
        <w:ind w:left="6480" w:hanging="360"/>
      </w:pPr>
      <w:rPr>
        <w:rFonts w:ascii="Wingdings" w:hAnsi="Wingdings" w:hint="default"/>
      </w:rPr>
    </w:lvl>
  </w:abstractNum>
  <w:abstractNum w:abstractNumId="46" w15:restartNumberingAfterBreak="0">
    <w:nsid w:val="52275FF3"/>
    <w:multiLevelType w:val="hybridMultilevel"/>
    <w:tmpl w:val="74ECE0B8"/>
    <w:lvl w:ilvl="0" w:tplc="4412DC08">
      <w:start w:val="1"/>
      <w:numFmt w:val="decimal"/>
      <w:lvlText w:val="%1."/>
      <w:lvlJc w:val="left"/>
      <w:pPr>
        <w:ind w:left="720" w:hanging="360"/>
      </w:pPr>
    </w:lvl>
    <w:lvl w:ilvl="1" w:tplc="B91A9472" w:tentative="1">
      <w:start w:val="1"/>
      <w:numFmt w:val="lowerLetter"/>
      <w:lvlText w:val="%2."/>
      <w:lvlJc w:val="left"/>
      <w:pPr>
        <w:ind w:left="1440" w:hanging="360"/>
      </w:pPr>
    </w:lvl>
    <w:lvl w:ilvl="2" w:tplc="833AE862" w:tentative="1">
      <w:start w:val="1"/>
      <w:numFmt w:val="lowerRoman"/>
      <w:lvlText w:val="%3."/>
      <w:lvlJc w:val="right"/>
      <w:pPr>
        <w:ind w:left="2160" w:hanging="180"/>
      </w:pPr>
    </w:lvl>
    <w:lvl w:ilvl="3" w:tplc="8488FED2" w:tentative="1">
      <w:start w:val="1"/>
      <w:numFmt w:val="decimal"/>
      <w:lvlText w:val="%4."/>
      <w:lvlJc w:val="left"/>
      <w:pPr>
        <w:ind w:left="2880" w:hanging="360"/>
      </w:pPr>
    </w:lvl>
    <w:lvl w:ilvl="4" w:tplc="756AC176" w:tentative="1">
      <w:start w:val="1"/>
      <w:numFmt w:val="lowerLetter"/>
      <w:lvlText w:val="%5."/>
      <w:lvlJc w:val="left"/>
      <w:pPr>
        <w:ind w:left="3600" w:hanging="360"/>
      </w:pPr>
    </w:lvl>
    <w:lvl w:ilvl="5" w:tplc="50EE1990" w:tentative="1">
      <w:start w:val="1"/>
      <w:numFmt w:val="lowerRoman"/>
      <w:lvlText w:val="%6."/>
      <w:lvlJc w:val="right"/>
      <w:pPr>
        <w:ind w:left="4320" w:hanging="180"/>
      </w:pPr>
    </w:lvl>
    <w:lvl w:ilvl="6" w:tplc="13A60A04" w:tentative="1">
      <w:start w:val="1"/>
      <w:numFmt w:val="decimal"/>
      <w:lvlText w:val="%7."/>
      <w:lvlJc w:val="left"/>
      <w:pPr>
        <w:ind w:left="5040" w:hanging="360"/>
      </w:pPr>
    </w:lvl>
    <w:lvl w:ilvl="7" w:tplc="A73650E4" w:tentative="1">
      <w:start w:val="1"/>
      <w:numFmt w:val="lowerLetter"/>
      <w:lvlText w:val="%8."/>
      <w:lvlJc w:val="left"/>
      <w:pPr>
        <w:ind w:left="5760" w:hanging="360"/>
      </w:pPr>
    </w:lvl>
    <w:lvl w:ilvl="8" w:tplc="A06015FC" w:tentative="1">
      <w:start w:val="1"/>
      <w:numFmt w:val="lowerRoman"/>
      <w:lvlText w:val="%9."/>
      <w:lvlJc w:val="right"/>
      <w:pPr>
        <w:ind w:left="6480" w:hanging="180"/>
      </w:pPr>
    </w:lvl>
  </w:abstractNum>
  <w:abstractNum w:abstractNumId="47" w15:restartNumberingAfterBreak="0">
    <w:nsid w:val="562639D8"/>
    <w:multiLevelType w:val="hybridMultilevel"/>
    <w:tmpl w:val="6B8C4F12"/>
    <w:lvl w:ilvl="0" w:tplc="D44C1916">
      <w:start w:val="1"/>
      <w:numFmt w:val="lowerLetter"/>
      <w:lvlText w:val="%1)"/>
      <w:lvlJc w:val="left"/>
      <w:pPr>
        <w:ind w:left="720" w:hanging="360"/>
      </w:pPr>
    </w:lvl>
    <w:lvl w:ilvl="1" w:tplc="E5BAB77E" w:tentative="1">
      <w:start w:val="1"/>
      <w:numFmt w:val="lowerLetter"/>
      <w:lvlText w:val="%2."/>
      <w:lvlJc w:val="left"/>
      <w:pPr>
        <w:ind w:left="1440" w:hanging="360"/>
      </w:pPr>
    </w:lvl>
    <w:lvl w:ilvl="2" w:tplc="DA5EF3C0" w:tentative="1">
      <w:start w:val="1"/>
      <w:numFmt w:val="lowerRoman"/>
      <w:lvlText w:val="%3."/>
      <w:lvlJc w:val="right"/>
      <w:pPr>
        <w:ind w:left="2160" w:hanging="180"/>
      </w:pPr>
    </w:lvl>
    <w:lvl w:ilvl="3" w:tplc="D390E584" w:tentative="1">
      <w:start w:val="1"/>
      <w:numFmt w:val="decimal"/>
      <w:lvlText w:val="%4."/>
      <w:lvlJc w:val="left"/>
      <w:pPr>
        <w:ind w:left="2880" w:hanging="360"/>
      </w:pPr>
    </w:lvl>
    <w:lvl w:ilvl="4" w:tplc="99B2AD46" w:tentative="1">
      <w:start w:val="1"/>
      <w:numFmt w:val="lowerLetter"/>
      <w:lvlText w:val="%5."/>
      <w:lvlJc w:val="left"/>
      <w:pPr>
        <w:ind w:left="3600" w:hanging="360"/>
      </w:pPr>
    </w:lvl>
    <w:lvl w:ilvl="5" w:tplc="C220CD72" w:tentative="1">
      <w:start w:val="1"/>
      <w:numFmt w:val="lowerRoman"/>
      <w:lvlText w:val="%6."/>
      <w:lvlJc w:val="right"/>
      <w:pPr>
        <w:ind w:left="4320" w:hanging="180"/>
      </w:pPr>
    </w:lvl>
    <w:lvl w:ilvl="6" w:tplc="16BA41E4" w:tentative="1">
      <w:start w:val="1"/>
      <w:numFmt w:val="decimal"/>
      <w:lvlText w:val="%7."/>
      <w:lvlJc w:val="left"/>
      <w:pPr>
        <w:ind w:left="5040" w:hanging="360"/>
      </w:pPr>
    </w:lvl>
    <w:lvl w:ilvl="7" w:tplc="14E6204A" w:tentative="1">
      <w:start w:val="1"/>
      <w:numFmt w:val="lowerLetter"/>
      <w:lvlText w:val="%8."/>
      <w:lvlJc w:val="left"/>
      <w:pPr>
        <w:ind w:left="5760" w:hanging="360"/>
      </w:pPr>
    </w:lvl>
    <w:lvl w:ilvl="8" w:tplc="0120A71E" w:tentative="1">
      <w:start w:val="1"/>
      <w:numFmt w:val="lowerRoman"/>
      <w:lvlText w:val="%9."/>
      <w:lvlJc w:val="right"/>
      <w:pPr>
        <w:ind w:left="6480" w:hanging="180"/>
      </w:pPr>
    </w:lvl>
  </w:abstractNum>
  <w:abstractNum w:abstractNumId="48" w15:restartNumberingAfterBreak="0">
    <w:nsid w:val="57A93130"/>
    <w:multiLevelType w:val="hybridMultilevel"/>
    <w:tmpl w:val="7A5ECE10"/>
    <w:lvl w:ilvl="0" w:tplc="B45243CE">
      <w:start w:val="1"/>
      <w:numFmt w:val="bullet"/>
      <w:lvlText w:val=""/>
      <w:lvlJc w:val="left"/>
      <w:pPr>
        <w:ind w:left="1800" w:hanging="360"/>
      </w:pPr>
      <w:rPr>
        <w:rFonts w:ascii="Symbol" w:hAnsi="Symbol" w:hint="default"/>
      </w:rPr>
    </w:lvl>
    <w:lvl w:ilvl="1" w:tplc="973C3C7E" w:tentative="1">
      <w:start w:val="1"/>
      <w:numFmt w:val="lowerLetter"/>
      <w:lvlText w:val="%2."/>
      <w:lvlJc w:val="left"/>
      <w:pPr>
        <w:ind w:left="2520" w:hanging="360"/>
      </w:pPr>
    </w:lvl>
    <w:lvl w:ilvl="2" w:tplc="1D1E4AC6" w:tentative="1">
      <w:start w:val="1"/>
      <w:numFmt w:val="lowerRoman"/>
      <w:lvlText w:val="%3."/>
      <w:lvlJc w:val="right"/>
      <w:pPr>
        <w:ind w:left="3240" w:hanging="180"/>
      </w:pPr>
    </w:lvl>
    <w:lvl w:ilvl="3" w:tplc="DD8E3C8C" w:tentative="1">
      <w:start w:val="1"/>
      <w:numFmt w:val="decimal"/>
      <w:lvlText w:val="%4."/>
      <w:lvlJc w:val="left"/>
      <w:pPr>
        <w:ind w:left="3960" w:hanging="360"/>
      </w:pPr>
    </w:lvl>
    <w:lvl w:ilvl="4" w:tplc="10E48170" w:tentative="1">
      <w:start w:val="1"/>
      <w:numFmt w:val="lowerLetter"/>
      <w:lvlText w:val="%5."/>
      <w:lvlJc w:val="left"/>
      <w:pPr>
        <w:ind w:left="4680" w:hanging="360"/>
      </w:pPr>
    </w:lvl>
    <w:lvl w:ilvl="5" w:tplc="050ABAC0" w:tentative="1">
      <w:start w:val="1"/>
      <w:numFmt w:val="lowerRoman"/>
      <w:lvlText w:val="%6."/>
      <w:lvlJc w:val="right"/>
      <w:pPr>
        <w:ind w:left="5400" w:hanging="180"/>
      </w:pPr>
    </w:lvl>
    <w:lvl w:ilvl="6" w:tplc="0F4E64DC" w:tentative="1">
      <w:start w:val="1"/>
      <w:numFmt w:val="decimal"/>
      <w:lvlText w:val="%7."/>
      <w:lvlJc w:val="left"/>
      <w:pPr>
        <w:ind w:left="6120" w:hanging="360"/>
      </w:pPr>
    </w:lvl>
    <w:lvl w:ilvl="7" w:tplc="CB284524" w:tentative="1">
      <w:start w:val="1"/>
      <w:numFmt w:val="lowerLetter"/>
      <w:lvlText w:val="%8."/>
      <w:lvlJc w:val="left"/>
      <w:pPr>
        <w:ind w:left="6840" w:hanging="360"/>
      </w:pPr>
    </w:lvl>
    <w:lvl w:ilvl="8" w:tplc="EE50FAF0" w:tentative="1">
      <w:start w:val="1"/>
      <w:numFmt w:val="lowerRoman"/>
      <w:lvlText w:val="%9."/>
      <w:lvlJc w:val="right"/>
      <w:pPr>
        <w:ind w:left="7560" w:hanging="180"/>
      </w:pPr>
    </w:lvl>
  </w:abstractNum>
  <w:abstractNum w:abstractNumId="49" w15:restartNumberingAfterBreak="0">
    <w:nsid w:val="58C8E66B"/>
    <w:multiLevelType w:val="multilevel"/>
    <w:tmpl w:val="FFFFFFFF"/>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59491C18"/>
    <w:multiLevelType w:val="hybridMultilevel"/>
    <w:tmpl w:val="BF387386"/>
    <w:lvl w:ilvl="0" w:tplc="E03E3DEC">
      <w:numFmt w:val="bullet"/>
      <w:lvlText w:val="-"/>
      <w:lvlJc w:val="left"/>
      <w:pPr>
        <w:ind w:left="720" w:hanging="360"/>
      </w:pPr>
      <w:rPr>
        <w:rFonts w:ascii="Calibri" w:hAnsi="Calibri" w:hint="default"/>
      </w:rPr>
    </w:lvl>
    <w:lvl w:ilvl="1" w:tplc="E376B21E">
      <w:start w:val="1"/>
      <w:numFmt w:val="bullet"/>
      <w:lvlText w:val="o"/>
      <w:lvlJc w:val="left"/>
      <w:pPr>
        <w:ind w:left="1440" w:hanging="360"/>
      </w:pPr>
      <w:rPr>
        <w:rFonts w:ascii="Courier New" w:hAnsi="Courier New" w:hint="default"/>
      </w:rPr>
    </w:lvl>
    <w:lvl w:ilvl="2" w:tplc="B3B01298" w:tentative="1">
      <w:start w:val="1"/>
      <w:numFmt w:val="bullet"/>
      <w:lvlText w:val=""/>
      <w:lvlJc w:val="left"/>
      <w:pPr>
        <w:ind w:left="2160" w:hanging="360"/>
      </w:pPr>
      <w:rPr>
        <w:rFonts w:ascii="Wingdings" w:hAnsi="Wingdings" w:hint="default"/>
      </w:rPr>
    </w:lvl>
    <w:lvl w:ilvl="3" w:tplc="BB6A7BC8" w:tentative="1">
      <w:start w:val="1"/>
      <w:numFmt w:val="bullet"/>
      <w:lvlText w:val=""/>
      <w:lvlJc w:val="left"/>
      <w:pPr>
        <w:ind w:left="2880" w:hanging="360"/>
      </w:pPr>
      <w:rPr>
        <w:rFonts w:ascii="Symbol" w:hAnsi="Symbol" w:hint="default"/>
      </w:rPr>
    </w:lvl>
    <w:lvl w:ilvl="4" w:tplc="42761288" w:tentative="1">
      <w:start w:val="1"/>
      <w:numFmt w:val="bullet"/>
      <w:lvlText w:val="o"/>
      <w:lvlJc w:val="left"/>
      <w:pPr>
        <w:ind w:left="3600" w:hanging="360"/>
      </w:pPr>
      <w:rPr>
        <w:rFonts w:ascii="Courier New" w:hAnsi="Courier New" w:hint="default"/>
      </w:rPr>
    </w:lvl>
    <w:lvl w:ilvl="5" w:tplc="3E246FC8" w:tentative="1">
      <w:start w:val="1"/>
      <w:numFmt w:val="bullet"/>
      <w:lvlText w:val=""/>
      <w:lvlJc w:val="left"/>
      <w:pPr>
        <w:ind w:left="4320" w:hanging="360"/>
      </w:pPr>
      <w:rPr>
        <w:rFonts w:ascii="Wingdings" w:hAnsi="Wingdings" w:hint="default"/>
      </w:rPr>
    </w:lvl>
    <w:lvl w:ilvl="6" w:tplc="C0CCEE4C" w:tentative="1">
      <w:start w:val="1"/>
      <w:numFmt w:val="bullet"/>
      <w:lvlText w:val=""/>
      <w:lvlJc w:val="left"/>
      <w:pPr>
        <w:ind w:left="5040" w:hanging="360"/>
      </w:pPr>
      <w:rPr>
        <w:rFonts w:ascii="Symbol" w:hAnsi="Symbol" w:hint="default"/>
      </w:rPr>
    </w:lvl>
    <w:lvl w:ilvl="7" w:tplc="96BC364A" w:tentative="1">
      <w:start w:val="1"/>
      <w:numFmt w:val="bullet"/>
      <w:lvlText w:val="o"/>
      <w:lvlJc w:val="left"/>
      <w:pPr>
        <w:ind w:left="5760" w:hanging="360"/>
      </w:pPr>
      <w:rPr>
        <w:rFonts w:ascii="Courier New" w:hAnsi="Courier New" w:hint="default"/>
      </w:rPr>
    </w:lvl>
    <w:lvl w:ilvl="8" w:tplc="157A5DE6" w:tentative="1">
      <w:start w:val="1"/>
      <w:numFmt w:val="bullet"/>
      <w:lvlText w:val=""/>
      <w:lvlJc w:val="left"/>
      <w:pPr>
        <w:ind w:left="6480" w:hanging="360"/>
      </w:pPr>
      <w:rPr>
        <w:rFonts w:ascii="Wingdings" w:hAnsi="Wingdings" w:hint="default"/>
      </w:rPr>
    </w:lvl>
  </w:abstractNum>
  <w:abstractNum w:abstractNumId="51" w15:restartNumberingAfterBreak="0">
    <w:nsid w:val="59B81EAE"/>
    <w:multiLevelType w:val="multilevel"/>
    <w:tmpl w:val="A8ECFA22"/>
    <w:lvl w:ilvl="0">
      <w:start w:val="1"/>
      <w:numFmt w:val="decimal"/>
      <w:lvlText w:val="%1."/>
      <w:lvlJc w:val="left"/>
      <w:pPr>
        <w:tabs>
          <w:tab w:val="num" w:pos="720"/>
        </w:tabs>
        <w:ind w:left="720" w:hanging="360"/>
      </w:pPr>
      <w:rPr>
        <w:sz w:val="20"/>
      </w:rPr>
    </w:lvl>
    <w:lvl w:ilvl="1">
      <w:start w:val="1"/>
      <w:numFmt w:val="lowerLetter"/>
      <w:lvlText w:val="%2)"/>
      <w:lvlJc w:val="left"/>
      <w:pPr>
        <w:ind w:left="1440" w:hanging="360"/>
      </w:p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A6D03D3"/>
    <w:multiLevelType w:val="hybridMultilevel"/>
    <w:tmpl w:val="FFFFFFFF"/>
    <w:lvl w:ilvl="0" w:tplc="F56600F2">
      <w:start w:val="1"/>
      <w:numFmt w:val="lowerLetter"/>
      <w:lvlText w:val="%1)"/>
      <w:lvlJc w:val="left"/>
      <w:pPr>
        <w:ind w:left="720" w:hanging="360"/>
      </w:pPr>
    </w:lvl>
    <w:lvl w:ilvl="1" w:tplc="8598A064">
      <w:start w:val="1"/>
      <w:numFmt w:val="lowerLetter"/>
      <w:lvlText w:val="%2."/>
      <w:lvlJc w:val="left"/>
      <w:pPr>
        <w:ind w:left="1440" w:hanging="360"/>
      </w:pPr>
    </w:lvl>
    <w:lvl w:ilvl="2" w:tplc="A62A214E">
      <w:start w:val="1"/>
      <w:numFmt w:val="lowerRoman"/>
      <w:lvlText w:val="%3."/>
      <w:lvlJc w:val="right"/>
      <w:pPr>
        <w:ind w:left="2160" w:hanging="180"/>
      </w:pPr>
    </w:lvl>
    <w:lvl w:ilvl="3" w:tplc="042A3B4E">
      <w:start w:val="1"/>
      <w:numFmt w:val="decimal"/>
      <w:lvlText w:val="%4."/>
      <w:lvlJc w:val="left"/>
      <w:pPr>
        <w:ind w:left="2880" w:hanging="360"/>
      </w:pPr>
    </w:lvl>
    <w:lvl w:ilvl="4" w:tplc="797E43C8">
      <w:start w:val="1"/>
      <w:numFmt w:val="lowerLetter"/>
      <w:lvlText w:val="%5."/>
      <w:lvlJc w:val="left"/>
      <w:pPr>
        <w:ind w:left="3600" w:hanging="360"/>
      </w:pPr>
    </w:lvl>
    <w:lvl w:ilvl="5" w:tplc="A276FC1C">
      <w:start w:val="1"/>
      <w:numFmt w:val="lowerRoman"/>
      <w:lvlText w:val="%6."/>
      <w:lvlJc w:val="right"/>
      <w:pPr>
        <w:ind w:left="4320" w:hanging="180"/>
      </w:pPr>
    </w:lvl>
    <w:lvl w:ilvl="6" w:tplc="4ED828CA">
      <w:start w:val="1"/>
      <w:numFmt w:val="decimal"/>
      <w:lvlText w:val="%7."/>
      <w:lvlJc w:val="left"/>
      <w:pPr>
        <w:ind w:left="5040" w:hanging="360"/>
      </w:pPr>
    </w:lvl>
    <w:lvl w:ilvl="7" w:tplc="3D00AB38">
      <w:start w:val="1"/>
      <w:numFmt w:val="lowerLetter"/>
      <w:lvlText w:val="%8."/>
      <w:lvlJc w:val="left"/>
      <w:pPr>
        <w:ind w:left="5760" w:hanging="360"/>
      </w:pPr>
    </w:lvl>
    <w:lvl w:ilvl="8" w:tplc="1930965E">
      <w:start w:val="1"/>
      <w:numFmt w:val="lowerRoman"/>
      <w:lvlText w:val="%9."/>
      <w:lvlJc w:val="right"/>
      <w:pPr>
        <w:ind w:left="6480" w:hanging="180"/>
      </w:pPr>
    </w:lvl>
  </w:abstractNum>
  <w:abstractNum w:abstractNumId="53" w15:restartNumberingAfterBreak="0">
    <w:nsid w:val="5B02AEB1"/>
    <w:multiLevelType w:val="hybridMultilevel"/>
    <w:tmpl w:val="FFFFFFFF"/>
    <w:lvl w:ilvl="0" w:tplc="1D94362C">
      <w:start w:val="1"/>
      <w:numFmt w:val="bullet"/>
      <w:lvlText w:val="-"/>
      <w:lvlJc w:val="left"/>
      <w:pPr>
        <w:ind w:left="720" w:hanging="360"/>
      </w:pPr>
      <w:rPr>
        <w:rFonts w:ascii="&quot;Courier New&quot;" w:hAnsi="&quot;Courier New&quot;" w:hint="default"/>
      </w:rPr>
    </w:lvl>
    <w:lvl w:ilvl="1" w:tplc="8640EF32">
      <w:start w:val="1"/>
      <w:numFmt w:val="bullet"/>
      <w:lvlText w:val="o"/>
      <w:lvlJc w:val="left"/>
      <w:pPr>
        <w:ind w:left="1440" w:hanging="360"/>
      </w:pPr>
      <w:rPr>
        <w:rFonts w:ascii="Courier New" w:hAnsi="Courier New" w:hint="default"/>
      </w:rPr>
    </w:lvl>
    <w:lvl w:ilvl="2" w:tplc="0F522BF0">
      <w:start w:val="1"/>
      <w:numFmt w:val="bullet"/>
      <w:lvlText w:val=""/>
      <w:lvlJc w:val="left"/>
      <w:pPr>
        <w:ind w:left="2160" w:hanging="360"/>
      </w:pPr>
      <w:rPr>
        <w:rFonts w:ascii="Wingdings" w:hAnsi="Wingdings" w:hint="default"/>
      </w:rPr>
    </w:lvl>
    <w:lvl w:ilvl="3" w:tplc="18B41B5C">
      <w:start w:val="1"/>
      <w:numFmt w:val="bullet"/>
      <w:lvlText w:val=""/>
      <w:lvlJc w:val="left"/>
      <w:pPr>
        <w:ind w:left="2880" w:hanging="360"/>
      </w:pPr>
      <w:rPr>
        <w:rFonts w:ascii="Symbol" w:hAnsi="Symbol" w:hint="default"/>
      </w:rPr>
    </w:lvl>
    <w:lvl w:ilvl="4" w:tplc="D7069A24">
      <w:start w:val="1"/>
      <w:numFmt w:val="bullet"/>
      <w:lvlText w:val="o"/>
      <w:lvlJc w:val="left"/>
      <w:pPr>
        <w:ind w:left="3600" w:hanging="360"/>
      </w:pPr>
      <w:rPr>
        <w:rFonts w:ascii="Courier New" w:hAnsi="Courier New" w:hint="default"/>
      </w:rPr>
    </w:lvl>
    <w:lvl w:ilvl="5" w:tplc="D0C4665C">
      <w:start w:val="1"/>
      <w:numFmt w:val="bullet"/>
      <w:lvlText w:val=""/>
      <w:lvlJc w:val="left"/>
      <w:pPr>
        <w:ind w:left="4320" w:hanging="360"/>
      </w:pPr>
      <w:rPr>
        <w:rFonts w:ascii="Wingdings" w:hAnsi="Wingdings" w:hint="default"/>
      </w:rPr>
    </w:lvl>
    <w:lvl w:ilvl="6" w:tplc="38C8CBEE">
      <w:start w:val="1"/>
      <w:numFmt w:val="bullet"/>
      <w:lvlText w:val=""/>
      <w:lvlJc w:val="left"/>
      <w:pPr>
        <w:ind w:left="5040" w:hanging="360"/>
      </w:pPr>
      <w:rPr>
        <w:rFonts w:ascii="Symbol" w:hAnsi="Symbol" w:hint="default"/>
      </w:rPr>
    </w:lvl>
    <w:lvl w:ilvl="7" w:tplc="EA0685DC">
      <w:start w:val="1"/>
      <w:numFmt w:val="bullet"/>
      <w:lvlText w:val="o"/>
      <w:lvlJc w:val="left"/>
      <w:pPr>
        <w:ind w:left="5760" w:hanging="360"/>
      </w:pPr>
      <w:rPr>
        <w:rFonts w:ascii="Courier New" w:hAnsi="Courier New" w:hint="default"/>
      </w:rPr>
    </w:lvl>
    <w:lvl w:ilvl="8" w:tplc="E464636C">
      <w:start w:val="1"/>
      <w:numFmt w:val="bullet"/>
      <w:lvlText w:val=""/>
      <w:lvlJc w:val="left"/>
      <w:pPr>
        <w:ind w:left="6480" w:hanging="360"/>
      </w:pPr>
      <w:rPr>
        <w:rFonts w:ascii="Wingdings" w:hAnsi="Wingdings" w:hint="default"/>
      </w:rPr>
    </w:lvl>
  </w:abstractNum>
  <w:abstractNum w:abstractNumId="54" w15:restartNumberingAfterBreak="0">
    <w:nsid w:val="5DCD3EBA"/>
    <w:multiLevelType w:val="hybridMultilevel"/>
    <w:tmpl w:val="27CC1DD4"/>
    <w:lvl w:ilvl="0" w:tplc="2DD0E9E0">
      <w:numFmt w:val="bullet"/>
      <w:lvlText w:val="-"/>
      <w:lvlJc w:val="left"/>
      <w:pPr>
        <w:ind w:left="720" w:hanging="360"/>
      </w:pPr>
      <w:rPr>
        <w:rFonts w:ascii="Aptos" w:hAnsi="Aptos" w:hint="default"/>
      </w:rPr>
    </w:lvl>
    <w:lvl w:ilvl="1" w:tplc="E5FA3934" w:tentative="1">
      <w:start w:val="1"/>
      <w:numFmt w:val="bullet"/>
      <w:lvlText w:val="o"/>
      <w:lvlJc w:val="left"/>
      <w:pPr>
        <w:ind w:left="1440" w:hanging="360"/>
      </w:pPr>
      <w:rPr>
        <w:rFonts w:ascii="Courier New" w:hAnsi="Courier New" w:hint="default"/>
      </w:rPr>
    </w:lvl>
    <w:lvl w:ilvl="2" w:tplc="03286654" w:tentative="1">
      <w:start w:val="1"/>
      <w:numFmt w:val="bullet"/>
      <w:lvlText w:val=""/>
      <w:lvlJc w:val="left"/>
      <w:pPr>
        <w:ind w:left="2160" w:hanging="360"/>
      </w:pPr>
      <w:rPr>
        <w:rFonts w:ascii="Wingdings" w:hAnsi="Wingdings" w:hint="default"/>
      </w:rPr>
    </w:lvl>
    <w:lvl w:ilvl="3" w:tplc="1C54218E" w:tentative="1">
      <w:start w:val="1"/>
      <w:numFmt w:val="bullet"/>
      <w:lvlText w:val=""/>
      <w:lvlJc w:val="left"/>
      <w:pPr>
        <w:ind w:left="2880" w:hanging="360"/>
      </w:pPr>
      <w:rPr>
        <w:rFonts w:ascii="Symbol" w:hAnsi="Symbol" w:hint="default"/>
      </w:rPr>
    </w:lvl>
    <w:lvl w:ilvl="4" w:tplc="ABCC58C2" w:tentative="1">
      <w:start w:val="1"/>
      <w:numFmt w:val="bullet"/>
      <w:lvlText w:val="o"/>
      <w:lvlJc w:val="left"/>
      <w:pPr>
        <w:ind w:left="3600" w:hanging="360"/>
      </w:pPr>
      <w:rPr>
        <w:rFonts w:ascii="Courier New" w:hAnsi="Courier New" w:hint="default"/>
      </w:rPr>
    </w:lvl>
    <w:lvl w:ilvl="5" w:tplc="680CF45E" w:tentative="1">
      <w:start w:val="1"/>
      <w:numFmt w:val="bullet"/>
      <w:lvlText w:val=""/>
      <w:lvlJc w:val="left"/>
      <w:pPr>
        <w:ind w:left="4320" w:hanging="360"/>
      </w:pPr>
      <w:rPr>
        <w:rFonts w:ascii="Wingdings" w:hAnsi="Wingdings" w:hint="default"/>
      </w:rPr>
    </w:lvl>
    <w:lvl w:ilvl="6" w:tplc="7B9EF188" w:tentative="1">
      <w:start w:val="1"/>
      <w:numFmt w:val="bullet"/>
      <w:lvlText w:val=""/>
      <w:lvlJc w:val="left"/>
      <w:pPr>
        <w:ind w:left="5040" w:hanging="360"/>
      </w:pPr>
      <w:rPr>
        <w:rFonts w:ascii="Symbol" w:hAnsi="Symbol" w:hint="default"/>
      </w:rPr>
    </w:lvl>
    <w:lvl w:ilvl="7" w:tplc="769A88A2" w:tentative="1">
      <w:start w:val="1"/>
      <w:numFmt w:val="bullet"/>
      <w:lvlText w:val="o"/>
      <w:lvlJc w:val="left"/>
      <w:pPr>
        <w:ind w:left="5760" w:hanging="360"/>
      </w:pPr>
      <w:rPr>
        <w:rFonts w:ascii="Courier New" w:hAnsi="Courier New" w:hint="default"/>
      </w:rPr>
    </w:lvl>
    <w:lvl w:ilvl="8" w:tplc="22DA7416" w:tentative="1">
      <w:start w:val="1"/>
      <w:numFmt w:val="bullet"/>
      <w:lvlText w:val=""/>
      <w:lvlJc w:val="left"/>
      <w:pPr>
        <w:ind w:left="6480" w:hanging="360"/>
      </w:pPr>
      <w:rPr>
        <w:rFonts w:ascii="Wingdings" w:hAnsi="Wingdings" w:hint="default"/>
      </w:rPr>
    </w:lvl>
  </w:abstractNum>
  <w:abstractNum w:abstractNumId="55" w15:restartNumberingAfterBreak="0">
    <w:nsid w:val="5E6507F5"/>
    <w:multiLevelType w:val="hybridMultilevel"/>
    <w:tmpl w:val="72407832"/>
    <w:lvl w:ilvl="0" w:tplc="A6B608E6">
      <w:start w:val="1"/>
      <w:numFmt w:val="bullet"/>
      <w:lvlText w:val=""/>
      <w:lvlJc w:val="left"/>
      <w:pPr>
        <w:ind w:left="720" w:hanging="360"/>
      </w:pPr>
      <w:rPr>
        <w:rFonts w:ascii="Wingdings" w:hAnsi="Wingdings" w:hint="default"/>
      </w:rPr>
    </w:lvl>
    <w:lvl w:ilvl="1" w:tplc="E0D6F56A">
      <w:start w:val="1"/>
      <w:numFmt w:val="bullet"/>
      <w:lvlText w:val=""/>
      <w:lvlJc w:val="left"/>
      <w:pPr>
        <w:ind w:left="1440" w:hanging="360"/>
      </w:pPr>
      <w:rPr>
        <w:rFonts w:ascii="Wingdings" w:hAnsi="Wingdings" w:hint="default"/>
      </w:rPr>
    </w:lvl>
    <w:lvl w:ilvl="2" w:tplc="658C2E7A">
      <w:start w:val="1"/>
      <w:numFmt w:val="bullet"/>
      <w:lvlText w:val=""/>
      <w:lvlJc w:val="left"/>
      <w:pPr>
        <w:ind w:left="2160" w:hanging="360"/>
      </w:pPr>
      <w:rPr>
        <w:rFonts w:ascii="Wingdings" w:hAnsi="Wingdings" w:hint="default"/>
      </w:rPr>
    </w:lvl>
    <w:lvl w:ilvl="3" w:tplc="451A4696">
      <w:start w:val="1"/>
      <w:numFmt w:val="bullet"/>
      <w:lvlText w:val=""/>
      <w:lvlJc w:val="left"/>
      <w:pPr>
        <w:ind w:left="2880" w:hanging="360"/>
      </w:pPr>
      <w:rPr>
        <w:rFonts w:ascii="Wingdings" w:hAnsi="Wingdings" w:hint="default"/>
      </w:rPr>
    </w:lvl>
    <w:lvl w:ilvl="4" w:tplc="76F89510">
      <w:start w:val="1"/>
      <w:numFmt w:val="bullet"/>
      <w:lvlText w:val=""/>
      <w:lvlJc w:val="left"/>
      <w:pPr>
        <w:ind w:left="3600" w:hanging="360"/>
      </w:pPr>
      <w:rPr>
        <w:rFonts w:ascii="Wingdings" w:hAnsi="Wingdings" w:hint="default"/>
      </w:rPr>
    </w:lvl>
    <w:lvl w:ilvl="5" w:tplc="0F5C9274">
      <w:start w:val="1"/>
      <w:numFmt w:val="bullet"/>
      <w:lvlText w:val=""/>
      <w:lvlJc w:val="left"/>
      <w:pPr>
        <w:ind w:left="4320" w:hanging="360"/>
      </w:pPr>
      <w:rPr>
        <w:rFonts w:ascii="Wingdings" w:hAnsi="Wingdings" w:hint="default"/>
      </w:rPr>
    </w:lvl>
    <w:lvl w:ilvl="6" w:tplc="F5EE4828">
      <w:start w:val="1"/>
      <w:numFmt w:val="bullet"/>
      <w:lvlText w:val=""/>
      <w:lvlJc w:val="left"/>
      <w:pPr>
        <w:ind w:left="5040" w:hanging="360"/>
      </w:pPr>
      <w:rPr>
        <w:rFonts w:ascii="Wingdings" w:hAnsi="Wingdings" w:hint="default"/>
      </w:rPr>
    </w:lvl>
    <w:lvl w:ilvl="7" w:tplc="9B64C8D6">
      <w:start w:val="1"/>
      <w:numFmt w:val="bullet"/>
      <w:lvlText w:val=""/>
      <w:lvlJc w:val="left"/>
      <w:pPr>
        <w:ind w:left="5760" w:hanging="360"/>
      </w:pPr>
      <w:rPr>
        <w:rFonts w:ascii="Wingdings" w:hAnsi="Wingdings" w:hint="default"/>
      </w:rPr>
    </w:lvl>
    <w:lvl w:ilvl="8" w:tplc="432A1326">
      <w:start w:val="1"/>
      <w:numFmt w:val="bullet"/>
      <w:lvlText w:val=""/>
      <w:lvlJc w:val="left"/>
      <w:pPr>
        <w:ind w:left="6480" w:hanging="360"/>
      </w:pPr>
      <w:rPr>
        <w:rFonts w:ascii="Wingdings" w:hAnsi="Wingdings" w:hint="default"/>
      </w:rPr>
    </w:lvl>
  </w:abstractNum>
  <w:abstractNum w:abstractNumId="56" w15:restartNumberingAfterBreak="0">
    <w:nsid w:val="63AE6219"/>
    <w:multiLevelType w:val="hybridMultilevel"/>
    <w:tmpl w:val="3474B59C"/>
    <w:lvl w:ilvl="0" w:tplc="E438FC5A">
      <w:start w:val="1"/>
      <w:numFmt w:val="bullet"/>
      <w:lvlText w:val=""/>
      <w:lvlJc w:val="left"/>
      <w:pPr>
        <w:ind w:left="360" w:hanging="360"/>
      </w:pPr>
      <w:rPr>
        <w:rFonts w:ascii="Symbol" w:hAnsi="Symbol" w:hint="default"/>
      </w:rPr>
    </w:lvl>
    <w:lvl w:ilvl="1" w:tplc="D1AE7F98" w:tentative="1">
      <w:start w:val="1"/>
      <w:numFmt w:val="bullet"/>
      <w:lvlText w:val="o"/>
      <w:lvlJc w:val="left"/>
      <w:pPr>
        <w:ind w:left="1080" w:hanging="360"/>
      </w:pPr>
      <w:rPr>
        <w:rFonts w:ascii="Courier New" w:hAnsi="Courier New" w:hint="default"/>
      </w:rPr>
    </w:lvl>
    <w:lvl w:ilvl="2" w:tplc="6F14D576" w:tentative="1">
      <w:start w:val="1"/>
      <w:numFmt w:val="bullet"/>
      <w:lvlText w:val=""/>
      <w:lvlJc w:val="left"/>
      <w:pPr>
        <w:ind w:left="1800" w:hanging="360"/>
      </w:pPr>
      <w:rPr>
        <w:rFonts w:ascii="Wingdings" w:hAnsi="Wingdings" w:hint="default"/>
      </w:rPr>
    </w:lvl>
    <w:lvl w:ilvl="3" w:tplc="CBD07F08" w:tentative="1">
      <w:start w:val="1"/>
      <w:numFmt w:val="bullet"/>
      <w:lvlText w:val=""/>
      <w:lvlJc w:val="left"/>
      <w:pPr>
        <w:ind w:left="2520" w:hanging="360"/>
      </w:pPr>
      <w:rPr>
        <w:rFonts w:ascii="Symbol" w:hAnsi="Symbol" w:hint="default"/>
      </w:rPr>
    </w:lvl>
    <w:lvl w:ilvl="4" w:tplc="E168CD7C" w:tentative="1">
      <w:start w:val="1"/>
      <w:numFmt w:val="bullet"/>
      <w:lvlText w:val="o"/>
      <w:lvlJc w:val="left"/>
      <w:pPr>
        <w:ind w:left="3240" w:hanging="360"/>
      </w:pPr>
      <w:rPr>
        <w:rFonts w:ascii="Courier New" w:hAnsi="Courier New" w:hint="default"/>
      </w:rPr>
    </w:lvl>
    <w:lvl w:ilvl="5" w:tplc="AAECCF86" w:tentative="1">
      <w:start w:val="1"/>
      <w:numFmt w:val="bullet"/>
      <w:lvlText w:val=""/>
      <w:lvlJc w:val="left"/>
      <w:pPr>
        <w:ind w:left="3960" w:hanging="360"/>
      </w:pPr>
      <w:rPr>
        <w:rFonts w:ascii="Wingdings" w:hAnsi="Wingdings" w:hint="default"/>
      </w:rPr>
    </w:lvl>
    <w:lvl w:ilvl="6" w:tplc="D68AE65C" w:tentative="1">
      <w:start w:val="1"/>
      <w:numFmt w:val="bullet"/>
      <w:lvlText w:val=""/>
      <w:lvlJc w:val="left"/>
      <w:pPr>
        <w:ind w:left="4680" w:hanging="360"/>
      </w:pPr>
      <w:rPr>
        <w:rFonts w:ascii="Symbol" w:hAnsi="Symbol" w:hint="default"/>
      </w:rPr>
    </w:lvl>
    <w:lvl w:ilvl="7" w:tplc="043E1270" w:tentative="1">
      <w:start w:val="1"/>
      <w:numFmt w:val="bullet"/>
      <w:lvlText w:val="o"/>
      <w:lvlJc w:val="left"/>
      <w:pPr>
        <w:ind w:left="5400" w:hanging="360"/>
      </w:pPr>
      <w:rPr>
        <w:rFonts w:ascii="Courier New" w:hAnsi="Courier New" w:hint="default"/>
      </w:rPr>
    </w:lvl>
    <w:lvl w:ilvl="8" w:tplc="BFD61C1A" w:tentative="1">
      <w:start w:val="1"/>
      <w:numFmt w:val="bullet"/>
      <w:lvlText w:val=""/>
      <w:lvlJc w:val="left"/>
      <w:pPr>
        <w:ind w:left="6120" w:hanging="360"/>
      </w:pPr>
      <w:rPr>
        <w:rFonts w:ascii="Wingdings" w:hAnsi="Wingdings" w:hint="default"/>
      </w:rPr>
    </w:lvl>
  </w:abstractNum>
  <w:abstractNum w:abstractNumId="57" w15:restartNumberingAfterBreak="0">
    <w:nsid w:val="679801A2"/>
    <w:multiLevelType w:val="hybridMultilevel"/>
    <w:tmpl w:val="99C8F4F2"/>
    <w:lvl w:ilvl="0" w:tplc="0748BAC0">
      <w:start w:val="1"/>
      <w:numFmt w:val="decimal"/>
      <w:lvlText w:val="%1."/>
      <w:lvlJc w:val="left"/>
      <w:pPr>
        <w:ind w:left="720" w:hanging="360"/>
      </w:pPr>
    </w:lvl>
    <w:lvl w:ilvl="1" w:tplc="0AF0EA04">
      <w:start w:val="1"/>
      <w:numFmt w:val="lowerLetter"/>
      <w:lvlText w:val="%2."/>
      <w:lvlJc w:val="left"/>
      <w:pPr>
        <w:ind w:left="1440" w:hanging="360"/>
      </w:pPr>
    </w:lvl>
    <w:lvl w:ilvl="2" w:tplc="25FCA100" w:tentative="1">
      <w:start w:val="1"/>
      <w:numFmt w:val="lowerRoman"/>
      <w:lvlText w:val="%3."/>
      <w:lvlJc w:val="right"/>
      <w:pPr>
        <w:ind w:left="2160" w:hanging="180"/>
      </w:pPr>
    </w:lvl>
    <w:lvl w:ilvl="3" w:tplc="1786E752" w:tentative="1">
      <w:start w:val="1"/>
      <w:numFmt w:val="decimal"/>
      <w:lvlText w:val="%4."/>
      <w:lvlJc w:val="left"/>
      <w:pPr>
        <w:ind w:left="2880" w:hanging="360"/>
      </w:pPr>
    </w:lvl>
    <w:lvl w:ilvl="4" w:tplc="BCF230D2" w:tentative="1">
      <w:start w:val="1"/>
      <w:numFmt w:val="lowerLetter"/>
      <w:lvlText w:val="%5."/>
      <w:lvlJc w:val="left"/>
      <w:pPr>
        <w:ind w:left="3600" w:hanging="360"/>
      </w:pPr>
    </w:lvl>
    <w:lvl w:ilvl="5" w:tplc="54A0F26C" w:tentative="1">
      <w:start w:val="1"/>
      <w:numFmt w:val="lowerRoman"/>
      <w:lvlText w:val="%6."/>
      <w:lvlJc w:val="right"/>
      <w:pPr>
        <w:ind w:left="4320" w:hanging="180"/>
      </w:pPr>
    </w:lvl>
    <w:lvl w:ilvl="6" w:tplc="C0CE5466" w:tentative="1">
      <w:start w:val="1"/>
      <w:numFmt w:val="decimal"/>
      <w:lvlText w:val="%7."/>
      <w:lvlJc w:val="left"/>
      <w:pPr>
        <w:ind w:left="5040" w:hanging="360"/>
      </w:pPr>
    </w:lvl>
    <w:lvl w:ilvl="7" w:tplc="642A140A" w:tentative="1">
      <w:start w:val="1"/>
      <w:numFmt w:val="lowerLetter"/>
      <w:lvlText w:val="%8."/>
      <w:lvlJc w:val="left"/>
      <w:pPr>
        <w:ind w:left="5760" w:hanging="360"/>
      </w:pPr>
    </w:lvl>
    <w:lvl w:ilvl="8" w:tplc="04C8C592" w:tentative="1">
      <w:start w:val="1"/>
      <w:numFmt w:val="lowerRoman"/>
      <w:lvlText w:val="%9."/>
      <w:lvlJc w:val="right"/>
      <w:pPr>
        <w:ind w:left="6480" w:hanging="180"/>
      </w:pPr>
    </w:lvl>
  </w:abstractNum>
  <w:abstractNum w:abstractNumId="58" w15:restartNumberingAfterBreak="0">
    <w:nsid w:val="685D7D9E"/>
    <w:multiLevelType w:val="multilevel"/>
    <w:tmpl w:val="E28CBF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9" w15:restartNumberingAfterBreak="0">
    <w:nsid w:val="69ECD73A"/>
    <w:multiLevelType w:val="hybridMultilevel"/>
    <w:tmpl w:val="35403E4A"/>
    <w:lvl w:ilvl="0" w:tplc="F1C25902">
      <w:start w:val="1"/>
      <w:numFmt w:val="bullet"/>
      <w:lvlText w:val=""/>
      <w:lvlJc w:val="left"/>
      <w:pPr>
        <w:ind w:left="1080" w:hanging="360"/>
      </w:pPr>
      <w:rPr>
        <w:rFonts w:ascii="Symbol" w:hAnsi="Symbol" w:hint="default"/>
      </w:rPr>
    </w:lvl>
    <w:lvl w:ilvl="1" w:tplc="2B1E7FC0">
      <w:start w:val="1"/>
      <w:numFmt w:val="bullet"/>
      <w:lvlText w:val="o"/>
      <w:lvlJc w:val="left"/>
      <w:pPr>
        <w:ind w:left="1800" w:hanging="360"/>
      </w:pPr>
      <w:rPr>
        <w:rFonts w:ascii="Courier New" w:hAnsi="Courier New" w:hint="default"/>
      </w:rPr>
    </w:lvl>
    <w:lvl w:ilvl="2" w:tplc="487ACB10">
      <w:start w:val="1"/>
      <w:numFmt w:val="bullet"/>
      <w:lvlText w:val=""/>
      <w:lvlJc w:val="left"/>
      <w:pPr>
        <w:ind w:left="2520" w:hanging="360"/>
      </w:pPr>
      <w:rPr>
        <w:rFonts w:ascii="Wingdings" w:hAnsi="Wingdings" w:hint="default"/>
      </w:rPr>
    </w:lvl>
    <w:lvl w:ilvl="3" w:tplc="B5DC2A66">
      <w:start w:val="1"/>
      <w:numFmt w:val="bullet"/>
      <w:lvlText w:val=""/>
      <w:lvlJc w:val="left"/>
      <w:pPr>
        <w:ind w:left="3240" w:hanging="360"/>
      </w:pPr>
      <w:rPr>
        <w:rFonts w:ascii="Symbol" w:hAnsi="Symbol" w:hint="default"/>
      </w:rPr>
    </w:lvl>
    <w:lvl w:ilvl="4" w:tplc="D1B246C6">
      <w:start w:val="1"/>
      <w:numFmt w:val="bullet"/>
      <w:lvlText w:val="o"/>
      <w:lvlJc w:val="left"/>
      <w:pPr>
        <w:ind w:left="3960" w:hanging="360"/>
      </w:pPr>
      <w:rPr>
        <w:rFonts w:ascii="Courier New" w:hAnsi="Courier New" w:hint="default"/>
      </w:rPr>
    </w:lvl>
    <w:lvl w:ilvl="5" w:tplc="9D044570">
      <w:start w:val="1"/>
      <w:numFmt w:val="bullet"/>
      <w:lvlText w:val=""/>
      <w:lvlJc w:val="left"/>
      <w:pPr>
        <w:ind w:left="4680" w:hanging="360"/>
      </w:pPr>
      <w:rPr>
        <w:rFonts w:ascii="Wingdings" w:hAnsi="Wingdings" w:hint="default"/>
      </w:rPr>
    </w:lvl>
    <w:lvl w:ilvl="6" w:tplc="59187B6E">
      <w:start w:val="1"/>
      <w:numFmt w:val="bullet"/>
      <w:lvlText w:val=""/>
      <w:lvlJc w:val="left"/>
      <w:pPr>
        <w:ind w:left="5400" w:hanging="360"/>
      </w:pPr>
      <w:rPr>
        <w:rFonts w:ascii="Symbol" w:hAnsi="Symbol" w:hint="default"/>
      </w:rPr>
    </w:lvl>
    <w:lvl w:ilvl="7" w:tplc="B7969D20">
      <w:start w:val="1"/>
      <w:numFmt w:val="bullet"/>
      <w:lvlText w:val="o"/>
      <w:lvlJc w:val="left"/>
      <w:pPr>
        <w:ind w:left="6120" w:hanging="360"/>
      </w:pPr>
      <w:rPr>
        <w:rFonts w:ascii="Courier New" w:hAnsi="Courier New" w:hint="default"/>
      </w:rPr>
    </w:lvl>
    <w:lvl w:ilvl="8" w:tplc="50984706">
      <w:start w:val="1"/>
      <w:numFmt w:val="bullet"/>
      <w:lvlText w:val=""/>
      <w:lvlJc w:val="left"/>
      <w:pPr>
        <w:ind w:left="6840" w:hanging="360"/>
      </w:pPr>
      <w:rPr>
        <w:rFonts w:ascii="Wingdings" w:hAnsi="Wingdings" w:hint="default"/>
      </w:rPr>
    </w:lvl>
  </w:abstractNum>
  <w:abstractNum w:abstractNumId="60" w15:restartNumberingAfterBreak="0">
    <w:nsid w:val="6B2C4073"/>
    <w:multiLevelType w:val="hybridMultilevel"/>
    <w:tmpl w:val="89645918"/>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1" w15:restartNumberingAfterBreak="0">
    <w:nsid w:val="6F711B3D"/>
    <w:multiLevelType w:val="hybridMultilevel"/>
    <w:tmpl w:val="39EC8F28"/>
    <w:lvl w:ilvl="0" w:tplc="845E8230">
      <w:start w:val="1"/>
      <w:numFmt w:val="decimal"/>
      <w:lvlText w:val="%1."/>
      <w:lvlJc w:val="left"/>
      <w:pPr>
        <w:ind w:left="720" w:hanging="360"/>
      </w:pPr>
    </w:lvl>
    <w:lvl w:ilvl="1" w:tplc="EC9E145E">
      <w:start w:val="1"/>
      <w:numFmt w:val="lowerLetter"/>
      <w:lvlText w:val="%2."/>
      <w:lvlJc w:val="left"/>
      <w:pPr>
        <w:ind w:left="1440" w:hanging="360"/>
      </w:pPr>
    </w:lvl>
    <w:lvl w:ilvl="2" w:tplc="CD26A084" w:tentative="1">
      <w:start w:val="1"/>
      <w:numFmt w:val="lowerRoman"/>
      <w:lvlText w:val="%3."/>
      <w:lvlJc w:val="right"/>
      <w:pPr>
        <w:ind w:left="2160" w:hanging="180"/>
      </w:pPr>
    </w:lvl>
    <w:lvl w:ilvl="3" w:tplc="81A89BAE" w:tentative="1">
      <w:start w:val="1"/>
      <w:numFmt w:val="decimal"/>
      <w:lvlText w:val="%4."/>
      <w:lvlJc w:val="left"/>
      <w:pPr>
        <w:ind w:left="2880" w:hanging="360"/>
      </w:pPr>
    </w:lvl>
    <w:lvl w:ilvl="4" w:tplc="D8AE3A44" w:tentative="1">
      <w:start w:val="1"/>
      <w:numFmt w:val="lowerLetter"/>
      <w:lvlText w:val="%5."/>
      <w:lvlJc w:val="left"/>
      <w:pPr>
        <w:ind w:left="3600" w:hanging="360"/>
      </w:pPr>
    </w:lvl>
    <w:lvl w:ilvl="5" w:tplc="D24AEC8A" w:tentative="1">
      <w:start w:val="1"/>
      <w:numFmt w:val="lowerRoman"/>
      <w:lvlText w:val="%6."/>
      <w:lvlJc w:val="right"/>
      <w:pPr>
        <w:ind w:left="4320" w:hanging="180"/>
      </w:pPr>
    </w:lvl>
    <w:lvl w:ilvl="6" w:tplc="1DE2C65C" w:tentative="1">
      <w:start w:val="1"/>
      <w:numFmt w:val="decimal"/>
      <w:lvlText w:val="%7."/>
      <w:lvlJc w:val="left"/>
      <w:pPr>
        <w:ind w:left="5040" w:hanging="360"/>
      </w:pPr>
    </w:lvl>
    <w:lvl w:ilvl="7" w:tplc="74206274" w:tentative="1">
      <w:start w:val="1"/>
      <w:numFmt w:val="lowerLetter"/>
      <w:lvlText w:val="%8."/>
      <w:lvlJc w:val="left"/>
      <w:pPr>
        <w:ind w:left="5760" w:hanging="360"/>
      </w:pPr>
    </w:lvl>
    <w:lvl w:ilvl="8" w:tplc="54A4A800" w:tentative="1">
      <w:start w:val="1"/>
      <w:numFmt w:val="lowerRoman"/>
      <w:lvlText w:val="%9."/>
      <w:lvlJc w:val="right"/>
      <w:pPr>
        <w:ind w:left="6480" w:hanging="180"/>
      </w:pPr>
    </w:lvl>
  </w:abstractNum>
  <w:abstractNum w:abstractNumId="62" w15:restartNumberingAfterBreak="0">
    <w:nsid w:val="70B659C7"/>
    <w:multiLevelType w:val="hybridMultilevel"/>
    <w:tmpl w:val="FFFFFFFF"/>
    <w:lvl w:ilvl="0" w:tplc="723E12FE">
      <w:start w:val="1"/>
      <w:numFmt w:val="bullet"/>
      <w:lvlText w:val=""/>
      <w:lvlJc w:val="left"/>
      <w:pPr>
        <w:ind w:left="720" w:hanging="360"/>
      </w:pPr>
      <w:rPr>
        <w:rFonts w:ascii="Symbol" w:hAnsi="Symbol" w:hint="default"/>
      </w:rPr>
    </w:lvl>
    <w:lvl w:ilvl="1" w:tplc="F52AE76C">
      <w:start w:val="1"/>
      <w:numFmt w:val="bullet"/>
      <w:lvlText w:val="o"/>
      <w:lvlJc w:val="left"/>
      <w:pPr>
        <w:ind w:left="1009" w:hanging="363"/>
      </w:pPr>
      <w:rPr>
        <w:rFonts w:ascii="Courier New" w:hAnsi="Courier New" w:hint="default"/>
      </w:rPr>
    </w:lvl>
    <w:lvl w:ilvl="2" w:tplc="9D3C828A">
      <w:start w:val="1"/>
      <w:numFmt w:val="bullet"/>
      <w:lvlText w:val=""/>
      <w:lvlJc w:val="left"/>
      <w:pPr>
        <w:ind w:left="2160" w:hanging="360"/>
      </w:pPr>
      <w:rPr>
        <w:rFonts w:ascii="Wingdings" w:hAnsi="Wingdings" w:hint="default"/>
      </w:rPr>
    </w:lvl>
    <w:lvl w:ilvl="3" w:tplc="70ACE50C">
      <w:start w:val="1"/>
      <w:numFmt w:val="bullet"/>
      <w:lvlText w:val=""/>
      <w:lvlJc w:val="left"/>
      <w:pPr>
        <w:ind w:left="2880" w:hanging="360"/>
      </w:pPr>
      <w:rPr>
        <w:rFonts w:ascii="Symbol" w:hAnsi="Symbol" w:hint="default"/>
      </w:rPr>
    </w:lvl>
    <w:lvl w:ilvl="4" w:tplc="BADE5D32">
      <w:start w:val="1"/>
      <w:numFmt w:val="bullet"/>
      <w:lvlText w:val="o"/>
      <w:lvlJc w:val="left"/>
      <w:pPr>
        <w:ind w:left="3600" w:hanging="360"/>
      </w:pPr>
      <w:rPr>
        <w:rFonts w:ascii="Courier New" w:hAnsi="Courier New" w:hint="default"/>
      </w:rPr>
    </w:lvl>
    <w:lvl w:ilvl="5" w:tplc="B510990C">
      <w:start w:val="1"/>
      <w:numFmt w:val="bullet"/>
      <w:lvlText w:val=""/>
      <w:lvlJc w:val="left"/>
      <w:pPr>
        <w:ind w:left="4320" w:hanging="360"/>
      </w:pPr>
      <w:rPr>
        <w:rFonts w:ascii="Wingdings" w:hAnsi="Wingdings" w:hint="default"/>
      </w:rPr>
    </w:lvl>
    <w:lvl w:ilvl="6" w:tplc="D6DE81AA">
      <w:start w:val="1"/>
      <w:numFmt w:val="bullet"/>
      <w:lvlText w:val=""/>
      <w:lvlJc w:val="left"/>
      <w:pPr>
        <w:ind w:left="5040" w:hanging="360"/>
      </w:pPr>
      <w:rPr>
        <w:rFonts w:ascii="Symbol" w:hAnsi="Symbol" w:hint="default"/>
      </w:rPr>
    </w:lvl>
    <w:lvl w:ilvl="7" w:tplc="E6945BC6">
      <w:start w:val="1"/>
      <w:numFmt w:val="bullet"/>
      <w:lvlText w:val="o"/>
      <w:lvlJc w:val="left"/>
      <w:pPr>
        <w:ind w:left="5760" w:hanging="360"/>
      </w:pPr>
      <w:rPr>
        <w:rFonts w:ascii="Courier New" w:hAnsi="Courier New" w:hint="default"/>
      </w:rPr>
    </w:lvl>
    <w:lvl w:ilvl="8" w:tplc="361673E6">
      <w:start w:val="1"/>
      <w:numFmt w:val="bullet"/>
      <w:lvlText w:val=""/>
      <w:lvlJc w:val="left"/>
      <w:pPr>
        <w:ind w:left="6480" w:hanging="360"/>
      </w:pPr>
      <w:rPr>
        <w:rFonts w:ascii="Wingdings" w:hAnsi="Wingdings" w:hint="default"/>
      </w:rPr>
    </w:lvl>
  </w:abstractNum>
  <w:abstractNum w:abstractNumId="63" w15:restartNumberingAfterBreak="0">
    <w:nsid w:val="72C00393"/>
    <w:multiLevelType w:val="multilevel"/>
    <w:tmpl w:val="A712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2F02CF4"/>
    <w:multiLevelType w:val="hybridMultilevel"/>
    <w:tmpl w:val="39EC8F28"/>
    <w:lvl w:ilvl="0" w:tplc="C55A9AB6">
      <w:start w:val="1"/>
      <w:numFmt w:val="decimal"/>
      <w:lvlText w:val="%1."/>
      <w:lvlJc w:val="left"/>
      <w:pPr>
        <w:ind w:left="720" w:hanging="360"/>
      </w:pPr>
    </w:lvl>
    <w:lvl w:ilvl="1" w:tplc="BC3E2F2E">
      <w:start w:val="1"/>
      <w:numFmt w:val="lowerLetter"/>
      <w:lvlText w:val="%2."/>
      <w:lvlJc w:val="left"/>
      <w:pPr>
        <w:ind w:left="1440" w:hanging="360"/>
      </w:pPr>
    </w:lvl>
    <w:lvl w:ilvl="2" w:tplc="848A2D14" w:tentative="1">
      <w:start w:val="1"/>
      <w:numFmt w:val="lowerRoman"/>
      <w:lvlText w:val="%3."/>
      <w:lvlJc w:val="right"/>
      <w:pPr>
        <w:ind w:left="2160" w:hanging="180"/>
      </w:pPr>
    </w:lvl>
    <w:lvl w:ilvl="3" w:tplc="AF5E3A42" w:tentative="1">
      <w:start w:val="1"/>
      <w:numFmt w:val="decimal"/>
      <w:lvlText w:val="%4."/>
      <w:lvlJc w:val="left"/>
      <w:pPr>
        <w:ind w:left="2880" w:hanging="360"/>
      </w:pPr>
    </w:lvl>
    <w:lvl w:ilvl="4" w:tplc="62A6E190" w:tentative="1">
      <w:start w:val="1"/>
      <w:numFmt w:val="lowerLetter"/>
      <w:lvlText w:val="%5."/>
      <w:lvlJc w:val="left"/>
      <w:pPr>
        <w:ind w:left="3600" w:hanging="360"/>
      </w:pPr>
    </w:lvl>
    <w:lvl w:ilvl="5" w:tplc="CEBC9238" w:tentative="1">
      <w:start w:val="1"/>
      <w:numFmt w:val="lowerRoman"/>
      <w:lvlText w:val="%6."/>
      <w:lvlJc w:val="right"/>
      <w:pPr>
        <w:ind w:left="4320" w:hanging="180"/>
      </w:pPr>
    </w:lvl>
    <w:lvl w:ilvl="6" w:tplc="02E8D86A" w:tentative="1">
      <w:start w:val="1"/>
      <w:numFmt w:val="decimal"/>
      <w:lvlText w:val="%7."/>
      <w:lvlJc w:val="left"/>
      <w:pPr>
        <w:ind w:left="5040" w:hanging="360"/>
      </w:pPr>
    </w:lvl>
    <w:lvl w:ilvl="7" w:tplc="EA3240E6" w:tentative="1">
      <w:start w:val="1"/>
      <w:numFmt w:val="lowerLetter"/>
      <w:lvlText w:val="%8."/>
      <w:lvlJc w:val="left"/>
      <w:pPr>
        <w:ind w:left="5760" w:hanging="360"/>
      </w:pPr>
    </w:lvl>
    <w:lvl w:ilvl="8" w:tplc="21842DA8" w:tentative="1">
      <w:start w:val="1"/>
      <w:numFmt w:val="lowerRoman"/>
      <w:lvlText w:val="%9."/>
      <w:lvlJc w:val="right"/>
      <w:pPr>
        <w:ind w:left="6480" w:hanging="180"/>
      </w:pPr>
    </w:lvl>
  </w:abstractNum>
  <w:abstractNum w:abstractNumId="65" w15:restartNumberingAfterBreak="0">
    <w:nsid w:val="7346855F"/>
    <w:multiLevelType w:val="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7152603"/>
    <w:multiLevelType w:val="hybridMultilevel"/>
    <w:tmpl w:val="7452ECEA"/>
    <w:lvl w:ilvl="0" w:tplc="C1741A46">
      <w:start w:val="1"/>
      <w:numFmt w:val="bullet"/>
      <w:lvlText w:val=""/>
      <w:lvlJc w:val="left"/>
      <w:pPr>
        <w:ind w:left="720" w:hanging="360"/>
      </w:pPr>
      <w:rPr>
        <w:rFonts w:ascii="Symbol" w:hAnsi="Symbol" w:hint="default"/>
      </w:rPr>
    </w:lvl>
    <w:lvl w:ilvl="1" w:tplc="433CCDE2" w:tentative="1">
      <w:start w:val="1"/>
      <w:numFmt w:val="bullet"/>
      <w:lvlText w:val="o"/>
      <w:lvlJc w:val="left"/>
      <w:pPr>
        <w:ind w:left="1440" w:hanging="360"/>
      </w:pPr>
      <w:rPr>
        <w:rFonts w:ascii="Courier New" w:hAnsi="Courier New" w:hint="default"/>
      </w:rPr>
    </w:lvl>
    <w:lvl w:ilvl="2" w:tplc="D9AAF4C6" w:tentative="1">
      <w:start w:val="1"/>
      <w:numFmt w:val="bullet"/>
      <w:lvlText w:val=""/>
      <w:lvlJc w:val="left"/>
      <w:pPr>
        <w:ind w:left="2160" w:hanging="360"/>
      </w:pPr>
      <w:rPr>
        <w:rFonts w:ascii="Wingdings" w:hAnsi="Wingdings" w:hint="default"/>
      </w:rPr>
    </w:lvl>
    <w:lvl w:ilvl="3" w:tplc="04EC4B04" w:tentative="1">
      <w:start w:val="1"/>
      <w:numFmt w:val="bullet"/>
      <w:lvlText w:val=""/>
      <w:lvlJc w:val="left"/>
      <w:pPr>
        <w:ind w:left="2880" w:hanging="360"/>
      </w:pPr>
      <w:rPr>
        <w:rFonts w:ascii="Symbol" w:hAnsi="Symbol" w:hint="default"/>
      </w:rPr>
    </w:lvl>
    <w:lvl w:ilvl="4" w:tplc="5A306C36" w:tentative="1">
      <w:start w:val="1"/>
      <w:numFmt w:val="bullet"/>
      <w:lvlText w:val="o"/>
      <w:lvlJc w:val="left"/>
      <w:pPr>
        <w:ind w:left="3600" w:hanging="360"/>
      </w:pPr>
      <w:rPr>
        <w:rFonts w:ascii="Courier New" w:hAnsi="Courier New" w:hint="default"/>
      </w:rPr>
    </w:lvl>
    <w:lvl w:ilvl="5" w:tplc="DEA88376" w:tentative="1">
      <w:start w:val="1"/>
      <w:numFmt w:val="bullet"/>
      <w:lvlText w:val=""/>
      <w:lvlJc w:val="left"/>
      <w:pPr>
        <w:ind w:left="4320" w:hanging="360"/>
      </w:pPr>
      <w:rPr>
        <w:rFonts w:ascii="Wingdings" w:hAnsi="Wingdings" w:hint="default"/>
      </w:rPr>
    </w:lvl>
    <w:lvl w:ilvl="6" w:tplc="E2C09F4A" w:tentative="1">
      <w:start w:val="1"/>
      <w:numFmt w:val="bullet"/>
      <w:lvlText w:val=""/>
      <w:lvlJc w:val="left"/>
      <w:pPr>
        <w:ind w:left="5040" w:hanging="360"/>
      </w:pPr>
      <w:rPr>
        <w:rFonts w:ascii="Symbol" w:hAnsi="Symbol" w:hint="default"/>
      </w:rPr>
    </w:lvl>
    <w:lvl w:ilvl="7" w:tplc="75C228A8" w:tentative="1">
      <w:start w:val="1"/>
      <w:numFmt w:val="bullet"/>
      <w:lvlText w:val="o"/>
      <w:lvlJc w:val="left"/>
      <w:pPr>
        <w:ind w:left="5760" w:hanging="360"/>
      </w:pPr>
      <w:rPr>
        <w:rFonts w:ascii="Courier New" w:hAnsi="Courier New" w:hint="default"/>
      </w:rPr>
    </w:lvl>
    <w:lvl w:ilvl="8" w:tplc="0C5A3EF0" w:tentative="1">
      <w:start w:val="1"/>
      <w:numFmt w:val="bullet"/>
      <w:lvlText w:val=""/>
      <w:lvlJc w:val="left"/>
      <w:pPr>
        <w:ind w:left="6480" w:hanging="360"/>
      </w:pPr>
      <w:rPr>
        <w:rFonts w:ascii="Wingdings" w:hAnsi="Wingdings" w:hint="default"/>
      </w:rPr>
    </w:lvl>
  </w:abstractNum>
  <w:abstractNum w:abstractNumId="67" w15:restartNumberingAfterBreak="0">
    <w:nsid w:val="77210647"/>
    <w:multiLevelType w:val="hybridMultilevel"/>
    <w:tmpl w:val="F3662628"/>
    <w:lvl w:ilvl="0" w:tplc="69F8BAF6">
      <w:start w:val="1"/>
      <w:numFmt w:val="decimal"/>
      <w:lvlText w:val="%1."/>
      <w:lvlJc w:val="left"/>
      <w:pPr>
        <w:ind w:left="720" w:hanging="360"/>
      </w:pPr>
    </w:lvl>
    <w:lvl w:ilvl="1" w:tplc="124A22F0" w:tentative="1">
      <w:start w:val="1"/>
      <w:numFmt w:val="lowerLetter"/>
      <w:lvlText w:val="%2."/>
      <w:lvlJc w:val="left"/>
      <w:pPr>
        <w:ind w:left="1440" w:hanging="360"/>
      </w:pPr>
    </w:lvl>
    <w:lvl w:ilvl="2" w:tplc="C2024CA4" w:tentative="1">
      <w:start w:val="1"/>
      <w:numFmt w:val="lowerRoman"/>
      <w:lvlText w:val="%3."/>
      <w:lvlJc w:val="right"/>
      <w:pPr>
        <w:ind w:left="2160" w:hanging="180"/>
      </w:pPr>
    </w:lvl>
    <w:lvl w:ilvl="3" w:tplc="C48A7EB4" w:tentative="1">
      <w:start w:val="1"/>
      <w:numFmt w:val="decimal"/>
      <w:lvlText w:val="%4."/>
      <w:lvlJc w:val="left"/>
      <w:pPr>
        <w:ind w:left="2880" w:hanging="360"/>
      </w:pPr>
    </w:lvl>
    <w:lvl w:ilvl="4" w:tplc="43F0D642" w:tentative="1">
      <w:start w:val="1"/>
      <w:numFmt w:val="lowerLetter"/>
      <w:lvlText w:val="%5."/>
      <w:lvlJc w:val="left"/>
      <w:pPr>
        <w:ind w:left="3600" w:hanging="360"/>
      </w:pPr>
    </w:lvl>
    <w:lvl w:ilvl="5" w:tplc="4EFA4986" w:tentative="1">
      <w:start w:val="1"/>
      <w:numFmt w:val="lowerRoman"/>
      <w:lvlText w:val="%6."/>
      <w:lvlJc w:val="right"/>
      <w:pPr>
        <w:ind w:left="4320" w:hanging="180"/>
      </w:pPr>
    </w:lvl>
    <w:lvl w:ilvl="6" w:tplc="EACC11F8" w:tentative="1">
      <w:start w:val="1"/>
      <w:numFmt w:val="decimal"/>
      <w:lvlText w:val="%7."/>
      <w:lvlJc w:val="left"/>
      <w:pPr>
        <w:ind w:left="5040" w:hanging="360"/>
      </w:pPr>
    </w:lvl>
    <w:lvl w:ilvl="7" w:tplc="D0D63D74" w:tentative="1">
      <w:start w:val="1"/>
      <w:numFmt w:val="lowerLetter"/>
      <w:lvlText w:val="%8."/>
      <w:lvlJc w:val="left"/>
      <w:pPr>
        <w:ind w:left="5760" w:hanging="360"/>
      </w:pPr>
    </w:lvl>
    <w:lvl w:ilvl="8" w:tplc="F3D61948" w:tentative="1">
      <w:start w:val="1"/>
      <w:numFmt w:val="lowerRoman"/>
      <w:lvlText w:val="%9."/>
      <w:lvlJc w:val="right"/>
      <w:pPr>
        <w:ind w:left="6480" w:hanging="180"/>
      </w:pPr>
    </w:lvl>
  </w:abstractNum>
  <w:abstractNum w:abstractNumId="68" w15:restartNumberingAfterBreak="0">
    <w:nsid w:val="77B1FBEB"/>
    <w:multiLevelType w:val="hybridMultilevel"/>
    <w:tmpl w:val="4C62AD3E"/>
    <w:lvl w:ilvl="0" w:tplc="81D407F2">
      <w:start w:val="1"/>
      <w:numFmt w:val="bullet"/>
      <w:lvlText w:val=""/>
      <w:lvlJc w:val="left"/>
      <w:pPr>
        <w:ind w:left="720" w:hanging="360"/>
      </w:pPr>
      <w:rPr>
        <w:rFonts w:ascii="Symbol" w:hAnsi="Symbol" w:hint="default"/>
      </w:rPr>
    </w:lvl>
    <w:lvl w:ilvl="1" w:tplc="28C474C8">
      <w:start w:val="1"/>
      <w:numFmt w:val="lowerLetter"/>
      <w:lvlText w:val="%2."/>
      <w:lvlJc w:val="left"/>
      <w:pPr>
        <w:ind w:left="1440" w:hanging="360"/>
      </w:pPr>
    </w:lvl>
    <w:lvl w:ilvl="2" w:tplc="78609E10">
      <w:start w:val="1"/>
      <w:numFmt w:val="lowerRoman"/>
      <w:lvlText w:val="%3."/>
      <w:lvlJc w:val="right"/>
      <w:pPr>
        <w:ind w:left="2160" w:hanging="180"/>
      </w:pPr>
    </w:lvl>
    <w:lvl w:ilvl="3" w:tplc="61266032">
      <w:start w:val="1"/>
      <w:numFmt w:val="decimal"/>
      <w:lvlText w:val="%4."/>
      <w:lvlJc w:val="left"/>
      <w:pPr>
        <w:ind w:left="2880" w:hanging="360"/>
      </w:pPr>
    </w:lvl>
    <w:lvl w:ilvl="4" w:tplc="D902D390">
      <w:start w:val="1"/>
      <w:numFmt w:val="lowerLetter"/>
      <w:lvlText w:val="%5."/>
      <w:lvlJc w:val="left"/>
      <w:pPr>
        <w:ind w:left="3600" w:hanging="360"/>
      </w:pPr>
    </w:lvl>
    <w:lvl w:ilvl="5" w:tplc="C1B268B6">
      <w:start w:val="1"/>
      <w:numFmt w:val="lowerRoman"/>
      <w:lvlText w:val="%6."/>
      <w:lvlJc w:val="right"/>
      <w:pPr>
        <w:ind w:left="4320" w:hanging="180"/>
      </w:pPr>
    </w:lvl>
    <w:lvl w:ilvl="6" w:tplc="8B1C4EB0">
      <w:start w:val="1"/>
      <w:numFmt w:val="decimal"/>
      <w:lvlText w:val="%7."/>
      <w:lvlJc w:val="left"/>
      <w:pPr>
        <w:ind w:left="5040" w:hanging="360"/>
      </w:pPr>
    </w:lvl>
    <w:lvl w:ilvl="7" w:tplc="07465B50">
      <w:start w:val="1"/>
      <w:numFmt w:val="lowerLetter"/>
      <w:lvlText w:val="%8."/>
      <w:lvlJc w:val="left"/>
      <w:pPr>
        <w:ind w:left="5760" w:hanging="360"/>
      </w:pPr>
    </w:lvl>
    <w:lvl w:ilvl="8" w:tplc="73B2FAD6">
      <w:start w:val="1"/>
      <w:numFmt w:val="lowerRoman"/>
      <w:lvlText w:val="%9."/>
      <w:lvlJc w:val="right"/>
      <w:pPr>
        <w:ind w:left="6480" w:hanging="180"/>
      </w:pPr>
    </w:lvl>
  </w:abstractNum>
  <w:abstractNum w:abstractNumId="69" w15:restartNumberingAfterBreak="0">
    <w:nsid w:val="783052B5"/>
    <w:multiLevelType w:val="hybridMultilevel"/>
    <w:tmpl w:val="FFFFFFFF"/>
    <w:lvl w:ilvl="0" w:tplc="D8C0BF72">
      <w:start w:val="1"/>
      <w:numFmt w:val="lowerLetter"/>
      <w:lvlText w:val="%1)"/>
      <w:lvlJc w:val="left"/>
      <w:pPr>
        <w:ind w:left="720" w:hanging="360"/>
      </w:pPr>
    </w:lvl>
    <w:lvl w:ilvl="1" w:tplc="20C46072">
      <w:start w:val="1"/>
      <w:numFmt w:val="lowerLetter"/>
      <w:lvlText w:val="%2."/>
      <w:lvlJc w:val="left"/>
      <w:pPr>
        <w:ind w:left="1440" w:hanging="360"/>
      </w:pPr>
    </w:lvl>
    <w:lvl w:ilvl="2" w:tplc="4D067814">
      <w:start w:val="1"/>
      <w:numFmt w:val="lowerRoman"/>
      <w:lvlText w:val="%3."/>
      <w:lvlJc w:val="right"/>
      <w:pPr>
        <w:ind w:left="2160" w:hanging="180"/>
      </w:pPr>
    </w:lvl>
    <w:lvl w:ilvl="3" w:tplc="217AC126">
      <w:start w:val="1"/>
      <w:numFmt w:val="decimal"/>
      <w:lvlText w:val="%4."/>
      <w:lvlJc w:val="left"/>
      <w:pPr>
        <w:ind w:left="2880" w:hanging="360"/>
      </w:pPr>
    </w:lvl>
    <w:lvl w:ilvl="4" w:tplc="632ABA46">
      <w:start w:val="1"/>
      <w:numFmt w:val="lowerLetter"/>
      <w:lvlText w:val="%5."/>
      <w:lvlJc w:val="left"/>
      <w:pPr>
        <w:ind w:left="3600" w:hanging="360"/>
      </w:pPr>
    </w:lvl>
    <w:lvl w:ilvl="5" w:tplc="91FABD50">
      <w:start w:val="1"/>
      <w:numFmt w:val="lowerRoman"/>
      <w:lvlText w:val="%6."/>
      <w:lvlJc w:val="right"/>
      <w:pPr>
        <w:ind w:left="4320" w:hanging="180"/>
      </w:pPr>
    </w:lvl>
    <w:lvl w:ilvl="6" w:tplc="3D0A1424">
      <w:start w:val="1"/>
      <w:numFmt w:val="decimal"/>
      <w:lvlText w:val="%7."/>
      <w:lvlJc w:val="left"/>
      <w:pPr>
        <w:ind w:left="5040" w:hanging="360"/>
      </w:pPr>
    </w:lvl>
    <w:lvl w:ilvl="7" w:tplc="0ADE5E0A">
      <w:start w:val="1"/>
      <w:numFmt w:val="lowerLetter"/>
      <w:lvlText w:val="%8."/>
      <w:lvlJc w:val="left"/>
      <w:pPr>
        <w:ind w:left="5760" w:hanging="360"/>
      </w:pPr>
    </w:lvl>
    <w:lvl w:ilvl="8" w:tplc="0BF04048">
      <w:start w:val="1"/>
      <w:numFmt w:val="lowerRoman"/>
      <w:lvlText w:val="%9."/>
      <w:lvlJc w:val="right"/>
      <w:pPr>
        <w:ind w:left="6480" w:hanging="180"/>
      </w:pPr>
    </w:lvl>
  </w:abstractNum>
  <w:abstractNum w:abstractNumId="70" w15:restartNumberingAfterBreak="0">
    <w:nsid w:val="7EA9FE2F"/>
    <w:multiLevelType w:val="hybridMultilevel"/>
    <w:tmpl w:val="FFFFFFFF"/>
    <w:lvl w:ilvl="0" w:tplc="2012CD8A">
      <w:start w:val="1"/>
      <w:numFmt w:val="decimal"/>
      <w:lvlText w:val="%1."/>
      <w:lvlJc w:val="left"/>
      <w:pPr>
        <w:ind w:left="720" w:hanging="360"/>
      </w:pPr>
    </w:lvl>
    <w:lvl w:ilvl="1" w:tplc="CD0AAED8">
      <w:start w:val="1"/>
      <w:numFmt w:val="lowerLetter"/>
      <w:lvlText w:val="%2."/>
      <w:lvlJc w:val="left"/>
      <w:pPr>
        <w:ind w:left="1440" w:hanging="360"/>
      </w:pPr>
    </w:lvl>
    <w:lvl w:ilvl="2" w:tplc="2B62A65C">
      <w:start w:val="1"/>
      <w:numFmt w:val="lowerRoman"/>
      <w:lvlText w:val="%3."/>
      <w:lvlJc w:val="right"/>
      <w:pPr>
        <w:ind w:left="2160" w:hanging="180"/>
      </w:pPr>
    </w:lvl>
    <w:lvl w:ilvl="3" w:tplc="B2EA5A24">
      <w:start w:val="1"/>
      <w:numFmt w:val="decimal"/>
      <w:lvlText w:val="%4."/>
      <w:lvlJc w:val="left"/>
      <w:pPr>
        <w:ind w:left="2880" w:hanging="360"/>
      </w:pPr>
    </w:lvl>
    <w:lvl w:ilvl="4" w:tplc="9C6A0B86">
      <w:start w:val="1"/>
      <w:numFmt w:val="lowerLetter"/>
      <w:lvlText w:val="%5."/>
      <w:lvlJc w:val="left"/>
      <w:pPr>
        <w:ind w:left="3600" w:hanging="360"/>
      </w:pPr>
    </w:lvl>
    <w:lvl w:ilvl="5" w:tplc="6E12301C">
      <w:start w:val="1"/>
      <w:numFmt w:val="lowerRoman"/>
      <w:lvlText w:val="%6."/>
      <w:lvlJc w:val="right"/>
      <w:pPr>
        <w:ind w:left="4320" w:hanging="180"/>
      </w:pPr>
    </w:lvl>
    <w:lvl w:ilvl="6" w:tplc="14428150">
      <w:start w:val="1"/>
      <w:numFmt w:val="decimal"/>
      <w:lvlText w:val="%7."/>
      <w:lvlJc w:val="left"/>
      <w:pPr>
        <w:ind w:left="5040" w:hanging="360"/>
      </w:pPr>
    </w:lvl>
    <w:lvl w:ilvl="7" w:tplc="405A38FC">
      <w:start w:val="1"/>
      <w:numFmt w:val="lowerLetter"/>
      <w:lvlText w:val="%8."/>
      <w:lvlJc w:val="left"/>
      <w:pPr>
        <w:ind w:left="5760" w:hanging="360"/>
      </w:pPr>
    </w:lvl>
    <w:lvl w:ilvl="8" w:tplc="9274FD60">
      <w:start w:val="1"/>
      <w:numFmt w:val="lowerRoman"/>
      <w:lvlText w:val="%9."/>
      <w:lvlJc w:val="right"/>
      <w:pPr>
        <w:ind w:left="6480" w:hanging="180"/>
      </w:pPr>
    </w:lvl>
  </w:abstractNum>
  <w:num w:numId="1" w16cid:durableId="2134129066">
    <w:abstractNumId w:val="53"/>
  </w:num>
  <w:num w:numId="2" w16cid:durableId="809202345">
    <w:abstractNumId w:val="52"/>
  </w:num>
  <w:num w:numId="3" w16cid:durableId="53895761">
    <w:abstractNumId w:val="69"/>
  </w:num>
  <w:num w:numId="4" w16cid:durableId="1120222792">
    <w:abstractNumId w:val="44"/>
  </w:num>
  <w:num w:numId="5" w16cid:durableId="1164082520">
    <w:abstractNumId w:val="70"/>
  </w:num>
  <w:num w:numId="6" w16cid:durableId="1183397702">
    <w:abstractNumId w:val="5"/>
  </w:num>
  <w:num w:numId="7" w16cid:durableId="1315063852">
    <w:abstractNumId w:val="25"/>
  </w:num>
  <w:num w:numId="8" w16cid:durableId="910627168">
    <w:abstractNumId w:val="49"/>
  </w:num>
  <w:num w:numId="9" w16cid:durableId="1441491218">
    <w:abstractNumId w:val="32"/>
  </w:num>
  <w:num w:numId="10" w16cid:durableId="1547137026">
    <w:abstractNumId w:val="36"/>
  </w:num>
  <w:num w:numId="11" w16cid:durableId="1776631928">
    <w:abstractNumId w:val="9"/>
  </w:num>
  <w:num w:numId="12" w16cid:durableId="1851338002">
    <w:abstractNumId w:val="62"/>
  </w:num>
  <w:num w:numId="13" w16cid:durableId="1602643484">
    <w:abstractNumId w:val="26"/>
  </w:num>
  <w:num w:numId="14" w16cid:durableId="476263862">
    <w:abstractNumId w:val="23"/>
  </w:num>
  <w:num w:numId="15" w16cid:durableId="497574361">
    <w:abstractNumId w:val="34"/>
  </w:num>
  <w:num w:numId="16" w16cid:durableId="1510872749">
    <w:abstractNumId w:val="19"/>
  </w:num>
  <w:num w:numId="17" w16cid:durableId="1598714425">
    <w:abstractNumId w:val="65"/>
  </w:num>
  <w:num w:numId="18" w16cid:durableId="1048920116">
    <w:abstractNumId w:val="20"/>
  </w:num>
  <w:num w:numId="19" w16cid:durableId="714812672">
    <w:abstractNumId w:val="45"/>
  </w:num>
  <w:num w:numId="20" w16cid:durableId="748505300">
    <w:abstractNumId w:val="28"/>
  </w:num>
  <w:num w:numId="21" w16cid:durableId="1302731980">
    <w:abstractNumId w:val="39"/>
  </w:num>
  <w:num w:numId="22" w16cid:durableId="554388160">
    <w:abstractNumId w:val="22"/>
  </w:num>
  <w:num w:numId="23" w16cid:durableId="1329014394">
    <w:abstractNumId w:val="13"/>
  </w:num>
  <w:num w:numId="24" w16cid:durableId="611786646">
    <w:abstractNumId w:val="38"/>
  </w:num>
  <w:num w:numId="25" w16cid:durableId="547569684">
    <w:abstractNumId w:val="61"/>
  </w:num>
  <w:num w:numId="26" w16cid:durableId="2137679390">
    <w:abstractNumId w:val="54"/>
  </w:num>
  <w:num w:numId="27" w16cid:durableId="858742230">
    <w:abstractNumId w:val="47"/>
  </w:num>
  <w:num w:numId="28" w16cid:durableId="1342508913">
    <w:abstractNumId w:val="31"/>
  </w:num>
  <w:num w:numId="29" w16cid:durableId="742139898">
    <w:abstractNumId w:val="18"/>
  </w:num>
  <w:num w:numId="30" w16cid:durableId="81489720">
    <w:abstractNumId w:val="29"/>
  </w:num>
  <w:num w:numId="31" w16cid:durableId="1243417355">
    <w:abstractNumId w:val="27"/>
  </w:num>
  <w:num w:numId="32" w16cid:durableId="666396124">
    <w:abstractNumId w:val="4"/>
  </w:num>
  <w:num w:numId="33" w16cid:durableId="1904564516">
    <w:abstractNumId w:val="30"/>
  </w:num>
  <w:num w:numId="34" w16cid:durableId="383603622">
    <w:abstractNumId w:val="21"/>
  </w:num>
  <w:num w:numId="35" w16cid:durableId="1921602276">
    <w:abstractNumId w:val="6"/>
  </w:num>
  <w:num w:numId="36" w16cid:durableId="1249653997">
    <w:abstractNumId w:val="2"/>
  </w:num>
  <w:num w:numId="37" w16cid:durableId="1240096474">
    <w:abstractNumId w:val="58"/>
  </w:num>
  <w:num w:numId="38" w16cid:durableId="394621430">
    <w:abstractNumId w:val="41"/>
  </w:num>
  <w:num w:numId="39" w16cid:durableId="1020081131">
    <w:abstractNumId w:val="8"/>
  </w:num>
  <w:num w:numId="40" w16cid:durableId="767195757">
    <w:abstractNumId w:val="12"/>
  </w:num>
  <w:num w:numId="41" w16cid:durableId="426468920">
    <w:abstractNumId w:val="33"/>
  </w:num>
  <w:num w:numId="42" w16cid:durableId="774373669">
    <w:abstractNumId w:val="50"/>
  </w:num>
  <w:num w:numId="43" w16cid:durableId="518354965">
    <w:abstractNumId w:val="68"/>
  </w:num>
  <w:num w:numId="44" w16cid:durableId="992831414">
    <w:abstractNumId w:val="66"/>
  </w:num>
  <w:num w:numId="45" w16cid:durableId="958026710">
    <w:abstractNumId w:val="0"/>
  </w:num>
  <w:num w:numId="46" w16cid:durableId="1926955267">
    <w:abstractNumId w:val="1"/>
  </w:num>
  <w:num w:numId="47" w16cid:durableId="8869922">
    <w:abstractNumId w:val="42"/>
  </w:num>
  <w:num w:numId="48" w16cid:durableId="1701082621">
    <w:abstractNumId w:val="24"/>
  </w:num>
  <w:num w:numId="49" w16cid:durableId="485441891">
    <w:abstractNumId w:val="7"/>
  </w:num>
  <w:num w:numId="50" w16cid:durableId="1158502157">
    <w:abstractNumId w:val="64"/>
  </w:num>
  <w:num w:numId="51" w16cid:durableId="809906132">
    <w:abstractNumId w:val="63"/>
  </w:num>
  <w:num w:numId="52" w16cid:durableId="1629166753">
    <w:abstractNumId w:val="3"/>
  </w:num>
  <w:num w:numId="53" w16cid:durableId="1990285012">
    <w:abstractNumId w:val="35"/>
  </w:num>
  <w:num w:numId="54" w16cid:durableId="1507405416">
    <w:abstractNumId w:val="67"/>
  </w:num>
  <w:num w:numId="55" w16cid:durableId="1676108231">
    <w:abstractNumId w:val="46"/>
  </w:num>
  <w:num w:numId="56" w16cid:durableId="1901942642">
    <w:abstractNumId w:val="57"/>
  </w:num>
  <w:num w:numId="57" w16cid:durableId="433401572">
    <w:abstractNumId w:val="10"/>
  </w:num>
  <w:num w:numId="58" w16cid:durableId="1576548947">
    <w:abstractNumId w:val="17"/>
  </w:num>
  <w:num w:numId="59" w16cid:durableId="845512000">
    <w:abstractNumId w:val="51"/>
  </w:num>
  <w:num w:numId="60" w16cid:durableId="1694460317">
    <w:abstractNumId w:val="16"/>
  </w:num>
  <w:num w:numId="61" w16cid:durableId="1815641925">
    <w:abstractNumId w:val="40"/>
  </w:num>
  <w:num w:numId="62" w16cid:durableId="1567490707">
    <w:abstractNumId w:val="43"/>
  </w:num>
  <w:num w:numId="63" w16cid:durableId="815298681">
    <w:abstractNumId w:val="11"/>
  </w:num>
  <w:num w:numId="64" w16cid:durableId="1914854279">
    <w:abstractNumId w:val="15"/>
  </w:num>
  <w:num w:numId="65" w16cid:durableId="425614367">
    <w:abstractNumId w:val="56"/>
  </w:num>
  <w:num w:numId="66" w16cid:durableId="1460953524">
    <w:abstractNumId w:val="37"/>
  </w:num>
  <w:num w:numId="67" w16cid:durableId="1867718399">
    <w:abstractNumId w:val="59"/>
  </w:num>
  <w:num w:numId="68" w16cid:durableId="839387285">
    <w:abstractNumId w:val="55"/>
  </w:num>
  <w:num w:numId="69" w16cid:durableId="79060019">
    <w:abstractNumId w:val="60"/>
  </w:num>
  <w:num w:numId="70" w16cid:durableId="1169977139">
    <w:abstractNumId w:val="48"/>
  </w:num>
  <w:num w:numId="71" w16cid:durableId="751390041">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2C"/>
    <w:rsid w:val="00000194"/>
    <w:rsid w:val="00000B46"/>
    <w:rsid w:val="00000D19"/>
    <w:rsid w:val="00000FAA"/>
    <w:rsid w:val="00000FB8"/>
    <w:rsid w:val="00001318"/>
    <w:rsid w:val="00001532"/>
    <w:rsid w:val="00001571"/>
    <w:rsid w:val="00001A5A"/>
    <w:rsid w:val="00001ACB"/>
    <w:rsid w:val="00001BED"/>
    <w:rsid w:val="00001C8E"/>
    <w:rsid w:val="00001FB5"/>
    <w:rsid w:val="0000238C"/>
    <w:rsid w:val="00002A90"/>
    <w:rsid w:val="00003278"/>
    <w:rsid w:val="00003433"/>
    <w:rsid w:val="00003C1C"/>
    <w:rsid w:val="00003D31"/>
    <w:rsid w:val="000041A4"/>
    <w:rsid w:val="00004515"/>
    <w:rsid w:val="00004599"/>
    <w:rsid w:val="000046EC"/>
    <w:rsid w:val="0000492F"/>
    <w:rsid w:val="000049E1"/>
    <w:rsid w:val="00004C28"/>
    <w:rsid w:val="00004EB6"/>
    <w:rsid w:val="00004FF7"/>
    <w:rsid w:val="00005024"/>
    <w:rsid w:val="00005158"/>
    <w:rsid w:val="000051CA"/>
    <w:rsid w:val="00005512"/>
    <w:rsid w:val="000056A7"/>
    <w:rsid w:val="00005731"/>
    <w:rsid w:val="00005863"/>
    <w:rsid w:val="000058A7"/>
    <w:rsid w:val="00005AF7"/>
    <w:rsid w:val="00006078"/>
    <w:rsid w:val="00006467"/>
    <w:rsid w:val="0000673B"/>
    <w:rsid w:val="00006A54"/>
    <w:rsid w:val="00006EA7"/>
    <w:rsid w:val="00007659"/>
    <w:rsid w:val="00007AFD"/>
    <w:rsid w:val="00007D3C"/>
    <w:rsid w:val="00010084"/>
    <w:rsid w:val="0001021E"/>
    <w:rsid w:val="000103A1"/>
    <w:rsid w:val="00010775"/>
    <w:rsid w:val="000109A1"/>
    <w:rsid w:val="00010B65"/>
    <w:rsid w:val="00010B9A"/>
    <w:rsid w:val="00010C8F"/>
    <w:rsid w:val="00010CC9"/>
    <w:rsid w:val="00010DE3"/>
    <w:rsid w:val="0001107C"/>
    <w:rsid w:val="00011710"/>
    <w:rsid w:val="0001206D"/>
    <w:rsid w:val="00012100"/>
    <w:rsid w:val="000129FE"/>
    <w:rsid w:val="00012A33"/>
    <w:rsid w:val="00013082"/>
    <w:rsid w:val="000131C1"/>
    <w:rsid w:val="00013272"/>
    <w:rsid w:val="0001357E"/>
    <w:rsid w:val="0001379F"/>
    <w:rsid w:val="000138CF"/>
    <w:rsid w:val="00013928"/>
    <w:rsid w:val="00014652"/>
    <w:rsid w:val="000147D5"/>
    <w:rsid w:val="00014F72"/>
    <w:rsid w:val="000150CE"/>
    <w:rsid w:val="0001513F"/>
    <w:rsid w:val="00015ACB"/>
    <w:rsid w:val="0001644D"/>
    <w:rsid w:val="00016574"/>
    <w:rsid w:val="00016983"/>
    <w:rsid w:val="00016B80"/>
    <w:rsid w:val="00016C79"/>
    <w:rsid w:val="00016DB4"/>
    <w:rsid w:val="00017087"/>
    <w:rsid w:val="00017567"/>
    <w:rsid w:val="00017A6B"/>
    <w:rsid w:val="00017B1B"/>
    <w:rsid w:val="00017B50"/>
    <w:rsid w:val="0002025C"/>
    <w:rsid w:val="00020628"/>
    <w:rsid w:val="000208A6"/>
    <w:rsid w:val="000209BE"/>
    <w:rsid w:val="00020C91"/>
    <w:rsid w:val="00020D65"/>
    <w:rsid w:val="0002157B"/>
    <w:rsid w:val="00021CA1"/>
    <w:rsid w:val="00022DB6"/>
    <w:rsid w:val="00022EE2"/>
    <w:rsid w:val="00022EF5"/>
    <w:rsid w:val="00023069"/>
    <w:rsid w:val="00023354"/>
    <w:rsid w:val="00023683"/>
    <w:rsid w:val="000236EB"/>
    <w:rsid w:val="000238DA"/>
    <w:rsid w:val="000239AE"/>
    <w:rsid w:val="00023F92"/>
    <w:rsid w:val="000242C9"/>
    <w:rsid w:val="0002461D"/>
    <w:rsid w:val="000246DC"/>
    <w:rsid w:val="00024764"/>
    <w:rsid w:val="0002490A"/>
    <w:rsid w:val="00024AC3"/>
    <w:rsid w:val="00024CC0"/>
    <w:rsid w:val="00024FBF"/>
    <w:rsid w:val="0002516E"/>
    <w:rsid w:val="0002555B"/>
    <w:rsid w:val="00026034"/>
    <w:rsid w:val="00026233"/>
    <w:rsid w:val="00026261"/>
    <w:rsid w:val="00026709"/>
    <w:rsid w:val="00026DB6"/>
    <w:rsid w:val="00026F4E"/>
    <w:rsid w:val="00026FCD"/>
    <w:rsid w:val="000270FA"/>
    <w:rsid w:val="00027198"/>
    <w:rsid w:val="00027344"/>
    <w:rsid w:val="000277CE"/>
    <w:rsid w:val="00027A49"/>
    <w:rsid w:val="00027B66"/>
    <w:rsid w:val="00027CDE"/>
    <w:rsid w:val="00027E91"/>
    <w:rsid w:val="00027ECA"/>
    <w:rsid w:val="00027FD1"/>
    <w:rsid w:val="000300A7"/>
    <w:rsid w:val="0003042E"/>
    <w:rsid w:val="0003048F"/>
    <w:rsid w:val="000305AB"/>
    <w:rsid w:val="000305F1"/>
    <w:rsid w:val="00030853"/>
    <w:rsid w:val="000309E1"/>
    <w:rsid w:val="00030E4D"/>
    <w:rsid w:val="00030F69"/>
    <w:rsid w:val="00030FFB"/>
    <w:rsid w:val="00031790"/>
    <w:rsid w:val="00031963"/>
    <w:rsid w:val="00031B9A"/>
    <w:rsid w:val="00032094"/>
    <w:rsid w:val="000322BD"/>
    <w:rsid w:val="000322C4"/>
    <w:rsid w:val="000323B6"/>
    <w:rsid w:val="0003278E"/>
    <w:rsid w:val="00032AEC"/>
    <w:rsid w:val="00032BD5"/>
    <w:rsid w:val="00032CA0"/>
    <w:rsid w:val="00032ED7"/>
    <w:rsid w:val="00033383"/>
    <w:rsid w:val="000339E9"/>
    <w:rsid w:val="0003402B"/>
    <w:rsid w:val="000342F6"/>
    <w:rsid w:val="00034970"/>
    <w:rsid w:val="00034AA7"/>
    <w:rsid w:val="00034CD6"/>
    <w:rsid w:val="00034DD9"/>
    <w:rsid w:val="00035594"/>
    <w:rsid w:val="00035B33"/>
    <w:rsid w:val="00035E7A"/>
    <w:rsid w:val="00036323"/>
    <w:rsid w:val="00036AE5"/>
    <w:rsid w:val="00036C12"/>
    <w:rsid w:val="00036C3B"/>
    <w:rsid w:val="00036EA4"/>
    <w:rsid w:val="00036EB0"/>
    <w:rsid w:val="000373B1"/>
    <w:rsid w:val="000377EB"/>
    <w:rsid w:val="00037C2A"/>
    <w:rsid w:val="00037D63"/>
    <w:rsid w:val="00040031"/>
    <w:rsid w:val="000403D9"/>
    <w:rsid w:val="00040570"/>
    <w:rsid w:val="00040609"/>
    <w:rsid w:val="000407F5"/>
    <w:rsid w:val="00040842"/>
    <w:rsid w:val="00040877"/>
    <w:rsid w:val="00040CA7"/>
    <w:rsid w:val="00040F48"/>
    <w:rsid w:val="00041091"/>
    <w:rsid w:val="00041447"/>
    <w:rsid w:val="00041554"/>
    <w:rsid w:val="0004178B"/>
    <w:rsid w:val="000417D0"/>
    <w:rsid w:val="00041B53"/>
    <w:rsid w:val="00042131"/>
    <w:rsid w:val="0004236D"/>
    <w:rsid w:val="000423F9"/>
    <w:rsid w:val="00042407"/>
    <w:rsid w:val="000425EB"/>
    <w:rsid w:val="00042783"/>
    <w:rsid w:val="000427A4"/>
    <w:rsid w:val="0004292B"/>
    <w:rsid w:val="00042AA4"/>
    <w:rsid w:val="00042AF4"/>
    <w:rsid w:val="00042BDF"/>
    <w:rsid w:val="00042BF9"/>
    <w:rsid w:val="00042CDC"/>
    <w:rsid w:val="00042FEA"/>
    <w:rsid w:val="00043141"/>
    <w:rsid w:val="0004385E"/>
    <w:rsid w:val="00043963"/>
    <w:rsid w:val="000441DE"/>
    <w:rsid w:val="00044781"/>
    <w:rsid w:val="00044832"/>
    <w:rsid w:val="0004499A"/>
    <w:rsid w:val="000449C5"/>
    <w:rsid w:val="000449FB"/>
    <w:rsid w:val="00045590"/>
    <w:rsid w:val="00045A5C"/>
    <w:rsid w:val="00045C32"/>
    <w:rsid w:val="00045CCE"/>
    <w:rsid w:val="00045F58"/>
    <w:rsid w:val="0004655F"/>
    <w:rsid w:val="00046663"/>
    <w:rsid w:val="00046A2A"/>
    <w:rsid w:val="00046B36"/>
    <w:rsid w:val="00046D9C"/>
    <w:rsid w:val="00046DB5"/>
    <w:rsid w:val="00047059"/>
    <w:rsid w:val="0004744A"/>
    <w:rsid w:val="000474BF"/>
    <w:rsid w:val="000479B4"/>
    <w:rsid w:val="00047A16"/>
    <w:rsid w:val="00047CA4"/>
    <w:rsid w:val="0005063C"/>
    <w:rsid w:val="00050660"/>
    <w:rsid w:val="000507B9"/>
    <w:rsid w:val="00050B06"/>
    <w:rsid w:val="00050CC3"/>
    <w:rsid w:val="000514A7"/>
    <w:rsid w:val="00051AC7"/>
    <w:rsid w:val="00052012"/>
    <w:rsid w:val="00052723"/>
    <w:rsid w:val="000529A9"/>
    <w:rsid w:val="00052D34"/>
    <w:rsid w:val="0005306E"/>
    <w:rsid w:val="000531AB"/>
    <w:rsid w:val="00053465"/>
    <w:rsid w:val="0005354B"/>
    <w:rsid w:val="00053551"/>
    <w:rsid w:val="000539E7"/>
    <w:rsid w:val="00053B86"/>
    <w:rsid w:val="000540E0"/>
    <w:rsid w:val="00054316"/>
    <w:rsid w:val="000545A8"/>
    <w:rsid w:val="000549FC"/>
    <w:rsid w:val="00055548"/>
    <w:rsid w:val="00055688"/>
    <w:rsid w:val="00055880"/>
    <w:rsid w:val="00056117"/>
    <w:rsid w:val="0005649A"/>
    <w:rsid w:val="00056F16"/>
    <w:rsid w:val="000570BE"/>
    <w:rsid w:val="00057327"/>
    <w:rsid w:val="00057398"/>
    <w:rsid w:val="00057594"/>
    <w:rsid w:val="000576D1"/>
    <w:rsid w:val="00057CE9"/>
    <w:rsid w:val="00057DFC"/>
    <w:rsid w:val="00057E30"/>
    <w:rsid w:val="00057F93"/>
    <w:rsid w:val="000601E1"/>
    <w:rsid w:val="00060274"/>
    <w:rsid w:val="0006052F"/>
    <w:rsid w:val="00060794"/>
    <w:rsid w:val="00060F52"/>
    <w:rsid w:val="000612C9"/>
    <w:rsid w:val="000612E9"/>
    <w:rsid w:val="00061301"/>
    <w:rsid w:val="000615DC"/>
    <w:rsid w:val="000615EF"/>
    <w:rsid w:val="00061B41"/>
    <w:rsid w:val="00062846"/>
    <w:rsid w:val="0006297C"/>
    <w:rsid w:val="00062B42"/>
    <w:rsid w:val="00062B8C"/>
    <w:rsid w:val="00062D3F"/>
    <w:rsid w:val="000630C0"/>
    <w:rsid w:val="0006389B"/>
    <w:rsid w:val="00063F49"/>
    <w:rsid w:val="00064348"/>
    <w:rsid w:val="00064888"/>
    <w:rsid w:val="0006504D"/>
    <w:rsid w:val="0006532B"/>
    <w:rsid w:val="000658AD"/>
    <w:rsid w:val="00065B40"/>
    <w:rsid w:val="00065D3D"/>
    <w:rsid w:val="00065D73"/>
    <w:rsid w:val="00066CAE"/>
    <w:rsid w:val="00066D65"/>
    <w:rsid w:val="00066DA1"/>
    <w:rsid w:val="00067166"/>
    <w:rsid w:val="000674CC"/>
    <w:rsid w:val="00067799"/>
    <w:rsid w:val="00067827"/>
    <w:rsid w:val="00067A10"/>
    <w:rsid w:val="00067B2B"/>
    <w:rsid w:val="00067EC0"/>
    <w:rsid w:val="000710CF"/>
    <w:rsid w:val="00071146"/>
    <w:rsid w:val="00071209"/>
    <w:rsid w:val="000715B6"/>
    <w:rsid w:val="00071640"/>
    <w:rsid w:val="000717C6"/>
    <w:rsid w:val="00071875"/>
    <w:rsid w:val="00071A81"/>
    <w:rsid w:val="00071DCB"/>
    <w:rsid w:val="00071E40"/>
    <w:rsid w:val="00071FFD"/>
    <w:rsid w:val="00072007"/>
    <w:rsid w:val="00072440"/>
    <w:rsid w:val="0007283A"/>
    <w:rsid w:val="00072AEE"/>
    <w:rsid w:val="00072B73"/>
    <w:rsid w:val="00072D87"/>
    <w:rsid w:val="00072EF1"/>
    <w:rsid w:val="00072EFC"/>
    <w:rsid w:val="00073922"/>
    <w:rsid w:val="00073933"/>
    <w:rsid w:val="00073C50"/>
    <w:rsid w:val="00073D91"/>
    <w:rsid w:val="0007419C"/>
    <w:rsid w:val="00074295"/>
    <w:rsid w:val="00074465"/>
    <w:rsid w:val="00074A74"/>
    <w:rsid w:val="00074BB4"/>
    <w:rsid w:val="00074C46"/>
    <w:rsid w:val="0007500F"/>
    <w:rsid w:val="000750EE"/>
    <w:rsid w:val="000752A4"/>
    <w:rsid w:val="0007538D"/>
    <w:rsid w:val="000753C9"/>
    <w:rsid w:val="0007563C"/>
    <w:rsid w:val="000756CC"/>
    <w:rsid w:val="000756DA"/>
    <w:rsid w:val="00075CA7"/>
    <w:rsid w:val="0007616D"/>
    <w:rsid w:val="0007658C"/>
    <w:rsid w:val="000767AA"/>
    <w:rsid w:val="0007697B"/>
    <w:rsid w:val="00076F0A"/>
    <w:rsid w:val="00076FB8"/>
    <w:rsid w:val="0007737D"/>
    <w:rsid w:val="00077BFD"/>
    <w:rsid w:val="00077C19"/>
    <w:rsid w:val="00077C6A"/>
    <w:rsid w:val="00077F57"/>
    <w:rsid w:val="0008017E"/>
    <w:rsid w:val="00080343"/>
    <w:rsid w:val="00080399"/>
    <w:rsid w:val="000803EF"/>
    <w:rsid w:val="0008091C"/>
    <w:rsid w:val="00080BAC"/>
    <w:rsid w:val="00080C85"/>
    <w:rsid w:val="00080D06"/>
    <w:rsid w:val="00081741"/>
    <w:rsid w:val="000817B5"/>
    <w:rsid w:val="0008189F"/>
    <w:rsid w:val="0008198A"/>
    <w:rsid w:val="00081A3C"/>
    <w:rsid w:val="00081D06"/>
    <w:rsid w:val="000821B5"/>
    <w:rsid w:val="0008235B"/>
    <w:rsid w:val="00082477"/>
    <w:rsid w:val="0008253E"/>
    <w:rsid w:val="00082A1C"/>
    <w:rsid w:val="00082D19"/>
    <w:rsid w:val="00082DC6"/>
    <w:rsid w:val="00083216"/>
    <w:rsid w:val="000835CA"/>
    <w:rsid w:val="00083E43"/>
    <w:rsid w:val="00083F81"/>
    <w:rsid w:val="00084580"/>
    <w:rsid w:val="00084717"/>
    <w:rsid w:val="000847E7"/>
    <w:rsid w:val="0008496B"/>
    <w:rsid w:val="0008549D"/>
    <w:rsid w:val="000858B7"/>
    <w:rsid w:val="000859C6"/>
    <w:rsid w:val="00085C2B"/>
    <w:rsid w:val="00085DA0"/>
    <w:rsid w:val="000861A2"/>
    <w:rsid w:val="000862B4"/>
    <w:rsid w:val="00086436"/>
    <w:rsid w:val="00086599"/>
    <w:rsid w:val="00086661"/>
    <w:rsid w:val="00086665"/>
    <w:rsid w:val="00086A6D"/>
    <w:rsid w:val="00086E49"/>
    <w:rsid w:val="00087139"/>
    <w:rsid w:val="000872A3"/>
    <w:rsid w:val="00087C2C"/>
    <w:rsid w:val="00087D12"/>
    <w:rsid w:val="00087D4A"/>
    <w:rsid w:val="00087E97"/>
    <w:rsid w:val="00087E99"/>
    <w:rsid w:val="00087EE2"/>
    <w:rsid w:val="00087F09"/>
    <w:rsid w:val="0009003A"/>
    <w:rsid w:val="000900FD"/>
    <w:rsid w:val="00090217"/>
    <w:rsid w:val="0009025A"/>
    <w:rsid w:val="00091018"/>
    <w:rsid w:val="00091165"/>
    <w:rsid w:val="00091323"/>
    <w:rsid w:val="000916B6"/>
    <w:rsid w:val="00091A35"/>
    <w:rsid w:val="0009271A"/>
    <w:rsid w:val="00092A20"/>
    <w:rsid w:val="00092C62"/>
    <w:rsid w:val="00092E06"/>
    <w:rsid w:val="00092F02"/>
    <w:rsid w:val="00092F14"/>
    <w:rsid w:val="0009373F"/>
    <w:rsid w:val="00093FF2"/>
    <w:rsid w:val="00094020"/>
    <w:rsid w:val="0009409B"/>
    <w:rsid w:val="0009410F"/>
    <w:rsid w:val="0009447E"/>
    <w:rsid w:val="000944B3"/>
    <w:rsid w:val="0009478E"/>
    <w:rsid w:val="00094CE6"/>
    <w:rsid w:val="0009514F"/>
    <w:rsid w:val="000951DF"/>
    <w:rsid w:val="00095431"/>
    <w:rsid w:val="00095E24"/>
    <w:rsid w:val="00095E39"/>
    <w:rsid w:val="00095E78"/>
    <w:rsid w:val="0009616E"/>
    <w:rsid w:val="000962EB"/>
    <w:rsid w:val="00096EE5"/>
    <w:rsid w:val="0009732C"/>
    <w:rsid w:val="000974E7"/>
    <w:rsid w:val="000975F9"/>
    <w:rsid w:val="00097771"/>
    <w:rsid w:val="00097A65"/>
    <w:rsid w:val="00097FFC"/>
    <w:rsid w:val="000A00E9"/>
    <w:rsid w:val="000A0130"/>
    <w:rsid w:val="000A078C"/>
    <w:rsid w:val="000A07DA"/>
    <w:rsid w:val="000A07F8"/>
    <w:rsid w:val="000A0B6B"/>
    <w:rsid w:val="000A0F35"/>
    <w:rsid w:val="000A10BC"/>
    <w:rsid w:val="000A1361"/>
    <w:rsid w:val="000A141C"/>
    <w:rsid w:val="000A18A9"/>
    <w:rsid w:val="000A1A44"/>
    <w:rsid w:val="000A1C28"/>
    <w:rsid w:val="000A1D5C"/>
    <w:rsid w:val="000A276B"/>
    <w:rsid w:val="000A2CEE"/>
    <w:rsid w:val="000A2DEA"/>
    <w:rsid w:val="000A35DE"/>
    <w:rsid w:val="000A4120"/>
    <w:rsid w:val="000A48B2"/>
    <w:rsid w:val="000A4B32"/>
    <w:rsid w:val="000A4BE3"/>
    <w:rsid w:val="000A4DFF"/>
    <w:rsid w:val="000A4F4F"/>
    <w:rsid w:val="000A4F6E"/>
    <w:rsid w:val="000A5192"/>
    <w:rsid w:val="000A5488"/>
    <w:rsid w:val="000A579B"/>
    <w:rsid w:val="000A5924"/>
    <w:rsid w:val="000A5D80"/>
    <w:rsid w:val="000A5F52"/>
    <w:rsid w:val="000A643A"/>
    <w:rsid w:val="000A683B"/>
    <w:rsid w:val="000A6916"/>
    <w:rsid w:val="000A6A0D"/>
    <w:rsid w:val="000A6B48"/>
    <w:rsid w:val="000A6CC0"/>
    <w:rsid w:val="000A74A9"/>
    <w:rsid w:val="000A7617"/>
    <w:rsid w:val="000A76EE"/>
    <w:rsid w:val="000A7801"/>
    <w:rsid w:val="000A78B6"/>
    <w:rsid w:val="000A7945"/>
    <w:rsid w:val="000A79B3"/>
    <w:rsid w:val="000A7B7B"/>
    <w:rsid w:val="000B0136"/>
    <w:rsid w:val="000B02B3"/>
    <w:rsid w:val="000B05F8"/>
    <w:rsid w:val="000B0702"/>
    <w:rsid w:val="000B07E4"/>
    <w:rsid w:val="000B0D79"/>
    <w:rsid w:val="000B0E22"/>
    <w:rsid w:val="000B150F"/>
    <w:rsid w:val="000B1510"/>
    <w:rsid w:val="000B153A"/>
    <w:rsid w:val="000B1993"/>
    <w:rsid w:val="000B1AF6"/>
    <w:rsid w:val="000B1E90"/>
    <w:rsid w:val="000B209C"/>
    <w:rsid w:val="000B2935"/>
    <w:rsid w:val="000B3305"/>
    <w:rsid w:val="000B39B7"/>
    <w:rsid w:val="000B3A45"/>
    <w:rsid w:val="000B3DDE"/>
    <w:rsid w:val="000B3E4A"/>
    <w:rsid w:val="000B3F19"/>
    <w:rsid w:val="000B4354"/>
    <w:rsid w:val="000B463A"/>
    <w:rsid w:val="000B4753"/>
    <w:rsid w:val="000B5170"/>
    <w:rsid w:val="000B585A"/>
    <w:rsid w:val="000B59E1"/>
    <w:rsid w:val="000B59F6"/>
    <w:rsid w:val="000B5A29"/>
    <w:rsid w:val="000B5E22"/>
    <w:rsid w:val="000B5E7A"/>
    <w:rsid w:val="000B655A"/>
    <w:rsid w:val="000B66A6"/>
    <w:rsid w:val="000B66ED"/>
    <w:rsid w:val="000B66EF"/>
    <w:rsid w:val="000B67CC"/>
    <w:rsid w:val="000B68D7"/>
    <w:rsid w:val="000B7BC7"/>
    <w:rsid w:val="000B7C6B"/>
    <w:rsid w:val="000B7CFF"/>
    <w:rsid w:val="000C0292"/>
    <w:rsid w:val="000C03EF"/>
    <w:rsid w:val="000C0629"/>
    <w:rsid w:val="000C0FB0"/>
    <w:rsid w:val="000C1348"/>
    <w:rsid w:val="000C1498"/>
    <w:rsid w:val="000C1764"/>
    <w:rsid w:val="000C1998"/>
    <w:rsid w:val="000C1A57"/>
    <w:rsid w:val="000C1AF8"/>
    <w:rsid w:val="000C1CF3"/>
    <w:rsid w:val="000C203F"/>
    <w:rsid w:val="000C2165"/>
    <w:rsid w:val="000C2765"/>
    <w:rsid w:val="000C2769"/>
    <w:rsid w:val="000C2A4C"/>
    <w:rsid w:val="000C2D0C"/>
    <w:rsid w:val="000C2EA3"/>
    <w:rsid w:val="000C33A6"/>
    <w:rsid w:val="000C37F6"/>
    <w:rsid w:val="000C3E32"/>
    <w:rsid w:val="000C426E"/>
    <w:rsid w:val="000C43FB"/>
    <w:rsid w:val="000C492B"/>
    <w:rsid w:val="000C4C59"/>
    <w:rsid w:val="000C4E54"/>
    <w:rsid w:val="000C4EC2"/>
    <w:rsid w:val="000C4F59"/>
    <w:rsid w:val="000C51B7"/>
    <w:rsid w:val="000C52A0"/>
    <w:rsid w:val="000C53CB"/>
    <w:rsid w:val="000C57C2"/>
    <w:rsid w:val="000C59C1"/>
    <w:rsid w:val="000C5C27"/>
    <w:rsid w:val="000C5FE0"/>
    <w:rsid w:val="000C62B8"/>
    <w:rsid w:val="000C62D1"/>
    <w:rsid w:val="000C639D"/>
    <w:rsid w:val="000C63A0"/>
    <w:rsid w:val="000C646C"/>
    <w:rsid w:val="000C6AAA"/>
    <w:rsid w:val="000C6AB8"/>
    <w:rsid w:val="000C6D6D"/>
    <w:rsid w:val="000C760C"/>
    <w:rsid w:val="000C7654"/>
    <w:rsid w:val="000D0089"/>
    <w:rsid w:val="000D01A5"/>
    <w:rsid w:val="000D0324"/>
    <w:rsid w:val="000D0D95"/>
    <w:rsid w:val="000D1388"/>
    <w:rsid w:val="000D14B2"/>
    <w:rsid w:val="000D1522"/>
    <w:rsid w:val="000D15B0"/>
    <w:rsid w:val="000D1C90"/>
    <w:rsid w:val="000D1C91"/>
    <w:rsid w:val="000D1DCB"/>
    <w:rsid w:val="000D2007"/>
    <w:rsid w:val="000D2340"/>
    <w:rsid w:val="000D247E"/>
    <w:rsid w:val="000D255E"/>
    <w:rsid w:val="000D2C88"/>
    <w:rsid w:val="000D32A7"/>
    <w:rsid w:val="000D37E9"/>
    <w:rsid w:val="000D3A8D"/>
    <w:rsid w:val="000D3B8B"/>
    <w:rsid w:val="000D3DE1"/>
    <w:rsid w:val="000D41B5"/>
    <w:rsid w:val="000D464F"/>
    <w:rsid w:val="000D47D2"/>
    <w:rsid w:val="000D49C6"/>
    <w:rsid w:val="000D4D59"/>
    <w:rsid w:val="000D4E29"/>
    <w:rsid w:val="000D51D9"/>
    <w:rsid w:val="000D51E3"/>
    <w:rsid w:val="000D52BE"/>
    <w:rsid w:val="000D568D"/>
    <w:rsid w:val="000D56CD"/>
    <w:rsid w:val="000D5838"/>
    <w:rsid w:val="000D598B"/>
    <w:rsid w:val="000D59B1"/>
    <w:rsid w:val="000D5DB2"/>
    <w:rsid w:val="000D5DC1"/>
    <w:rsid w:val="000D6054"/>
    <w:rsid w:val="000D608F"/>
    <w:rsid w:val="000D654C"/>
    <w:rsid w:val="000D6767"/>
    <w:rsid w:val="000D68D3"/>
    <w:rsid w:val="000D69A0"/>
    <w:rsid w:val="000D6AA6"/>
    <w:rsid w:val="000D6DAE"/>
    <w:rsid w:val="000D6F9D"/>
    <w:rsid w:val="000D72AF"/>
    <w:rsid w:val="000D72C9"/>
    <w:rsid w:val="000D7444"/>
    <w:rsid w:val="000D74D0"/>
    <w:rsid w:val="000D75CF"/>
    <w:rsid w:val="000D7825"/>
    <w:rsid w:val="000D7E5B"/>
    <w:rsid w:val="000D7EC6"/>
    <w:rsid w:val="000D7F00"/>
    <w:rsid w:val="000E04B7"/>
    <w:rsid w:val="000E13D1"/>
    <w:rsid w:val="000E1421"/>
    <w:rsid w:val="000E146C"/>
    <w:rsid w:val="000E1593"/>
    <w:rsid w:val="000E1633"/>
    <w:rsid w:val="000E17E4"/>
    <w:rsid w:val="000E1B41"/>
    <w:rsid w:val="000E1FE3"/>
    <w:rsid w:val="000E229A"/>
    <w:rsid w:val="000E24FC"/>
    <w:rsid w:val="000E294C"/>
    <w:rsid w:val="000E2ADA"/>
    <w:rsid w:val="000E2B0B"/>
    <w:rsid w:val="000E2B9F"/>
    <w:rsid w:val="000E2C51"/>
    <w:rsid w:val="000E2EDD"/>
    <w:rsid w:val="000E2FC7"/>
    <w:rsid w:val="000E3074"/>
    <w:rsid w:val="000E314A"/>
    <w:rsid w:val="000E3336"/>
    <w:rsid w:val="000E394A"/>
    <w:rsid w:val="000E3CC9"/>
    <w:rsid w:val="000E3D2F"/>
    <w:rsid w:val="000E3FB2"/>
    <w:rsid w:val="000E4549"/>
    <w:rsid w:val="000E4A2B"/>
    <w:rsid w:val="000E5057"/>
    <w:rsid w:val="000E5093"/>
    <w:rsid w:val="000E57E2"/>
    <w:rsid w:val="000E58EB"/>
    <w:rsid w:val="000E5A29"/>
    <w:rsid w:val="000E5C30"/>
    <w:rsid w:val="000E5D57"/>
    <w:rsid w:val="000E6155"/>
    <w:rsid w:val="000E64C2"/>
    <w:rsid w:val="000E6501"/>
    <w:rsid w:val="000E67ED"/>
    <w:rsid w:val="000E6833"/>
    <w:rsid w:val="000E6B90"/>
    <w:rsid w:val="000E70BE"/>
    <w:rsid w:val="000E7214"/>
    <w:rsid w:val="000E73A7"/>
    <w:rsid w:val="000E759A"/>
    <w:rsid w:val="000E7BE3"/>
    <w:rsid w:val="000E7FE6"/>
    <w:rsid w:val="000F017F"/>
    <w:rsid w:val="000F045B"/>
    <w:rsid w:val="000F0548"/>
    <w:rsid w:val="000F0945"/>
    <w:rsid w:val="000F0B1B"/>
    <w:rsid w:val="000F1229"/>
    <w:rsid w:val="000F1537"/>
    <w:rsid w:val="000F1567"/>
    <w:rsid w:val="000F1AF3"/>
    <w:rsid w:val="000F1C4B"/>
    <w:rsid w:val="000F1E6C"/>
    <w:rsid w:val="000F2124"/>
    <w:rsid w:val="000F254E"/>
    <w:rsid w:val="000F25D1"/>
    <w:rsid w:val="000F2929"/>
    <w:rsid w:val="000F2A4A"/>
    <w:rsid w:val="000F2FB7"/>
    <w:rsid w:val="000F30B4"/>
    <w:rsid w:val="000F30ED"/>
    <w:rsid w:val="000F32AB"/>
    <w:rsid w:val="000F39A9"/>
    <w:rsid w:val="000F3ADB"/>
    <w:rsid w:val="000F42F6"/>
    <w:rsid w:val="000F45DD"/>
    <w:rsid w:val="000F4752"/>
    <w:rsid w:val="000F4775"/>
    <w:rsid w:val="000F4A05"/>
    <w:rsid w:val="000F4B2D"/>
    <w:rsid w:val="000F5067"/>
    <w:rsid w:val="000F52B1"/>
    <w:rsid w:val="000F5340"/>
    <w:rsid w:val="000F53AE"/>
    <w:rsid w:val="000F5808"/>
    <w:rsid w:val="000F59B2"/>
    <w:rsid w:val="000F5A8E"/>
    <w:rsid w:val="000F619A"/>
    <w:rsid w:val="000F61BE"/>
    <w:rsid w:val="000F6465"/>
    <w:rsid w:val="000F66EF"/>
    <w:rsid w:val="000F689F"/>
    <w:rsid w:val="000F6BEC"/>
    <w:rsid w:val="000F6DCB"/>
    <w:rsid w:val="000F6F6B"/>
    <w:rsid w:val="000F7860"/>
    <w:rsid w:val="000F79AA"/>
    <w:rsid w:val="000F7BE8"/>
    <w:rsid w:val="000F7EF7"/>
    <w:rsid w:val="00100169"/>
    <w:rsid w:val="00100361"/>
    <w:rsid w:val="001003A3"/>
    <w:rsid w:val="001004B1"/>
    <w:rsid w:val="0010071C"/>
    <w:rsid w:val="00100B2B"/>
    <w:rsid w:val="00100C9F"/>
    <w:rsid w:val="00100E0A"/>
    <w:rsid w:val="00100FD5"/>
    <w:rsid w:val="001011AB"/>
    <w:rsid w:val="00101816"/>
    <w:rsid w:val="00101BD7"/>
    <w:rsid w:val="00102281"/>
    <w:rsid w:val="0010264B"/>
    <w:rsid w:val="00102E48"/>
    <w:rsid w:val="00102E70"/>
    <w:rsid w:val="001030AB"/>
    <w:rsid w:val="0010358B"/>
    <w:rsid w:val="00103EAC"/>
    <w:rsid w:val="00103FB7"/>
    <w:rsid w:val="00103FC6"/>
    <w:rsid w:val="001041B9"/>
    <w:rsid w:val="001047D0"/>
    <w:rsid w:val="00104944"/>
    <w:rsid w:val="00104FFC"/>
    <w:rsid w:val="001054A9"/>
    <w:rsid w:val="0010559F"/>
    <w:rsid w:val="00105A45"/>
    <w:rsid w:val="00105E73"/>
    <w:rsid w:val="00105E84"/>
    <w:rsid w:val="0010600B"/>
    <w:rsid w:val="00106107"/>
    <w:rsid w:val="0010610E"/>
    <w:rsid w:val="001061AB"/>
    <w:rsid w:val="001062EC"/>
    <w:rsid w:val="001065B1"/>
    <w:rsid w:val="0010694C"/>
    <w:rsid w:val="00106C0B"/>
    <w:rsid w:val="00106F49"/>
    <w:rsid w:val="001071A2"/>
    <w:rsid w:val="0010750C"/>
    <w:rsid w:val="001079A1"/>
    <w:rsid w:val="001101AE"/>
    <w:rsid w:val="001102F3"/>
    <w:rsid w:val="001104F6"/>
    <w:rsid w:val="00110630"/>
    <w:rsid w:val="001108B2"/>
    <w:rsid w:val="00110B7D"/>
    <w:rsid w:val="0011155F"/>
    <w:rsid w:val="00111AFC"/>
    <w:rsid w:val="00112302"/>
    <w:rsid w:val="001127C7"/>
    <w:rsid w:val="0011284F"/>
    <w:rsid w:val="00112955"/>
    <w:rsid w:val="00112AB3"/>
    <w:rsid w:val="00112E1D"/>
    <w:rsid w:val="00112E33"/>
    <w:rsid w:val="00113173"/>
    <w:rsid w:val="001132F7"/>
    <w:rsid w:val="0011336B"/>
    <w:rsid w:val="00113704"/>
    <w:rsid w:val="00113E21"/>
    <w:rsid w:val="00113E36"/>
    <w:rsid w:val="00113E89"/>
    <w:rsid w:val="00114058"/>
    <w:rsid w:val="0011467A"/>
    <w:rsid w:val="0011488B"/>
    <w:rsid w:val="00114CB8"/>
    <w:rsid w:val="00114F24"/>
    <w:rsid w:val="0011502E"/>
    <w:rsid w:val="0011555D"/>
    <w:rsid w:val="0011566C"/>
    <w:rsid w:val="00115C28"/>
    <w:rsid w:val="00115E91"/>
    <w:rsid w:val="00116505"/>
    <w:rsid w:val="001166E3"/>
    <w:rsid w:val="00116788"/>
    <w:rsid w:val="00116871"/>
    <w:rsid w:val="00116D0F"/>
    <w:rsid w:val="00116DF0"/>
    <w:rsid w:val="00116F6D"/>
    <w:rsid w:val="00117019"/>
    <w:rsid w:val="0011703F"/>
    <w:rsid w:val="001173C6"/>
    <w:rsid w:val="001177CB"/>
    <w:rsid w:val="0011792A"/>
    <w:rsid w:val="00117D0D"/>
    <w:rsid w:val="00119B56"/>
    <w:rsid w:val="00120579"/>
    <w:rsid w:val="00120817"/>
    <w:rsid w:val="001208D6"/>
    <w:rsid w:val="00121024"/>
    <w:rsid w:val="0012109D"/>
    <w:rsid w:val="001217D1"/>
    <w:rsid w:val="00121804"/>
    <w:rsid w:val="001220B4"/>
    <w:rsid w:val="0012218F"/>
    <w:rsid w:val="0012297D"/>
    <w:rsid w:val="00122D46"/>
    <w:rsid w:val="00122F68"/>
    <w:rsid w:val="00123163"/>
    <w:rsid w:val="00123625"/>
    <w:rsid w:val="001238BB"/>
    <w:rsid w:val="001238C9"/>
    <w:rsid w:val="0012390A"/>
    <w:rsid w:val="0012393B"/>
    <w:rsid w:val="00123B64"/>
    <w:rsid w:val="00123C14"/>
    <w:rsid w:val="00124012"/>
    <w:rsid w:val="0012424E"/>
    <w:rsid w:val="001244C9"/>
    <w:rsid w:val="00124588"/>
    <w:rsid w:val="0012465F"/>
    <w:rsid w:val="00124670"/>
    <w:rsid w:val="001246F7"/>
    <w:rsid w:val="00124C24"/>
    <w:rsid w:val="00124CCB"/>
    <w:rsid w:val="00125931"/>
    <w:rsid w:val="0012593D"/>
    <w:rsid w:val="00125AA4"/>
    <w:rsid w:val="001260E7"/>
    <w:rsid w:val="00126112"/>
    <w:rsid w:val="00126183"/>
    <w:rsid w:val="001263C1"/>
    <w:rsid w:val="001265D6"/>
    <w:rsid w:val="0012687E"/>
    <w:rsid w:val="00126A8E"/>
    <w:rsid w:val="0012775E"/>
    <w:rsid w:val="00127B30"/>
    <w:rsid w:val="001302E0"/>
    <w:rsid w:val="00130948"/>
    <w:rsid w:val="001309A2"/>
    <w:rsid w:val="001313BE"/>
    <w:rsid w:val="0013182D"/>
    <w:rsid w:val="00131AC0"/>
    <w:rsid w:val="00131E76"/>
    <w:rsid w:val="00132104"/>
    <w:rsid w:val="0013210D"/>
    <w:rsid w:val="0013241E"/>
    <w:rsid w:val="0013255C"/>
    <w:rsid w:val="0013296F"/>
    <w:rsid w:val="001329FE"/>
    <w:rsid w:val="001330CE"/>
    <w:rsid w:val="001332CD"/>
    <w:rsid w:val="001334C9"/>
    <w:rsid w:val="00133EC6"/>
    <w:rsid w:val="00133F54"/>
    <w:rsid w:val="00133F7A"/>
    <w:rsid w:val="001340B3"/>
    <w:rsid w:val="00134328"/>
    <w:rsid w:val="00134370"/>
    <w:rsid w:val="001344B1"/>
    <w:rsid w:val="001346D5"/>
    <w:rsid w:val="001348FD"/>
    <w:rsid w:val="00134A7C"/>
    <w:rsid w:val="00134C86"/>
    <w:rsid w:val="00134DC8"/>
    <w:rsid w:val="00134E4D"/>
    <w:rsid w:val="00135552"/>
    <w:rsid w:val="001355C0"/>
    <w:rsid w:val="001356EA"/>
    <w:rsid w:val="00135DBF"/>
    <w:rsid w:val="00135FDB"/>
    <w:rsid w:val="0013680C"/>
    <w:rsid w:val="00136A10"/>
    <w:rsid w:val="00136CAE"/>
    <w:rsid w:val="0013742C"/>
    <w:rsid w:val="001378EB"/>
    <w:rsid w:val="00137D56"/>
    <w:rsid w:val="00140573"/>
    <w:rsid w:val="0014086D"/>
    <w:rsid w:val="00141172"/>
    <w:rsid w:val="00141355"/>
    <w:rsid w:val="001413FC"/>
    <w:rsid w:val="0014141D"/>
    <w:rsid w:val="00141536"/>
    <w:rsid w:val="001415CA"/>
    <w:rsid w:val="0014175C"/>
    <w:rsid w:val="001419BB"/>
    <w:rsid w:val="001419BF"/>
    <w:rsid w:val="00141A87"/>
    <w:rsid w:val="00141CCA"/>
    <w:rsid w:val="00141F1E"/>
    <w:rsid w:val="00142090"/>
    <w:rsid w:val="001420F0"/>
    <w:rsid w:val="001428BE"/>
    <w:rsid w:val="00142C96"/>
    <w:rsid w:val="00142DD2"/>
    <w:rsid w:val="00142DD4"/>
    <w:rsid w:val="00142DD8"/>
    <w:rsid w:val="0014328F"/>
    <w:rsid w:val="001436EE"/>
    <w:rsid w:val="00143E7D"/>
    <w:rsid w:val="00143E80"/>
    <w:rsid w:val="00144002"/>
    <w:rsid w:val="001441F6"/>
    <w:rsid w:val="0014429A"/>
    <w:rsid w:val="00144521"/>
    <w:rsid w:val="00144A83"/>
    <w:rsid w:val="00144C70"/>
    <w:rsid w:val="0014571F"/>
    <w:rsid w:val="00145A3D"/>
    <w:rsid w:val="00145B8C"/>
    <w:rsid w:val="00145CE1"/>
    <w:rsid w:val="00145D71"/>
    <w:rsid w:val="00145FB0"/>
    <w:rsid w:val="0014623B"/>
    <w:rsid w:val="00146326"/>
    <w:rsid w:val="0014690D"/>
    <w:rsid w:val="001477F6"/>
    <w:rsid w:val="00147AF6"/>
    <w:rsid w:val="00147BDD"/>
    <w:rsid w:val="00147D1B"/>
    <w:rsid w:val="00150111"/>
    <w:rsid w:val="001504F3"/>
    <w:rsid w:val="00150609"/>
    <w:rsid w:val="0015101C"/>
    <w:rsid w:val="001511D1"/>
    <w:rsid w:val="00151212"/>
    <w:rsid w:val="00151550"/>
    <w:rsid w:val="00151C39"/>
    <w:rsid w:val="00151E2F"/>
    <w:rsid w:val="00152291"/>
    <w:rsid w:val="00152714"/>
    <w:rsid w:val="00152A0E"/>
    <w:rsid w:val="00152A8A"/>
    <w:rsid w:val="00152C8F"/>
    <w:rsid w:val="00152D1E"/>
    <w:rsid w:val="00152DAD"/>
    <w:rsid w:val="0015312F"/>
    <w:rsid w:val="001531E7"/>
    <w:rsid w:val="0015365C"/>
    <w:rsid w:val="00153A3B"/>
    <w:rsid w:val="00153F18"/>
    <w:rsid w:val="0015405B"/>
    <w:rsid w:val="00154839"/>
    <w:rsid w:val="001548C1"/>
    <w:rsid w:val="00154AB7"/>
    <w:rsid w:val="00154C86"/>
    <w:rsid w:val="00154FD9"/>
    <w:rsid w:val="00155179"/>
    <w:rsid w:val="00155689"/>
    <w:rsid w:val="001556E2"/>
    <w:rsid w:val="00155C96"/>
    <w:rsid w:val="00155E93"/>
    <w:rsid w:val="00155E98"/>
    <w:rsid w:val="001560C5"/>
    <w:rsid w:val="001569BD"/>
    <w:rsid w:val="001569F4"/>
    <w:rsid w:val="00156B68"/>
    <w:rsid w:val="001573D1"/>
    <w:rsid w:val="001576F2"/>
    <w:rsid w:val="001578CE"/>
    <w:rsid w:val="001578D1"/>
    <w:rsid w:val="00157D4D"/>
    <w:rsid w:val="00157E2A"/>
    <w:rsid w:val="00160263"/>
    <w:rsid w:val="00160384"/>
    <w:rsid w:val="001608E7"/>
    <w:rsid w:val="00160BC2"/>
    <w:rsid w:val="001612F7"/>
    <w:rsid w:val="0016149B"/>
    <w:rsid w:val="00161674"/>
    <w:rsid w:val="00161B63"/>
    <w:rsid w:val="00161B85"/>
    <w:rsid w:val="00161EC9"/>
    <w:rsid w:val="00162264"/>
    <w:rsid w:val="00162BC3"/>
    <w:rsid w:val="00162F32"/>
    <w:rsid w:val="00163381"/>
    <w:rsid w:val="001633B4"/>
    <w:rsid w:val="00163463"/>
    <w:rsid w:val="001634DD"/>
    <w:rsid w:val="001636C2"/>
    <w:rsid w:val="00163A38"/>
    <w:rsid w:val="00163A60"/>
    <w:rsid w:val="00163F7D"/>
    <w:rsid w:val="00164007"/>
    <w:rsid w:val="00164467"/>
    <w:rsid w:val="001645F0"/>
    <w:rsid w:val="00164DA1"/>
    <w:rsid w:val="00164EBC"/>
    <w:rsid w:val="00164FBD"/>
    <w:rsid w:val="00164FFA"/>
    <w:rsid w:val="00165108"/>
    <w:rsid w:val="0016542E"/>
    <w:rsid w:val="00165BDC"/>
    <w:rsid w:val="00166FA9"/>
    <w:rsid w:val="0016703C"/>
    <w:rsid w:val="00167559"/>
    <w:rsid w:val="0016785D"/>
    <w:rsid w:val="00167969"/>
    <w:rsid w:val="0016796F"/>
    <w:rsid w:val="00167BF1"/>
    <w:rsid w:val="00167C11"/>
    <w:rsid w:val="00170041"/>
    <w:rsid w:val="00170289"/>
    <w:rsid w:val="00170439"/>
    <w:rsid w:val="001704A6"/>
    <w:rsid w:val="00170644"/>
    <w:rsid w:val="00170720"/>
    <w:rsid w:val="00170B09"/>
    <w:rsid w:val="00171135"/>
    <w:rsid w:val="00171788"/>
    <w:rsid w:val="00171A8C"/>
    <w:rsid w:val="0017235F"/>
    <w:rsid w:val="00172753"/>
    <w:rsid w:val="001728B3"/>
    <w:rsid w:val="00172A26"/>
    <w:rsid w:val="00172B9C"/>
    <w:rsid w:val="00172BA4"/>
    <w:rsid w:val="00172EB0"/>
    <w:rsid w:val="00172F08"/>
    <w:rsid w:val="00172FC5"/>
    <w:rsid w:val="001735AD"/>
    <w:rsid w:val="00173A54"/>
    <w:rsid w:val="00173B81"/>
    <w:rsid w:val="00173D87"/>
    <w:rsid w:val="00173DCD"/>
    <w:rsid w:val="001741BC"/>
    <w:rsid w:val="00174786"/>
    <w:rsid w:val="001747BD"/>
    <w:rsid w:val="0017493D"/>
    <w:rsid w:val="00174C01"/>
    <w:rsid w:val="00174C3A"/>
    <w:rsid w:val="0017534B"/>
    <w:rsid w:val="001756F9"/>
    <w:rsid w:val="00175898"/>
    <w:rsid w:val="00175CBD"/>
    <w:rsid w:val="00176053"/>
    <w:rsid w:val="001760D5"/>
    <w:rsid w:val="00176AE6"/>
    <w:rsid w:val="00176AE7"/>
    <w:rsid w:val="00176C03"/>
    <w:rsid w:val="00176CD5"/>
    <w:rsid w:val="00176E96"/>
    <w:rsid w:val="00177518"/>
    <w:rsid w:val="001779C9"/>
    <w:rsid w:val="00177EE7"/>
    <w:rsid w:val="00180176"/>
    <w:rsid w:val="00180D46"/>
    <w:rsid w:val="001818E5"/>
    <w:rsid w:val="00181911"/>
    <w:rsid w:val="00181BFC"/>
    <w:rsid w:val="00181D0F"/>
    <w:rsid w:val="00181DC9"/>
    <w:rsid w:val="0018204D"/>
    <w:rsid w:val="001822AE"/>
    <w:rsid w:val="001822FE"/>
    <w:rsid w:val="001827E3"/>
    <w:rsid w:val="00182971"/>
    <w:rsid w:val="00182A87"/>
    <w:rsid w:val="00182B59"/>
    <w:rsid w:val="0018337F"/>
    <w:rsid w:val="001834CA"/>
    <w:rsid w:val="00183583"/>
    <w:rsid w:val="00183628"/>
    <w:rsid w:val="0018391F"/>
    <w:rsid w:val="00184113"/>
    <w:rsid w:val="0018463B"/>
    <w:rsid w:val="0018469C"/>
    <w:rsid w:val="00184C5A"/>
    <w:rsid w:val="00184EF9"/>
    <w:rsid w:val="0018514C"/>
    <w:rsid w:val="00185763"/>
    <w:rsid w:val="00185901"/>
    <w:rsid w:val="001859F7"/>
    <w:rsid w:val="00185EBE"/>
    <w:rsid w:val="00185F0A"/>
    <w:rsid w:val="00185FDF"/>
    <w:rsid w:val="00186362"/>
    <w:rsid w:val="00186ACD"/>
    <w:rsid w:val="00186BA0"/>
    <w:rsid w:val="00186CDE"/>
    <w:rsid w:val="00186DAA"/>
    <w:rsid w:val="00186E07"/>
    <w:rsid w:val="00186F2A"/>
    <w:rsid w:val="0018744C"/>
    <w:rsid w:val="00187637"/>
    <w:rsid w:val="00187C60"/>
    <w:rsid w:val="00190B08"/>
    <w:rsid w:val="001911D2"/>
    <w:rsid w:val="001913EB"/>
    <w:rsid w:val="0019165B"/>
    <w:rsid w:val="00191782"/>
    <w:rsid w:val="001919B4"/>
    <w:rsid w:val="00191C3D"/>
    <w:rsid w:val="00191F87"/>
    <w:rsid w:val="00192DE3"/>
    <w:rsid w:val="00192FF0"/>
    <w:rsid w:val="00193063"/>
    <w:rsid w:val="0019357E"/>
    <w:rsid w:val="00193A58"/>
    <w:rsid w:val="00193C9D"/>
    <w:rsid w:val="00193D7D"/>
    <w:rsid w:val="00193E7F"/>
    <w:rsid w:val="001946BB"/>
    <w:rsid w:val="00194977"/>
    <w:rsid w:val="001949D5"/>
    <w:rsid w:val="00194AA9"/>
    <w:rsid w:val="00194B8F"/>
    <w:rsid w:val="00194F47"/>
    <w:rsid w:val="00195686"/>
    <w:rsid w:val="00195939"/>
    <w:rsid w:val="00195946"/>
    <w:rsid w:val="0019599F"/>
    <w:rsid w:val="00195C04"/>
    <w:rsid w:val="00195CBD"/>
    <w:rsid w:val="0019604A"/>
    <w:rsid w:val="00196AF8"/>
    <w:rsid w:val="00196B0D"/>
    <w:rsid w:val="00196B2D"/>
    <w:rsid w:val="00196C5C"/>
    <w:rsid w:val="00196CFB"/>
    <w:rsid w:val="00196D6C"/>
    <w:rsid w:val="00196FCE"/>
    <w:rsid w:val="00197607"/>
    <w:rsid w:val="00197EE1"/>
    <w:rsid w:val="001A0119"/>
    <w:rsid w:val="001A078F"/>
    <w:rsid w:val="001A1430"/>
    <w:rsid w:val="001A1487"/>
    <w:rsid w:val="001A163C"/>
    <w:rsid w:val="001A1B07"/>
    <w:rsid w:val="001A20ED"/>
    <w:rsid w:val="001A21A7"/>
    <w:rsid w:val="001A2212"/>
    <w:rsid w:val="001A274C"/>
    <w:rsid w:val="001A2E93"/>
    <w:rsid w:val="001A3873"/>
    <w:rsid w:val="001A4040"/>
    <w:rsid w:val="001A40F5"/>
    <w:rsid w:val="001A422F"/>
    <w:rsid w:val="001A43C6"/>
    <w:rsid w:val="001A47AD"/>
    <w:rsid w:val="001A4AA4"/>
    <w:rsid w:val="001A4E2C"/>
    <w:rsid w:val="001A567D"/>
    <w:rsid w:val="001A5764"/>
    <w:rsid w:val="001A5919"/>
    <w:rsid w:val="001A5AFD"/>
    <w:rsid w:val="001A5F0C"/>
    <w:rsid w:val="001A612A"/>
    <w:rsid w:val="001A6221"/>
    <w:rsid w:val="001A65C3"/>
    <w:rsid w:val="001A67A4"/>
    <w:rsid w:val="001A67C1"/>
    <w:rsid w:val="001A6DBD"/>
    <w:rsid w:val="001A6E67"/>
    <w:rsid w:val="001A6F5C"/>
    <w:rsid w:val="001A6F8F"/>
    <w:rsid w:val="001A7102"/>
    <w:rsid w:val="001A7299"/>
    <w:rsid w:val="001A73F0"/>
    <w:rsid w:val="001A7AB6"/>
    <w:rsid w:val="001A7FB2"/>
    <w:rsid w:val="001B0105"/>
    <w:rsid w:val="001B031F"/>
    <w:rsid w:val="001B0360"/>
    <w:rsid w:val="001B0377"/>
    <w:rsid w:val="001B091F"/>
    <w:rsid w:val="001B0984"/>
    <w:rsid w:val="001B0B4B"/>
    <w:rsid w:val="001B10BA"/>
    <w:rsid w:val="001B116F"/>
    <w:rsid w:val="001B1258"/>
    <w:rsid w:val="001B12D9"/>
    <w:rsid w:val="001B14BA"/>
    <w:rsid w:val="001B14C7"/>
    <w:rsid w:val="001B1591"/>
    <w:rsid w:val="001B15A0"/>
    <w:rsid w:val="001B1892"/>
    <w:rsid w:val="001B18E5"/>
    <w:rsid w:val="001B19D1"/>
    <w:rsid w:val="001B19DC"/>
    <w:rsid w:val="001B19FD"/>
    <w:rsid w:val="001B1DFB"/>
    <w:rsid w:val="001B2046"/>
    <w:rsid w:val="001B214B"/>
    <w:rsid w:val="001B22DA"/>
    <w:rsid w:val="001B23E5"/>
    <w:rsid w:val="001B25D9"/>
    <w:rsid w:val="001B2832"/>
    <w:rsid w:val="001B2ED1"/>
    <w:rsid w:val="001B356C"/>
    <w:rsid w:val="001B35A0"/>
    <w:rsid w:val="001B3E1E"/>
    <w:rsid w:val="001B3E99"/>
    <w:rsid w:val="001B3F16"/>
    <w:rsid w:val="001B4243"/>
    <w:rsid w:val="001B42BF"/>
    <w:rsid w:val="001B48AD"/>
    <w:rsid w:val="001B4A0E"/>
    <w:rsid w:val="001B5140"/>
    <w:rsid w:val="001B5BFD"/>
    <w:rsid w:val="001B5E4C"/>
    <w:rsid w:val="001B626B"/>
    <w:rsid w:val="001B6273"/>
    <w:rsid w:val="001B657F"/>
    <w:rsid w:val="001B6AAA"/>
    <w:rsid w:val="001B6D5D"/>
    <w:rsid w:val="001B778E"/>
    <w:rsid w:val="001B7A81"/>
    <w:rsid w:val="001B7C1F"/>
    <w:rsid w:val="001B7D99"/>
    <w:rsid w:val="001C03A6"/>
    <w:rsid w:val="001C04AC"/>
    <w:rsid w:val="001C0FC1"/>
    <w:rsid w:val="001C120E"/>
    <w:rsid w:val="001C18D8"/>
    <w:rsid w:val="001C1AB7"/>
    <w:rsid w:val="001C2063"/>
    <w:rsid w:val="001C224C"/>
    <w:rsid w:val="001C22BB"/>
    <w:rsid w:val="001C2359"/>
    <w:rsid w:val="001C27A9"/>
    <w:rsid w:val="001C2A80"/>
    <w:rsid w:val="001C2ABC"/>
    <w:rsid w:val="001C2AF2"/>
    <w:rsid w:val="001C313E"/>
    <w:rsid w:val="001C34B9"/>
    <w:rsid w:val="001C3C77"/>
    <w:rsid w:val="001C3D13"/>
    <w:rsid w:val="001C3DB8"/>
    <w:rsid w:val="001C3ECA"/>
    <w:rsid w:val="001C45A1"/>
    <w:rsid w:val="001C48A4"/>
    <w:rsid w:val="001C4EF7"/>
    <w:rsid w:val="001C4EFA"/>
    <w:rsid w:val="001C511D"/>
    <w:rsid w:val="001C513A"/>
    <w:rsid w:val="001C5144"/>
    <w:rsid w:val="001C51AA"/>
    <w:rsid w:val="001C5275"/>
    <w:rsid w:val="001C5393"/>
    <w:rsid w:val="001C5450"/>
    <w:rsid w:val="001C546E"/>
    <w:rsid w:val="001C54BD"/>
    <w:rsid w:val="001C5C45"/>
    <w:rsid w:val="001C5D7D"/>
    <w:rsid w:val="001C645A"/>
    <w:rsid w:val="001C64CF"/>
    <w:rsid w:val="001C6550"/>
    <w:rsid w:val="001C692A"/>
    <w:rsid w:val="001C6CE4"/>
    <w:rsid w:val="001C6EF2"/>
    <w:rsid w:val="001C6F29"/>
    <w:rsid w:val="001C73FA"/>
    <w:rsid w:val="001C7635"/>
    <w:rsid w:val="001C7810"/>
    <w:rsid w:val="001C7A3E"/>
    <w:rsid w:val="001C7B32"/>
    <w:rsid w:val="001C7DAB"/>
    <w:rsid w:val="001D007F"/>
    <w:rsid w:val="001D07B1"/>
    <w:rsid w:val="001D151A"/>
    <w:rsid w:val="001D1D3D"/>
    <w:rsid w:val="001D21CB"/>
    <w:rsid w:val="001D2241"/>
    <w:rsid w:val="001D238D"/>
    <w:rsid w:val="001D2529"/>
    <w:rsid w:val="001D27E1"/>
    <w:rsid w:val="001D2A66"/>
    <w:rsid w:val="001D31FB"/>
    <w:rsid w:val="001D3222"/>
    <w:rsid w:val="001D3391"/>
    <w:rsid w:val="001D34D2"/>
    <w:rsid w:val="001D3815"/>
    <w:rsid w:val="001D3C8F"/>
    <w:rsid w:val="001D3C97"/>
    <w:rsid w:val="001D4030"/>
    <w:rsid w:val="001D4836"/>
    <w:rsid w:val="001D4B42"/>
    <w:rsid w:val="001D4F66"/>
    <w:rsid w:val="001D5257"/>
    <w:rsid w:val="001D5402"/>
    <w:rsid w:val="001D56AF"/>
    <w:rsid w:val="001D57FC"/>
    <w:rsid w:val="001D5D47"/>
    <w:rsid w:val="001D64FD"/>
    <w:rsid w:val="001D66C7"/>
    <w:rsid w:val="001D6BA5"/>
    <w:rsid w:val="001D6BC4"/>
    <w:rsid w:val="001D6D46"/>
    <w:rsid w:val="001D743F"/>
    <w:rsid w:val="001D75E3"/>
    <w:rsid w:val="001D7688"/>
    <w:rsid w:val="001E0159"/>
    <w:rsid w:val="001E0283"/>
    <w:rsid w:val="001E0434"/>
    <w:rsid w:val="001E0979"/>
    <w:rsid w:val="001E0D1F"/>
    <w:rsid w:val="001E0DD9"/>
    <w:rsid w:val="001E1337"/>
    <w:rsid w:val="001E1399"/>
    <w:rsid w:val="001E1710"/>
    <w:rsid w:val="001E1D01"/>
    <w:rsid w:val="001E22A7"/>
    <w:rsid w:val="001E22CE"/>
    <w:rsid w:val="001E2366"/>
    <w:rsid w:val="001E2F71"/>
    <w:rsid w:val="001E2F9F"/>
    <w:rsid w:val="001E3551"/>
    <w:rsid w:val="001E39C4"/>
    <w:rsid w:val="001E3A5B"/>
    <w:rsid w:val="001E3A5E"/>
    <w:rsid w:val="001E3B90"/>
    <w:rsid w:val="001E3D91"/>
    <w:rsid w:val="001E4206"/>
    <w:rsid w:val="001E4277"/>
    <w:rsid w:val="001E42E7"/>
    <w:rsid w:val="001E487E"/>
    <w:rsid w:val="001E48B1"/>
    <w:rsid w:val="001E52BB"/>
    <w:rsid w:val="001E5406"/>
    <w:rsid w:val="001E55FC"/>
    <w:rsid w:val="001E56CB"/>
    <w:rsid w:val="001E586B"/>
    <w:rsid w:val="001E5B73"/>
    <w:rsid w:val="001E5CBA"/>
    <w:rsid w:val="001E63C6"/>
    <w:rsid w:val="001E6435"/>
    <w:rsid w:val="001E64B3"/>
    <w:rsid w:val="001E6516"/>
    <w:rsid w:val="001E73EA"/>
    <w:rsid w:val="001E7669"/>
    <w:rsid w:val="001E7C89"/>
    <w:rsid w:val="001F01C3"/>
    <w:rsid w:val="001F01D2"/>
    <w:rsid w:val="001F0489"/>
    <w:rsid w:val="001F0B4C"/>
    <w:rsid w:val="001F0E25"/>
    <w:rsid w:val="001F0E98"/>
    <w:rsid w:val="001F0F7F"/>
    <w:rsid w:val="001F133C"/>
    <w:rsid w:val="001F1DCE"/>
    <w:rsid w:val="001F1FBE"/>
    <w:rsid w:val="001F27C5"/>
    <w:rsid w:val="001F2820"/>
    <w:rsid w:val="001F29D3"/>
    <w:rsid w:val="001F2AB7"/>
    <w:rsid w:val="001F2F07"/>
    <w:rsid w:val="001F2F09"/>
    <w:rsid w:val="001F2F19"/>
    <w:rsid w:val="001F2FFA"/>
    <w:rsid w:val="001F3055"/>
    <w:rsid w:val="001F33E3"/>
    <w:rsid w:val="001F3B0B"/>
    <w:rsid w:val="001F4111"/>
    <w:rsid w:val="001F4236"/>
    <w:rsid w:val="001F4560"/>
    <w:rsid w:val="001F488F"/>
    <w:rsid w:val="001F4E4C"/>
    <w:rsid w:val="001F4EB7"/>
    <w:rsid w:val="001F4FE2"/>
    <w:rsid w:val="001F4FEA"/>
    <w:rsid w:val="001F4FEB"/>
    <w:rsid w:val="001F539E"/>
    <w:rsid w:val="001F5644"/>
    <w:rsid w:val="001F58D5"/>
    <w:rsid w:val="001F5ACF"/>
    <w:rsid w:val="001F5E37"/>
    <w:rsid w:val="001F6094"/>
    <w:rsid w:val="001F6450"/>
    <w:rsid w:val="001F6619"/>
    <w:rsid w:val="001F688B"/>
    <w:rsid w:val="001F6AEB"/>
    <w:rsid w:val="001F6C20"/>
    <w:rsid w:val="001F6F49"/>
    <w:rsid w:val="001F71BB"/>
    <w:rsid w:val="001F73A8"/>
    <w:rsid w:val="001F75F7"/>
    <w:rsid w:val="001F7ADA"/>
    <w:rsid w:val="001F7E63"/>
    <w:rsid w:val="001F7EC9"/>
    <w:rsid w:val="00200162"/>
    <w:rsid w:val="002001D8"/>
    <w:rsid w:val="00200565"/>
    <w:rsid w:val="002008BF"/>
    <w:rsid w:val="00200DD0"/>
    <w:rsid w:val="00201562"/>
    <w:rsid w:val="002017CD"/>
    <w:rsid w:val="002017E4"/>
    <w:rsid w:val="00201903"/>
    <w:rsid w:val="00201A1F"/>
    <w:rsid w:val="00201CD7"/>
    <w:rsid w:val="002021C5"/>
    <w:rsid w:val="00202A9B"/>
    <w:rsid w:val="00202B06"/>
    <w:rsid w:val="00202BD0"/>
    <w:rsid w:val="002039E2"/>
    <w:rsid w:val="002042F3"/>
    <w:rsid w:val="002048DC"/>
    <w:rsid w:val="00204BE1"/>
    <w:rsid w:val="00204C63"/>
    <w:rsid w:val="00204E17"/>
    <w:rsid w:val="00204E80"/>
    <w:rsid w:val="00205478"/>
    <w:rsid w:val="0020556C"/>
    <w:rsid w:val="00205780"/>
    <w:rsid w:val="0020584C"/>
    <w:rsid w:val="0020592C"/>
    <w:rsid w:val="00205AC7"/>
    <w:rsid w:val="00205C0F"/>
    <w:rsid w:val="00205D4A"/>
    <w:rsid w:val="00205E9B"/>
    <w:rsid w:val="00205FAF"/>
    <w:rsid w:val="00206A06"/>
    <w:rsid w:val="00206A4E"/>
    <w:rsid w:val="00206B5D"/>
    <w:rsid w:val="00206F43"/>
    <w:rsid w:val="00206FEF"/>
    <w:rsid w:val="00206FF5"/>
    <w:rsid w:val="0020736F"/>
    <w:rsid w:val="002073FF"/>
    <w:rsid w:val="0020751C"/>
    <w:rsid w:val="00207768"/>
    <w:rsid w:val="00207DFD"/>
    <w:rsid w:val="0021010D"/>
    <w:rsid w:val="00210330"/>
    <w:rsid w:val="00210464"/>
    <w:rsid w:val="00210B29"/>
    <w:rsid w:val="00210D9F"/>
    <w:rsid w:val="00210FB8"/>
    <w:rsid w:val="00211A88"/>
    <w:rsid w:val="00211AE5"/>
    <w:rsid w:val="00212013"/>
    <w:rsid w:val="00212063"/>
    <w:rsid w:val="00212197"/>
    <w:rsid w:val="00212240"/>
    <w:rsid w:val="002122C4"/>
    <w:rsid w:val="00212308"/>
    <w:rsid w:val="00212354"/>
    <w:rsid w:val="00212B18"/>
    <w:rsid w:val="00212EAD"/>
    <w:rsid w:val="00212F3E"/>
    <w:rsid w:val="00212FC7"/>
    <w:rsid w:val="00212FFC"/>
    <w:rsid w:val="002132CB"/>
    <w:rsid w:val="00213364"/>
    <w:rsid w:val="00213655"/>
    <w:rsid w:val="002148EB"/>
    <w:rsid w:val="00214B05"/>
    <w:rsid w:val="00214FF5"/>
    <w:rsid w:val="00215056"/>
    <w:rsid w:val="002152FB"/>
    <w:rsid w:val="002157D2"/>
    <w:rsid w:val="00215A41"/>
    <w:rsid w:val="00215BD4"/>
    <w:rsid w:val="00215C73"/>
    <w:rsid w:val="00215FE9"/>
    <w:rsid w:val="002164AC"/>
    <w:rsid w:val="0021652D"/>
    <w:rsid w:val="00216BAA"/>
    <w:rsid w:val="002170CE"/>
    <w:rsid w:val="002177B5"/>
    <w:rsid w:val="002202E5"/>
    <w:rsid w:val="00220A27"/>
    <w:rsid w:val="00220CE3"/>
    <w:rsid w:val="00220DF8"/>
    <w:rsid w:val="00220E73"/>
    <w:rsid w:val="00220E94"/>
    <w:rsid w:val="002212FC"/>
    <w:rsid w:val="00221C19"/>
    <w:rsid w:val="00221FD2"/>
    <w:rsid w:val="00222010"/>
    <w:rsid w:val="002223A6"/>
    <w:rsid w:val="002226E1"/>
    <w:rsid w:val="0022273B"/>
    <w:rsid w:val="002227EA"/>
    <w:rsid w:val="00222824"/>
    <w:rsid w:val="00222960"/>
    <w:rsid w:val="00222AB2"/>
    <w:rsid w:val="00222DEF"/>
    <w:rsid w:val="00223263"/>
    <w:rsid w:val="002238D6"/>
    <w:rsid w:val="00223A41"/>
    <w:rsid w:val="002241A4"/>
    <w:rsid w:val="002249BA"/>
    <w:rsid w:val="0022590A"/>
    <w:rsid w:val="00225D4D"/>
    <w:rsid w:val="00225DCA"/>
    <w:rsid w:val="00225E3D"/>
    <w:rsid w:val="0022613B"/>
    <w:rsid w:val="00226482"/>
    <w:rsid w:val="002265A2"/>
    <w:rsid w:val="00226C10"/>
    <w:rsid w:val="00226F5A"/>
    <w:rsid w:val="002270B3"/>
    <w:rsid w:val="0022766B"/>
    <w:rsid w:val="00227750"/>
    <w:rsid w:val="00230102"/>
    <w:rsid w:val="0023020E"/>
    <w:rsid w:val="00230264"/>
    <w:rsid w:val="00230B1D"/>
    <w:rsid w:val="00230B3B"/>
    <w:rsid w:val="00230BEC"/>
    <w:rsid w:val="0023111B"/>
    <w:rsid w:val="00231225"/>
    <w:rsid w:val="0023128D"/>
    <w:rsid w:val="00231519"/>
    <w:rsid w:val="00231974"/>
    <w:rsid w:val="00231AB0"/>
    <w:rsid w:val="00231F48"/>
    <w:rsid w:val="002325B3"/>
    <w:rsid w:val="00232D59"/>
    <w:rsid w:val="00232E94"/>
    <w:rsid w:val="00232EB6"/>
    <w:rsid w:val="00232EBB"/>
    <w:rsid w:val="00233314"/>
    <w:rsid w:val="002334C5"/>
    <w:rsid w:val="002336B5"/>
    <w:rsid w:val="00233C1B"/>
    <w:rsid w:val="00233D38"/>
    <w:rsid w:val="00233D6B"/>
    <w:rsid w:val="00234902"/>
    <w:rsid w:val="00234B4D"/>
    <w:rsid w:val="00234DFD"/>
    <w:rsid w:val="0023513C"/>
    <w:rsid w:val="002351E0"/>
    <w:rsid w:val="002352A2"/>
    <w:rsid w:val="002352D2"/>
    <w:rsid w:val="002354A9"/>
    <w:rsid w:val="002356D5"/>
    <w:rsid w:val="0023576B"/>
    <w:rsid w:val="0023585F"/>
    <w:rsid w:val="00235AA8"/>
    <w:rsid w:val="00235B5F"/>
    <w:rsid w:val="00235C44"/>
    <w:rsid w:val="00235EE0"/>
    <w:rsid w:val="00236AD2"/>
    <w:rsid w:val="002370BC"/>
    <w:rsid w:val="0023776D"/>
    <w:rsid w:val="002377AC"/>
    <w:rsid w:val="002378A3"/>
    <w:rsid w:val="002378FD"/>
    <w:rsid w:val="00240357"/>
    <w:rsid w:val="002403F6"/>
    <w:rsid w:val="00240436"/>
    <w:rsid w:val="002406B6"/>
    <w:rsid w:val="00240725"/>
    <w:rsid w:val="002407E3"/>
    <w:rsid w:val="002408B0"/>
    <w:rsid w:val="002408FB"/>
    <w:rsid w:val="00240A7B"/>
    <w:rsid w:val="00240FB7"/>
    <w:rsid w:val="0024116E"/>
    <w:rsid w:val="0024172F"/>
    <w:rsid w:val="00241D73"/>
    <w:rsid w:val="00242337"/>
    <w:rsid w:val="00242A8D"/>
    <w:rsid w:val="00242B32"/>
    <w:rsid w:val="0024366C"/>
    <w:rsid w:val="002436AA"/>
    <w:rsid w:val="00243872"/>
    <w:rsid w:val="002438BD"/>
    <w:rsid w:val="00244250"/>
    <w:rsid w:val="00244252"/>
    <w:rsid w:val="002442E1"/>
    <w:rsid w:val="002445C5"/>
    <w:rsid w:val="00244600"/>
    <w:rsid w:val="00244688"/>
    <w:rsid w:val="00244811"/>
    <w:rsid w:val="00244A0A"/>
    <w:rsid w:val="00244E0D"/>
    <w:rsid w:val="00244FE5"/>
    <w:rsid w:val="002453C9"/>
    <w:rsid w:val="002455F6"/>
    <w:rsid w:val="0024598E"/>
    <w:rsid w:val="00245D1D"/>
    <w:rsid w:val="0024623B"/>
    <w:rsid w:val="00246336"/>
    <w:rsid w:val="002465B9"/>
    <w:rsid w:val="00246797"/>
    <w:rsid w:val="0024690A"/>
    <w:rsid w:val="00246A67"/>
    <w:rsid w:val="00246DA4"/>
    <w:rsid w:val="00246E72"/>
    <w:rsid w:val="00246E8C"/>
    <w:rsid w:val="0024708D"/>
    <w:rsid w:val="002471A2"/>
    <w:rsid w:val="002471DE"/>
    <w:rsid w:val="0024732F"/>
    <w:rsid w:val="00247593"/>
    <w:rsid w:val="00247715"/>
    <w:rsid w:val="00247E15"/>
    <w:rsid w:val="00247F02"/>
    <w:rsid w:val="00247F84"/>
    <w:rsid w:val="00250030"/>
    <w:rsid w:val="002502F5"/>
    <w:rsid w:val="00250312"/>
    <w:rsid w:val="00250B08"/>
    <w:rsid w:val="00250C94"/>
    <w:rsid w:val="0025113B"/>
    <w:rsid w:val="002511E7"/>
    <w:rsid w:val="00251264"/>
    <w:rsid w:val="002514A4"/>
    <w:rsid w:val="002515D8"/>
    <w:rsid w:val="00251817"/>
    <w:rsid w:val="00251971"/>
    <w:rsid w:val="00251C95"/>
    <w:rsid w:val="00251DA8"/>
    <w:rsid w:val="00251DCC"/>
    <w:rsid w:val="00252199"/>
    <w:rsid w:val="00252312"/>
    <w:rsid w:val="00252B5F"/>
    <w:rsid w:val="00252CBC"/>
    <w:rsid w:val="00252DCC"/>
    <w:rsid w:val="00253260"/>
    <w:rsid w:val="002534B6"/>
    <w:rsid w:val="00253F0F"/>
    <w:rsid w:val="002540DE"/>
    <w:rsid w:val="0025417E"/>
    <w:rsid w:val="0025419E"/>
    <w:rsid w:val="0025435D"/>
    <w:rsid w:val="002543E8"/>
    <w:rsid w:val="002544EB"/>
    <w:rsid w:val="002546E8"/>
    <w:rsid w:val="00254B43"/>
    <w:rsid w:val="00254DB4"/>
    <w:rsid w:val="00254ECE"/>
    <w:rsid w:val="00255046"/>
    <w:rsid w:val="002550B7"/>
    <w:rsid w:val="002559AA"/>
    <w:rsid w:val="00255DE4"/>
    <w:rsid w:val="00255EE5"/>
    <w:rsid w:val="00256017"/>
    <w:rsid w:val="0025602A"/>
    <w:rsid w:val="0025622E"/>
    <w:rsid w:val="0025679D"/>
    <w:rsid w:val="002569AD"/>
    <w:rsid w:val="00256BB9"/>
    <w:rsid w:val="00256CFF"/>
    <w:rsid w:val="0025711B"/>
    <w:rsid w:val="00257306"/>
    <w:rsid w:val="00257321"/>
    <w:rsid w:val="0025734D"/>
    <w:rsid w:val="0025756F"/>
    <w:rsid w:val="0025771E"/>
    <w:rsid w:val="00257859"/>
    <w:rsid w:val="00257E5F"/>
    <w:rsid w:val="00257EC5"/>
    <w:rsid w:val="00260510"/>
    <w:rsid w:val="00260A19"/>
    <w:rsid w:val="00260A55"/>
    <w:rsid w:val="00260F60"/>
    <w:rsid w:val="0026119B"/>
    <w:rsid w:val="002615ED"/>
    <w:rsid w:val="0026191F"/>
    <w:rsid w:val="00261D3F"/>
    <w:rsid w:val="00262090"/>
    <w:rsid w:val="00262184"/>
    <w:rsid w:val="00262368"/>
    <w:rsid w:val="002623A8"/>
    <w:rsid w:val="0026257B"/>
    <w:rsid w:val="00262C61"/>
    <w:rsid w:val="00262EFA"/>
    <w:rsid w:val="0026337A"/>
    <w:rsid w:val="00263389"/>
    <w:rsid w:val="0026343A"/>
    <w:rsid w:val="00263742"/>
    <w:rsid w:val="00263981"/>
    <w:rsid w:val="00263AA3"/>
    <w:rsid w:val="00263D06"/>
    <w:rsid w:val="002642E0"/>
    <w:rsid w:val="00264447"/>
    <w:rsid w:val="002644D0"/>
    <w:rsid w:val="002647A5"/>
    <w:rsid w:val="00264A94"/>
    <w:rsid w:val="00264B48"/>
    <w:rsid w:val="00264E3B"/>
    <w:rsid w:val="00264E94"/>
    <w:rsid w:val="00265079"/>
    <w:rsid w:val="002652AB"/>
    <w:rsid w:val="002654EA"/>
    <w:rsid w:val="0026556C"/>
    <w:rsid w:val="00265628"/>
    <w:rsid w:val="00265B3D"/>
    <w:rsid w:val="00265CB3"/>
    <w:rsid w:val="0026613D"/>
    <w:rsid w:val="0026643E"/>
    <w:rsid w:val="00266D82"/>
    <w:rsid w:val="00266FB3"/>
    <w:rsid w:val="0026703A"/>
    <w:rsid w:val="0026715A"/>
    <w:rsid w:val="002679C5"/>
    <w:rsid w:val="00267B84"/>
    <w:rsid w:val="00267BD7"/>
    <w:rsid w:val="00270366"/>
    <w:rsid w:val="0027037B"/>
    <w:rsid w:val="002704B7"/>
    <w:rsid w:val="002707A6"/>
    <w:rsid w:val="00270945"/>
    <w:rsid w:val="00270A1A"/>
    <w:rsid w:val="00270B40"/>
    <w:rsid w:val="00270E20"/>
    <w:rsid w:val="002713CB"/>
    <w:rsid w:val="002714F7"/>
    <w:rsid w:val="00271580"/>
    <w:rsid w:val="002717A2"/>
    <w:rsid w:val="00271927"/>
    <w:rsid w:val="00271DD4"/>
    <w:rsid w:val="00271E08"/>
    <w:rsid w:val="00271E95"/>
    <w:rsid w:val="00272054"/>
    <w:rsid w:val="002722C6"/>
    <w:rsid w:val="0027253A"/>
    <w:rsid w:val="0027258F"/>
    <w:rsid w:val="00272DF1"/>
    <w:rsid w:val="00273172"/>
    <w:rsid w:val="002732DD"/>
    <w:rsid w:val="002733E6"/>
    <w:rsid w:val="002739A3"/>
    <w:rsid w:val="00273CD9"/>
    <w:rsid w:val="00273F85"/>
    <w:rsid w:val="00274324"/>
    <w:rsid w:val="00274638"/>
    <w:rsid w:val="002748AE"/>
    <w:rsid w:val="00274BA7"/>
    <w:rsid w:val="00274DCC"/>
    <w:rsid w:val="00274E3E"/>
    <w:rsid w:val="00275100"/>
    <w:rsid w:val="00275190"/>
    <w:rsid w:val="00275209"/>
    <w:rsid w:val="0027551E"/>
    <w:rsid w:val="0027553B"/>
    <w:rsid w:val="0027553E"/>
    <w:rsid w:val="002755F0"/>
    <w:rsid w:val="00275B22"/>
    <w:rsid w:val="00275F46"/>
    <w:rsid w:val="00276056"/>
    <w:rsid w:val="002761F4"/>
    <w:rsid w:val="002763E6"/>
    <w:rsid w:val="00276517"/>
    <w:rsid w:val="002765E9"/>
    <w:rsid w:val="00276D04"/>
    <w:rsid w:val="00276F25"/>
    <w:rsid w:val="0027740D"/>
    <w:rsid w:val="002777DD"/>
    <w:rsid w:val="00277A71"/>
    <w:rsid w:val="00277DDE"/>
    <w:rsid w:val="00277FE7"/>
    <w:rsid w:val="00280642"/>
    <w:rsid w:val="002809CD"/>
    <w:rsid w:val="00280BAE"/>
    <w:rsid w:val="00280E15"/>
    <w:rsid w:val="002818F5"/>
    <w:rsid w:val="00281B15"/>
    <w:rsid w:val="00281BF7"/>
    <w:rsid w:val="00281D5B"/>
    <w:rsid w:val="00282057"/>
    <w:rsid w:val="002822FC"/>
    <w:rsid w:val="0028276E"/>
    <w:rsid w:val="00282BC1"/>
    <w:rsid w:val="00282C51"/>
    <w:rsid w:val="00282E38"/>
    <w:rsid w:val="00282E51"/>
    <w:rsid w:val="0028328C"/>
    <w:rsid w:val="002834EC"/>
    <w:rsid w:val="00283978"/>
    <w:rsid w:val="002839C9"/>
    <w:rsid w:val="00283B07"/>
    <w:rsid w:val="00283CCD"/>
    <w:rsid w:val="002842B5"/>
    <w:rsid w:val="00284C20"/>
    <w:rsid w:val="00284F01"/>
    <w:rsid w:val="002855EE"/>
    <w:rsid w:val="002859B0"/>
    <w:rsid w:val="00285D0B"/>
    <w:rsid w:val="00285D38"/>
    <w:rsid w:val="00285D52"/>
    <w:rsid w:val="00285E14"/>
    <w:rsid w:val="00286134"/>
    <w:rsid w:val="00286351"/>
    <w:rsid w:val="00286475"/>
    <w:rsid w:val="002868A8"/>
    <w:rsid w:val="00286A63"/>
    <w:rsid w:val="00286A65"/>
    <w:rsid w:val="00286E67"/>
    <w:rsid w:val="00286F4C"/>
    <w:rsid w:val="0028727B"/>
    <w:rsid w:val="00287307"/>
    <w:rsid w:val="00287BD5"/>
    <w:rsid w:val="00287CDA"/>
    <w:rsid w:val="002905BB"/>
    <w:rsid w:val="002905E0"/>
    <w:rsid w:val="0029070E"/>
    <w:rsid w:val="00290959"/>
    <w:rsid w:val="002913FA"/>
    <w:rsid w:val="00291805"/>
    <w:rsid w:val="00291CBA"/>
    <w:rsid w:val="00291D7A"/>
    <w:rsid w:val="00291EB4"/>
    <w:rsid w:val="00292068"/>
    <w:rsid w:val="00292560"/>
    <w:rsid w:val="0029259E"/>
    <w:rsid w:val="00292C4A"/>
    <w:rsid w:val="002939FB"/>
    <w:rsid w:val="00293F4A"/>
    <w:rsid w:val="00293F54"/>
    <w:rsid w:val="00294220"/>
    <w:rsid w:val="00294468"/>
    <w:rsid w:val="002946E2"/>
    <w:rsid w:val="0029475D"/>
    <w:rsid w:val="002948C9"/>
    <w:rsid w:val="0029494A"/>
    <w:rsid w:val="00294B31"/>
    <w:rsid w:val="00294B8A"/>
    <w:rsid w:val="00294B8C"/>
    <w:rsid w:val="00295170"/>
    <w:rsid w:val="002954D2"/>
    <w:rsid w:val="002954E1"/>
    <w:rsid w:val="0029591A"/>
    <w:rsid w:val="002959BD"/>
    <w:rsid w:val="00295B5C"/>
    <w:rsid w:val="00296054"/>
    <w:rsid w:val="002963D2"/>
    <w:rsid w:val="00296453"/>
    <w:rsid w:val="00296640"/>
    <w:rsid w:val="0029675F"/>
    <w:rsid w:val="002967E5"/>
    <w:rsid w:val="0029687F"/>
    <w:rsid w:val="002969C6"/>
    <w:rsid w:val="00297723"/>
    <w:rsid w:val="0029776B"/>
    <w:rsid w:val="002A0B4C"/>
    <w:rsid w:val="002A0E5B"/>
    <w:rsid w:val="002A1223"/>
    <w:rsid w:val="002A12EB"/>
    <w:rsid w:val="002A152B"/>
    <w:rsid w:val="002A1917"/>
    <w:rsid w:val="002A19C2"/>
    <w:rsid w:val="002A1CF9"/>
    <w:rsid w:val="002A1DEE"/>
    <w:rsid w:val="002A1E07"/>
    <w:rsid w:val="002A1E4D"/>
    <w:rsid w:val="002A2002"/>
    <w:rsid w:val="002A205D"/>
    <w:rsid w:val="002A238E"/>
    <w:rsid w:val="002A2919"/>
    <w:rsid w:val="002A2BF6"/>
    <w:rsid w:val="002A3015"/>
    <w:rsid w:val="002A3281"/>
    <w:rsid w:val="002A3854"/>
    <w:rsid w:val="002A3E97"/>
    <w:rsid w:val="002A3ED8"/>
    <w:rsid w:val="002A43B1"/>
    <w:rsid w:val="002A448C"/>
    <w:rsid w:val="002A4531"/>
    <w:rsid w:val="002A4544"/>
    <w:rsid w:val="002A46B0"/>
    <w:rsid w:val="002A477F"/>
    <w:rsid w:val="002A560F"/>
    <w:rsid w:val="002A62B9"/>
    <w:rsid w:val="002A6455"/>
    <w:rsid w:val="002A666C"/>
    <w:rsid w:val="002A671C"/>
    <w:rsid w:val="002A67DC"/>
    <w:rsid w:val="002A6BB1"/>
    <w:rsid w:val="002A6DB2"/>
    <w:rsid w:val="002A6F70"/>
    <w:rsid w:val="002A711E"/>
    <w:rsid w:val="002A7499"/>
    <w:rsid w:val="002A7574"/>
    <w:rsid w:val="002A79A2"/>
    <w:rsid w:val="002A7A76"/>
    <w:rsid w:val="002A7ACB"/>
    <w:rsid w:val="002B00FA"/>
    <w:rsid w:val="002B0274"/>
    <w:rsid w:val="002B036E"/>
    <w:rsid w:val="002B04C8"/>
    <w:rsid w:val="002B0A16"/>
    <w:rsid w:val="002B0F7B"/>
    <w:rsid w:val="002B15F0"/>
    <w:rsid w:val="002B213F"/>
    <w:rsid w:val="002B2696"/>
    <w:rsid w:val="002B28E9"/>
    <w:rsid w:val="002B2A73"/>
    <w:rsid w:val="002B2CA0"/>
    <w:rsid w:val="002B2CA2"/>
    <w:rsid w:val="002B2D0C"/>
    <w:rsid w:val="002B2DEA"/>
    <w:rsid w:val="002B2FD9"/>
    <w:rsid w:val="002B3729"/>
    <w:rsid w:val="002B3917"/>
    <w:rsid w:val="002B3968"/>
    <w:rsid w:val="002B3979"/>
    <w:rsid w:val="002B3A8D"/>
    <w:rsid w:val="002B3C6C"/>
    <w:rsid w:val="002B4367"/>
    <w:rsid w:val="002B4577"/>
    <w:rsid w:val="002B4C62"/>
    <w:rsid w:val="002B4CF3"/>
    <w:rsid w:val="002B4E62"/>
    <w:rsid w:val="002B4F3F"/>
    <w:rsid w:val="002B512C"/>
    <w:rsid w:val="002B5637"/>
    <w:rsid w:val="002B5E0F"/>
    <w:rsid w:val="002B6099"/>
    <w:rsid w:val="002B622E"/>
    <w:rsid w:val="002B68B4"/>
    <w:rsid w:val="002B6A0A"/>
    <w:rsid w:val="002B6DDE"/>
    <w:rsid w:val="002B7361"/>
    <w:rsid w:val="002B765C"/>
    <w:rsid w:val="002B782B"/>
    <w:rsid w:val="002B7C83"/>
    <w:rsid w:val="002C0359"/>
    <w:rsid w:val="002C053F"/>
    <w:rsid w:val="002C0D5E"/>
    <w:rsid w:val="002C0EF2"/>
    <w:rsid w:val="002C157D"/>
    <w:rsid w:val="002C159E"/>
    <w:rsid w:val="002C18DD"/>
    <w:rsid w:val="002C1B07"/>
    <w:rsid w:val="002C1C0A"/>
    <w:rsid w:val="002C1DD2"/>
    <w:rsid w:val="002C1E5B"/>
    <w:rsid w:val="002C1F6A"/>
    <w:rsid w:val="002C220A"/>
    <w:rsid w:val="002C22DF"/>
    <w:rsid w:val="002C251E"/>
    <w:rsid w:val="002C25D2"/>
    <w:rsid w:val="002C281E"/>
    <w:rsid w:val="002C2B68"/>
    <w:rsid w:val="002C2EEA"/>
    <w:rsid w:val="002C3221"/>
    <w:rsid w:val="002C361F"/>
    <w:rsid w:val="002C3A06"/>
    <w:rsid w:val="002C3A0F"/>
    <w:rsid w:val="002C3B9B"/>
    <w:rsid w:val="002C3E6D"/>
    <w:rsid w:val="002C4CCC"/>
    <w:rsid w:val="002C5124"/>
    <w:rsid w:val="002C51D2"/>
    <w:rsid w:val="002C5217"/>
    <w:rsid w:val="002C549A"/>
    <w:rsid w:val="002C5755"/>
    <w:rsid w:val="002C5AE7"/>
    <w:rsid w:val="002C5BF1"/>
    <w:rsid w:val="002C5CB1"/>
    <w:rsid w:val="002C6945"/>
    <w:rsid w:val="002C6A11"/>
    <w:rsid w:val="002C6CCB"/>
    <w:rsid w:val="002C6CF8"/>
    <w:rsid w:val="002C6DDF"/>
    <w:rsid w:val="002C7238"/>
    <w:rsid w:val="002C764D"/>
    <w:rsid w:val="002C7874"/>
    <w:rsid w:val="002C7F3A"/>
    <w:rsid w:val="002D0181"/>
    <w:rsid w:val="002D03A0"/>
    <w:rsid w:val="002D09A5"/>
    <w:rsid w:val="002D0A98"/>
    <w:rsid w:val="002D0B75"/>
    <w:rsid w:val="002D0C1C"/>
    <w:rsid w:val="002D0D55"/>
    <w:rsid w:val="002D1292"/>
    <w:rsid w:val="002D1521"/>
    <w:rsid w:val="002D1647"/>
    <w:rsid w:val="002D1683"/>
    <w:rsid w:val="002D18C0"/>
    <w:rsid w:val="002D1BD2"/>
    <w:rsid w:val="002D20D7"/>
    <w:rsid w:val="002D21A5"/>
    <w:rsid w:val="002D22EC"/>
    <w:rsid w:val="002D2CF0"/>
    <w:rsid w:val="002D2E04"/>
    <w:rsid w:val="002D2F44"/>
    <w:rsid w:val="002D333E"/>
    <w:rsid w:val="002D3357"/>
    <w:rsid w:val="002D36E1"/>
    <w:rsid w:val="002D384D"/>
    <w:rsid w:val="002D392B"/>
    <w:rsid w:val="002D4005"/>
    <w:rsid w:val="002D456C"/>
    <w:rsid w:val="002D47C5"/>
    <w:rsid w:val="002D4D24"/>
    <w:rsid w:val="002D4E39"/>
    <w:rsid w:val="002D4F06"/>
    <w:rsid w:val="002D50EE"/>
    <w:rsid w:val="002D52FC"/>
    <w:rsid w:val="002D535E"/>
    <w:rsid w:val="002D5466"/>
    <w:rsid w:val="002D553A"/>
    <w:rsid w:val="002D5C39"/>
    <w:rsid w:val="002D5DF0"/>
    <w:rsid w:val="002D5F8D"/>
    <w:rsid w:val="002D5FD3"/>
    <w:rsid w:val="002D619B"/>
    <w:rsid w:val="002D6912"/>
    <w:rsid w:val="002D69AD"/>
    <w:rsid w:val="002D6C39"/>
    <w:rsid w:val="002D6F6E"/>
    <w:rsid w:val="002D6FE7"/>
    <w:rsid w:val="002D7155"/>
    <w:rsid w:val="002D7429"/>
    <w:rsid w:val="002D7AAA"/>
    <w:rsid w:val="002D7FA4"/>
    <w:rsid w:val="002E004B"/>
    <w:rsid w:val="002E04C6"/>
    <w:rsid w:val="002E097E"/>
    <w:rsid w:val="002E0B67"/>
    <w:rsid w:val="002E0BC3"/>
    <w:rsid w:val="002E0CEB"/>
    <w:rsid w:val="002E0E74"/>
    <w:rsid w:val="002E1082"/>
    <w:rsid w:val="002E110A"/>
    <w:rsid w:val="002E111B"/>
    <w:rsid w:val="002E1262"/>
    <w:rsid w:val="002E14BF"/>
    <w:rsid w:val="002E1679"/>
    <w:rsid w:val="002E1B3A"/>
    <w:rsid w:val="002E1CCD"/>
    <w:rsid w:val="002E1DCA"/>
    <w:rsid w:val="002E1FDB"/>
    <w:rsid w:val="002E2808"/>
    <w:rsid w:val="002E2834"/>
    <w:rsid w:val="002E34F8"/>
    <w:rsid w:val="002E35C8"/>
    <w:rsid w:val="002E38CB"/>
    <w:rsid w:val="002E3B5A"/>
    <w:rsid w:val="002E414A"/>
    <w:rsid w:val="002E4614"/>
    <w:rsid w:val="002E47F9"/>
    <w:rsid w:val="002E4A3C"/>
    <w:rsid w:val="002E4DFF"/>
    <w:rsid w:val="002E4F4A"/>
    <w:rsid w:val="002E5219"/>
    <w:rsid w:val="002E58D3"/>
    <w:rsid w:val="002E5A29"/>
    <w:rsid w:val="002E5B60"/>
    <w:rsid w:val="002E5DFD"/>
    <w:rsid w:val="002E5EBA"/>
    <w:rsid w:val="002E60C2"/>
    <w:rsid w:val="002E6CCC"/>
    <w:rsid w:val="002E7401"/>
    <w:rsid w:val="002E7804"/>
    <w:rsid w:val="002E7988"/>
    <w:rsid w:val="002E7A30"/>
    <w:rsid w:val="002E7CB7"/>
    <w:rsid w:val="002E7F20"/>
    <w:rsid w:val="002F031D"/>
    <w:rsid w:val="002F0326"/>
    <w:rsid w:val="002F079A"/>
    <w:rsid w:val="002F0ADB"/>
    <w:rsid w:val="002F0BB6"/>
    <w:rsid w:val="002F0FC4"/>
    <w:rsid w:val="002F122B"/>
    <w:rsid w:val="002F14DF"/>
    <w:rsid w:val="002F150A"/>
    <w:rsid w:val="002F1B00"/>
    <w:rsid w:val="002F1B7A"/>
    <w:rsid w:val="002F22DD"/>
    <w:rsid w:val="002F22F4"/>
    <w:rsid w:val="002F2CA8"/>
    <w:rsid w:val="002F3007"/>
    <w:rsid w:val="002F356C"/>
    <w:rsid w:val="002F35CE"/>
    <w:rsid w:val="002F391E"/>
    <w:rsid w:val="002F3EE8"/>
    <w:rsid w:val="002F440E"/>
    <w:rsid w:val="002F47FB"/>
    <w:rsid w:val="002F4A8E"/>
    <w:rsid w:val="002F4ADB"/>
    <w:rsid w:val="002F4B27"/>
    <w:rsid w:val="002F4C10"/>
    <w:rsid w:val="002F5101"/>
    <w:rsid w:val="002F5145"/>
    <w:rsid w:val="002F5227"/>
    <w:rsid w:val="002F545E"/>
    <w:rsid w:val="002F5598"/>
    <w:rsid w:val="002F56E6"/>
    <w:rsid w:val="002F57C7"/>
    <w:rsid w:val="002F5849"/>
    <w:rsid w:val="002F59E1"/>
    <w:rsid w:val="002F5A68"/>
    <w:rsid w:val="002F5D7B"/>
    <w:rsid w:val="002F5DC1"/>
    <w:rsid w:val="002F60EE"/>
    <w:rsid w:val="002F6220"/>
    <w:rsid w:val="002F6CA5"/>
    <w:rsid w:val="002F6E08"/>
    <w:rsid w:val="002F739E"/>
    <w:rsid w:val="002F73B9"/>
    <w:rsid w:val="002F75FC"/>
    <w:rsid w:val="002F7768"/>
    <w:rsid w:val="002F7B80"/>
    <w:rsid w:val="002F7BC6"/>
    <w:rsid w:val="0030030D"/>
    <w:rsid w:val="00300384"/>
    <w:rsid w:val="00300483"/>
    <w:rsid w:val="0030097A"/>
    <w:rsid w:val="00300BF2"/>
    <w:rsid w:val="00300E93"/>
    <w:rsid w:val="00300EB6"/>
    <w:rsid w:val="00300FE9"/>
    <w:rsid w:val="00301176"/>
    <w:rsid w:val="0030176F"/>
    <w:rsid w:val="00301B53"/>
    <w:rsid w:val="0030204D"/>
    <w:rsid w:val="003022A2"/>
    <w:rsid w:val="00302E50"/>
    <w:rsid w:val="0030319B"/>
    <w:rsid w:val="00303317"/>
    <w:rsid w:val="0030332B"/>
    <w:rsid w:val="00303985"/>
    <w:rsid w:val="00303AB2"/>
    <w:rsid w:val="00303B7A"/>
    <w:rsid w:val="00303BE1"/>
    <w:rsid w:val="00303F69"/>
    <w:rsid w:val="00304065"/>
    <w:rsid w:val="0030443F"/>
    <w:rsid w:val="003046F4"/>
    <w:rsid w:val="00304F05"/>
    <w:rsid w:val="00305073"/>
    <w:rsid w:val="00305207"/>
    <w:rsid w:val="00305355"/>
    <w:rsid w:val="00305647"/>
    <w:rsid w:val="00305E9E"/>
    <w:rsid w:val="00305F39"/>
    <w:rsid w:val="00305F5A"/>
    <w:rsid w:val="00306064"/>
    <w:rsid w:val="0030611D"/>
    <w:rsid w:val="003064BE"/>
    <w:rsid w:val="003069EE"/>
    <w:rsid w:val="00306A89"/>
    <w:rsid w:val="003073D3"/>
    <w:rsid w:val="00307A70"/>
    <w:rsid w:val="00307F68"/>
    <w:rsid w:val="003100C1"/>
    <w:rsid w:val="003102B1"/>
    <w:rsid w:val="003102E6"/>
    <w:rsid w:val="003103D7"/>
    <w:rsid w:val="003105DC"/>
    <w:rsid w:val="0031063E"/>
    <w:rsid w:val="00310706"/>
    <w:rsid w:val="00310A4D"/>
    <w:rsid w:val="00310B5B"/>
    <w:rsid w:val="00310BA0"/>
    <w:rsid w:val="00310E1A"/>
    <w:rsid w:val="003116E2"/>
    <w:rsid w:val="003118BE"/>
    <w:rsid w:val="00311AB8"/>
    <w:rsid w:val="00311D07"/>
    <w:rsid w:val="00311EBB"/>
    <w:rsid w:val="003127E2"/>
    <w:rsid w:val="00312D26"/>
    <w:rsid w:val="00312E78"/>
    <w:rsid w:val="00312F7B"/>
    <w:rsid w:val="00314014"/>
    <w:rsid w:val="00314187"/>
    <w:rsid w:val="0031439D"/>
    <w:rsid w:val="003144B8"/>
    <w:rsid w:val="003145B0"/>
    <w:rsid w:val="00314618"/>
    <w:rsid w:val="0031471C"/>
    <w:rsid w:val="00314AF5"/>
    <w:rsid w:val="00314EA1"/>
    <w:rsid w:val="003156F7"/>
    <w:rsid w:val="00315869"/>
    <w:rsid w:val="003158BD"/>
    <w:rsid w:val="00315DED"/>
    <w:rsid w:val="003161BA"/>
    <w:rsid w:val="003162DA"/>
    <w:rsid w:val="00316521"/>
    <w:rsid w:val="003166E3"/>
    <w:rsid w:val="003168A4"/>
    <w:rsid w:val="003169C0"/>
    <w:rsid w:val="00316ABA"/>
    <w:rsid w:val="00316C5A"/>
    <w:rsid w:val="00316E31"/>
    <w:rsid w:val="00317176"/>
    <w:rsid w:val="00317189"/>
    <w:rsid w:val="0031718E"/>
    <w:rsid w:val="0031719F"/>
    <w:rsid w:val="003178CF"/>
    <w:rsid w:val="00317C81"/>
    <w:rsid w:val="00317D43"/>
    <w:rsid w:val="00317EA2"/>
    <w:rsid w:val="00317EFB"/>
    <w:rsid w:val="00317FEA"/>
    <w:rsid w:val="00320432"/>
    <w:rsid w:val="00320C82"/>
    <w:rsid w:val="00320D83"/>
    <w:rsid w:val="003212C8"/>
    <w:rsid w:val="00321603"/>
    <w:rsid w:val="00321674"/>
    <w:rsid w:val="003218E2"/>
    <w:rsid w:val="00321989"/>
    <w:rsid w:val="00321CE0"/>
    <w:rsid w:val="00321D28"/>
    <w:rsid w:val="00321DF4"/>
    <w:rsid w:val="00321E40"/>
    <w:rsid w:val="00321EB1"/>
    <w:rsid w:val="003220EB"/>
    <w:rsid w:val="00322161"/>
    <w:rsid w:val="00322168"/>
    <w:rsid w:val="003224AF"/>
    <w:rsid w:val="003227F3"/>
    <w:rsid w:val="0032346D"/>
    <w:rsid w:val="00323557"/>
    <w:rsid w:val="003247AA"/>
    <w:rsid w:val="003248A6"/>
    <w:rsid w:val="003249DF"/>
    <w:rsid w:val="00324B70"/>
    <w:rsid w:val="00324E9B"/>
    <w:rsid w:val="00324FC8"/>
    <w:rsid w:val="00325261"/>
    <w:rsid w:val="0032574D"/>
    <w:rsid w:val="003259B5"/>
    <w:rsid w:val="00325AA7"/>
    <w:rsid w:val="00325C01"/>
    <w:rsid w:val="00325C0B"/>
    <w:rsid w:val="003260CC"/>
    <w:rsid w:val="0032641B"/>
    <w:rsid w:val="0032642B"/>
    <w:rsid w:val="00326B7A"/>
    <w:rsid w:val="00326BED"/>
    <w:rsid w:val="00326C79"/>
    <w:rsid w:val="003270AE"/>
    <w:rsid w:val="0032723B"/>
    <w:rsid w:val="00327734"/>
    <w:rsid w:val="00327DD3"/>
    <w:rsid w:val="003300DE"/>
    <w:rsid w:val="00330163"/>
    <w:rsid w:val="00330240"/>
    <w:rsid w:val="00330690"/>
    <w:rsid w:val="00330C59"/>
    <w:rsid w:val="00331C17"/>
    <w:rsid w:val="00331D7D"/>
    <w:rsid w:val="00331E11"/>
    <w:rsid w:val="00331F32"/>
    <w:rsid w:val="003322DA"/>
    <w:rsid w:val="00332544"/>
    <w:rsid w:val="00332972"/>
    <w:rsid w:val="00333170"/>
    <w:rsid w:val="003331AA"/>
    <w:rsid w:val="00333455"/>
    <w:rsid w:val="00333C70"/>
    <w:rsid w:val="0033443C"/>
    <w:rsid w:val="003345B3"/>
    <w:rsid w:val="00334706"/>
    <w:rsid w:val="0033476E"/>
    <w:rsid w:val="00334938"/>
    <w:rsid w:val="003351C3"/>
    <w:rsid w:val="0033549F"/>
    <w:rsid w:val="003357A6"/>
    <w:rsid w:val="0033590D"/>
    <w:rsid w:val="00335C80"/>
    <w:rsid w:val="0033620C"/>
    <w:rsid w:val="00336242"/>
    <w:rsid w:val="00336BE9"/>
    <w:rsid w:val="00337949"/>
    <w:rsid w:val="00337C97"/>
    <w:rsid w:val="00337EBF"/>
    <w:rsid w:val="003400AD"/>
    <w:rsid w:val="0034018E"/>
    <w:rsid w:val="003403B0"/>
    <w:rsid w:val="00340ACD"/>
    <w:rsid w:val="00340BB4"/>
    <w:rsid w:val="00340E49"/>
    <w:rsid w:val="00341379"/>
    <w:rsid w:val="0034138F"/>
    <w:rsid w:val="00341468"/>
    <w:rsid w:val="003417D7"/>
    <w:rsid w:val="003418B0"/>
    <w:rsid w:val="00341EBB"/>
    <w:rsid w:val="003420B8"/>
    <w:rsid w:val="003426F3"/>
    <w:rsid w:val="00342C2D"/>
    <w:rsid w:val="00342FB1"/>
    <w:rsid w:val="0034326B"/>
    <w:rsid w:val="00343657"/>
    <w:rsid w:val="003438F5"/>
    <w:rsid w:val="00343969"/>
    <w:rsid w:val="00343B8C"/>
    <w:rsid w:val="00344089"/>
    <w:rsid w:val="00344455"/>
    <w:rsid w:val="003445DA"/>
    <w:rsid w:val="00344BB0"/>
    <w:rsid w:val="00344DA3"/>
    <w:rsid w:val="00344F5B"/>
    <w:rsid w:val="0034514B"/>
    <w:rsid w:val="003459D6"/>
    <w:rsid w:val="00345EE0"/>
    <w:rsid w:val="0034648A"/>
    <w:rsid w:val="003466BA"/>
    <w:rsid w:val="0034674C"/>
    <w:rsid w:val="00346AA9"/>
    <w:rsid w:val="00346ABA"/>
    <w:rsid w:val="00346B69"/>
    <w:rsid w:val="00346D6A"/>
    <w:rsid w:val="003471FB"/>
    <w:rsid w:val="0034734C"/>
    <w:rsid w:val="00347D30"/>
    <w:rsid w:val="00347FC8"/>
    <w:rsid w:val="00350E7F"/>
    <w:rsid w:val="00351014"/>
    <w:rsid w:val="003513AD"/>
    <w:rsid w:val="00351576"/>
    <w:rsid w:val="003517F1"/>
    <w:rsid w:val="00351B7D"/>
    <w:rsid w:val="00351BE7"/>
    <w:rsid w:val="0035273E"/>
    <w:rsid w:val="00352B98"/>
    <w:rsid w:val="00352CFB"/>
    <w:rsid w:val="00352DCF"/>
    <w:rsid w:val="00352DF6"/>
    <w:rsid w:val="00352E23"/>
    <w:rsid w:val="003531BE"/>
    <w:rsid w:val="0035320B"/>
    <w:rsid w:val="003533AC"/>
    <w:rsid w:val="003534A9"/>
    <w:rsid w:val="00353B5E"/>
    <w:rsid w:val="00353C8A"/>
    <w:rsid w:val="00353F92"/>
    <w:rsid w:val="003548CD"/>
    <w:rsid w:val="00354CF4"/>
    <w:rsid w:val="003553AB"/>
    <w:rsid w:val="00355D7F"/>
    <w:rsid w:val="00355EEC"/>
    <w:rsid w:val="003563A6"/>
    <w:rsid w:val="00356AC2"/>
    <w:rsid w:val="00356D45"/>
    <w:rsid w:val="003573C8"/>
    <w:rsid w:val="003573DC"/>
    <w:rsid w:val="0035752A"/>
    <w:rsid w:val="0035752E"/>
    <w:rsid w:val="003575DC"/>
    <w:rsid w:val="00357704"/>
    <w:rsid w:val="00357928"/>
    <w:rsid w:val="00357B05"/>
    <w:rsid w:val="00357E3C"/>
    <w:rsid w:val="00357E80"/>
    <w:rsid w:val="00357F8C"/>
    <w:rsid w:val="00357FB1"/>
    <w:rsid w:val="00357FE9"/>
    <w:rsid w:val="003600C2"/>
    <w:rsid w:val="0036024F"/>
    <w:rsid w:val="00360A69"/>
    <w:rsid w:val="00360AEA"/>
    <w:rsid w:val="00360D12"/>
    <w:rsid w:val="00360F2E"/>
    <w:rsid w:val="003612FD"/>
    <w:rsid w:val="003613C3"/>
    <w:rsid w:val="00361A6F"/>
    <w:rsid w:val="00361B35"/>
    <w:rsid w:val="00361F82"/>
    <w:rsid w:val="00362159"/>
    <w:rsid w:val="00362264"/>
    <w:rsid w:val="003629E4"/>
    <w:rsid w:val="00362C21"/>
    <w:rsid w:val="00362F67"/>
    <w:rsid w:val="0036320F"/>
    <w:rsid w:val="003634C5"/>
    <w:rsid w:val="0036355A"/>
    <w:rsid w:val="003635B6"/>
    <w:rsid w:val="00363658"/>
    <w:rsid w:val="00363CA8"/>
    <w:rsid w:val="00363E3B"/>
    <w:rsid w:val="003642EC"/>
    <w:rsid w:val="0036437B"/>
    <w:rsid w:val="0036463A"/>
    <w:rsid w:val="00364976"/>
    <w:rsid w:val="00364B13"/>
    <w:rsid w:val="00364E7D"/>
    <w:rsid w:val="00364F62"/>
    <w:rsid w:val="00365027"/>
    <w:rsid w:val="0036505C"/>
    <w:rsid w:val="00365611"/>
    <w:rsid w:val="003658C9"/>
    <w:rsid w:val="00366A73"/>
    <w:rsid w:val="003674DA"/>
    <w:rsid w:val="00367C94"/>
    <w:rsid w:val="003703C9"/>
    <w:rsid w:val="003707FB"/>
    <w:rsid w:val="0037097C"/>
    <w:rsid w:val="00370A19"/>
    <w:rsid w:val="00370A68"/>
    <w:rsid w:val="00370CC2"/>
    <w:rsid w:val="00371025"/>
    <w:rsid w:val="0037147E"/>
    <w:rsid w:val="00371A10"/>
    <w:rsid w:val="00371E9D"/>
    <w:rsid w:val="0037241D"/>
    <w:rsid w:val="00372557"/>
    <w:rsid w:val="00372937"/>
    <w:rsid w:val="00372AC8"/>
    <w:rsid w:val="00372B3B"/>
    <w:rsid w:val="00372D13"/>
    <w:rsid w:val="00372EC5"/>
    <w:rsid w:val="0037337B"/>
    <w:rsid w:val="003738B0"/>
    <w:rsid w:val="00373BCE"/>
    <w:rsid w:val="00373F06"/>
    <w:rsid w:val="003741A6"/>
    <w:rsid w:val="003743B3"/>
    <w:rsid w:val="003745EC"/>
    <w:rsid w:val="003748FF"/>
    <w:rsid w:val="0037521C"/>
    <w:rsid w:val="0037595D"/>
    <w:rsid w:val="00375962"/>
    <w:rsid w:val="00375A02"/>
    <w:rsid w:val="003761B7"/>
    <w:rsid w:val="003765AB"/>
    <w:rsid w:val="003767BD"/>
    <w:rsid w:val="00376877"/>
    <w:rsid w:val="00376B3B"/>
    <w:rsid w:val="00376D27"/>
    <w:rsid w:val="00376E89"/>
    <w:rsid w:val="00376EA1"/>
    <w:rsid w:val="00376F1F"/>
    <w:rsid w:val="0037738A"/>
    <w:rsid w:val="00377726"/>
    <w:rsid w:val="003777AE"/>
    <w:rsid w:val="0037788E"/>
    <w:rsid w:val="00380053"/>
    <w:rsid w:val="00380494"/>
    <w:rsid w:val="0038050B"/>
    <w:rsid w:val="00380B7A"/>
    <w:rsid w:val="00380F62"/>
    <w:rsid w:val="00381271"/>
    <w:rsid w:val="003812AC"/>
    <w:rsid w:val="00381342"/>
    <w:rsid w:val="003817B8"/>
    <w:rsid w:val="003818D6"/>
    <w:rsid w:val="00381AC3"/>
    <w:rsid w:val="00381F5A"/>
    <w:rsid w:val="00381F88"/>
    <w:rsid w:val="00382114"/>
    <w:rsid w:val="003822F1"/>
    <w:rsid w:val="003825DC"/>
    <w:rsid w:val="003829C9"/>
    <w:rsid w:val="00382BC9"/>
    <w:rsid w:val="00382DA6"/>
    <w:rsid w:val="0038318F"/>
    <w:rsid w:val="00383322"/>
    <w:rsid w:val="003836D9"/>
    <w:rsid w:val="00383B05"/>
    <w:rsid w:val="00383B99"/>
    <w:rsid w:val="00383E5B"/>
    <w:rsid w:val="00383E65"/>
    <w:rsid w:val="0038431F"/>
    <w:rsid w:val="003847E6"/>
    <w:rsid w:val="00384E50"/>
    <w:rsid w:val="0038520A"/>
    <w:rsid w:val="003854E7"/>
    <w:rsid w:val="00385780"/>
    <w:rsid w:val="00385A56"/>
    <w:rsid w:val="00385D7D"/>
    <w:rsid w:val="003864D0"/>
    <w:rsid w:val="003868E1"/>
    <w:rsid w:val="003869F3"/>
    <w:rsid w:val="00386D59"/>
    <w:rsid w:val="00386DFC"/>
    <w:rsid w:val="00386E10"/>
    <w:rsid w:val="00386E11"/>
    <w:rsid w:val="00386EAE"/>
    <w:rsid w:val="00386FC8"/>
    <w:rsid w:val="003876D2"/>
    <w:rsid w:val="0038780B"/>
    <w:rsid w:val="00390349"/>
    <w:rsid w:val="0039058B"/>
    <w:rsid w:val="00390B00"/>
    <w:rsid w:val="00390D75"/>
    <w:rsid w:val="00390F3D"/>
    <w:rsid w:val="00391062"/>
    <w:rsid w:val="003911FE"/>
    <w:rsid w:val="00391321"/>
    <w:rsid w:val="00391ED4"/>
    <w:rsid w:val="00391F45"/>
    <w:rsid w:val="00392282"/>
    <w:rsid w:val="003924E4"/>
    <w:rsid w:val="00392B23"/>
    <w:rsid w:val="00392FB7"/>
    <w:rsid w:val="00393026"/>
    <w:rsid w:val="00393051"/>
    <w:rsid w:val="00393825"/>
    <w:rsid w:val="00393BED"/>
    <w:rsid w:val="00393D6C"/>
    <w:rsid w:val="003940A3"/>
    <w:rsid w:val="0039413B"/>
    <w:rsid w:val="0039476E"/>
    <w:rsid w:val="00394944"/>
    <w:rsid w:val="00394AD2"/>
    <w:rsid w:val="003950AD"/>
    <w:rsid w:val="0039511F"/>
    <w:rsid w:val="0039521E"/>
    <w:rsid w:val="00395281"/>
    <w:rsid w:val="0039535E"/>
    <w:rsid w:val="00395515"/>
    <w:rsid w:val="003955E6"/>
    <w:rsid w:val="00395717"/>
    <w:rsid w:val="0039595C"/>
    <w:rsid w:val="00395989"/>
    <w:rsid w:val="00395C77"/>
    <w:rsid w:val="003961B9"/>
    <w:rsid w:val="00396289"/>
    <w:rsid w:val="003967CF"/>
    <w:rsid w:val="00396862"/>
    <w:rsid w:val="00396C9F"/>
    <w:rsid w:val="00396E71"/>
    <w:rsid w:val="0039721C"/>
    <w:rsid w:val="003A0287"/>
    <w:rsid w:val="003A0310"/>
    <w:rsid w:val="003A0CCA"/>
    <w:rsid w:val="003A0FC8"/>
    <w:rsid w:val="003A105E"/>
    <w:rsid w:val="003A1122"/>
    <w:rsid w:val="003A1454"/>
    <w:rsid w:val="003A1921"/>
    <w:rsid w:val="003A1A15"/>
    <w:rsid w:val="003A2175"/>
    <w:rsid w:val="003A2E18"/>
    <w:rsid w:val="003A2EDF"/>
    <w:rsid w:val="003A3433"/>
    <w:rsid w:val="003A3669"/>
    <w:rsid w:val="003A3CD1"/>
    <w:rsid w:val="003A3D24"/>
    <w:rsid w:val="003A3D98"/>
    <w:rsid w:val="003A4191"/>
    <w:rsid w:val="003A425D"/>
    <w:rsid w:val="003A475F"/>
    <w:rsid w:val="003A4C73"/>
    <w:rsid w:val="003A4E8B"/>
    <w:rsid w:val="003A50D9"/>
    <w:rsid w:val="003A5983"/>
    <w:rsid w:val="003A5A69"/>
    <w:rsid w:val="003A5CA7"/>
    <w:rsid w:val="003A6059"/>
    <w:rsid w:val="003A62FA"/>
    <w:rsid w:val="003A6487"/>
    <w:rsid w:val="003A64F5"/>
    <w:rsid w:val="003A6D27"/>
    <w:rsid w:val="003A6D73"/>
    <w:rsid w:val="003A6ED8"/>
    <w:rsid w:val="003A7015"/>
    <w:rsid w:val="003A757F"/>
    <w:rsid w:val="003A761B"/>
    <w:rsid w:val="003A7D32"/>
    <w:rsid w:val="003A7FF3"/>
    <w:rsid w:val="003B01B0"/>
    <w:rsid w:val="003B0244"/>
    <w:rsid w:val="003B042A"/>
    <w:rsid w:val="003B088A"/>
    <w:rsid w:val="003B0C2A"/>
    <w:rsid w:val="003B0E1B"/>
    <w:rsid w:val="003B1196"/>
    <w:rsid w:val="003B141C"/>
    <w:rsid w:val="003B14A1"/>
    <w:rsid w:val="003B1565"/>
    <w:rsid w:val="003B1651"/>
    <w:rsid w:val="003B1E68"/>
    <w:rsid w:val="003B1F70"/>
    <w:rsid w:val="003B21B0"/>
    <w:rsid w:val="003B2479"/>
    <w:rsid w:val="003B249A"/>
    <w:rsid w:val="003B2A0D"/>
    <w:rsid w:val="003B2C86"/>
    <w:rsid w:val="003B335F"/>
    <w:rsid w:val="003B35AA"/>
    <w:rsid w:val="003B401B"/>
    <w:rsid w:val="003B4546"/>
    <w:rsid w:val="003B4649"/>
    <w:rsid w:val="003B4774"/>
    <w:rsid w:val="003B4A0B"/>
    <w:rsid w:val="003B4BF2"/>
    <w:rsid w:val="003B4DF7"/>
    <w:rsid w:val="003B512B"/>
    <w:rsid w:val="003B55FD"/>
    <w:rsid w:val="003B58CF"/>
    <w:rsid w:val="003B59C4"/>
    <w:rsid w:val="003B5A2E"/>
    <w:rsid w:val="003B5BB4"/>
    <w:rsid w:val="003B5E09"/>
    <w:rsid w:val="003B62CC"/>
    <w:rsid w:val="003B650F"/>
    <w:rsid w:val="003B66EF"/>
    <w:rsid w:val="003B6913"/>
    <w:rsid w:val="003B6A22"/>
    <w:rsid w:val="003B6A34"/>
    <w:rsid w:val="003B6ED7"/>
    <w:rsid w:val="003B6F1A"/>
    <w:rsid w:val="003B75DB"/>
    <w:rsid w:val="003B78AD"/>
    <w:rsid w:val="003B7D19"/>
    <w:rsid w:val="003C0434"/>
    <w:rsid w:val="003C043F"/>
    <w:rsid w:val="003C0673"/>
    <w:rsid w:val="003C071B"/>
    <w:rsid w:val="003C0BB3"/>
    <w:rsid w:val="003C0D04"/>
    <w:rsid w:val="003C1037"/>
    <w:rsid w:val="003C1077"/>
    <w:rsid w:val="003C1543"/>
    <w:rsid w:val="003C1CA3"/>
    <w:rsid w:val="003C1D86"/>
    <w:rsid w:val="003C1FD7"/>
    <w:rsid w:val="003C2800"/>
    <w:rsid w:val="003C2FDE"/>
    <w:rsid w:val="003C3674"/>
    <w:rsid w:val="003C36D6"/>
    <w:rsid w:val="003C3A20"/>
    <w:rsid w:val="003C3B5B"/>
    <w:rsid w:val="003C3F48"/>
    <w:rsid w:val="003C3FA3"/>
    <w:rsid w:val="003C4084"/>
    <w:rsid w:val="003C4366"/>
    <w:rsid w:val="003C4406"/>
    <w:rsid w:val="003C4418"/>
    <w:rsid w:val="003C5023"/>
    <w:rsid w:val="003C5655"/>
    <w:rsid w:val="003C567B"/>
    <w:rsid w:val="003C595E"/>
    <w:rsid w:val="003C5A2F"/>
    <w:rsid w:val="003C5BF3"/>
    <w:rsid w:val="003C5D25"/>
    <w:rsid w:val="003C5E61"/>
    <w:rsid w:val="003C6284"/>
    <w:rsid w:val="003C63BB"/>
    <w:rsid w:val="003C6644"/>
    <w:rsid w:val="003C6796"/>
    <w:rsid w:val="003C6BB5"/>
    <w:rsid w:val="003C6F82"/>
    <w:rsid w:val="003C701F"/>
    <w:rsid w:val="003C727F"/>
    <w:rsid w:val="003C75BA"/>
    <w:rsid w:val="003C75DF"/>
    <w:rsid w:val="003C7A25"/>
    <w:rsid w:val="003C7A7A"/>
    <w:rsid w:val="003C7BAC"/>
    <w:rsid w:val="003C7EAF"/>
    <w:rsid w:val="003C7F5D"/>
    <w:rsid w:val="003D00A5"/>
    <w:rsid w:val="003D0591"/>
    <w:rsid w:val="003D0939"/>
    <w:rsid w:val="003D0989"/>
    <w:rsid w:val="003D0A9B"/>
    <w:rsid w:val="003D0B23"/>
    <w:rsid w:val="003D0F18"/>
    <w:rsid w:val="003D11FF"/>
    <w:rsid w:val="003D120E"/>
    <w:rsid w:val="003D12B2"/>
    <w:rsid w:val="003D1C36"/>
    <w:rsid w:val="003D2067"/>
    <w:rsid w:val="003D206D"/>
    <w:rsid w:val="003D222C"/>
    <w:rsid w:val="003D225C"/>
    <w:rsid w:val="003D2CB5"/>
    <w:rsid w:val="003D2FFB"/>
    <w:rsid w:val="003D30FC"/>
    <w:rsid w:val="003D31CA"/>
    <w:rsid w:val="003D3285"/>
    <w:rsid w:val="003D36DD"/>
    <w:rsid w:val="003D38C2"/>
    <w:rsid w:val="003D3CB0"/>
    <w:rsid w:val="003D3D16"/>
    <w:rsid w:val="003D3D47"/>
    <w:rsid w:val="003D3FEC"/>
    <w:rsid w:val="003D40BC"/>
    <w:rsid w:val="003D4264"/>
    <w:rsid w:val="003D4734"/>
    <w:rsid w:val="003D4757"/>
    <w:rsid w:val="003D53C1"/>
    <w:rsid w:val="003D5406"/>
    <w:rsid w:val="003D581A"/>
    <w:rsid w:val="003D5B16"/>
    <w:rsid w:val="003D5D25"/>
    <w:rsid w:val="003D5D6A"/>
    <w:rsid w:val="003D5E3C"/>
    <w:rsid w:val="003D5E4C"/>
    <w:rsid w:val="003D62B8"/>
    <w:rsid w:val="003D638C"/>
    <w:rsid w:val="003D6452"/>
    <w:rsid w:val="003D66F6"/>
    <w:rsid w:val="003D6943"/>
    <w:rsid w:val="003D6A0C"/>
    <w:rsid w:val="003D6BC9"/>
    <w:rsid w:val="003D6C66"/>
    <w:rsid w:val="003D6E6F"/>
    <w:rsid w:val="003D6FB6"/>
    <w:rsid w:val="003D7020"/>
    <w:rsid w:val="003D706E"/>
    <w:rsid w:val="003D72C2"/>
    <w:rsid w:val="003D750C"/>
    <w:rsid w:val="003D7668"/>
    <w:rsid w:val="003D7744"/>
    <w:rsid w:val="003D7847"/>
    <w:rsid w:val="003D78F3"/>
    <w:rsid w:val="003D7DDF"/>
    <w:rsid w:val="003D7DEF"/>
    <w:rsid w:val="003D7E29"/>
    <w:rsid w:val="003D7F00"/>
    <w:rsid w:val="003E02F8"/>
    <w:rsid w:val="003E088E"/>
    <w:rsid w:val="003E0B34"/>
    <w:rsid w:val="003E0C6B"/>
    <w:rsid w:val="003E0D4B"/>
    <w:rsid w:val="003E1570"/>
    <w:rsid w:val="003E17A6"/>
    <w:rsid w:val="003E18B8"/>
    <w:rsid w:val="003E1942"/>
    <w:rsid w:val="003E2016"/>
    <w:rsid w:val="003E225A"/>
    <w:rsid w:val="003E2BDD"/>
    <w:rsid w:val="003E37BB"/>
    <w:rsid w:val="003E37C8"/>
    <w:rsid w:val="003E3B1F"/>
    <w:rsid w:val="003E3FFA"/>
    <w:rsid w:val="003E410D"/>
    <w:rsid w:val="003E46A8"/>
    <w:rsid w:val="003E49DA"/>
    <w:rsid w:val="003E5001"/>
    <w:rsid w:val="003E57C2"/>
    <w:rsid w:val="003E57DB"/>
    <w:rsid w:val="003E586D"/>
    <w:rsid w:val="003E5AD0"/>
    <w:rsid w:val="003E5B8F"/>
    <w:rsid w:val="003E5C89"/>
    <w:rsid w:val="003E5D11"/>
    <w:rsid w:val="003E5FFD"/>
    <w:rsid w:val="003E6358"/>
    <w:rsid w:val="003E6406"/>
    <w:rsid w:val="003E6ECB"/>
    <w:rsid w:val="003E6F53"/>
    <w:rsid w:val="003E7336"/>
    <w:rsid w:val="003E7458"/>
    <w:rsid w:val="003E759C"/>
    <w:rsid w:val="003E77A2"/>
    <w:rsid w:val="003E7832"/>
    <w:rsid w:val="003E7D21"/>
    <w:rsid w:val="003E7F3F"/>
    <w:rsid w:val="003F06E9"/>
    <w:rsid w:val="003F09B9"/>
    <w:rsid w:val="003F0A19"/>
    <w:rsid w:val="003F0ABA"/>
    <w:rsid w:val="003F1683"/>
    <w:rsid w:val="003F19F0"/>
    <w:rsid w:val="003F1F51"/>
    <w:rsid w:val="003F2988"/>
    <w:rsid w:val="003F2D1F"/>
    <w:rsid w:val="003F2F6E"/>
    <w:rsid w:val="003F3586"/>
    <w:rsid w:val="003F3AE4"/>
    <w:rsid w:val="003F3BC2"/>
    <w:rsid w:val="003F407D"/>
    <w:rsid w:val="003F4557"/>
    <w:rsid w:val="003F469E"/>
    <w:rsid w:val="003F4A52"/>
    <w:rsid w:val="003F4C6E"/>
    <w:rsid w:val="003F4DC7"/>
    <w:rsid w:val="003F4E6E"/>
    <w:rsid w:val="003F51D8"/>
    <w:rsid w:val="003F554B"/>
    <w:rsid w:val="003F5580"/>
    <w:rsid w:val="003F5681"/>
    <w:rsid w:val="003F5873"/>
    <w:rsid w:val="003F620F"/>
    <w:rsid w:val="003F63B0"/>
    <w:rsid w:val="003F64F3"/>
    <w:rsid w:val="003F6641"/>
    <w:rsid w:val="003F66EE"/>
    <w:rsid w:val="003F6768"/>
    <w:rsid w:val="003F6F29"/>
    <w:rsid w:val="003F7377"/>
    <w:rsid w:val="003F7674"/>
    <w:rsid w:val="003F76BE"/>
    <w:rsid w:val="003F7AFB"/>
    <w:rsid w:val="003F7D96"/>
    <w:rsid w:val="003F7F8A"/>
    <w:rsid w:val="003F7FEE"/>
    <w:rsid w:val="0040004D"/>
    <w:rsid w:val="0040093D"/>
    <w:rsid w:val="00400CE7"/>
    <w:rsid w:val="0040112E"/>
    <w:rsid w:val="00401161"/>
    <w:rsid w:val="00401217"/>
    <w:rsid w:val="00401623"/>
    <w:rsid w:val="00401694"/>
    <w:rsid w:val="00401890"/>
    <w:rsid w:val="0040197D"/>
    <w:rsid w:val="00401B36"/>
    <w:rsid w:val="00401B98"/>
    <w:rsid w:val="00401CE3"/>
    <w:rsid w:val="00402058"/>
    <w:rsid w:val="0040213E"/>
    <w:rsid w:val="00402699"/>
    <w:rsid w:val="00402704"/>
    <w:rsid w:val="00402706"/>
    <w:rsid w:val="004028E0"/>
    <w:rsid w:val="004029B6"/>
    <w:rsid w:val="00402AC4"/>
    <w:rsid w:val="00402B4E"/>
    <w:rsid w:val="00402FEA"/>
    <w:rsid w:val="004031D3"/>
    <w:rsid w:val="00403461"/>
    <w:rsid w:val="0040356C"/>
    <w:rsid w:val="00403A9C"/>
    <w:rsid w:val="00403AA0"/>
    <w:rsid w:val="00403B7B"/>
    <w:rsid w:val="00403D9B"/>
    <w:rsid w:val="00403F83"/>
    <w:rsid w:val="0040408A"/>
    <w:rsid w:val="00404740"/>
    <w:rsid w:val="004047F3"/>
    <w:rsid w:val="00404917"/>
    <w:rsid w:val="00404977"/>
    <w:rsid w:val="00404CD0"/>
    <w:rsid w:val="00404CFA"/>
    <w:rsid w:val="00404FA8"/>
    <w:rsid w:val="004051C5"/>
    <w:rsid w:val="00405261"/>
    <w:rsid w:val="004054C2"/>
    <w:rsid w:val="0040587C"/>
    <w:rsid w:val="00405894"/>
    <w:rsid w:val="00405B55"/>
    <w:rsid w:val="00405FDD"/>
    <w:rsid w:val="00406106"/>
    <w:rsid w:val="00406728"/>
    <w:rsid w:val="00406738"/>
    <w:rsid w:val="00406BDB"/>
    <w:rsid w:val="00406C68"/>
    <w:rsid w:val="00406E8B"/>
    <w:rsid w:val="00407147"/>
    <w:rsid w:val="004072B5"/>
    <w:rsid w:val="00407CA4"/>
    <w:rsid w:val="00407DDC"/>
    <w:rsid w:val="00407E5E"/>
    <w:rsid w:val="004100A2"/>
    <w:rsid w:val="00410740"/>
    <w:rsid w:val="004109A6"/>
    <w:rsid w:val="00410B4E"/>
    <w:rsid w:val="00410B94"/>
    <w:rsid w:val="00410C01"/>
    <w:rsid w:val="00410C38"/>
    <w:rsid w:val="0041101E"/>
    <w:rsid w:val="004114AF"/>
    <w:rsid w:val="00411644"/>
    <w:rsid w:val="00411717"/>
    <w:rsid w:val="00411957"/>
    <w:rsid w:val="0041195A"/>
    <w:rsid w:val="00411A6A"/>
    <w:rsid w:val="00411FAF"/>
    <w:rsid w:val="004121CB"/>
    <w:rsid w:val="00412386"/>
    <w:rsid w:val="00412B11"/>
    <w:rsid w:val="00412C1B"/>
    <w:rsid w:val="00412C2F"/>
    <w:rsid w:val="00413076"/>
    <w:rsid w:val="00413080"/>
    <w:rsid w:val="00413373"/>
    <w:rsid w:val="004133E4"/>
    <w:rsid w:val="0041428A"/>
    <w:rsid w:val="00414349"/>
    <w:rsid w:val="00414489"/>
    <w:rsid w:val="004146F7"/>
    <w:rsid w:val="0041497A"/>
    <w:rsid w:val="00414A67"/>
    <w:rsid w:val="004154A7"/>
    <w:rsid w:val="004154D4"/>
    <w:rsid w:val="00415A86"/>
    <w:rsid w:val="00415A9B"/>
    <w:rsid w:val="00415AA8"/>
    <w:rsid w:val="00415D02"/>
    <w:rsid w:val="00416605"/>
    <w:rsid w:val="004166B8"/>
    <w:rsid w:val="00416B7F"/>
    <w:rsid w:val="00416E2A"/>
    <w:rsid w:val="00416E89"/>
    <w:rsid w:val="00417137"/>
    <w:rsid w:val="004173EC"/>
    <w:rsid w:val="0041760A"/>
    <w:rsid w:val="00417701"/>
    <w:rsid w:val="004179F6"/>
    <w:rsid w:val="00417A19"/>
    <w:rsid w:val="00417B56"/>
    <w:rsid w:val="00417C76"/>
    <w:rsid w:val="00420016"/>
    <w:rsid w:val="00420102"/>
    <w:rsid w:val="004201BF"/>
    <w:rsid w:val="00420929"/>
    <w:rsid w:val="00420F89"/>
    <w:rsid w:val="00420FD5"/>
    <w:rsid w:val="00421329"/>
    <w:rsid w:val="0042136C"/>
    <w:rsid w:val="00421444"/>
    <w:rsid w:val="0042199F"/>
    <w:rsid w:val="00421B00"/>
    <w:rsid w:val="00421BD6"/>
    <w:rsid w:val="00421E30"/>
    <w:rsid w:val="004220FF"/>
    <w:rsid w:val="00422319"/>
    <w:rsid w:val="004224E9"/>
    <w:rsid w:val="0042253C"/>
    <w:rsid w:val="004229D4"/>
    <w:rsid w:val="00422F7E"/>
    <w:rsid w:val="00423365"/>
    <w:rsid w:val="0042336D"/>
    <w:rsid w:val="00423A9D"/>
    <w:rsid w:val="00423FC7"/>
    <w:rsid w:val="00423FFD"/>
    <w:rsid w:val="0042406A"/>
    <w:rsid w:val="004242E0"/>
    <w:rsid w:val="00424B79"/>
    <w:rsid w:val="00424F9D"/>
    <w:rsid w:val="00426133"/>
    <w:rsid w:val="0042620E"/>
    <w:rsid w:val="00426BBB"/>
    <w:rsid w:val="00426CDD"/>
    <w:rsid w:val="00426DD0"/>
    <w:rsid w:val="00426EC8"/>
    <w:rsid w:val="00426F32"/>
    <w:rsid w:val="0042704E"/>
    <w:rsid w:val="00427462"/>
    <w:rsid w:val="00427793"/>
    <w:rsid w:val="00427799"/>
    <w:rsid w:val="004277DD"/>
    <w:rsid w:val="00427BB9"/>
    <w:rsid w:val="00427C4B"/>
    <w:rsid w:val="00427E53"/>
    <w:rsid w:val="00427E9C"/>
    <w:rsid w:val="0043051C"/>
    <w:rsid w:val="0043055C"/>
    <w:rsid w:val="004305F7"/>
    <w:rsid w:val="00430856"/>
    <w:rsid w:val="00430C7E"/>
    <w:rsid w:val="00431263"/>
    <w:rsid w:val="004312FE"/>
    <w:rsid w:val="00431380"/>
    <w:rsid w:val="0043143E"/>
    <w:rsid w:val="004314CC"/>
    <w:rsid w:val="004318BB"/>
    <w:rsid w:val="00431930"/>
    <w:rsid w:val="00431A21"/>
    <w:rsid w:val="00431D04"/>
    <w:rsid w:val="00431FA3"/>
    <w:rsid w:val="0043234A"/>
    <w:rsid w:val="004323BB"/>
    <w:rsid w:val="00432576"/>
    <w:rsid w:val="004327DE"/>
    <w:rsid w:val="0043283F"/>
    <w:rsid w:val="0043298A"/>
    <w:rsid w:val="004329D9"/>
    <w:rsid w:val="00432DAC"/>
    <w:rsid w:val="00432EDB"/>
    <w:rsid w:val="004333BC"/>
    <w:rsid w:val="00433C79"/>
    <w:rsid w:val="00433D47"/>
    <w:rsid w:val="00433D7A"/>
    <w:rsid w:val="00434013"/>
    <w:rsid w:val="004341F0"/>
    <w:rsid w:val="0043490E"/>
    <w:rsid w:val="00435384"/>
    <w:rsid w:val="00435CC4"/>
    <w:rsid w:val="004363BB"/>
    <w:rsid w:val="004363CC"/>
    <w:rsid w:val="004368D9"/>
    <w:rsid w:val="00436A83"/>
    <w:rsid w:val="00436CAF"/>
    <w:rsid w:val="00436DB8"/>
    <w:rsid w:val="004370EA"/>
    <w:rsid w:val="00437156"/>
    <w:rsid w:val="0043751D"/>
    <w:rsid w:val="00437691"/>
    <w:rsid w:val="00437EFC"/>
    <w:rsid w:val="00437FA1"/>
    <w:rsid w:val="0044013E"/>
    <w:rsid w:val="00440433"/>
    <w:rsid w:val="0044048E"/>
    <w:rsid w:val="004405A9"/>
    <w:rsid w:val="00440696"/>
    <w:rsid w:val="004406A5"/>
    <w:rsid w:val="004407CD"/>
    <w:rsid w:val="0044082A"/>
    <w:rsid w:val="00440BA5"/>
    <w:rsid w:val="0044119D"/>
    <w:rsid w:val="004412A2"/>
    <w:rsid w:val="0044145D"/>
    <w:rsid w:val="004416ED"/>
    <w:rsid w:val="004419D7"/>
    <w:rsid w:val="004420CB"/>
    <w:rsid w:val="00442385"/>
    <w:rsid w:val="00442680"/>
    <w:rsid w:val="004426C1"/>
    <w:rsid w:val="0044273C"/>
    <w:rsid w:val="0044286A"/>
    <w:rsid w:val="00442959"/>
    <w:rsid w:val="00442B95"/>
    <w:rsid w:val="00442D87"/>
    <w:rsid w:val="00442E1A"/>
    <w:rsid w:val="00443954"/>
    <w:rsid w:val="00443AD3"/>
    <w:rsid w:val="00443ADE"/>
    <w:rsid w:val="00443BDE"/>
    <w:rsid w:val="00443FBC"/>
    <w:rsid w:val="00444167"/>
    <w:rsid w:val="00444514"/>
    <w:rsid w:val="004446CE"/>
    <w:rsid w:val="00444DE1"/>
    <w:rsid w:val="00444E3D"/>
    <w:rsid w:val="00445402"/>
    <w:rsid w:val="00445559"/>
    <w:rsid w:val="00445DB3"/>
    <w:rsid w:val="00445F98"/>
    <w:rsid w:val="0044606F"/>
    <w:rsid w:val="004461E9"/>
    <w:rsid w:val="004462E5"/>
    <w:rsid w:val="004467DE"/>
    <w:rsid w:val="004469B7"/>
    <w:rsid w:val="00446C9D"/>
    <w:rsid w:val="00446F5B"/>
    <w:rsid w:val="00447001"/>
    <w:rsid w:val="0044741A"/>
    <w:rsid w:val="00447628"/>
    <w:rsid w:val="004478D7"/>
    <w:rsid w:val="00447AB8"/>
    <w:rsid w:val="00447F44"/>
    <w:rsid w:val="00450040"/>
    <w:rsid w:val="0045018C"/>
    <w:rsid w:val="004508B5"/>
    <w:rsid w:val="00450908"/>
    <w:rsid w:val="00450A5F"/>
    <w:rsid w:val="004512F8"/>
    <w:rsid w:val="004518A1"/>
    <w:rsid w:val="00451A25"/>
    <w:rsid w:val="00451A6D"/>
    <w:rsid w:val="00451ADA"/>
    <w:rsid w:val="00451E11"/>
    <w:rsid w:val="00452142"/>
    <w:rsid w:val="00452A70"/>
    <w:rsid w:val="00452D8D"/>
    <w:rsid w:val="004530C3"/>
    <w:rsid w:val="004531D2"/>
    <w:rsid w:val="00453201"/>
    <w:rsid w:val="00453319"/>
    <w:rsid w:val="00453357"/>
    <w:rsid w:val="0045342F"/>
    <w:rsid w:val="0045354D"/>
    <w:rsid w:val="00453927"/>
    <w:rsid w:val="0045398E"/>
    <w:rsid w:val="00453A4B"/>
    <w:rsid w:val="00453B7E"/>
    <w:rsid w:val="00453C20"/>
    <w:rsid w:val="00453C70"/>
    <w:rsid w:val="00454DFB"/>
    <w:rsid w:val="0045559C"/>
    <w:rsid w:val="00455D54"/>
    <w:rsid w:val="00455E38"/>
    <w:rsid w:val="00455F02"/>
    <w:rsid w:val="00455F2C"/>
    <w:rsid w:val="004563E0"/>
    <w:rsid w:val="00456589"/>
    <w:rsid w:val="0045664B"/>
    <w:rsid w:val="00456BA1"/>
    <w:rsid w:val="00456DFE"/>
    <w:rsid w:val="00456F9D"/>
    <w:rsid w:val="00457AFA"/>
    <w:rsid w:val="00457D38"/>
    <w:rsid w:val="00457EC2"/>
    <w:rsid w:val="0046013B"/>
    <w:rsid w:val="004603E9"/>
    <w:rsid w:val="004609AE"/>
    <w:rsid w:val="00460CC4"/>
    <w:rsid w:val="0046103F"/>
    <w:rsid w:val="0046136B"/>
    <w:rsid w:val="00461A61"/>
    <w:rsid w:val="004623FB"/>
    <w:rsid w:val="00462ACD"/>
    <w:rsid w:val="00462BBD"/>
    <w:rsid w:val="00463555"/>
    <w:rsid w:val="00463804"/>
    <w:rsid w:val="00463B74"/>
    <w:rsid w:val="004643A1"/>
    <w:rsid w:val="00464743"/>
    <w:rsid w:val="004647B9"/>
    <w:rsid w:val="00464A5F"/>
    <w:rsid w:val="00464A89"/>
    <w:rsid w:val="00464AF1"/>
    <w:rsid w:val="00464C4D"/>
    <w:rsid w:val="00464D2F"/>
    <w:rsid w:val="004653BA"/>
    <w:rsid w:val="0046554B"/>
    <w:rsid w:val="0046582B"/>
    <w:rsid w:val="00465875"/>
    <w:rsid w:val="00465D05"/>
    <w:rsid w:val="00465D72"/>
    <w:rsid w:val="00465EAE"/>
    <w:rsid w:val="00465FA0"/>
    <w:rsid w:val="0046617E"/>
    <w:rsid w:val="0046618D"/>
    <w:rsid w:val="004668B8"/>
    <w:rsid w:val="00466967"/>
    <w:rsid w:val="00466990"/>
    <w:rsid w:val="00466BDD"/>
    <w:rsid w:val="00466C45"/>
    <w:rsid w:val="00466EC3"/>
    <w:rsid w:val="00467106"/>
    <w:rsid w:val="0046726F"/>
    <w:rsid w:val="0046745A"/>
    <w:rsid w:val="004674E7"/>
    <w:rsid w:val="004674FC"/>
    <w:rsid w:val="00467A16"/>
    <w:rsid w:val="00467BB0"/>
    <w:rsid w:val="00467FFE"/>
    <w:rsid w:val="0047006B"/>
    <w:rsid w:val="00470576"/>
    <w:rsid w:val="00470B28"/>
    <w:rsid w:val="00470F1B"/>
    <w:rsid w:val="00470F60"/>
    <w:rsid w:val="0047100B"/>
    <w:rsid w:val="00471378"/>
    <w:rsid w:val="004715DF"/>
    <w:rsid w:val="00471855"/>
    <w:rsid w:val="00471C42"/>
    <w:rsid w:val="00471EDE"/>
    <w:rsid w:val="004720B4"/>
    <w:rsid w:val="00472223"/>
    <w:rsid w:val="00472325"/>
    <w:rsid w:val="004723AC"/>
    <w:rsid w:val="004724AA"/>
    <w:rsid w:val="004726C9"/>
    <w:rsid w:val="0047272A"/>
    <w:rsid w:val="0047279E"/>
    <w:rsid w:val="0047284E"/>
    <w:rsid w:val="00472FCD"/>
    <w:rsid w:val="004743EA"/>
    <w:rsid w:val="00474665"/>
    <w:rsid w:val="00474A45"/>
    <w:rsid w:val="00474A52"/>
    <w:rsid w:val="00474C31"/>
    <w:rsid w:val="00474FC6"/>
    <w:rsid w:val="004750D1"/>
    <w:rsid w:val="00475121"/>
    <w:rsid w:val="00475487"/>
    <w:rsid w:val="004758C2"/>
    <w:rsid w:val="00475B1F"/>
    <w:rsid w:val="00475C5D"/>
    <w:rsid w:val="00475DFB"/>
    <w:rsid w:val="00475E15"/>
    <w:rsid w:val="00476103"/>
    <w:rsid w:val="004761A7"/>
    <w:rsid w:val="004763C0"/>
    <w:rsid w:val="00476530"/>
    <w:rsid w:val="00476E30"/>
    <w:rsid w:val="00476E5D"/>
    <w:rsid w:val="00476FC5"/>
    <w:rsid w:val="00477379"/>
    <w:rsid w:val="004774BE"/>
    <w:rsid w:val="004776C6"/>
    <w:rsid w:val="004777C7"/>
    <w:rsid w:val="0047789E"/>
    <w:rsid w:val="00477A5F"/>
    <w:rsid w:val="00477B3E"/>
    <w:rsid w:val="004800C1"/>
    <w:rsid w:val="00480102"/>
    <w:rsid w:val="00480313"/>
    <w:rsid w:val="0048039C"/>
    <w:rsid w:val="004803BA"/>
    <w:rsid w:val="004806CA"/>
    <w:rsid w:val="0048084E"/>
    <w:rsid w:val="0048091F"/>
    <w:rsid w:val="00480C2E"/>
    <w:rsid w:val="00480C80"/>
    <w:rsid w:val="00480DA4"/>
    <w:rsid w:val="00480EBE"/>
    <w:rsid w:val="004813B6"/>
    <w:rsid w:val="00481E3C"/>
    <w:rsid w:val="004824C0"/>
    <w:rsid w:val="004824E4"/>
    <w:rsid w:val="004828AF"/>
    <w:rsid w:val="00482EFC"/>
    <w:rsid w:val="00482F8B"/>
    <w:rsid w:val="004831BA"/>
    <w:rsid w:val="004831CA"/>
    <w:rsid w:val="00483496"/>
    <w:rsid w:val="00483698"/>
    <w:rsid w:val="004836CE"/>
    <w:rsid w:val="004838AD"/>
    <w:rsid w:val="00483BD9"/>
    <w:rsid w:val="00484036"/>
    <w:rsid w:val="00484055"/>
    <w:rsid w:val="00484193"/>
    <w:rsid w:val="0048433F"/>
    <w:rsid w:val="00484590"/>
    <w:rsid w:val="004846E1"/>
    <w:rsid w:val="00485034"/>
    <w:rsid w:val="00485470"/>
    <w:rsid w:val="00485510"/>
    <w:rsid w:val="00485794"/>
    <w:rsid w:val="00485860"/>
    <w:rsid w:val="004858D6"/>
    <w:rsid w:val="004858E6"/>
    <w:rsid w:val="004859F7"/>
    <w:rsid w:val="00485E81"/>
    <w:rsid w:val="0048651E"/>
    <w:rsid w:val="00486791"/>
    <w:rsid w:val="004867B1"/>
    <w:rsid w:val="00486CE6"/>
    <w:rsid w:val="004875E1"/>
    <w:rsid w:val="0048774B"/>
    <w:rsid w:val="00487A9F"/>
    <w:rsid w:val="00487E8F"/>
    <w:rsid w:val="00487F9E"/>
    <w:rsid w:val="00490546"/>
    <w:rsid w:val="0049056E"/>
    <w:rsid w:val="0049090F"/>
    <w:rsid w:val="00490D70"/>
    <w:rsid w:val="00490DE7"/>
    <w:rsid w:val="00491005"/>
    <w:rsid w:val="0049102C"/>
    <w:rsid w:val="004910CD"/>
    <w:rsid w:val="00491224"/>
    <w:rsid w:val="00491740"/>
    <w:rsid w:val="00491746"/>
    <w:rsid w:val="0049179D"/>
    <w:rsid w:val="00491A5E"/>
    <w:rsid w:val="00491A69"/>
    <w:rsid w:val="00491C6A"/>
    <w:rsid w:val="00491F84"/>
    <w:rsid w:val="00492189"/>
    <w:rsid w:val="00492202"/>
    <w:rsid w:val="0049243F"/>
    <w:rsid w:val="00492444"/>
    <w:rsid w:val="00492CB1"/>
    <w:rsid w:val="00493810"/>
    <w:rsid w:val="00493B8D"/>
    <w:rsid w:val="00493D41"/>
    <w:rsid w:val="00494409"/>
    <w:rsid w:val="004946F7"/>
    <w:rsid w:val="0049490D"/>
    <w:rsid w:val="00494CC6"/>
    <w:rsid w:val="00495286"/>
    <w:rsid w:val="00495446"/>
    <w:rsid w:val="004955A7"/>
    <w:rsid w:val="004956A1"/>
    <w:rsid w:val="0049580F"/>
    <w:rsid w:val="0049587D"/>
    <w:rsid w:val="00495B02"/>
    <w:rsid w:val="00495B28"/>
    <w:rsid w:val="004963A8"/>
    <w:rsid w:val="0049647B"/>
    <w:rsid w:val="004967A0"/>
    <w:rsid w:val="00496A42"/>
    <w:rsid w:val="00496B59"/>
    <w:rsid w:val="00497A66"/>
    <w:rsid w:val="00497CAB"/>
    <w:rsid w:val="004A0464"/>
    <w:rsid w:val="004A04E2"/>
    <w:rsid w:val="004A0C5E"/>
    <w:rsid w:val="004A0D50"/>
    <w:rsid w:val="004A10E4"/>
    <w:rsid w:val="004A1640"/>
    <w:rsid w:val="004A17BB"/>
    <w:rsid w:val="004A1876"/>
    <w:rsid w:val="004A1AA4"/>
    <w:rsid w:val="004A1B81"/>
    <w:rsid w:val="004A1E8E"/>
    <w:rsid w:val="004A206B"/>
    <w:rsid w:val="004A22D1"/>
    <w:rsid w:val="004A26EB"/>
    <w:rsid w:val="004A2714"/>
    <w:rsid w:val="004A283B"/>
    <w:rsid w:val="004A29FB"/>
    <w:rsid w:val="004A2F4A"/>
    <w:rsid w:val="004A2FBC"/>
    <w:rsid w:val="004A30B1"/>
    <w:rsid w:val="004A31E8"/>
    <w:rsid w:val="004A322A"/>
    <w:rsid w:val="004A367B"/>
    <w:rsid w:val="004A3867"/>
    <w:rsid w:val="004A3AEC"/>
    <w:rsid w:val="004A3FE3"/>
    <w:rsid w:val="004A453E"/>
    <w:rsid w:val="004A4580"/>
    <w:rsid w:val="004A4667"/>
    <w:rsid w:val="004A490C"/>
    <w:rsid w:val="004A4B55"/>
    <w:rsid w:val="004A4FC9"/>
    <w:rsid w:val="004A4FE0"/>
    <w:rsid w:val="004A5149"/>
    <w:rsid w:val="004A5282"/>
    <w:rsid w:val="004A53A2"/>
    <w:rsid w:val="004A5AF7"/>
    <w:rsid w:val="004A670C"/>
    <w:rsid w:val="004A6784"/>
    <w:rsid w:val="004A67DD"/>
    <w:rsid w:val="004A6ACF"/>
    <w:rsid w:val="004A6E2D"/>
    <w:rsid w:val="004A6F89"/>
    <w:rsid w:val="004A6FF7"/>
    <w:rsid w:val="004A7090"/>
    <w:rsid w:val="004A7564"/>
    <w:rsid w:val="004A766A"/>
    <w:rsid w:val="004A797C"/>
    <w:rsid w:val="004A7CCE"/>
    <w:rsid w:val="004A7D6C"/>
    <w:rsid w:val="004B007D"/>
    <w:rsid w:val="004B00CC"/>
    <w:rsid w:val="004B018D"/>
    <w:rsid w:val="004B01F6"/>
    <w:rsid w:val="004B0791"/>
    <w:rsid w:val="004B0859"/>
    <w:rsid w:val="004B0861"/>
    <w:rsid w:val="004B0928"/>
    <w:rsid w:val="004B0959"/>
    <w:rsid w:val="004B0B2D"/>
    <w:rsid w:val="004B0C2B"/>
    <w:rsid w:val="004B104D"/>
    <w:rsid w:val="004B118C"/>
    <w:rsid w:val="004B1399"/>
    <w:rsid w:val="004B173D"/>
    <w:rsid w:val="004B1A40"/>
    <w:rsid w:val="004B1D2A"/>
    <w:rsid w:val="004B2073"/>
    <w:rsid w:val="004B27BF"/>
    <w:rsid w:val="004B2E2B"/>
    <w:rsid w:val="004B307E"/>
    <w:rsid w:val="004B337B"/>
    <w:rsid w:val="004B3A01"/>
    <w:rsid w:val="004B3BD6"/>
    <w:rsid w:val="004B3BEC"/>
    <w:rsid w:val="004B3CA4"/>
    <w:rsid w:val="004B44B3"/>
    <w:rsid w:val="004B44DB"/>
    <w:rsid w:val="004B4525"/>
    <w:rsid w:val="004B459C"/>
    <w:rsid w:val="004B47F1"/>
    <w:rsid w:val="004B496A"/>
    <w:rsid w:val="004B51F2"/>
    <w:rsid w:val="004B5B47"/>
    <w:rsid w:val="004B5F13"/>
    <w:rsid w:val="004B5F8A"/>
    <w:rsid w:val="004B62FE"/>
    <w:rsid w:val="004B6733"/>
    <w:rsid w:val="004B6F8A"/>
    <w:rsid w:val="004B73BB"/>
    <w:rsid w:val="004B73F4"/>
    <w:rsid w:val="004B75D1"/>
    <w:rsid w:val="004B75E7"/>
    <w:rsid w:val="004B7DB7"/>
    <w:rsid w:val="004B7E06"/>
    <w:rsid w:val="004B7EB3"/>
    <w:rsid w:val="004C0308"/>
    <w:rsid w:val="004C0509"/>
    <w:rsid w:val="004C05FD"/>
    <w:rsid w:val="004C06FD"/>
    <w:rsid w:val="004C099A"/>
    <w:rsid w:val="004C10C5"/>
    <w:rsid w:val="004C1260"/>
    <w:rsid w:val="004C1300"/>
    <w:rsid w:val="004C1574"/>
    <w:rsid w:val="004C1871"/>
    <w:rsid w:val="004C18C5"/>
    <w:rsid w:val="004C1B03"/>
    <w:rsid w:val="004C1EF9"/>
    <w:rsid w:val="004C22D2"/>
    <w:rsid w:val="004C2608"/>
    <w:rsid w:val="004C2A04"/>
    <w:rsid w:val="004C2AD4"/>
    <w:rsid w:val="004C31FA"/>
    <w:rsid w:val="004C33A6"/>
    <w:rsid w:val="004C3591"/>
    <w:rsid w:val="004C3BE9"/>
    <w:rsid w:val="004C41B9"/>
    <w:rsid w:val="004C438C"/>
    <w:rsid w:val="004C44BC"/>
    <w:rsid w:val="004C47B4"/>
    <w:rsid w:val="004C50F8"/>
    <w:rsid w:val="004C52AB"/>
    <w:rsid w:val="004C5687"/>
    <w:rsid w:val="004C600D"/>
    <w:rsid w:val="004C62A7"/>
    <w:rsid w:val="004C637C"/>
    <w:rsid w:val="004C687B"/>
    <w:rsid w:val="004C6ADA"/>
    <w:rsid w:val="004C6BA3"/>
    <w:rsid w:val="004C6BDA"/>
    <w:rsid w:val="004C7115"/>
    <w:rsid w:val="004C71BD"/>
    <w:rsid w:val="004C7232"/>
    <w:rsid w:val="004C72BC"/>
    <w:rsid w:val="004C747F"/>
    <w:rsid w:val="004C7546"/>
    <w:rsid w:val="004C75F4"/>
    <w:rsid w:val="004C7724"/>
    <w:rsid w:val="004C7C57"/>
    <w:rsid w:val="004C7C79"/>
    <w:rsid w:val="004D0307"/>
    <w:rsid w:val="004D0453"/>
    <w:rsid w:val="004D046C"/>
    <w:rsid w:val="004D04CB"/>
    <w:rsid w:val="004D0E14"/>
    <w:rsid w:val="004D145A"/>
    <w:rsid w:val="004D18D1"/>
    <w:rsid w:val="004D1CD9"/>
    <w:rsid w:val="004D1D43"/>
    <w:rsid w:val="004D1FFA"/>
    <w:rsid w:val="004D2202"/>
    <w:rsid w:val="004D2213"/>
    <w:rsid w:val="004D2328"/>
    <w:rsid w:val="004D2B55"/>
    <w:rsid w:val="004D2BA2"/>
    <w:rsid w:val="004D2D61"/>
    <w:rsid w:val="004D2F72"/>
    <w:rsid w:val="004D2FC0"/>
    <w:rsid w:val="004D35BE"/>
    <w:rsid w:val="004D374A"/>
    <w:rsid w:val="004D3797"/>
    <w:rsid w:val="004D380D"/>
    <w:rsid w:val="004D3A7E"/>
    <w:rsid w:val="004D3D0A"/>
    <w:rsid w:val="004D438F"/>
    <w:rsid w:val="004D45BE"/>
    <w:rsid w:val="004D4609"/>
    <w:rsid w:val="004D477B"/>
    <w:rsid w:val="004D4C8E"/>
    <w:rsid w:val="004D50BA"/>
    <w:rsid w:val="004D5111"/>
    <w:rsid w:val="004D522B"/>
    <w:rsid w:val="004D55E0"/>
    <w:rsid w:val="004D59EF"/>
    <w:rsid w:val="004D5D74"/>
    <w:rsid w:val="004D5F4D"/>
    <w:rsid w:val="004D5FD5"/>
    <w:rsid w:val="004D649F"/>
    <w:rsid w:val="004D67C9"/>
    <w:rsid w:val="004D6EF0"/>
    <w:rsid w:val="004D6FD0"/>
    <w:rsid w:val="004D7912"/>
    <w:rsid w:val="004D7A8C"/>
    <w:rsid w:val="004D7F60"/>
    <w:rsid w:val="004E0349"/>
    <w:rsid w:val="004E057D"/>
    <w:rsid w:val="004E0DA6"/>
    <w:rsid w:val="004E106C"/>
    <w:rsid w:val="004E1146"/>
    <w:rsid w:val="004E1564"/>
    <w:rsid w:val="004E17F1"/>
    <w:rsid w:val="004E1A1D"/>
    <w:rsid w:val="004E1C9D"/>
    <w:rsid w:val="004E1CF9"/>
    <w:rsid w:val="004E1EA9"/>
    <w:rsid w:val="004E1EDB"/>
    <w:rsid w:val="004E2401"/>
    <w:rsid w:val="004E258E"/>
    <w:rsid w:val="004E293C"/>
    <w:rsid w:val="004E2B25"/>
    <w:rsid w:val="004E2BCB"/>
    <w:rsid w:val="004E2F22"/>
    <w:rsid w:val="004E304D"/>
    <w:rsid w:val="004E3117"/>
    <w:rsid w:val="004E337E"/>
    <w:rsid w:val="004E3544"/>
    <w:rsid w:val="004E3678"/>
    <w:rsid w:val="004E3B84"/>
    <w:rsid w:val="004E3EF9"/>
    <w:rsid w:val="004E4003"/>
    <w:rsid w:val="004E408D"/>
    <w:rsid w:val="004E40E0"/>
    <w:rsid w:val="004E4605"/>
    <w:rsid w:val="004E4EE6"/>
    <w:rsid w:val="004E4F5D"/>
    <w:rsid w:val="004E4FBD"/>
    <w:rsid w:val="004E503F"/>
    <w:rsid w:val="004E512D"/>
    <w:rsid w:val="004E513A"/>
    <w:rsid w:val="004E52BB"/>
    <w:rsid w:val="004E5580"/>
    <w:rsid w:val="004E5876"/>
    <w:rsid w:val="004E58C7"/>
    <w:rsid w:val="004E5B46"/>
    <w:rsid w:val="004E5C8D"/>
    <w:rsid w:val="004E5D8A"/>
    <w:rsid w:val="004E6153"/>
    <w:rsid w:val="004E6743"/>
    <w:rsid w:val="004E71EA"/>
    <w:rsid w:val="004E72DB"/>
    <w:rsid w:val="004E764B"/>
    <w:rsid w:val="004E794A"/>
    <w:rsid w:val="004E79E5"/>
    <w:rsid w:val="004E7B52"/>
    <w:rsid w:val="004E7CFE"/>
    <w:rsid w:val="004E7EE1"/>
    <w:rsid w:val="004F0AB1"/>
    <w:rsid w:val="004F0AE3"/>
    <w:rsid w:val="004F10EF"/>
    <w:rsid w:val="004F1156"/>
    <w:rsid w:val="004F124E"/>
    <w:rsid w:val="004F12C9"/>
    <w:rsid w:val="004F14CA"/>
    <w:rsid w:val="004F185C"/>
    <w:rsid w:val="004F1E22"/>
    <w:rsid w:val="004F234E"/>
    <w:rsid w:val="004F2B9F"/>
    <w:rsid w:val="004F2C88"/>
    <w:rsid w:val="004F2DB6"/>
    <w:rsid w:val="004F2EFF"/>
    <w:rsid w:val="004F3362"/>
    <w:rsid w:val="004F3F59"/>
    <w:rsid w:val="004F4249"/>
    <w:rsid w:val="004F44B0"/>
    <w:rsid w:val="004F4992"/>
    <w:rsid w:val="004F4E6E"/>
    <w:rsid w:val="004F4FC2"/>
    <w:rsid w:val="004F501F"/>
    <w:rsid w:val="004F5139"/>
    <w:rsid w:val="004F5578"/>
    <w:rsid w:val="004F56C0"/>
    <w:rsid w:val="004F5707"/>
    <w:rsid w:val="004F570C"/>
    <w:rsid w:val="004F57F4"/>
    <w:rsid w:val="004F5C3D"/>
    <w:rsid w:val="004F5E43"/>
    <w:rsid w:val="004F5F7B"/>
    <w:rsid w:val="004F60A5"/>
    <w:rsid w:val="004F6150"/>
    <w:rsid w:val="004F6177"/>
    <w:rsid w:val="004F642D"/>
    <w:rsid w:val="004F645F"/>
    <w:rsid w:val="004F65BB"/>
    <w:rsid w:val="004F6B7C"/>
    <w:rsid w:val="004F6CC5"/>
    <w:rsid w:val="004F6D40"/>
    <w:rsid w:val="004F6D8D"/>
    <w:rsid w:val="004F6DD2"/>
    <w:rsid w:val="004F71AE"/>
    <w:rsid w:val="004F722A"/>
    <w:rsid w:val="004F79AE"/>
    <w:rsid w:val="004F7B53"/>
    <w:rsid w:val="004F7B8B"/>
    <w:rsid w:val="004F7E7A"/>
    <w:rsid w:val="00500122"/>
    <w:rsid w:val="005004CC"/>
    <w:rsid w:val="0050094C"/>
    <w:rsid w:val="00500A11"/>
    <w:rsid w:val="00500ABC"/>
    <w:rsid w:val="00500C71"/>
    <w:rsid w:val="00500F60"/>
    <w:rsid w:val="0050112F"/>
    <w:rsid w:val="005013BB"/>
    <w:rsid w:val="0050140F"/>
    <w:rsid w:val="00501979"/>
    <w:rsid w:val="00501A15"/>
    <w:rsid w:val="00501AD1"/>
    <w:rsid w:val="00501C27"/>
    <w:rsid w:val="00501C52"/>
    <w:rsid w:val="00501E20"/>
    <w:rsid w:val="00501F72"/>
    <w:rsid w:val="00502251"/>
    <w:rsid w:val="005022C7"/>
    <w:rsid w:val="005024F6"/>
    <w:rsid w:val="0050270F"/>
    <w:rsid w:val="005027CD"/>
    <w:rsid w:val="005027CF"/>
    <w:rsid w:val="00502859"/>
    <w:rsid w:val="00502D0C"/>
    <w:rsid w:val="0050352C"/>
    <w:rsid w:val="00503663"/>
    <w:rsid w:val="00503C8B"/>
    <w:rsid w:val="00503E50"/>
    <w:rsid w:val="00503E85"/>
    <w:rsid w:val="005042FD"/>
    <w:rsid w:val="005044AF"/>
    <w:rsid w:val="0050481C"/>
    <w:rsid w:val="00504853"/>
    <w:rsid w:val="00504998"/>
    <w:rsid w:val="00504A0E"/>
    <w:rsid w:val="00504C3F"/>
    <w:rsid w:val="00504E2D"/>
    <w:rsid w:val="00504FBF"/>
    <w:rsid w:val="00505495"/>
    <w:rsid w:val="00505819"/>
    <w:rsid w:val="00506618"/>
    <w:rsid w:val="00506830"/>
    <w:rsid w:val="0050685F"/>
    <w:rsid w:val="005069DB"/>
    <w:rsid w:val="00506BA7"/>
    <w:rsid w:val="00506D90"/>
    <w:rsid w:val="00507329"/>
    <w:rsid w:val="0050745D"/>
    <w:rsid w:val="00507C52"/>
    <w:rsid w:val="005101AB"/>
    <w:rsid w:val="00510A04"/>
    <w:rsid w:val="00510C1D"/>
    <w:rsid w:val="00510C4C"/>
    <w:rsid w:val="00510C9B"/>
    <w:rsid w:val="005111DC"/>
    <w:rsid w:val="00511364"/>
    <w:rsid w:val="0051176E"/>
    <w:rsid w:val="00511A0C"/>
    <w:rsid w:val="00511E9B"/>
    <w:rsid w:val="0051201B"/>
    <w:rsid w:val="005129ED"/>
    <w:rsid w:val="00512A48"/>
    <w:rsid w:val="00512C8C"/>
    <w:rsid w:val="00512C9F"/>
    <w:rsid w:val="00512CF6"/>
    <w:rsid w:val="005130D9"/>
    <w:rsid w:val="00513116"/>
    <w:rsid w:val="005131A6"/>
    <w:rsid w:val="00513319"/>
    <w:rsid w:val="00513572"/>
    <w:rsid w:val="00513A50"/>
    <w:rsid w:val="00513B39"/>
    <w:rsid w:val="00513B59"/>
    <w:rsid w:val="00514109"/>
    <w:rsid w:val="00514F91"/>
    <w:rsid w:val="005150E9"/>
    <w:rsid w:val="0051513B"/>
    <w:rsid w:val="00515C72"/>
    <w:rsid w:val="00516349"/>
    <w:rsid w:val="00516C21"/>
    <w:rsid w:val="00516DD2"/>
    <w:rsid w:val="00516F61"/>
    <w:rsid w:val="0051795C"/>
    <w:rsid w:val="005202B8"/>
    <w:rsid w:val="0052052C"/>
    <w:rsid w:val="005205C6"/>
    <w:rsid w:val="005207E0"/>
    <w:rsid w:val="005209D6"/>
    <w:rsid w:val="00520AB5"/>
    <w:rsid w:val="00520DED"/>
    <w:rsid w:val="00520E5A"/>
    <w:rsid w:val="00521026"/>
    <w:rsid w:val="00521263"/>
    <w:rsid w:val="00521324"/>
    <w:rsid w:val="0052168F"/>
    <w:rsid w:val="005216A5"/>
    <w:rsid w:val="005219A5"/>
    <w:rsid w:val="00521B82"/>
    <w:rsid w:val="00522285"/>
    <w:rsid w:val="005223C4"/>
    <w:rsid w:val="005224F9"/>
    <w:rsid w:val="00523229"/>
    <w:rsid w:val="00523286"/>
    <w:rsid w:val="00523477"/>
    <w:rsid w:val="00523527"/>
    <w:rsid w:val="00523C33"/>
    <w:rsid w:val="00523EA9"/>
    <w:rsid w:val="005247D2"/>
    <w:rsid w:val="00524CD2"/>
    <w:rsid w:val="00524EEB"/>
    <w:rsid w:val="005254FE"/>
    <w:rsid w:val="005256D5"/>
    <w:rsid w:val="005257A5"/>
    <w:rsid w:val="00525C30"/>
    <w:rsid w:val="00525E21"/>
    <w:rsid w:val="005268A4"/>
    <w:rsid w:val="00526AB3"/>
    <w:rsid w:val="0052708C"/>
    <w:rsid w:val="00527146"/>
    <w:rsid w:val="005273B8"/>
    <w:rsid w:val="00527452"/>
    <w:rsid w:val="005276C5"/>
    <w:rsid w:val="00527740"/>
    <w:rsid w:val="00527B44"/>
    <w:rsid w:val="00527CC3"/>
    <w:rsid w:val="00527D00"/>
    <w:rsid w:val="00527E65"/>
    <w:rsid w:val="00527E8F"/>
    <w:rsid w:val="0053001F"/>
    <w:rsid w:val="00530469"/>
    <w:rsid w:val="00530971"/>
    <w:rsid w:val="00530AEE"/>
    <w:rsid w:val="00530D12"/>
    <w:rsid w:val="005311EE"/>
    <w:rsid w:val="00531225"/>
    <w:rsid w:val="00531F8A"/>
    <w:rsid w:val="00532559"/>
    <w:rsid w:val="0053256A"/>
    <w:rsid w:val="005336B1"/>
    <w:rsid w:val="00533B4C"/>
    <w:rsid w:val="00533C2C"/>
    <w:rsid w:val="00533D4E"/>
    <w:rsid w:val="005341CF"/>
    <w:rsid w:val="00534378"/>
    <w:rsid w:val="00534BFC"/>
    <w:rsid w:val="00534D9E"/>
    <w:rsid w:val="00534FAD"/>
    <w:rsid w:val="005350CB"/>
    <w:rsid w:val="00535243"/>
    <w:rsid w:val="00535AEC"/>
    <w:rsid w:val="00535CAF"/>
    <w:rsid w:val="00536007"/>
    <w:rsid w:val="005361E7"/>
    <w:rsid w:val="0053659A"/>
    <w:rsid w:val="00536645"/>
    <w:rsid w:val="005366F6"/>
    <w:rsid w:val="0053696B"/>
    <w:rsid w:val="00536BD0"/>
    <w:rsid w:val="00536CEF"/>
    <w:rsid w:val="00536FBB"/>
    <w:rsid w:val="00537047"/>
    <w:rsid w:val="00537152"/>
    <w:rsid w:val="005371F4"/>
    <w:rsid w:val="00537204"/>
    <w:rsid w:val="005375CC"/>
    <w:rsid w:val="005377A4"/>
    <w:rsid w:val="00537811"/>
    <w:rsid w:val="005378F1"/>
    <w:rsid w:val="005379AB"/>
    <w:rsid w:val="00537C56"/>
    <w:rsid w:val="00540339"/>
    <w:rsid w:val="0054092E"/>
    <w:rsid w:val="00540A7E"/>
    <w:rsid w:val="005410C7"/>
    <w:rsid w:val="005410F4"/>
    <w:rsid w:val="005416EB"/>
    <w:rsid w:val="005419D8"/>
    <w:rsid w:val="00541BAC"/>
    <w:rsid w:val="00541F5B"/>
    <w:rsid w:val="00542BE0"/>
    <w:rsid w:val="00542D85"/>
    <w:rsid w:val="00542F1D"/>
    <w:rsid w:val="0054314F"/>
    <w:rsid w:val="005432F9"/>
    <w:rsid w:val="005434D0"/>
    <w:rsid w:val="005438E0"/>
    <w:rsid w:val="00543FB6"/>
    <w:rsid w:val="00544196"/>
    <w:rsid w:val="00544315"/>
    <w:rsid w:val="005444DF"/>
    <w:rsid w:val="005445E2"/>
    <w:rsid w:val="005445F0"/>
    <w:rsid w:val="00544798"/>
    <w:rsid w:val="00544C62"/>
    <w:rsid w:val="00544D0A"/>
    <w:rsid w:val="00544E52"/>
    <w:rsid w:val="00544F6A"/>
    <w:rsid w:val="0054517C"/>
    <w:rsid w:val="0054518A"/>
    <w:rsid w:val="005453C5"/>
    <w:rsid w:val="005455EC"/>
    <w:rsid w:val="0054576B"/>
    <w:rsid w:val="00545937"/>
    <w:rsid w:val="005459E6"/>
    <w:rsid w:val="00545DAC"/>
    <w:rsid w:val="00546684"/>
    <w:rsid w:val="005467BC"/>
    <w:rsid w:val="00546AAF"/>
    <w:rsid w:val="00546B44"/>
    <w:rsid w:val="00546B75"/>
    <w:rsid w:val="0054780C"/>
    <w:rsid w:val="00547A6D"/>
    <w:rsid w:val="005504B4"/>
    <w:rsid w:val="00550598"/>
    <w:rsid w:val="005506F0"/>
    <w:rsid w:val="00550962"/>
    <w:rsid w:val="00550984"/>
    <w:rsid w:val="00550E1E"/>
    <w:rsid w:val="005512AC"/>
    <w:rsid w:val="0055157A"/>
    <w:rsid w:val="0055195D"/>
    <w:rsid w:val="00551D26"/>
    <w:rsid w:val="005521A5"/>
    <w:rsid w:val="005529A7"/>
    <w:rsid w:val="005529D9"/>
    <w:rsid w:val="005529F7"/>
    <w:rsid w:val="00552A62"/>
    <w:rsid w:val="00552BA3"/>
    <w:rsid w:val="00552C4F"/>
    <w:rsid w:val="00552D88"/>
    <w:rsid w:val="005531C6"/>
    <w:rsid w:val="005532BB"/>
    <w:rsid w:val="005532CE"/>
    <w:rsid w:val="0055364F"/>
    <w:rsid w:val="005539B8"/>
    <w:rsid w:val="00553BBC"/>
    <w:rsid w:val="005541BD"/>
    <w:rsid w:val="005542F8"/>
    <w:rsid w:val="005544AB"/>
    <w:rsid w:val="005545EE"/>
    <w:rsid w:val="00554936"/>
    <w:rsid w:val="0055496C"/>
    <w:rsid w:val="00554F5A"/>
    <w:rsid w:val="00555674"/>
    <w:rsid w:val="00555EE2"/>
    <w:rsid w:val="005561C1"/>
    <w:rsid w:val="005561F1"/>
    <w:rsid w:val="0055641A"/>
    <w:rsid w:val="00556B16"/>
    <w:rsid w:val="005570D7"/>
    <w:rsid w:val="00557353"/>
    <w:rsid w:val="00557819"/>
    <w:rsid w:val="00557BD2"/>
    <w:rsid w:val="00560108"/>
    <w:rsid w:val="00560826"/>
    <w:rsid w:val="0056176E"/>
    <w:rsid w:val="00561CE6"/>
    <w:rsid w:val="00562AC6"/>
    <w:rsid w:val="00562FB8"/>
    <w:rsid w:val="00563579"/>
    <w:rsid w:val="00563591"/>
    <w:rsid w:val="0056362E"/>
    <w:rsid w:val="00563E7F"/>
    <w:rsid w:val="00564114"/>
    <w:rsid w:val="00564237"/>
    <w:rsid w:val="0056450F"/>
    <w:rsid w:val="00564941"/>
    <w:rsid w:val="00564AAC"/>
    <w:rsid w:val="00564C55"/>
    <w:rsid w:val="00564FDD"/>
    <w:rsid w:val="0056519B"/>
    <w:rsid w:val="00565234"/>
    <w:rsid w:val="0056529B"/>
    <w:rsid w:val="0056555A"/>
    <w:rsid w:val="00565A06"/>
    <w:rsid w:val="00565D28"/>
    <w:rsid w:val="00565D50"/>
    <w:rsid w:val="00565DDE"/>
    <w:rsid w:val="0056603C"/>
    <w:rsid w:val="00566B0B"/>
    <w:rsid w:val="00566DAE"/>
    <w:rsid w:val="00566EB9"/>
    <w:rsid w:val="005674F5"/>
    <w:rsid w:val="005674FF"/>
    <w:rsid w:val="005675B6"/>
    <w:rsid w:val="0056781E"/>
    <w:rsid w:val="0056785F"/>
    <w:rsid w:val="00567F8F"/>
    <w:rsid w:val="00567F96"/>
    <w:rsid w:val="00570021"/>
    <w:rsid w:val="00570056"/>
    <w:rsid w:val="0057041F"/>
    <w:rsid w:val="00570528"/>
    <w:rsid w:val="00570D72"/>
    <w:rsid w:val="0057195B"/>
    <w:rsid w:val="00571B23"/>
    <w:rsid w:val="00571E62"/>
    <w:rsid w:val="0057248C"/>
    <w:rsid w:val="00572762"/>
    <w:rsid w:val="00572933"/>
    <w:rsid w:val="00572F06"/>
    <w:rsid w:val="005738C5"/>
    <w:rsid w:val="005738C9"/>
    <w:rsid w:val="00573A01"/>
    <w:rsid w:val="00573C4D"/>
    <w:rsid w:val="00573E67"/>
    <w:rsid w:val="005745C5"/>
    <w:rsid w:val="00574687"/>
    <w:rsid w:val="00574AAD"/>
    <w:rsid w:val="00574B38"/>
    <w:rsid w:val="00574F0C"/>
    <w:rsid w:val="00574F62"/>
    <w:rsid w:val="0057512E"/>
    <w:rsid w:val="00575290"/>
    <w:rsid w:val="0057533F"/>
    <w:rsid w:val="005754C4"/>
    <w:rsid w:val="005755F1"/>
    <w:rsid w:val="0057589A"/>
    <w:rsid w:val="005759CD"/>
    <w:rsid w:val="00575AAA"/>
    <w:rsid w:val="00575BD7"/>
    <w:rsid w:val="00575EB2"/>
    <w:rsid w:val="005762C9"/>
    <w:rsid w:val="0057713E"/>
    <w:rsid w:val="00577379"/>
    <w:rsid w:val="005776D0"/>
    <w:rsid w:val="00577A1F"/>
    <w:rsid w:val="00577BBE"/>
    <w:rsid w:val="00577DA8"/>
    <w:rsid w:val="00577DFE"/>
    <w:rsid w:val="00577F06"/>
    <w:rsid w:val="00577FAE"/>
    <w:rsid w:val="005802D3"/>
    <w:rsid w:val="005804DC"/>
    <w:rsid w:val="005808DB"/>
    <w:rsid w:val="005809B5"/>
    <w:rsid w:val="00580F16"/>
    <w:rsid w:val="00581992"/>
    <w:rsid w:val="00581C32"/>
    <w:rsid w:val="00581D04"/>
    <w:rsid w:val="00582272"/>
    <w:rsid w:val="00582400"/>
    <w:rsid w:val="0058253B"/>
    <w:rsid w:val="0058267C"/>
    <w:rsid w:val="0058298A"/>
    <w:rsid w:val="00582E9C"/>
    <w:rsid w:val="00583089"/>
    <w:rsid w:val="00583108"/>
    <w:rsid w:val="00583349"/>
    <w:rsid w:val="005833F5"/>
    <w:rsid w:val="00583439"/>
    <w:rsid w:val="00583750"/>
    <w:rsid w:val="005837BF"/>
    <w:rsid w:val="00583A26"/>
    <w:rsid w:val="00583A75"/>
    <w:rsid w:val="00583C7A"/>
    <w:rsid w:val="00583C81"/>
    <w:rsid w:val="0058484C"/>
    <w:rsid w:val="00584A5B"/>
    <w:rsid w:val="00584BE4"/>
    <w:rsid w:val="00584DF3"/>
    <w:rsid w:val="00584F55"/>
    <w:rsid w:val="00585E62"/>
    <w:rsid w:val="00585E8E"/>
    <w:rsid w:val="00586219"/>
    <w:rsid w:val="00586239"/>
    <w:rsid w:val="005869F5"/>
    <w:rsid w:val="00586B95"/>
    <w:rsid w:val="00586CA0"/>
    <w:rsid w:val="00586E2C"/>
    <w:rsid w:val="00586EF1"/>
    <w:rsid w:val="00587111"/>
    <w:rsid w:val="005879D4"/>
    <w:rsid w:val="00587B60"/>
    <w:rsid w:val="005902DC"/>
    <w:rsid w:val="00590654"/>
    <w:rsid w:val="00590727"/>
    <w:rsid w:val="0059101C"/>
    <w:rsid w:val="00591106"/>
    <w:rsid w:val="00591127"/>
    <w:rsid w:val="005915C9"/>
    <w:rsid w:val="005915CF"/>
    <w:rsid w:val="00591693"/>
    <w:rsid w:val="005916AC"/>
    <w:rsid w:val="0059185B"/>
    <w:rsid w:val="0059185F"/>
    <w:rsid w:val="005918F4"/>
    <w:rsid w:val="005924B6"/>
    <w:rsid w:val="0059250B"/>
    <w:rsid w:val="0059324F"/>
    <w:rsid w:val="00593816"/>
    <w:rsid w:val="005938E9"/>
    <w:rsid w:val="00593B52"/>
    <w:rsid w:val="00593B8A"/>
    <w:rsid w:val="005941A7"/>
    <w:rsid w:val="0059428C"/>
    <w:rsid w:val="00594299"/>
    <w:rsid w:val="005944F1"/>
    <w:rsid w:val="005949F0"/>
    <w:rsid w:val="00594B9A"/>
    <w:rsid w:val="00595023"/>
    <w:rsid w:val="0059504F"/>
    <w:rsid w:val="005956F6"/>
    <w:rsid w:val="0059574C"/>
    <w:rsid w:val="005957EC"/>
    <w:rsid w:val="00595EFD"/>
    <w:rsid w:val="005967CF"/>
    <w:rsid w:val="00596AFF"/>
    <w:rsid w:val="00596C7C"/>
    <w:rsid w:val="00596D0A"/>
    <w:rsid w:val="00596D9C"/>
    <w:rsid w:val="00597188"/>
    <w:rsid w:val="00597269"/>
    <w:rsid w:val="00597663"/>
    <w:rsid w:val="005977E7"/>
    <w:rsid w:val="00597A44"/>
    <w:rsid w:val="00597A8D"/>
    <w:rsid w:val="00597AFC"/>
    <w:rsid w:val="00597D4B"/>
    <w:rsid w:val="00597E57"/>
    <w:rsid w:val="00597E8A"/>
    <w:rsid w:val="005A0034"/>
    <w:rsid w:val="005A035E"/>
    <w:rsid w:val="005A04D8"/>
    <w:rsid w:val="005A0827"/>
    <w:rsid w:val="005A0937"/>
    <w:rsid w:val="005A0AF7"/>
    <w:rsid w:val="005A0C47"/>
    <w:rsid w:val="005A1026"/>
    <w:rsid w:val="005A10E1"/>
    <w:rsid w:val="005A1443"/>
    <w:rsid w:val="005A1B3E"/>
    <w:rsid w:val="005A1B90"/>
    <w:rsid w:val="005A1E32"/>
    <w:rsid w:val="005A1F10"/>
    <w:rsid w:val="005A1FA8"/>
    <w:rsid w:val="005A2026"/>
    <w:rsid w:val="005A226C"/>
    <w:rsid w:val="005A2E11"/>
    <w:rsid w:val="005A31C0"/>
    <w:rsid w:val="005A35F0"/>
    <w:rsid w:val="005A4254"/>
    <w:rsid w:val="005A4835"/>
    <w:rsid w:val="005A5344"/>
    <w:rsid w:val="005A553C"/>
    <w:rsid w:val="005A572F"/>
    <w:rsid w:val="005A5917"/>
    <w:rsid w:val="005A5A87"/>
    <w:rsid w:val="005A6102"/>
    <w:rsid w:val="005A6441"/>
    <w:rsid w:val="005A686B"/>
    <w:rsid w:val="005A6D55"/>
    <w:rsid w:val="005A72B9"/>
    <w:rsid w:val="005A739A"/>
    <w:rsid w:val="005A79CF"/>
    <w:rsid w:val="005A79DC"/>
    <w:rsid w:val="005A7B6C"/>
    <w:rsid w:val="005A7CC8"/>
    <w:rsid w:val="005A7E49"/>
    <w:rsid w:val="005A7EF1"/>
    <w:rsid w:val="005A7FD6"/>
    <w:rsid w:val="005B0510"/>
    <w:rsid w:val="005B0586"/>
    <w:rsid w:val="005B0790"/>
    <w:rsid w:val="005B0982"/>
    <w:rsid w:val="005B0AFE"/>
    <w:rsid w:val="005B0D44"/>
    <w:rsid w:val="005B0D77"/>
    <w:rsid w:val="005B1645"/>
    <w:rsid w:val="005B1834"/>
    <w:rsid w:val="005B191D"/>
    <w:rsid w:val="005B195E"/>
    <w:rsid w:val="005B1E8A"/>
    <w:rsid w:val="005B20E5"/>
    <w:rsid w:val="005B24B4"/>
    <w:rsid w:val="005B266A"/>
    <w:rsid w:val="005B2E95"/>
    <w:rsid w:val="005B30BC"/>
    <w:rsid w:val="005B377B"/>
    <w:rsid w:val="005B3A20"/>
    <w:rsid w:val="005B42FA"/>
    <w:rsid w:val="005B4780"/>
    <w:rsid w:val="005B4F8B"/>
    <w:rsid w:val="005B50B1"/>
    <w:rsid w:val="005B55FF"/>
    <w:rsid w:val="005B5C6B"/>
    <w:rsid w:val="005B5CF1"/>
    <w:rsid w:val="005B5DC8"/>
    <w:rsid w:val="005B6105"/>
    <w:rsid w:val="005B6141"/>
    <w:rsid w:val="005B619C"/>
    <w:rsid w:val="005B644B"/>
    <w:rsid w:val="005B6527"/>
    <w:rsid w:val="005B68F9"/>
    <w:rsid w:val="005B6BDD"/>
    <w:rsid w:val="005B6D11"/>
    <w:rsid w:val="005B6DB2"/>
    <w:rsid w:val="005B76BE"/>
    <w:rsid w:val="005B776B"/>
    <w:rsid w:val="005B7E1D"/>
    <w:rsid w:val="005B7F96"/>
    <w:rsid w:val="005C056B"/>
    <w:rsid w:val="005C094B"/>
    <w:rsid w:val="005C0A3E"/>
    <w:rsid w:val="005C0B4F"/>
    <w:rsid w:val="005C0F50"/>
    <w:rsid w:val="005C1228"/>
    <w:rsid w:val="005C1926"/>
    <w:rsid w:val="005C1E6B"/>
    <w:rsid w:val="005C1FD9"/>
    <w:rsid w:val="005C23FD"/>
    <w:rsid w:val="005C261C"/>
    <w:rsid w:val="005C267E"/>
    <w:rsid w:val="005C26D6"/>
    <w:rsid w:val="005C2CD1"/>
    <w:rsid w:val="005C2E25"/>
    <w:rsid w:val="005C2FBF"/>
    <w:rsid w:val="005C325D"/>
    <w:rsid w:val="005C33CD"/>
    <w:rsid w:val="005C35D6"/>
    <w:rsid w:val="005C36A8"/>
    <w:rsid w:val="005C3710"/>
    <w:rsid w:val="005C3FFF"/>
    <w:rsid w:val="005C42FF"/>
    <w:rsid w:val="005C4366"/>
    <w:rsid w:val="005C468D"/>
    <w:rsid w:val="005C4986"/>
    <w:rsid w:val="005C4C0D"/>
    <w:rsid w:val="005C4C0F"/>
    <w:rsid w:val="005C4E27"/>
    <w:rsid w:val="005C5380"/>
    <w:rsid w:val="005C57F6"/>
    <w:rsid w:val="005C5E46"/>
    <w:rsid w:val="005C60B4"/>
    <w:rsid w:val="005C64E9"/>
    <w:rsid w:val="005C67A9"/>
    <w:rsid w:val="005C6AA6"/>
    <w:rsid w:val="005C6CF9"/>
    <w:rsid w:val="005C6E1A"/>
    <w:rsid w:val="005C710C"/>
    <w:rsid w:val="005C73C7"/>
    <w:rsid w:val="005C75D3"/>
    <w:rsid w:val="005C78E5"/>
    <w:rsid w:val="005C7960"/>
    <w:rsid w:val="005C7C1F"/>
    <w:rsid w:val="005C7C51"/>
    <w:rsid w:val="005D0A61"/>
    <w:rsid w:val="005D0FD1"/>
    <w:rsid w:val="005D1060"/>
    <w:rsid w:val="005D10E6"/>
    <w:rsid w:val="005D1279"/>
    <w:rsid w:val="005D13D1"/>
    <w:rsid w:val="005D1856"/>
    <w:rsid w:val="005D1910"/>
    <w:rsid w:val="005D1ABD"/>
    <w:rsid w:val="005D2094"/>
    <w:rsid w:val="005D2ACF"/>
    <w:rsid w:val="005D2D38"/>
    <w:rsid w:val="005D2E2D"/>
    <w:rsid w:val="005D3009"/>
    <w:rsid w:val="005D3052"/>
    <w:rsid w:val="005D331C"/>
    <w:rsid w:val="005D3410"/>
    <w:rsid w:val="005D34A2"/>
    <w:rsid w:val="005D3550"/>
    <w:rsid w:val="005D3A2A"/>
    <w:rsid w:val="005D3EE1"/>
    <w:rsid w:val="005D3FD7"/>
    <w:rsid w:val="005D40BB"/>
    <w:rsid w:val="005D41F7"/>
    <w:rsid w:val="005D450B"/>
    <w:rsid w:val="005D461F"/>
    <w:rsid w:val="005D4F97"/>
    <w:rsid w:val="005D4FA3"/>
    <w:rsid w:val="005D4FC0"/>
    <w:rsid w:val="005D5170"/>
    <w:rsid w:val="005D553B"/>
    <w:rsid w:val="005D58BD"/>
    <w:rsid w:val="005D5968"/>
    <w:rsid w:val="005D5BFC"/>
    <w:rsid w:val="005D634C"/>
    <w:rsid w:val="005D6609"/>
    <w:rsid w:val="005D67B4"/>
    <w:rsid w:val="005D69F2"/>
    <w:rsid w:val="005D6BAE"/>
    <w:rsid w:val="005D7243"/>
    <w:rsid w:val="005D72CB"/>
    <w:rsid w:val="005D7535"/>
    <w:rsid w:val="005D78CC"/>
    <w:rsid w:val="005D7D71"/>
    <w:rsid w:val="005E014A"/>
    <w:rsid w:val="005E0A0E"/>
    <w:rsid w:val="005E0CD5"/>
    <w:rsid w:val="005E1172"/>
    <w:rsid w:val="005E122F"/>
    <w:rsid w:val="005E1250"/>
    <w:rsid w:val="005E14D7"/>
    <w:rsid w:val="005E1BBF"/>
    <w:rsid w:val="005E1ECA"/>
    <w:rsid w:val="005E22E2"/>
    <w:rsid w:val="005E2434"/>
    <w:rsid w:val="005E24C9"/>
    <w:rsid w:val="005E2784"/>
    <w:rsid w:val="005E27EB"/>
    <w:rsid w:val="005E2BF2"/>
    <w:rsid w:val="005E2C04"/>
    <w:rsid w:val="005E30CA"/>
    <w:rsid w:val="005E30CE"/>
    <w:rsid w:val="005E3292"/>
    <w:rsid w:val="005E32BF"/>
    <w:rsid w:val="005E337D"/>
    <w:rsid w:val="005E33B7"/>
    <w:rsid w:val="005E33CD"/>
    <w:rsid w:val="005E3516"/>
    <w:rsid w:val="005E39A4"/>
    <w:rsid w:val="005E3AA1"/>
    <w:rsid w:val="005E3B99"/>
    <w:rsid w:val="005E42D6"/>
    <w:rsid w:val="005E436C"/>
    <w:rsid w:val="005E438D"/>
    <w:rsid w:val="005E447F"/>
    <w:rsid w:val="005E460E"/>
    <w:rsid w:val="005E47E2"/>
    <w:rsid w:val="005E48CB"/>
    <w:rsid w:val="005E495F"/>
    <w:rsid w:val="005E4BAA"/>
    <w:rsid w:val="005E4CFD"/>
    <w:rsid w:val="005E51AF"/>
    <w:rsid w:val="005E53D2"/>
    <w:rsid w:val="005E5B32"/>
    <w:rsid w:val="005E5CFA"/>
    <w:rsid w:val="005E6030"/>
    <w:rsid w:val="005E60B9"/>
    <w:rsid w:val="005E60BD"/>
    <w:rsid w:val="005E6513"/>
    <w:rsid w:val="005E6653"/>
    <w:rsid w:val="005E66B6"/>
    <w:rsid w:val="005E6DAC"/>
    <w:rsid w:val="005E6E95"/>
    <w:rsid w:val="005E6F0E"/>
    <w:rsid w:val="005E703B"/>
    <w:rsid w:val="005E7344"/>
    <w:rsid w:val="005E7538"/>
    <w:rsid w:val="005E756F"/>
    <w:rsid w:val="005E75D7"/>
    <w:rsid w:val="005E7626"/>
    <w:rsid w:val="005E7765"/>
    <w:rsid w:val="005E77A6"/>
    <w:rsid w:val="005E7CAE"/>
    <w:rsid w:val="005E7E67"/>
    <w:rsid w:val="005E7FF9"/>
    <w:rsid w:val="005F02BC"/>
    <w:rsid w:val="005F05A7"/>
    <w:rsid w:val="005F0612"/>
    <w:rsid w:val="005F082A"/>
    <w:rsid w:val="005F0956"/>
    <w:rsid w:val="005F0FA3"/>
    <w:rsid w:val="005F1169"/>
    <w:rsid w:val="005F1969"/>
    <w:rsid w:val="005F1B24"/>
    <w:rsid w:val="005F1BCA"/>
    <w:rsid w:val="005F206E"/>
    <w:rsid w:val="005F232C"/>
    <w:rsid w:val="005F23F3"/>
    <w:rsid w:val="005F247F"/>
    <w:rsid w:val="005F29FE"/>
    <w:rsid w:val="005F2BB0"/>
    <w:rsid w:val="005F2E9F"/>
    <w:rsid w:val="005F2FB9"/>
    <w:rsid w:val="005F315D"/>
    <w:rsid w:val="005F3357"/>
    <w:rsid w:val="005F35A8"/>
    <w:rsid w:val="005F38CF"/>
    <w:rsid w:val="005F3A09"/>
    <w:rsid w:val="005F3FA2"/>
    <w:rsid w:val="005F4588"/>
    <w:rsid w:val="005F4CC8"/>
    <w:rsid w:val="005F513A"/>
    <w:rsid w:val="005F5817"/>
    <w:rsid w:val="005F58BE"/>
    <w:rsid w:val="005F5A06"/>
    <w:rsid w:val="005F5A5A"/>
    <w:rsid w:val="005F5BBD"/>
    <w:rsid w:val="005F5D77"/>
    <w:rsid w:val="005F5F7B"/>
    <w:rsid w:val="005F63E6"/>
    <w:rsid w:val="005F63FB"/>
    <w:rsid w:val="005F652D"/>
    <w:rsid w:val="005F6679"/>
    <w:rsid w:val="005F6A1C"/>
    <w:rsid w:val="005F715A"/>
    <w:rsid w:val="00600034"/>
    <w:rsid w:val="0060038A"/>
    <w:rsid w:val="00600712"/>
    <w:rsid w:val="006009DD"/>
    <w:rsid w:val="00600A50"/>
    <w:rsid w:val="00600E03"/>
    <w:rsid w:val="00601188"/>
    <w:rsid w:val="006013F1"/>
    <w:rsid w:val="006014D1"/>
    <w:rsid w:val="00601890"/>
    <w:rsid w:val="00601E2F"/>
    <w:rsid w:val="006020DC"/>
    <w:rsid w:val="00602707"/>
    <w:rsid w:val="00602756"/>
    <w:rsid w:val="00602899"/>
    <w:rsid w:val="00602CE6"/>
    <w:rsid w:val="00603188"/>
    <w:rsid w:val="006031BA"/>
    <w:rsid w:val="006033C2"/>
    <w:rsid w:val="0060386E"/>
    <w:rsid w:val="00603A32"/>
    <w:rsid w:val="00603B0C"/>
    <w:rsid w:val="00604511"/>
    <w:rsid w:val="006045F6"/>
    <w:rsid w:val="00604659"/>
    <w:rsid w:val="00604BEF"/>
    <w:rsid w:val="006051ED"/>
    <w:rsid w:val="006053E9"/>
    <w:rsid w:val="00605856"/>
    <w:rsid w:val="0060594C"/>
    <w:rsid w:val="006059BB"/>
    <w:rsid w:val="006059DC"/>
    <w:rsid w:val="00605CE0"/>
    <w:rsid w:val="00606146"/>
    <w:rsid w:val="0060637A"/>
    <w:rsid w:val="0060658E"/>
    <w:rsid w:val="00606864"/>
    <w:rsid w:val="006069F6"/>
    <w:rsid w:val="00606A04"/>
    <w:rsid w:val="00606AE9"/>
    <w:rsid w:val="00606E73"/>
    <w:rsid w:val="00606E89"/>
    <w:rsid w:val="00606EF2"/>
    <w:rsid w:val="0060713C"/>
    <w:rsid w:val="00607425"/>
    <w:rsid w:val="00607829"/>
    <w:rsid w:val="00607A38"/>
    <w:rsid w:val="00607BFD"/>
    <w:rsid w:val="00607DA4"/>
    <w:rsid w:val="00607F45"/>
    <w:rsid w:val="00610445"/>
    <w:rsid w:val="006106BE"/>
    <w:rsid w:val="00610D93"/>
    <w:rsid w:val="00611197"/>
    <w:rsid w:val="0061179D"/>
    <w:rsid w:val="00611988"/>
    <w:rsid w:val="00611BD1"/>
    <w:rsid w:val="00611D43"/>
    <w:rsid w:val="00611FC2"/>
    <w:rsid w:val="006128C4"/>
    <w:rsid w:val="00612D5E"/>
    <w:rsid w:val="006133A8"/>
    <w:rsid w:val="00613475"/>
    <w:rsid w:val="006134EA"/>
    <w:rsid w:val="00613625"/>
    <w:rsid w:val="00613723"/>
    <w:rsid w:val="00613828"/>
    <w:rsid w:val="00613998"/>
    <w:rsid w:val="006139DE"/>
    <w:rsid w:val="00613AFE"/>
    <w:rsid w:val="00613B14"/>
    <w:rsid w:val="00613C85"/>
    <w:rsid w:val="006140E9"/>
    <w:rsid w:val="0061449E"/>
    <w:rsid w:val="00614870"/>
    <w:rsid w:val="006149F2"/>
    <w:rsid w:val="00614FB5"/>
    <w:rsid w:val="00615A12"/>
    <w:rsid w:val="0061604F"/>
    <w:rsid w:val="00616111"/>
    <w:rsid w:val="006166B7"/>
    <w:rsid w:val="00616AF5"/>
    <w:rsid w:val="00616C19"/>
    <w:rsid w:val="0061737A"/>
    <w:rsid w:val="0061760E"/>
    <w:rsid w:val="00617A58"/>
    <w:rsid w:val="00617D96"/>
    <w:rsid w:val="00617E36"/>
    <w:rsid w:val="00620267"/>
    <w:rsid w:val="0062078D"/>
    <w:rsid w:val="00620A2E"/>
    <w:rsid w:val="00620CA9"/>
    <w:rsid w:val="006210D4"/>
    <w:rsid w:val="00621165"/>
    <w:rsid w:val="006215CB"/>
    <w:rsid w:val="00621735"/>
    <w:rsid w:val="006219C1"/>
    <w:rsid w:val="00621AEA"/>
    <w:rsid w:val="0062201D"/>
    <w:rsid w:val="006221AB"/>
    <w:rsid w:val="00622664"/>
    <w:rsid w:val="00622796"/>
    <w:rsid w:val="0062298D"/>
    <w:rsid w:val="00622F25"/>
    <w:rsid w:val="006231C0"/>
    <w:rsid w:val="0062324B"/>
    <w:rsid w:val="0062325C"/>
    <w:rsid w:val="00623516"/>
    <w:rsid w:val="00623612"/>
    <w:rsid w:val="00623A0A"/>
    <w:rsid w:val="00623B50"/>
    <w:rsid w:val="00623E58"/>
    <w:rsid w:val="006240EE"/>
    <w:rsid w:val="00624405"/>
    <w:rsid w:val="0062481B"/>
    <w:rsid w:val="00624824"/>
    <w:rsid w:val="00624A39"/>
    <w:rsid w:val="00625149"/>
    <w:rsid w:val="0062527A"/>
    <w:rsid w:val="006254FD"/>
    <w:rsid w:val="00625A43"/>
    <w:rsid w:val="00625E30"/>
    <w:rsid w:val="006260EF"/>
    <w:rsid w:val="006262A9"/>
    <w:rsid w:val="00626519"/>
    <w:rsid w:val="00626525"/>
    <w:rsid w:val="006266F2"/>
    <w:rsid w:val="006269C4"/>
    <w:rsid w:val="00626A33"/>
    <w:rsid w:val="006270DF"/>
    <w:rsid w:val="00627A20"/>
    <w:rsid w:val="00627AD6"/>
    <w:rsid w:val="00627CF0"/>
    <w:rsid w:val="0062AC62"/>
    <w:rsid w:val="0062DC2B"/>
    <w:rsid w:val="006301F9"/>
    <w:rsid w:val="006302FC"/>
    <w:rsid w:val="00630487"/>
    <w:rsid w:val="00630633"/>
    <w:rsid w:val="006314ED"/>
    <w:rsid w:val="00631CFE"/>
    <w:rsid w:val="00632066"/>
    <w:rsid w:val="00632445"/>
    <w:rsid w:val="006328A8"/>
    <w:rsid w:val="00632D9F"/>
    <w:rsid w:val="00633564"/>
    <w:rsid w:val="00633718"/>
    <w:rsid w:val="00633B03"/>
    <w:rsid w:val="00633C25"/>
    <w:rsid w:val="00633D10"/>
    <w:rsid w:val="00633F3F"/>
    <w:rsid w:val="00634087"/>
    <w:rsid w:val="00634264"/>
    <w:rsid w:val="00634AE6"/>
    <w:rsid w:val="00634B31"/>
    <w:rsid w:val="00634BD9"/>
    <w:rsid w:val="00634BF6"/>
    <w:rsid w:val="00634D80"/>
    <w:rsid w:val="006351B7"/>
    <w:rsid w:val="00635240"/>
    <w:rsid w:val="006353BB"/>
    <w:rsid w:val="006354E1"/>
    <w:rsid w:val="006355C3"/>
    <w:rsid w:val="006359B5"/>
    <w:rsid w:val="006359D5"/>
    <w:rsid w:val="00636401"/>
    <w:rsid w:val="006369AC"/>
    <w:rsid w:val="00636A0C"/>
    <w:rsid w:val="00637430"/>
    <w:rsid w:val="0063799D"/>
    <w:rsid w:val="00637C2C"/>
    <w:rsid w:val="0064063A"/>
    <w:rsid w:val="0064094B"/>
    <w:rsid w:val="00640E63"/>
    <w:rsid w:val="00641189"/>
    <w:rsid w:val="00641970"/>
    <w:rsid w:val="00641CD4"/>
    <w:rsid w:val="00641D33"/>
    <w:rsid w:val="00641D5B"/>
    <w:rsid w:val="00642174"/>
    <w:rsid w:val="006421E2"/>
    <w:rsid w:val="0064238D"/>
    <w:rsid w:val="00642596"/>
    <w:rsid w:val="00642725"/>
    <w:rsid w:val="006429D1"/>
    <w:rsid w:val="00642AB7"/>
    <w:rsid w:val="006442E8"/>
    <w:rsid w:val="00644887"/>
    <w:rsid w:val="006448FD"/>
    <w:rsid w:val="00644936"/>
    <w:rsid w:val="00644A9A"/>
    <w:rsid w:val="00644AB8"/>
    <w:rsid w:val="00644B05"/>
    <w:rsid w:val="00644D29"/>
    <w:rsid w:val="00644E03"/>
    <w:rsid w:val="0064534B"/>
    <w:rsid w:val="00645407"/>
    <w:rsid w:val="0064545C"/>
    <w:rsid w:val="00645796"/>
    <w:rsid w:val="006457AA"/>
    <w:rsid w:val="00645AD9"/>
    <w:rsid w:val="00645BFE"/>
    <w:rsid w:val="00645C09"/>
    <w:rsid w:val="00645F85"/>
    <w:rsid w:val="00645F8E"/>
    <w:rsid w:val="0064618D"/>
    <w:rsid w:val="00646764"/>
    <w:rsid w:val="0064676E"/>
    <w:rsid w:val="00646A15"/>
    <w:rsid w:val="00646A5B"/>
    <w:rsid w:val="00646E06"/>
    <w:rsid w:val="00647520"/>
    <w:rsid w:val="00647847"/>
    <w:rsid w:val="00647F0A"/>
    <w:rsid w:val="006500E8"/>
    <w:rsid w:val="00650408"/>
    <w:rsid w:val="006504C3"/>
    <w:rsid w:val="00650793"/>
    <w:rsid w:val="006512CC"/>
    <w:rsid w:val="00651650"/>
    <w:rsid w:val="00651704"/>
    <w:rsid w:val="006517AE"/>
    <w:rsid w:val="006520BB"/>
    <w:rsid w:val="00652236"/>
    <w:rsid w:val="00652447"/>
    <w:rsid w:val="0065257D"/>
    <w:rsid w:val="006529A1"/>
    <w:rsid w:val="006529EC"/>
    <w:rsid w:val="00652CC0"/>
    <w:rsid w:val="00652D67"/>
    <w:rsid w:val="00652E78"/>
    <w:rsid w:val="00653441"/>
    <w:rsid w:val="006535B2"/>
    <w:rsid w:val="00653815"/>
    <w:rsid w:val="00653964"/>
    <w:rsid w:val="00653BA5"/>
    <w:rsid w:val="00653E3B"/>
    <w:rsid w:val="00653EFE"/>
    <w:rsid w:val="00653F87"/>
    <w:rsid w:val="006540B2"/>
    <w:rsid w:val="0065441C"/>
    <w:rsid w:val="0065456F"/>
    <w:rsid w:val="00654E8E"/>
    <w:rsid w:val="00654F74"/>
    <w:rsid w:val="00654FAC"/>
    <w:rsid w:val="00655100"/>
    <w:rsid w:val="006551FE"/>
    <w:rsid w:val="00655256"/>
    <w:rsid w:val="0065533E"/>
    <w:rsid w:val="006557BD"/>
    <w:rsid w:val="0065580E"/>
    <w:rsid w:val="00655BDC"/>
    <w:rsid w:val="00655C98"/>
    <w:rsid w:val="00655E09"/>
    <w:rsid w:val="00656B24"/>
    <w:rsid w:val="00656DC8"/>
    <w:rsid w:val="00656F83"/>
    <w:rsid w:val="00657319"/>
    <w:rsid w:val="0065741F"/>
    <w:rsid w:val="0065770C"/>
    <w:rsid w:val="0065772E"/>
    <w:rsid w:val="0065794C"/>
    <w:rsid w:val="00657B7F"/>
    <w:rsid w:val="00657E54"/>
    <w:rsid w:val="00657E9E"/>
    <w:rsid w:val="00657EA8"/>
    <w:rsid w:val="0066028E"/>
    <w:rsid w:val="0066076A"/>
    <w:rsid w:val="00660D9E"/>
    <w:rsid w:val="00660DA8"/>
    <w:rsid w:val="00660FCE"/>
    <w:rsid w:val="006610F2"/>
    <w:rsid w:val="00661164"/>
    <w:rsid w:val="00661182"/>
    <w:rsid w:val="00661561"/>
    <w:rsid w:val="006615F8"/>
    <w:rsid w:val="00661AE4"/>
    <w:rsid w:val="00661B0A"/>
    <w:rsid w:val="00661C01"/>
    <w:rsid w:val="006626F2"/>
    <w:rsid w:val="00662983"/>
    <w:rsid w:val="00662B77"/>
    <w:rsid w:val="00662FB5"/>
    <w:rsid w:val="00663036"/>
    <w:rsid w:val="0066337A"/>
    <w:rsid w:val="00663389"/>
    <w:rsid w:val="006634BC"/>
    <w:rsid w:val="006636A5"/>
    <w:rsid w:val="0066370C"/>
    <w:rsid w:val="00663762"/>
    <w:rsid w:val="0066378E"/>
    <w:rsid w:val="00663B23"/>
    <w:rsid w:val="00663CAB"/>
    <w:rsid w:val="00663EB8"/>
    <w:rsid w:val="00663FA1"/>
    <w:rsid w:val="006642DD"/>
    <w:rsid w:val="006645FC"/>
    <w:rsid w:val="006646A3"/>
    <w:rsid w:val="00664924"/>
    <w:rsid w:val="00664FE1"/>
    <w:rsid w:val="00665204"/>
    <w:rsid w:val="006656C8"/>
    <w:rsid w:val="00665D23"/>
    <w:rsid w:val="00665FA3"/>
    <w:rsid w:val="006662A2"/>
    <w:rsid w:val="006666CD"/>
    <w:rsid w:val="00666C87"/>
    <w:rsid w:val="00666E79"/>
    <w:rsid w:val="00666F06"/>
    <w:rsid w:val="0066732A"/>
    <w:rsid w:val="00667385"/>
    <w:rsid w:val="00667841"/>
    <w:rsid w:val="0066791F"/>
    <w:rsid w:val="00667FCC"/>
    <w:rsid w:val="00670468"/>
    <w:rsid w:val="00670737"/>
    <w:rsid w:val="00670978"/>
    <w:rsid w:val="00670F92"/>
    <w:rsid w:val="00670FCF"/>
    <w:rsid w:val="00671130"/>
    <w:rsid w:val="00671144"/>
    <w:rsid w:val="00671352"/>
    <w:rsid w:val="006715C2"/>
    <w:rsid w:val="006716EA"/>
    <w:rsid w:val="006716FB"/>
    <w:rsid w:val="00671948"/>
    <w:rsid w:val="00671B11"/>
    <w:rsid w:val="00672698"/>
    <w:rsid w:val="0067274E"/>
    <w:rsid w:val="0067290B"/>
    <w:rsid w:val="00672B0B"/>
    <w:rsid w:val="00672B13"/>
    <w:rsid w:val="00672D3C"/>
    <w:rsid w:val="00672D7C"/>
    <w:rsid w:val="006732C3"/>
    <w:rsid w:val="006734B5"/>
    <w:rsid w:val="00673652"/>
    <w:rsid w:val="0067374B"/>
    <w:rsid w:val="006737E6"/>
    <w:rsid w:val="00673E83"/>
    <w:rsid w:val="00674182"/>
    <w:rsid w:val="00674510"/>
    <w:rsid w:val="0067458E"/>
    <w:rsid w:val="00674681"/>
    <w:rsid w:val="00674945"/>
    <w:rsid w:val="00674C55"/>
    <w:rsid w:val="00674F2A"/>
    <w:rsid w:val="00674FE1"/>
    <w:rsid w:val="00675393"/>
    <w:rsid w:val="00675540"/>
    <w:rsid w:val="00675584"/>
    <w:rsid w:val="006758F5"/>
    <w:rsid w:val="0067619C"/>
    <w:rsid w:val="0067660E"/>
    <w:rsid w:val="006767F8"/>
    <w:rsid w:val="00676EA2"/>
    <w:rsid w:val="006778CE"/>
    <w:rsid w:val="006778F3"/>
    <w:rsid w:val="00677BFF"/>
    <w:rsid w:val="00677C9F"/>
    <w:rsid w:val="00677FA5"/>
    <w:rsid w:val="00680022"/>
    <w:rsid w:val="00680573"/>
    <w:rsid w:val="0068058E"/>
    <w:rsid w:val="00680A08"/>
    <w:rsid w:val="00680EDC"/>
    <w:rsid w:val="00680F70"/>
    <w:rsid w:val="00680FE8"/>
    <w:rsid w:val="00681655"/>
    <w:rsid w:val="00681910"/>
    <w:rsid w:val="00681BC3"/>
    <w:rsid w:val="00681DBE"/>
    <w:rsid w:val="00682266"/>
    <w:rsid w:val="006822A3"/>
    <w:rsid w:val="00682323"/>
    <w:rsid w:val="0068234B"/>
    <w:rsid w:val="00682382"/>
    <w:rsid w:val="006826AD"/>
    <w:rsid w:val="00682A3C"/>
    <w:rsid w:val="00682B91"/>
    <w:rsid w:val="00682C36"/>
    <w:rsid w:val="00682F2D"/>
    <w:rsid w:val="0068323E"/>
    <w:rsid w:val="006832A4"/>
    <w:rsid w:val="00683453"/>
    <w:rsid w:val="00683469"/>
    <w:rsid w:val="006837BA"/>
    <w:rsid w:val="00683871"/>
    <w:rsid w:val="00683C1A"/>
    <w:rsid w:val="00683FD0"/>
    <w:rsid w:val="00684259"/>
    <w:rsid w:val="0068433B"/>
    <w:rsid w:val="00684360"/>
    <w:rsid w:val="0068459A"/>
    <w:rsid w:val="00684787"/>
    <w:rsid w:val="00684D59"/>
    <w:rsid w:val="006854C0"/>
    <w:rsid w:val="00685514"/>
    <w:rsid w:val="006858D4"/>
    <w:rsid w:val="006859DB"/>
    <w:rsid w:val="00685A28"/>
    <w:rsid w:val="00685D88"/>
    <w:rsid w:val="00686131"/>
    <w:rsid w:val="0068645C"/>
    <w:rsid w:val="006871C2"/>
    <w:rsid w:val="006873A8"/>
    <w:rsid w:val="006873E5"/>
    <w:rsid w:val="006874D4"/>
    <w:rsid w:val="00687A1A"/>
    <w:rsid w:val="00687A7E"/>
    <w:rsid w:val="00687CFF"/>
    <w:rsid w:val="00687DA9"/>
    <w:rsid w:val="00687FF1"/>
    <w:rsid w:val="00690170"/>
    <w:rsid w:val="006902EB"/>
    <w:rsid w:val="006904B9"/>
    <w:rsid w:val="00690ADF"/>
    <w:rsid w:val="00690B4C"/>
    <w:rsid w:val="00690DDC"/>
    <w:rsid w:val="00690F36"/>
    <w:rsid w:val="00691453"/>
    <w:rsid w:val="0069156C"/>
    <w:rsid w:val="00691842"/>
    <w:rsid w:val="00691B77"/>
    <w:rsid w:val="00691E1D"/>
    <w:rsid w:val="00691E3A"/>
    <w:rsid w:val="00691EE0"/>
    <w:rsid w:val="00691F76"/>
    <w:rsid w:val="00692141"/>
    <w:rsid w:val="00692299"/>
    <w:rsid w:val="00692675"/>
    <w:rsid w:val="00692817"/>
    <w:rsid w:val="00692E24"/>
    <w:rsid w:val="00692F48"/>
    <w:rsid w:val="006932BC"/>
    <w:rsid w:val="00693318"/>
    <w:rsid w:val="00693387"/>
    <w:rsid w:val="006933E4"/>
    <w:rsid w:val="00693692"/>
    <w:rsid w:val="00693916"/>
    <w:rsid w:val="00693922"/>
    <w:rsid w:val="00693A90"/>
    <w:rsid w:val="00693B8D"/>
    <w:rsid w:val="00693BA8"/>
    <w:rsid w:val="00693D0D"/>
    <w:rsid w:val="0069404D"/>
    <w:rsid w:val="0069412D"/>
    <w:rsid w:val="0069428F"/>
    <w:rsid w:val="006943A3"/>
    <w:rsid w:val="0069480C"/>
    <w:rsid w:val="0069537C"/>
    <w:rsid w:val="00695407"/>
    <w:rsid w:val="00695591"/>
    <w:rsid w:val="0069570F"/>
    <w:rsid w:val="00695F02"/>
    <w:rsid w:val="00696078"/>
    <w:rsid w:val="0069607F"/>
    <w:rsid w:val="00696328"/>
    <w:rsid w:val="0069641A"/>
    <w:rsid w:val="00696516"/>
    <w:rsid w:val="006966A5"/>
    <w:rsid w:val="00696A07"/>
    <w:rsid w:val="00696E80"/>
    <w:rsid w:val="00696EA5"/>
    <w:rsid w:val="00696FA0"/>
    <w:rsid w:val="00697707"/>
    <w:rsid w:val="006977D5"/>
    <w:rsid w:val="00697DBC"/>
    <w:rsid w:val="00697E58"/>
    <w:rsid w:val="006A00EE"/>
    <w:rsid w:val="006A02B7"/>
    <w:rsid w:val="006A0359"/>
    <w:rsid w:val="006A0A52"/>
    <w:rsid w:val="006A0C58"/>
    <w:rsid w:val="006A0DF8"/>
    <w:rsid w:val="006A0ECA"/>
    <w:rsid w:val="006A1003"/>
    <w:rsid w:val="006A1174"/>
    <w:rsid w:val="006A1279"/>
    <w:rsid w:val="006A12D7"/>
    <w:rsid w:val="006A166E"/>
    <w:rsid w:val="006A1AD9"/>
    <w:rsid w:val="006A1EA5"/>
    <w:rsid w:val="006A2041"/>
    <w:rsid w:val="006A2183"/>
    <w:rsid w:val="006A25CE"/>
    <w:rsid w:val="006A25E2"/>
    <w:rsid w:val="006A2910"/>
    <w:rsid w:val="006A298A"/>
    <w:rsid w:val="006A2A5C"/>
    <w:rsid w:val="006A2F9F"/>
    <w:rsid w:val="006A33C0"/>
    <w:rsid w:val="006A387E"/>
    <w:rsid w:val="006A3D1B"/>
    <w:rsid w:val="006A3E98"/>
    <w:rsid w:val="006A3EF8"/>
    <w:rsid w:val="006A4064"/>
    <w:rsid w:val="006A408D"/>
    <w:rsid w:val="006A41F4"/>
    <w:rsid w:val="006A42F7"/>
    <w:rsid w:val="006A4458"/>
    <w:rsid w:val="006A44DB"/>
    <w:rsid w:val="006A4B1C"/>
    <w:rsid w:val="006A4F84"/>
    <w:rsid w:val="006A5187"/>
    <w:rsid w:val="006A51BF"/>
    <w:rsid w:val="006A53FC"/>
    <w:rsid w:val="006A555D"/>
    <w:rsid w:val="006A5A37"/>
    <w:rsid w:val="006A5DDC"/>
    <w:rsid w:val="006A5E2E"/>
    <w:rsid w:val="006A66F7"/>
    <w:rsid w:val="006A6A0E"/>
    <w:rsid w:val="006A7069"/>
    <w:rsid w:val="006A73F7"/>
    <w:rsid w:val="006A7442"/>
    <w:rsid w:val="006A764F"/>
    <w:rsid w:val="006A774A"/>
    <w:rsid w:val="006A776A"/>
    <w:rsid w:val="006A79E4"/>
    <w:rsid w:val="006A7B18"/>
    <w:rsid w:val="006A7DC3"/>
    <w:rsid w:val="006B0188"/>
    <w:rsid w:val="006B01AD"/>
    <w:rsid w:val="006B04B2"/>
    <w:rsid w:val="006B04DE"/>
    <w:rsid w:val="006B04EA"/>
    <w:rsid w:val="006B0E4C"/>
    <w:rsid w:val="006B1014"/>
    <w:rsid w:val="006B11A9"/>
    <w:rsid w:val="006B1AF9"/>
    <w:rsid w:val="006B20B3"/>
    <w:rsid w:val="006B213C"/>
    <w:rsid w:val="006B23AE"/>
    <w:rsid w:val="006B23DA"/>
    <w:rsid w:val="006B23DE"/>
    <w:rsid w:val="006B26D7"/>
    <w:rsid w:val="006B2829"/>
    <w:rsid w:val="006B2AB1"/>
    <w:rsid w:val="006B2F94"/>
    <w:rsid w:val="006B3068"/>
    <w:rsid w:val="006B30A3"/>
    <w:rsid w:val="006B335F"/>
    <w:rsid w:val="006B36A6"/>
    <w:rsid w:val="006B36EA"/>
    <w:rsid w:val="006B37BD"/>
    <w:rsid w:val="006B37FF"/>
    <w:rsid w:val="006B3885"/>
    <w:rsid w:val="006B3AC0"/>
    <w:rsid w:val="006B3EE8"/>
    <w:rsid w:val="006B3F8D"/>
    <w:rsid w:val="006B4057"/>
    <w:rsid w:val="006B4610"/>
    <w:rsid w:val="006B475E"/>
    <w:rsid w:val="006B49C8"/>
    <w:rsid w:val="006B4E13"/>
    <w:rsid w:val="006B5049"/>
    <w:rsid w:val="006B55E5"/>
    <w:rsid w:val="006B5BD4"/>
    <w:rsid w:val="006B5C7A"/>
    <w:rsid w:val="006B6107"/>
    <w:rsid w:val="006B670D"/>
    <w:rsid w:val="006B676B"/>
    <w:rsid w:val="006B6DB8"/>
    <w:rsid w:val="006B73C3"/>
    <w:rsid w:val="006B7570"/>
    <w:rsid w:val="006B75CD"/>
    <w:rsid w:val="006B7F67"/>
    <w:rsid w:val="006C0218"/>
    <w:rsid w:val="006C0557"/>
    <w:rsid w:val="006C0745"/>
    <w:rsid w:val="006C09A6"/>
    <w:rsid w:val="006C0A4D"/>
    <w:rsid w:val="006C0FBF"/>
    <w:rsid w:val="006C13DE"/>
    <w:rsid w:val="006C18B3"/>
    <w:rsid w:val="006C2467"/>
    <w:rsid w:val="006C2476"/>
    <w:rsid w:val="006C284B"/>
    <w:rsid w:val="006C2A25"/>
    <w:rsid w:val="006C2ABE"/>
    <w:rsid w:val="006C35E1"/>
    <w:rsid w:val="006C3692"/>
    <w:rsid w:val="006C3764"/>
    <w:rsid w:val="006C398A"/>
    <w:rsid w:val="006C3BD5"/>
    <w:rsid w:val="006C3EA5"/>
    <w:rsid w:val="006C48B8"/>
    <w:rsid w:val="006C493E"/>
    <w:rsid w:val="006C4C00"/>
    <w:rsid w:val="006C516E"/>
    <w:rsid w:val="006C5988"/>
    <w:rsid w:val="006C5DC2"/>
    <w:rsid w:val="006C6210"/>
    <w:rsid w:val="006C6344"/>
    <w:rsid w:val="006C68B9"/>
    <w:rsid w:val="006C6D64"/>
    <w:rsid w:val="006C6EF1"/>
    <w:rsid w:val="006C71B6"/>
    <w:rsid w:val="006C71B7"/>
    <w:rsid w:val="006C7295"/>
    <w:rsid w:val="006C74D4"/>
    <w:rsid w:val="006C761E"/>
    <w:rsid w:val="006C7A99"/>
    <w:rsid w:val="006C7D11"/>
    <w:rsid w:val="006C7D82"/>
    <w:rsid w:val="006C7FA8"/>
    <w:rsid w:val="006D011D"/>
    <w:rsid w:val="006D03B4"/>
    <w:rsid w:val="006D07A2"/>
    <w:rsid w:val="006D084C"/>
    <w:rsid w:val="006D09A0"/>
    <w:rsid w:val="006D0ADB"/>
    <w:rsid w:val="006D0C54"/>
    <w:rsid w:val="006D0E3A"/>
    <w:rsid w:val="006D115C"/>
    <w:rsid w:val="006D1212"/>
    <w:rsid w:val="006D12BD"/>
    <w:rsid w:val="006D1314"/>
    <w:rsid w:val="006D171B"/>
    <w:rsid w:val="006D1A08"/>
    <w:rsid w:val="006D203C"/>
    <w:rsid w:val="006D20FB"/>
    <w:rsid w:val="006D211B"/>
    <w:rsid w:val="006D27E6"/>
    <w:rsid w:val="006D2855"/>
    <w:rsid w:val="006D2A7D"/>
    <w:rsid w:val="006D2ACC"/>
    <w:rsid w:val="006D3704"/>
    <w:rsid w:val="006D3723"/>
    <w:rsid w:val="006D3B4C"/>
    <w:rsid w:val="006D3D07"/>
    <w:rsid w:val="006D5474"/>
    <w:rsid w:val="006D54BC"/>
    <w:rsid w:val="006D54E4"/>
    <w:rsid w:val="006D5543"/>
    <w:rsid w:val="006D5780"/>
    <w:rsid w:val="006D5F06"/>
    <w:rsid w:val="006D606C"/>
    <w:rsid w:val="006D61B3"/>
    <w:rsid w:val="006D6426"/>
    <w:rsid w:val="006D69E9"/>
    <w:rsid w:val="006D6B05"/>
    <w:rsid w:val="006D6C64"/>
    <w:rsid w:val="006D6D3B"/>
    <w:rsid w:val="006D700D"/>
    <w:rsid w:val="006D7846"/>
    <w:rsid w:val="006D7852"/>
    <w:rsid w:val="006D789D"/>
    <w:rsid w:val="006D79F2"/>
    <w:rsid w:val="006D7DE4"/>
    <w:rsid w:val="006E0431"/>
    <w:rsid w:val="006E0455"/>
    <w:rsid w:val="006E0559"/>
    <w:rsid w:val="006E05DC"/>
    <w:rsid w:val="006E088D"/>
    <w:rsid w:val="006E0C53"/>
    <w:rsid w:val="006E0D0D"/>
    <w:rsid w:val="006E0D70"/>
    <w:rsid w:val="006E0E02"/>
    <w:rsid w:val="006E0F46"/>
    <w:rsid w:val="006E18C0"/>
    <w:rsid w:val="006E19A6"/>
    <w:rsid w:val="006E1B7C"/>
    <w:rsid w:val="006E1C95"/>
    <w:rsid w:val="006E1F66"/>
    <w:rsid w:val="006E27E5"/>
    <w:rsid w:val="006E2E69"/>
    <w:rsid w:val="006E3621"/>
    <w:rsid w:val="006E38C6"/>
    <w:rsid w:val="006E38EF"/>
    <w:rsid w:val="006E3A30"/>
    <w:rsid w:val="006E4183"/>
    <w:rsid w:val="006E4224"/>
    <w:rsid w:val="006E4798"/>
    <w:rsid w:val="006E47B7"/>
    <w:rsid w:val="006E4A47"/>
    <w:rsid w:val="006E4B83"/>
    <w:rsid w:val="006E4B96"/>
    <w:rsid w:val="006E4BFB"/>
    <w:rsid w:val="006E4C70"/>
    <w:rsid w:val="006E4E4E"/>
    <w:rsid w:val="006E5933"/>
    <w:rsid w:val="006E5984"/>
    <w:rsid w:val="006E5D2E"/>
    <w:rsid w:val="006E5FFD"/>
    <w:rsid w:val="006E6379"/>
    <w:rsid w:val="006E6B7A"/>
    <w:rsid w:val="006E6CEF"/>
    <w:rsid w:val="006E785C"/>
    <w:rsid w:val="006E7CF8"/>
    <w:rsid w:val="006E7D8D"/>
    <w:rsid w:val="006E7DBC"/>
    <w:rsid w:val="006E7E1B"/>
    <w:rsid w:val="006F045B"/>
    <w:rsid w:val="006F0678"/>
    <w:rsid w:val="006F093C"/>
    <w:rsid w:val="006F098B"/>
    <w:rsid w:val="006F0BD7"/>
    <w:rsid w:val="006F0C2D"/>
    <w:rsid w:val="006F0EEC"/>
    <w:rsid w:val="006F1C08"/>
    <w:rsid w:val="006F242A"/>
    <w:rsid w:val="006F27BB"/>
    <w:rsid w:val="006F2A1B"/>
    <w:rsid w:val="006F2E81"/>
    <w:rsid w:val="006F2EB1"/>
    <w:rsid w:val="006F2FF5"/>
    <w:rsid w:val="006F32B1"/>
    <w:rsid w:val="006F32DB"/>
    <w:rsid w:val="006F3349"/>
    <w:rsid w:val="006F383C"/>
    <w:rsid w:val="006F3BA6"/>
    <w:rsid w:val="006F3D54"/>
    <w:rsid w:val="006F3DDB"/>
    <w:rsid w:val="006F3DF8"/>
    <w:rsid w:val="006F3E39"/>
    <w:rsid w:val="006F4201"/>
    <w:rsid w:val="006F43A1"/>
    <w:rsid w:val="006F45C1"/>
    <w:rsid w:val="006F4CFD"/>
    <w:rsid w:val="006F5040"/>
    <w:rsid w:val="006F54EB"/>
    <w:rsid w:val="006F561C"/>
    <w:rsid w:val="006F5D84"/>
    <w:rsid w:val="006F5EC7"/>
    <w:rsid w:val="006F5FD8"/>
    <w:rsid w:val="006F6404"/>
    <w:rsid w:val="006F6DBC"/>
    <w:rsid w:val="006F7119"/>
    <w:rsid w:val="006F7267"/>
    <w:rsid w:val="006F739A"/>
    <w:rsid w:val="006F74E4"/>
    <w:rsid w:val="006F7613"/>
    <w:rsid w:val="006F78FE"/>
    <w:rsid w:val="006F7F8C"/>
    <w:rsid w:val="00700368"/>
    <w:rsid w:val="0070077E"/>
    <w:rsid w:val="0070081C"/>
    <w:rsid w:val="00700A9A"/>
    <w:rsid w:val="00700B54"/>
    <w:rsid w:val="00700D80"/>
    <w:rsid w:val="00700DAE"/>
    <w:rsid w:val="00700DCB"/>
    <w:rsid w:val="00701AA2"/>
    <w:rsid w:val="00701CC1"/>
    <w:rsid w:val="00701E20"/>
    <w:rsid w:val="00701E65"/>
    <w:rsid w:val="00701FCB"/>
    <w:rsid w:val="007020AE"/>
    <w:rsid w:val="00702360"/>
    <w:rsid w:val="0070274A"/>
    <w:rsid w:val="007029CC"/>
    <w:rsid w:val="00702B19"/>
    <w:rsid w:val="0070322F"/>
    <w:rsid w:val="0070325C"/>
    <w:rsid w:val="007032C7"/>
    <w:rsid w:val="007033B8"/>
    <w:rsid w:val="007033EF"/>
    <w:rsid w:val="0070343C"/>
    <w:rsid w:val="0070371A"/>
    <w:rsid w:val="00703CAB"/>
    <w:rsid w:val="00703EE9"/>
    <w:rsid w:val="00704004"/>
    <w:rsid w:val="00704976"/>
    <w:rsid w:val="00704CC8"/>
    <w:rsid w:val="00704E8D"/>
    <w:rsid w:val="0070503F"/>
    <w:rsid w:val="0070510E"/>
    <w:rsid w:val="00705129"/>
    <w:rsid w:val="00705F01"/>
    <w:rsid w:val="007060D6"/>
    <w:rsid w:val="00706422"/>
    <w:rsid w:val="00706E61"/>
    <w:rsid w:val="007070AE"/>
    <w:rsid w:val="007070C8"/>
    <w:rsid w:val="00707218"/>
    <w:rsid w:val="00707A42"/>
    <w:rsid w:val="00707DF7"/>
    <w:rsid w:val="00707F9E"/>
    <w:rsid w:val="0071067B"/>
    <w:rsid w:val="0071093A"/>
    <w:rsid w:val="00710DDE"/>
    <w:rsid w:val="00711537"/>
    <w:rsid w:val="00711619"/>
    <w:rsid w:val="007121AD"/>
    <w:rsid w:val="0071259A"/>
    <w:rsid w:val="007127B3"/>
    <w:rsid w:val="00712801"/>
    <w:rsid w:val="00713055"/>
    <w:rsid w:val="007136A8"/>
    <w:rsid w:val="007137C5"/>
    <w:rsid w:val="00713D22"/>
    <w:rsid w:val="00713E43"/>
    <w:rsid w:val="00714215"/>
    <w:rsid w:val="00714936"/>
    <w:rsid w:val="007149F9"/>
    <w:rsid w:val="00714BB2"/>
    <w:rsid w:val="00714E00"/>
    <w:rsid w:val="0071510E"/>
    <w:rsid w:val="0071554E"/>
    <w:rsid w:val="00715929"/>
    <w:rsid w:val="007162FA"/>
    <w:rsid w:val="007167E7"/>
    <w:rsid w:val="00716862"/>
    <w:rsid w:val="00716B17"/>
    <w:rsid w:val="00716B1B"/>
    <w:rsid w:val="00717896"/>
    <w:rsid w:val="00717964"/>
    <w:rsid w:val="00717B95"/>
    <w:rsid w:val="00717B9A"/>
    <w:rsid w:val="007200FD"/>
    <w:rsid w:val="00720525"/>
    <w:rsid w:val="00720581"/>
    <w:rsid w:val="00720C48"/>
    <w:rsid w:val="007214FA"/>
    <w:rsid w:val="00721732"/>
    <w:rsid w:val="00721A40"/>
    <w:rsid w:val="00721A85"/>
    <w:rsid w:val="00722243"/>
    <w:rsid w:val="00722781"/>
    <w:rsid w:val="007228C7"/>
    <w:rsid w:val="00722931"/>
    <w:rsid w:val="00722A00"/>
    <w:rsid w:val="00722BF1"/>
    <w:rsid w:val="00722E3C"/>
    <w:rsid w:val="00722FD6"/>
    <w:rsid w:val="007234C0"/>
    <w:rsid w:val="007235DD"/>
    <w:rsid w:val="00723972"/>
    <w:rsid w:val="00723C68"/>
    <w:rsid w:val="00723E38"/>
    <w:rsid w:val="00723E47"/>
    <w:rsid w:val="00724510"/>
    <w:rsid w:val="0072469E"/>
    <w:rsid w:val="00724708"/>
    <w:rsid w:val="007249AD"/>
    <w:rsid w:val="00724FC6"/>
    <w:rsid w:val="007250A0"/>
    <w:rsid w:val="007253E2"/>
    <w:rsid w:val="00725A63"/>
    <w:rsid w:val="00725CAB"/>
    <w:rsid w:val="00725DCD"/>
    <w:rsid w:val="0072604C"/>
    <w:rsid w:val="0072652E"/>
    <w:rsid w:val="007265EE"/>
    <w:rsid w:val="00726E7C"/>
    <w:rsid w:val="0072714E"/>
    <w:rsid w:val="007273D0"/>
    <w:rsid w:val="00727546"/>
    <w:rsid w:val="00727BDB"/>
    <w:rsid w:val="00727CF7"/>
    <w:rsid w:val="00727FD1"/>
    <w:rsid w:val="0073016B"/>
    <w:rsid w:val="007304BB"/>
    <w:rsid w:val="0073059E"/>
    <w:rsid w:val="007308B4"/>
    <w:rsid w:val="00730E73"/>
    <w:rsid w:val="00731056"/>
    <w:rsid w:val="0073118A"/>
    <w:rsid w:val="007314B1"/>
    <w:rsid w:val="00731510"/>
    <w:rsid w:val="00731628"/>
    <w:rsid w:val="00731807"/>
    <w:rsid w:val="007318E9"/>
    <w:rsid w:val="00731AA2"/>
    <w:rsid w:val="00731BA0"/>
    <w:rsid w:val="00732023"/>
    <w:rsid w:val="0073267C"/>
    <w:rsid w:val="00732833"/>
    <w:rsid w:val="007328A0"/>
    <w:rsid w:val="0073290E"/>
    <w:rsid w:val="00732C17"/>
    <w:rsid w:val="00732D14"/>
    <w:rsid w:val="00732DA3"/>
    <w:rsid w:val="00732FA8"/>
    <w:rsid w:val="007334D9"/>
    <w:rsid w:val="007334F6"/>
    <w:rsid w:val="007340EA"/>
    <w:rsid w:val="007347D3"/>
    <w:rsid w:val="00734A7C"/>
    <w:rsid w:val="00734B0D"/>
    <w:rsid w:val="00734B8B"/>
    <w:rsid w:val="00734D1C"/>
    <w:rsid w:val="00734DE4"/>
    <w:rsid w:val="00735033"/>
    <w:rsid w:val="0073598B"/>
    <w:rsid w:val="00735A41"/>
    <w:rsid w:val="007360C2"/>
    <w:rsid w:val="00736303"/>
    <w:rsid w:val="0073703F"/>
    <w:rsid w:val="007370F3"/>
    <w:rsid w:val="007371D7"/>
    <w:rsid w:val="00737241"/>
    <w:rsid w:val="00737449"/>
    <w:rsid w:val="00737591"/>
    <w:rsid w:val="00737995"/>
    <w:rsid w:val="00737AE6"/>
    <w:rsid w:val="007404C1"/>
    <w:rsid w:val="00740805"/>
    <w:rsid w:val="00740B28"/>
    <w:rsid w:val="00740C3B"/>
    <w:rsid w:val="00740C85"/>
    <w:rsid w:val="00740D02"/>
    <w:rsid w:val="00740E04"/>
    <w:rsid w:val="0074103C"/>
    <w:rsid w:val="007410C9"/>
    <w:rsid w:val="00741486"/>
    <w:rsid w:val="007418A8"/>
    <w:rsid w:val="00741CA4"/>
    <w:rsid w:val="00741D7F"/>
    <w:rsid w:val="00741EB5"/>
    <w:rsid w:val="00741ECD"/>
    <w:rsid w:val="007420C8"/>
    <w:rsid w:val="00742277"/>
    <w:rsid w:val="007422D9"/>
    <w:rsid w:val="00742A1D"/>
    <w:rsid w:val="00742A34"/>
    <w:rsid w:val="00742AD2"/>
    <w:rsid w:val="007431D4"/>
    <w:rsid w:val="007435A1"/>
    <w:rsid w:val="007436A9"/>
    <w:rsid w:val="00744360"/>
    <w:rsid w:val="00744797"/>
    <w:rsid w:val="0074489C"/>
    <w:rsid w:val="00744ADA"/>
    <w:rsid w:val="00744F5B"/>
    <w:rsid w:val="007459DE"/>
    <w:rsid w:val="00745F32"/>
    <w:rsid w:val="007460A0"/>
    <w:rsid w:val="00746345"/>
    <w:rsid w:val="007468E4"/>
    <w:rsid w:val="007468EF"/>
    <w:rsid w:val="00746D9F"/>
    <w:rsid w:val="00747112"/>
    <w:rsid w:val="00747AB8"/>
    <w:rsid w:val="00750095"/>
    <w:rsid w:val="007502A7"/>
    <w:rsid w:val="007504AD"/>
    <w:rsid w:val="007505BE"/>
    <w:rsid w:val="007506DB"/>
    <w:rsid w:val="00750B06"/>
    <w:rsid w:val="00751237"/>
    <w:rsid w:val="0075168C"/>
    <w:rsid w:val="0075205E"/>
    <w:rsid w:val="00752199"/>
    <w:rsid w:val="00752451"/>
    <w:rsid w:val="0075254C"/>
    <w:rsid w:val="00752647"/>
    <w:rsid w:val="007527C8"/>
    <w:rsid w:val="007528B0"/>
    <w:rsid w:val="0075356B"/>
    <w:rsid w:val="007536EC"/>
    <w:rsid w:val="0075373A"/>
    <w:rsid w:val="007537EE"/>
    <w:rsid w:val="00753837"/>
    <w:rsid w:val="00753D4C"/>
    <w:rsid w:val="00753D88"/>
    <w:rsid w:val="00753E6E"/>
    <w:rsid w:val="007540AC"/>
    <w:rsid w:val="007541AB"/>
    <w:rsid w:val="00754442"/>
    <w:rsid w:val="00754BBD"/>
    <w:rsid w:val="00754FB4"/>
    <w:rsid w:val="007553AC"/>
    <w:rsid w:val="00755594"/>
    <w:rsid w:val="00755A89"/>
    <w:rsid w:val="00755CF9"/>
    <w:rsid w:val="007560D1"/>
    <w:rsid w:val="007562E0"/>
    <w:rsid w:val="0075733F"/>
    <w:rsid w:val="00757407"/>
    <w:rsid w:val="00757C6D"/>
    <w:rsid w:val="00757E21"/>
    <w:rsid w:val="007601C3"/>
    <w:rsid w:val="007602C2"/>
    <w:rsid w:val="00760A91"/>
    <w:rsid w:val="00760AAD"/>
    <w:rsid w:val="00760CB0"/>
    <w:rsid w:val="00760E5F"/>
    <w:rsid w:val="00760F28"/>
    <w:rsid w:val="00761342"/>
    <w:rsid w:val="00761453"/>
    <w:rsid w:val="0076157C"/>
    <w:rsid w:val="00761A1B"/>
    <w:rsid w:val="00761AB0"/>
    <w:rsid w:val="00761B91"/>
    <w:rsid w:val="00762734"/>
    <w:rsid w:val="0076284A"/>
    <w:rsid w:val="0076298F"/>
    <w:rsid w:val="00763186"/>
    <w:rsid w:val="0076322D"/>
    <w:rsid w:val="007632E2"/>
    <w:rsid w:val="0076341E"/>
    <w:rsid w:val="00763582"/>
    <w:rsid w:val="0076363F"/>
    <w:rsid w:val="007640E8"/>
    <w:rsid w:val="00764468"/>
    <w:rsid w:val="007644FC"/>
    <w:rsid w:val="00764D26"/>
    <w:rsid w:val="00764F09"/>
    <w:rsid w:val="00765082"/>
    <w:rsid w:val="0076519D"/>
    <w:rsid w:val="0076534F"/>
    <w:rsid w:val="00765353"/>
    <w:rsid w:val="00765564"/>
    <w:rsid w:val="007655B3"/>
    <w:rsid w:val="007655B9"/>
    <w:rsid w:val="00765BC3"/>
    <w:rsid w:val="00765CF9"/>
    <w:rsid w:val="00765F04"/>
    <w:rsid w:val="0076617F"/>
    <w:rsid w:val="007662EB"/>
    <w:rsid w:val="007667FA"/>
    <w:rsid w:val="00766B56"/>
    <w:rsid w:val="00766D50"/>
    <w:rsid w:val="00767225"/>
    <w:rsid w:val="0076772B"/>
    <w:rsid w:val="007678DA"/>
    <w:rsid w:val="00767A8E"/>
    <w:rsid w:val="00767B16"/>
    <w:rsid w:val="00767E85"/>
    <w:rsid w:val="00770019"/>
    <w:rsid w:val="00770312"/>
    <w:rsid w:val="00770324"/>
    <w:rsid w:val="0077073C"/>
    <w:rsid w:val="007707BD"/>
    <w:rsid w:val="00770A9B"/>
    <w:rsid w:val="00770ADC"/>
    <w:rsid w:val="00770B5D"/>
    <w:rsid w:val="00770CD1"/>
    <w:rsid w:val="00770F00"/>
    <w:rsid w:val="00771847"/>
    <w:rsid w:val="00771A7F"/>
    <w:rsid w:val="00771D87"/>
    <w:rsid w:val="0077206F"/>
    <w:rsid w:val="007723AA"/>
    <w:rsid w:val="00772BEE"/>
    <w:rsid w:val="00772C0B"/>
    <w:rsid w:val="00772CCE"/>
    <w:rsid w:val="00772D8C"/>
    <w:rsid w:val="00772E6D"/>
    <w:rsid w:val="00773268"/>
    <w:rsid w:val="007735AF"/>
    <w:rsid w:val="007736CF"/>
    <w:rsid w:val="007736E7"/>
    <w:rsid w:val="00773725"/>
    <w:rsid w:val="00773AA1"/>
    <w:rsid w:val="00773EE2"/>
    <w:rsid w:val="007745DD"/>
    <w:rsid w:val="00774AB3"/>
    <w:rsid w:val="00774D0C"/>
    <w:rsid w:val="00774FE6"/>
    <w:rsid w:val="0077548A"/>
    <w:rsid w:val="007754B3"/>
    <w:rsid w:val="007755CC"/>
    <w:rsid w:val="00775BD5"/>
    <w:rsid w:val="0077626E"/>
    <w:rsid w:val="00776A9C"/>
    <w:rsid w:val="00776B09"/>
    <w:rsid w:val="0077706A"/>
    <w:rsid w:val="007770B9"/>
    <w:rsid w:val="00777121"/>
    <w:rsid w:val="00777410"/>
    <w:rsid w:val="00777528"/>
    <w:rsid w:val="0077756C"/>
    <w:rsid w:val="0077776E"/>
    <w:rsid w:val="00777DE3"/>
    <w:rsid w:val="0078033E"/>
    <w:rsid w:val="007809DB"/>
    <w:rsid w:val="00780B2D"/>
    <w:rsid w:val="007810DB"/>
    <w:rsid w:val="00781104"/>
    <w:rsid w:val="007813CB"/>
    <w:rsid w:val="00781571"/>
    <w:rsid w:val="007815D3"/>
    <w:rsid w:val="00781777"/>
    <w:rsid w:val="007819D1"/>
    <w:rsid w:val="00782057"/>
    <w:rsid w:val="00782104"/>
    <w:rsid w:val="00782107"/>
    <w:rsid w:val="00782147"/>
    <w:rsid w:val="00782704"/>
    <w:rsid w:val="0078290A"/>
    <w:rsid w:val="00783290"/>
    <w:rsid w:val="007838C0"/>
    <w:rsid w:val="00783BB1"/>
    <w:rsid w:val="00783F28"/>
    <w:rsid w:val="00784347"/>
    <w:rsid w:val="00784568"/>
    <w:rsid w:val="00784A33"/>
    <w:rsid w:val="00784BF1"/>
    <w:rsid w:val="00784C74"/>
    <w:rsid w:val="007852C0"/>
    <w:rsid w:val="007853C8"/>
    <w:rsid w:val="00785588"/>
    <w:rsid w:val="00785BE2"/>
    <w:rsid w:val="00785C7A"/>
    <w:rsid w:val="00785C87"/>
    <w:rsid w:val="00785F9E"/>
    <w:rsid w:val="0078624C"/>
    <w:rsid w:val="007863D3"/>
    <w:rsid w:val="007865DD"/>
    <w:rsid w:val="007867D2"/>
    <w:rsid w:val="0078692D"/>
    <w:rsid w:val="00786CC4"/>
    <w:rsid w:val="00786D39"/>
    <w:rsid w:val="00786D69"/>
    <w:rsid w:val="00786DD9"/>
    <w:rsid w:val="00786FF1"/>
    <w:rsid w:val="00787070"/>
    <w:rsid w:val="0078738F"/>
    <w:rsid w:val="00787468"/>
    <w:rsid w:val="00787B7E"/>
    <w:rsid w:val="00787B82"/>
    <w:rsid w:val="00790405"/>
    <w:rsid w:val="00790559"/>
    <w:rsid w:val="00790633"/>
    <w:rsid w:val="00790D0F"/>
    <w:rsid w:val="00790D36"/>
    <w:rsid w:val="00790D7F"/>
    <w:rsid w:val="007915F3"/>
    <w:rsid w:val="00791885"/>
    <w:rsid w:val="00791B48"/>
    <w:rsid w:val="00791C53"/>
    <w:rsid w:val="00791CE6"/>
    <w:rsid w:val="00791D18"/>
    <w:rsid w:val="00791E36"/>
    <w:rsid w:val="00792091"/>
    <w:rsid w:val="0079234A"/>
    <w:rsid w:val="00792648"/>
    <w:rsid w:val="00792B52"/>
    <w:rsid w:val="00792DE5"/>
    <w:rsid w:val="00792F50"/>
    <w:rsid w:val="00792FD1"/>
    <w:rsid w:val="00793079"/>
    <w:rsid w:val="00793117"/>
    <w:rsid w:val="0079338D"/>
    <w:rsid w:val="00793427"/>
    <w:rsid w:val="007934A0"/>
    <w:rsid w:val="00793654"/>
    <w:rsid w:val="00793862"/>
    <w:rsid w:val="00793BC7"/>
    <w:rsid w:val="00793D4E"/>
    <w:rsid w:val="00794335"/>
    <w:rsid w:val="0079439A"/>
    <w:rsid w:val="007944C8"/>
    <w:rsid w:val="007946AF"/>
    <w:rsid w:val="0079472C"/>
    <w:rsid w:val="0079476D"/>
    <w:rsid w:val="007947D4"/>
    <w:rsid w:val="007949CA"/>
    <w:rsid w:val="00794BB0"/>
    <w:rsid w:val="00794CD4"/>
    <w:rsid w:val="00794FC5"/>
    <w:rsid w:val="00795009"/>
    <w:rsid w:val="007953DB"/>
    <w:rsid w:val="00795987"/>
    <w:rsid w:val="00795FF1"/>
    <w:rsid w:val="0079605C"/>
    <w:rsid w:val="0079609E"/>
    <w:rsid w:val="007961E3"/>
    <w:rsid w:val="00796412"/>
    <w:rsid w:val="00796521"/>
    <w:rsid w:val="007966B8"/>
    <w:rsid w:val="007966EF"/>
    <w:rsid w:val="00796A69"/>
    <w:rsid w:val="00797231"/>
    <w:rsid w:val="00797924"/>
    <w:rsid w:val="00797A17"/>
    <w:rsid w:val="00797C98"/>
    <w:rsid w:val="00797EEF"/>
    <w:rsid w:val="007A0102"/>
    <w:rsid w:val="007A0287"/>
    <w:rsid w:val="007A03A5"/>
    <w:rsid w:val="007A1358"/>
    <w:rsid w:val="007A1559"/>
    <w:rsid w:val="007A15D4"/>
    <w:rsid w:val="007A1A78"/>
    <w:rsid w:val="007A1BB9"/>
    <w:rsid w:val="007A1E18"/>
    <w:rsid w:val="007A30CA"/>
    <w:rsid w:val="007A3325"/>
    <w:rsid w:val="007A370E"/>
    <w:rsid w:val="007A3F2B"/>
    <w:rsid w:val="007A43C2"/>
    <w:rsid w:val="007A43CE"/>
    <w:rsid w:val="007A460B"/>
    <w:rsid w:val="007A49FC"/>
    <w:rsid w:val="007A4D52"/>
    <w:rsid w:val="007A4EA6"/>
    <w:rsid w:val="007A5122"/>
    <w:rsid w:val="007A51CB"/>
    <w:rsid w:val="007A534C"/>
    <w:rsid w:val="007A555C"/>
    <w:rsid w:val="007A55A2"/>
    <w:rsid w:val="007A5867"/>
    <w:rsid w:val="007A59B9"/>
    <w:rsid w:val="007A5A3D"/>
    <w:rsid w:val="007A61C7"/>
    <w:rsid w:val="007A626F"/>
    <w:rsid w:val="007A63BA"/>
    <w:rsid w:val="007A68ED"/>
    <w:rsid w:val="007A6A29"/>
    <w:rsid w:val="007A70CE"/>
    <w:rsid w:val="007A7173"/>
    <w:rsid w:val="007A719E"/>
    <w:rsid w:val="007A731A"/>
    <w:rsid w:val="007A733E"/>
    <w:rsid w:val="007A7919"/>
    <w:rsid w:val="007A7D0A"/>
    <w:rsid w:val="007A7D12"/>
    <w:rsid w:val="007A7EFE"/>
    <w:rsid w:val="007B00D1"/>
    <w:rsid w:val="007B01E7"/>
    <w:rsid w:val="007B0571"/>
    <w:rsid w:val="007B06A9"/>
    <w:rsid w:val="007B0765"/>
    <w:rsid w:val="007B077C"/>
    <w:rsid w:val="007B089D"/>
    <w:rsid w:val="007B08D4"/>
    <w:rsid w:val="007B0AFF"/>
    <w:rsid w:val="007B0F76"/>
    <w:rsid w:val="007B1397"/>
    <w:rsid w:val="007B17D1"/>
    <w:rsid w:val="007B198D"/>
    <w:rsid w:val="007B1A87"/>
    <w:rsid w:val="007B1ABE"/>
    <w:rsid w:val="007B1CE6"/>
    <w:rsid w:val="007B1E19"/>
    <w:rsid w:val="007B2188"/>
    <w:rsid w:val="007B2191"/>
    <w:rsid w:val="007B2289"/>
    <w:rsid w:val="007B24CE"/>
    <w:rsid w:val="007B2689"/>
    <w:rsid w:val="007B279B"/>
    <w:rsid w:val="007B27AB"/>
    <w:rsid w:val="007B27FF"/>
    <w:rsid w:val="007B28E5"/>
    <w:rsid w:val="007B2986"/>
    <w:rsid w:val="007B2A0C"/>
    <w:rsid w:val="007B2ABE"/>
    <w:rsid w:val="007B2C2C"/>
    <w:rsid w:val="007B2EBD"/>
    <w:rsid w:val="007B3802"/>
    <w:rsid w:val="007B3A0F"/>
    <w:rsid w:val="007B40C9"/>
    <w:rsid w:val="007B432E"/>
    <w:rsid w:val="007B43F8"/>
    <w:rsid w:val="007B44A6"/>
    <w:rsid w:val="007B4655"/>
    <w:rsid w:val="007B4845"/>
    <w:rsid w:val="007B4853"/>
    <w:rsid w:val="007B4E74"/>
    <w:rsid w:val="007B5140"/>
    <w:rsid w:val="007B5295"/>
    <w:rsid w:val="007B5676"/>
    <w:rsid w:val="007B5A12"/>
    <w:rsid w:val="007B5B51"/>
    <w:rsid w:val="007B5D93"/>
    <w:rsid w:val="007B6778"/>
    <w:rsid w:val="007B6952"/>
    <w:rsid w:val="007B6A65"/>
    <w:rsid w:val="007B6D48"/>
    <w:rsid w:val="007B6EE3"/>
    <w:rsid w:val="007B725B"/>
    <w:rsid w:val="007B7294"/>
    <w:rsid w:val="007B79A6"/>
    <w:rsid w:val="007C01C6"/>
    <w:rsid w:val="007C05A3"/>
    <w:rsid w:val="007C0861"/>
    <w:rsid w:val="007C095B"/>
    <w:rsid w:val="007C0AD2"/>
    <w:rsid w:val="007C0B92"/>
    <w:rsid w:val="007C134F"/>
    <w:rsid w:val="007C16AC"/>
    <w:rsid w:val="007C1877"/>
    <w:rsid w:val="007C1AAB"/>
    <w:rsid w:val="007C1C49"/>
    <w:rsid w:val="007C24F9"/>
    <w:rsid w:val="007C2745"/>
    <w:rsid w:val="007C2DB1"/>
    <w:rsid w:val="007C33F1"/>
    <w:rsid w:val="007C348A"/>
    <w:rsid w:val="007C38B0"/>
    <w:rsid w:val="007C40AE"/>
    <w:rsid w:val="007C4181"/>
    <w:rsid w:val="007C4190"/>
    <w:rsid w:val="007C42BD"/>
    <w:rsid w:val="007C4552"/>
    <w:rsid w:val="007C45D7"/>
    <w:rsid w:val="007C46D0"/>
    <w:rsid w:val="007C4DE2"/>
    <w:rsid w:val="007C4E3A"/>
    <w:rsid w:val="007C4E43"/>
    <w:rsid w:val="007C51D8"/>
    <w:rsid w:val="007C5607"/>
    <w:rsid w:val="007C564B"/>
    <w:rsid w:val="007C5C03"/>
    <w:rsid w:val="007C5D2D"/>
    <w:rsid w:val="007C5DFB"/>
    <w:rsid w:val="007C5FAB"/>
    <w:rsid w:val="007C60DA"/>
    <w:rsid w:val="007C6493"/>
    <w:rsid w:val="007C64A4"/>
    <w:rsid w:val="007C64CB"/>
    <w:rsid w:val="007C65A9"/>
    <w:rsid w:val="007C687F"/>
    <w:rsid w:val="007C6CE4"/>
    <w:rsid w:val="007C7438"/>
    <w:rsid w:val="007C7564"/>
    <w:rsid w:val="007C75AB"/>
    <w:rsid w:val="007C7694"/>
    <w:rsid w:val="007C7855"/>
    <w:rsid w:val="007C7874"/>
    <w:rsid w:val="007C7FE1"/>
    <w:rsid w:val="007D008C"/>
    <w:rsid w:val="007D0479"/>
    <w:rsid w:val="007D0521"/>
    <w:rsid w:val="007D08EF"/>
    <w:rsid w:val="007D0F55"/>
    <w:rsid w:val="007D123A"/>
    <w:rsid w:val="007D1349"/>
    <w:rsid w:val="007D1BC2"/>
    <w:rsid w:val="007D1D64"/>
    <w:rsid w:val="007D1E13"/>
    <w:rsid w:val="007D2025"/>
    <w:rsid w:val="007D20C0"/>
    <w:rsid w:val="007D2123"/>
    <w:rsid w:val="007D2740"/>
    <w:rsid w:val="007D2BD8"/>
    <w:rsid w:val="007D2C91"/>
    <w:rsid w:val="007D2FB6"/>
    <w:rsid w:val="007D3025"/>
    <w:rsid w:val="007D304B"/>
    <w:rsid w:val="007D3230"/>
    <w:rsid w:val="007D3519"/>
    <w:rsid w:val="007D36CD"/>
    <w:rsid w:val="007D38A8"/>
    <w:rsid w:val="007D3B8A"/>
    <w:rsid w:val="007D3BFD"/>
    <w:rsid w:val="007D4447"/>
    <w:rsid w:val="007D4663"/>
    <w:rsid w:val="007D46E5"/>
    <w:rsid w:val="007D48B0"/>
    <w:rsid w:val="007D490A"/>
    <w:rsid w:val="007D49DF"/>
    <w:rsid w:val="007D4DE2"/>
    <w:rsid w:val="007D4E84"/>
    <w:rsid w:val="007D4F3A"/>
    <w:rsid w:val="007D5053"/>
    <w:rsid w:val="007D5301"/>
    <w:rsid w:val="007D5480"/>
    <w:rsid w:val="007D572C"/>
    <w:rsid w:val="007D6095"/>
    <w:rsid w:val="007D620D"/>
    <w:rsid w:val="007D6214"/>
    <w:rsid w:val="007D6229"/>
    <w:rsid w:val="007D6329"/>
    <w:rsid w:val="007D6526"/>
    <w:rsid w:val="007D6557"/>
    <w:rsid w:val="007D6711"/>
    <w:rsid w:val="007D6864"/>
    <w:rsid w:val="007D6A4B"/>
    <w:rsid w:val="007D6C3D"/>
    <w:rsid w:val="007D6C4B"/>
    <w:rsid w:val="007D6D05"/>
    <w:rsid w:val="007D70C8"/>
    <w:rsid w:val="007D73F6"/>
    <w:rsid w:val="007D766E"/>
    <w:rsid w:val="007D77FC"/>
    <w:rsid w:val="007E00BB"/>
    <w:rsid w:val="007E02CF"/>
    <w:rsid w:val="007E04C1"/>
    <w:rsid w:val="007E0745"/>
    <w:rsid w:val="007E076B"/>
    <w:rsid w:val="007E0A5E"/>
    <w:rsid w:val="007E0CF4"/>
    <w:rsid w:val="007E0D6C"/>
    <w:rsid w:val="007E0DC0"/>
    <w:rsid w:val="007E1277"/>
    <w:rsid w:val="007E159D"/>
    <w:rsid w:val="007E1681"/>
    <w:rsid w:val="007E1A56"/>
    <w:rsid w:val="007E1A8B"/>
    <w:rsid w:val="007E1CA4"/>
    <w:rsid w:val="007E1FC2"/>
    <w:rsid w:val="007E2093"/>
    <w:rsid w:val="007E20F2"/>
    <w:rsid w:val="007E228C"/>
    <w:rsid w:val="007E2444"/>
    <w:rsid w:val="007E2B56"/>
    <w:rsid w:val="007E2EBA"/>
    <w:rsid w:val="007E354A"/>
    <w:rsid w:val="007E3F1B"/>
    <w:rsid w:val="007E3F3C"/>
    <w:rsid w:val="007E455B"/>
    <w:rsid w:val="007E4D00"/>
    <w:rsid w:val="007E536E"/>
    <w:rsid w:val="007E537D"/>
    <w:rsid w:val="007E55A5"/>
    <w:rsid w:val="007E5882"/>
    <w:rsid w:val="007E58FB"/>
    <w:rsid w:val="007E5C4A"/>
    <w:rsid w:val="007E5D31"/>
    <w:rsid w:val="007E5D60"/>
    <w:rsid w:val="007E5EE0"/>
    <w:rsid w:val="007E5EFD"/>
    <w:rsid w:val="007E5FA0"/>
    <w:rsid w:val="007E6012"/>
    <w:rsid w:val="007E677F"/>
    <w:rsid w:val="007E6951"/>
    <w:rsid w:val="007E7DA5"/>
    <w:rsid w:val="007E7DE5"/>
    <w:rsid w:val="007E7E13"/>
    <w:rsid w:val="007E7FC8"/>
    <w:rsid w:val="007F02CB"/>
    <w:rsid w:val="007F040D"/>
    <w:rsid w:val="007F04A4"/>
    <w:rsid w:val="007F069D"/>
    <w:rsid w:val="007F0ED9"/>
    <w:rsid w:val="007F101A"/>
    <w:rsid w:val="007F1461"/>
    <w:rsid w:val="007F1750"/>
    <w:rsid w:val="007F19CC"/>
    <w:rsid w:val="007F1B84"/>
    <w:rsid w:val="007F1C28"/>
    <w:rsid w:val="007F236A"/>
    <w:rsid w:val="007F271F"/>
    <w:rsid w:val="007F2A26"/>
    <w:rsid w:val="007F2C7E"/>
    <w:rsid w:val="007F2D13"/>
    <w:rsid w:val="007F2D58"/>
    <w:rsid w:val="007F36AA"/>
    <w:rsid w:val="007F3C48"/>
    <w:rsid w:val="007F3C7D"/>
    <w:rsid w:val="007F3D51"/>
    <w:rsid w:val="007F4221"/>
    <w:rsid w:val="007F42E0"/>
    <w:rsid w:val="007F46D2"/>
    <w:rsid w:val="007F46F5"/>
    <w:rsid w:val="007F4F32"/>
    <w:rsid w:val="007F547D"/>
    <w:rsid w:val="007F54BA"/>
    <w:rsid w:val="007F5672"/>
    <w:rsid w:val="007F5803"/>
    <w:rsid w:val="007F5B58"/>
    <w:rsid w:val="007F62E8"/>
    <w:rsid w:val="007F65C7"/>
    <w:rsid w:val="007F68EB"/>
    <w:rsid w:val="007F71C6"/>
    <w:rsid w:val="007F724E"/>
    <w:rsid w:val="007F7332"/>
    <w:rsid w:val="007F74A3"/>
    <w:rsid w:val="007F7949"/>
    <w:rsid w:val="008001A6"/>
    <w:rsid w:val="00800617"/>
    <w:rsid w:val="0080071C"/>
    <w:rsid w:val="0080073C"/>
    <w:rsid w:val="00800AD4"/>
    <w:rsid w:val="00800ECE"/>
    <w:rsid w:val="00800EE9"/>
    <w:rsid w:val="0080118C"/>
    <w:rsid w:val="0080176D"/>
    <w:rsid w:val="00801B97"/>
    <w:rsid w:val="00801C4E"/>
    <w:rsid w:val="00801CEF"/>
    <w:rsid w:val="00801F2E"/>
    <w:rsid w:val="00802142"/>
    <w:rsid w:val="0080222E"/>
    <w:rsid w:val="0080231A"/>
    <w:rsid w:val="00802E3E"/>
    <w:rsid w:val="00802F9B"/>
    <w:rsid w:val="0080363E"/>
    <w:rsid w:val="00803811"/>
    <w:rsid w:val="00803DF8"/>
    <w:rsid w:val="00803F05"/>
    <w:rsid w:val="00804845"/>
    <w:rsid w:val="00804ADD"/>
    <w:rsid w:val="00804B0E"/>
    <w:rsid w:val="00804F59"/>
    <w:rsid w:val="0080519E"/>
    <w:rsid w:val="00805725"/>
    <w:rsid w:val="00805AD0"/>
    <w:rsid w:val="00805AE0"/>
    <w:rsid w:val="00805BDD"/>
    <w:rsid w:val="00805BE8"/>
    <w:rsid w:val="008062C0"/>
    <w:rsid w:val="0080639A"/>
    <w:rsid w:val="00806B58"/>
    <w:rsid w:val="00806BBB"/>
    <w:rsid w:val="0080735C"/>
    <w:rsid w:val="00807626"/>
    <w:rsid w:val="00807778"/>
    <w:rsid w:val="00807A14"/>
    <w:rsid w:val="00810129"/>
    <w:rsid w:val="00810B50"/>
    <w:rsid w:val="00810BDF"/>
    <w:rsid w:val="00810DD8"/>
    <w:rsid w:val="00810FA0"/>
    <w:rsid w:val="008112DF"/>
    <w:rsid w:val="00811308"/>
    <w:rsid w:val="0081172B"/>
    <w:rsid w:val="00811D67"/>
    <w:rsid w:val="00811DBB"/>
    <w:rsid w:val="008120B3"/>
    <w:rsid w:val="0081215C"/>
    <w:rsid w:val="00812200"/>
    <w:rsid w:val="00812BE7"/>
    <w:rsid w:val="00812C37"/>
    <w:rsid w:val="0081338D"/>
    <w:rsid w:val="00813AC7"/>
    <w:rsid w:val="00813B69"/>
    <w:rsid w:val="00813F17"/>
    <w:rsid w:val="00813F94"/>
    <w:rsid w:val="00814044"/>
    <w:rsid w:val="00814349"/>
    <w:rsid w:val="008145E8"/>
    <w:rsid w:val="008146D2"/>
    <w:rsid w:val="00814EDF"/>
    <w:rsid w:val="008151EF"/>
    <w:rsid w:val="008157E2"/>
    <w:rsid w:val="00815822"/>
    <w:rsid w:val="008158F8"/>
    <w:rsid w:val="00815E08"/>
    <w:rsid w:val="0081624F"/>
    <w:rsid w:val="008164BF"/>
    <w:rsid w:val="0081690D"/>
    <w:rsid w:val="0081695A"/>
    <w:rsid w:val="00816B02"/>
    <w:rsid w:val="00816E04"/>
    <w:rsid w:val="00816EF0"/>
    <w:rsid w:val="00817334"/>
    <w:rsid w:val="00817620"/>
    <w:rsid w:val="008177CF"/>
    <w:rsid w:val="008179E9"/>
    <w:rsid w:val="00817B36"/>
    <w:rsid w:val="00817C0E"/>
    <w:rsid w:val="00817CA6"/>
    <w:rsid w:val="008202E2"/>
    <w:rsid w:val="00820737"/>
    <w:rsid w:val="0082075C"/>
    <w:rsid w:val="00820B07"/>
    <w:rsid w:val="00821337"/>
    <w:rsid w:val="008218A1"/>
    <w:rsid w:val="008218B1"/>
    <w:rsid w:val="00821F7C"/>
    <w:rsid w:val="008221D1"/>
    <w:rsid w:val="00822908"/>
    <w:rsid w:val="00822EF1"/>
    <w:rsid w:val="00823585"/>
    <w:rsid w:val="00823788"/>
    <w:rsid w:val="008238DD"/>
    <w:rsid w:val="00823D60"/>
    <w:rsid w:val="00824494"/>
    <w:rsid w:val="00824E2E"/>
    <w:rsid w:val="00824FAB"/>
    <w:rsid w:val="0082551B"/>
    <w:rsid w:val="008255EF"/>
    <w:rsid w:val="0082564A"/>
    <w:rsid w:val="00825706"/>
    <w:rsid w:val="008258AD"/>
    <w:rsid w:val="008262DD"/>
    <w:rsid w:val="008263E4"/>
    <w:rsid w:val="008264EF"/>
    <w:rsid w:val="0082674F"/>
    <w:rsid w:val="00826993"/>
    <w:rsid w:val="008269EF"/>
    <w:rsid w:val="00826A22"/>
    <w:rsid w:val="00826C33"/>
    <w:rsid w:val="00826F0F"/>
    <w:rsid w:val="00826F4C"/>
    <w:rsid w:val="00826F87"/>
    <w:rsid w:val="008274F7"/>
    <w:rsid w:val="0082759C"/>
    <w:rsid w:val="0082792B"/>
    <w:rsid w:val="00827E02"/>
    <w:rsid w:val="00827F10"/>
    <w:rsid w:val="008301D3"/>
    <w:rsid w:val="00830747"/>
    <w:rsid w:val="00830748"/>
    <w:rsid w:val="00830986"/>
    <w:rsid w:val="00830D08"/>
    <w:rsid w:val="00830F97"/>
    <w:rsid w:val="00831266"/>
    <w:rsid w:val="008316EB"/>
    <w:rsid w:val="00831C6D"/>
    <w:rsid w:val="00831D93"/>
    <w:rsid w:val="00831F1F"/>
    <w:rsid w:val="00831FA6"/>
    <w:rsid w:val="00832154"/>
    <w:rsid w:val="008321D5"/>
    <w:rsid w:val="008325C2"/>
    <w:rsid w:val="00832B7F"/>
    <w:rsid w:val="008332A9"/>
    <w:rsid w:val="008334CB"/>
    <w:rsid w:val="00833988"/>
    <w:rsid w:val="00833AA5"/>
    <w:rsid w:val="0083400F"/>
    <w:rsid w:val="008340F4"/>
    <w:rsid w:val="00834467"/>
    <w:rsid w:val="0083447C"/>
    <w:rsid w:val="008344F2"/>
    <w:rsid w:val="008348D5"/>
    <w:rsid w:val="008349D1"/>
    <w:rsid w:val="008349FC"/>
    <w:rsid w:val="00834B22"/>
    <w:rsid w:val="00834E69"/>
    <w:rsid w:val="0083501F"/>
    <w:rsid w:val="00835277"/>
    <w:rsid w:val="0083532D"/>
    <w:rsid w:val="00835446"/>
    <w:rsid w:val="008359A8"/>
    <w:rsid w:val="00835B52"/>
    <w:rsid w:val="00835F4E"/>
    <w:rsid w:val="00836AEC"/>
    <w:rsid w:val="00836B05"/>
    <w:rsid w:val="00836D47"/>
    <w:rsid w:val="00836D4F"/>
    <w:rsid w:val="00836DFD"/>
    <w:rsid w:val="008372EA"/>
    <w:rsid w:val="008374FA"/>
    <w:rsid w:val="008377FF"/>
    <w:rsid w:val="0083782C"/>
    <w:rsid w:val="008378A0"/>
    <w:rsid w:val="00837CE4"/>
    <w:rsid w:val="0084075E"/>
    <w:rsid w:val="00840A7C"/>
    <w:rsid w:val="00840BCB"/>
    <w:rsid w:val="00840F42"/>
    <w:rsid w:val="00841B2A"/>
    <w:rsid w:val="00841B3D"/>
    <w:rsid w:val="00841B59"/>
    <w:rsid w:val="00841F3C"/>
    <w:rsid w:val="008420EC"/>
    <w:rsid w:val="008422B2"/>
    <w:rsid w:val="008422CB"/>
    <w:rsid w:val="00842830"/>
    <w:rsid w:val="00842C58"/>
    <w:rsid w:val="00843A74"/>
    <w:rsid w:val="00843DBC"/>
    <w:rsid w:val="00843E17"/>
    <w:rsid w:val="00843EE3"/>
    <w:rsid w:val="00844068"/>
    <w:rsid w:val="008446AE"/>
    <w:rsid w:val="00844E1E"/>
    <w:rsid w:val="00844EFD"/>
    <w:rsid w:val="008451BB"/>
    <w:rsid w:val="00845239"/>
    <w:rsid w:val="008455CB"/>
    <w:rsid w:val="0084579B"/>
    <w:rsid w:val="0084590F"/>
    <w:rsid w:val="00845EE6"/>
    <w:rsid w:val="008460B6"/>
    <w:rsid w:val="008464F4"/>
    <w:rsid w:val="00846FAD"/>
    <w:rsid w:val="00846FF8"/>
    <w:rsid w:val="00847224"/>
    <w:rsid w:val="00847356"/>
    <w:rsid w:val="00847603"/>
    <w:rsid w:val="0084768F"/>
    <w:rsid w:val="0084769E"/>
    <w:rsid w:val="00847862"/>
    <w:rsid w:val="00847895"/>
    <w:rsid w:val="00847B6A"/>
    <w:rsid w:val="00847B86"/>
    <w:rsid w:val="00847C11"/>
    <w:rsid w:val="00847EF7"/>
    <w:rsid w:val="008505D0"/>
    <w:rsid w:val="008508C3"/>
    <w:rsid w:val="00850B8E"/>
    <w:rsid w:val="00850B95"/>
    <w:rsid w:val="00850BE4"/>
    <w:rsid w:val="00850D45"/>
    <w:rsid w:val="00850D50"/>
    <w:rsid w:val="0085122C"/>
    <w:rsid w:val="00851429"/>
    <w:rsid w:val="0085146B"/>
    <w:rsid w:val="008516D0"/>
    <w:rsid w:val="00851C1B"/>
    <w:rsid w:val="0085249E"/>
    <w:rsid w:val="0085292D"/>
    <w:rsid w:val="00852AA6"/>
    <w:rsid w:val="00852B77"/>
    <w:rsid w:val="00852CFD"/>
    <w:rsid w:val="00852DB6"/>
    <w:rsid w:val="00853566"/>
    <w:rsid w:val="008539D9"/>
    <w:rsid w:val="008540DD"/>
    <w:rsid w:val="0085448A"/>
    <w:rsid w:val="008545EA"/>
    <w:rsid w:val="00854892"/>
    <w:rsid w:val="00854B19"/>
    <w:rsid w:val="00854CB2"/>
    <w:rsid w:val="008555F6"/>
    <w:rsid w:val="0085560D"/>
    <w:rsid w:val="008556AC"/>
    <w:rsid w:val="0085571F"/>
    <w:rsid w:val="0085581D"/>
    <w:rsid w:val="00855B2F"/>
    <w:rsid w:val="00855D20"/>
    <w:rsid w:val="008569D8"/>
    <w:rsid w:val="00856A19"/>
    <w:rsid w:val="00856BDB"/>
    <w:rsid w:val="00856CC3"/>
    <w:rsid w:val="00856D86"/>
    <w:rsid w:val="00856D95"/>
    <w:rsid w:val="00857586"/>
    <w:rsid w:val="008579EA"/>
    <w:rsid w:val="0086043C"/>
    <w:rsid w:val="008606AE"/>
    <w:rsid w:val="00860AD7"/>
    <w:rsid w:val="00861D6F"/>
    <w:rsid w:val="00861E54"/>
    <w:rsid w:val="008624AB"/>
    <w:rsid w:val="008629A3"/>
    <w:rsid w:val="00862B85"/>
    <w:rsid w:val="00862E2F"/>
    <w:rsid w:val="00862EAC"/>
    <w:rsid w:val="008633C6"/>
    <w:rsid w:val="008636F7"/>
    <w:rsid w:val="00863881"/>
    <w:rsid w:val="00863A83"/>
    <w:rsid w:val="0086408C"/>
    <w:rsid w:val="00864444"/>
    <w:rsid w:val="008648BB"/>
    <w:rsid w:val="00864964"/>
    <w:rsid w:val="00864C75"/>
    <w:rsid w:val="0086503B"/>
    <w:rsid w:val="008652D5"/>
    <w:rsid w:val="0086548F"/>
    <w:rsid w:val="00865B2F"/>
    <w:rsid w:val="00865B38"/>
    <w:rsid w:val="00866406"/>
    <w:rsid w:val="00866888"/>
    <w:rsid w:val="008669A1"/>
    <w:rsid w:val="00866B8C"/>
    <w:rsid w:val="00866BD4"/>
    <w:rsid w:val="00866D4C"/>
    <w:rsid w:val="008677B0"/>
    <w:rsid w:val="00867E05"/>
    <w:rsid w:val="00870307"/>
    <w:rsid w:val="0087042F"/>
    <w:rsid w:val="008704C3"/>
    <w:rsid w:val="00870D1E"/>
    <w:rsid w:val="00870EC8"/>
    <w:rsid w:val="008711F9"/>
    <w:rsid w:val="008714C8"/>
    <w:rsid w:val="008717A9"/>
    <w:rsid w:val="00871F18"/>
    <w:rsid w:val="00871F41"/>
    <w:rsid w:val="00872277"/>
    <w:rsid w:val="008722CF"/>
    <w:rsid w:val="00872337"/>
    <w:rsid w:val="00872F0F"/>
    <w:rsid w:val="00872FFC"/>
    <w:rsid w:val="0087365E"/>
    <w:rsid w:val="00873EB2"/>
    <w:rsid w:val="00874331"/>
    <w:rsid w:val="00874E5D"/>
    <w:rsid w:val="008750D6"/>
    <w:rsid w:val="008750E2"/>
    <w:rsid w:val="008752D3"/>
    <w:rsid w:val="00875D84"/>
    <w:rsid w:val="00875E17"/>
    <w:rsid w:val="00875FC9"/>
    <w:rsid w:val="00876130"/>
    <w:rsid w:val="00876353"/>
    <w:rsid w:val="008767E4"/>
    <w:rsid w:val="00876B5F"/>
    <w:rsid w:val="00876BA3"/>
    <w:rsid w:val="00876BEE"/>
    <w:rsid w:val="00876CE9"/>
    <w:rsid w:val="00876D54"/>
    <w:rsid w:val="00877092"/>
    <w:rsid w:val="00877828"/>
    <w:rsid w:val="00877C6A"/>
    <w:rsid w:val="008802EF"/>
    <w:rsid w:val="0088031A"/>
    <w:rsid w:val="00880383"/>
    <w:rsid w:val="00880F45"/>
    <w:rsid w:val="00880F81"/>
    <w:rsid w:val="00880FC9"/>
    <w:rsid w:val="00881271"/>
    <w:rsid w:val="00881713"/>
    <w:rsid w:val="00881AC2"/>
    <w:rsid w:val="00881FC1"/>
    <w:rsid w:val="0088283D"/>
    <w:rsid w:val="00882E4C"/>
    <w:rsid w:val="008832C5"/>
    <w:rsid w:val="00883486"/>
    <w:rsid w:val="008839B1"/>
    <w:rsid w:val="00883C12"/>
    <w:rsid w:val="00883F8E"/>
    <w:rsid w:val="0088419B"/>
    <w:rsid w:val="0088471A"/>
    <w:rsid w:val="00884C04"/>
    <w:rsid w:val="00884D37"/>
    <w:rsid w:val="00885061"/>
    <w:rsid w:val="008850D5"/>
    <w:rsid w:val="00885503"/>
    <w:rsid w:val="008857F5"/>
    <w:rsid w:val="00885BB9"/>
    <w:rsid w:val="00885D1A"/>
    <w:rsid w:val="00885D76"/>
    <w:rsid w:val="0088655E"/>
    <w:rsid w:val="00886616"/>
    <w:rsid w:val="00886957"/>
    <w:rsid w:val="00886AC8"/>
    <w:rsid w:val="00886F9C"/>
    <w:rsid w:val="008870E0"/>
    <w:rsid w:val="0088722D"/>
    <w:rsid w:val="008872FD"/>
    <w:rsid w:val="008875B9"/>
    <w:rsid w:val="008878BB"/>
    <w:rsid w:val="008878EA"/>
    <w:rsid w:val="00887941"/>
    <w:rsid w:val="00887971"/>
    <w:rsid w:val="00887C0E"/>
    <w:rsid w:val="00887DBC"/>
    <w:rsid w:val="00887EB7"/>
    <w:rsid w:val="0089004E"/>
    <w:rsid w:val="008901E7"/>
    <w:rsid w:val="0089023D"/>
    <w:rsid w:val="008906C9"/>
    <w:rsid w:val="00890859"/>
    <w:rsid w:val="008908E6"/>
    <w:rsid w:val="00890A33"/>
    <w:rsid w:val="00890BED"/>
    <w:rsid w:val="00890E9F"/>
    <w:rsid w:val="00891305"/>
    <w:rsid w:val="00891432"/>
    <w:rsid w:val="00891D3C"/>
    <w:rsid w:val="00891D83"/>
    <w:rsid w:val="00891EA5"/>
    <w:rsid w:val="0089206C"/>
    <w:rsid w:val="008920AD"/>
    <w:rsid w:val="0089237A"/>
    <w:rsid w:val="00892C30"/>
    <w:rsid w:val="00892ECF"/>
    <w:rsid w:val="00892FA8"/>
    <w:rsid w:val="008932CF"/>
    <w:rsid w:val="00893622"/>
    <w:rsid w:val="008937DD"/>
    <w:rsid w:val="00893E7B"/>
    <w:rsid w:val="008940BE"/>
    <w:rsid w:val="008940E5"/>
    <w:rsid w:val="008943C8"/>
    <w:rsid w:val="008944F8"/>
    <w:rsid w:val="00894760"/>
    <w:rsid w:val="00894878"/>
    <w:rsid w:val="00894DAE"/>
    <w:rsid w:val="0089537B"/>
    <w:rsid w:val="00895574"/>
    <w:rsid w:val="008957F5"/>
    <w:rsid w:val="00895CCD"/>
    <w:rsid w:val="0089602F"/>
    <w:rsid w:val="0089618B"/>
    <w:rsid w:val="00896322"/>
    <w:rsid w:val="008965B9"/>
    <w:rsid w:val="00896B32"/>
    <w:rsid w:val="00896E44"/>
    <w:rsid w:val="00896F60"/>
    <w:rsid w:val="00896F8D"/>
    <w:rsid w:val="00897371"/>
    <w:rsid w:val="008973C3"/>
    <w:rsid w:val="00897824"/>
    <w:rsid w:val="00897DB3"/>
    <w:rsid w:val="00897E28"/>
    <w:rsid w:val="00897E8F"/>
    <w:rsid w:val="008A05FF"/>
    <w:rsid w:val="008A097E"/>
    <w:rsid w:val="008A0A6D"/>
    <w:rsid w:val="008A0BD8"/>
    <w:rsid w:val="008A0C8C"/>
    <w:rsid w:val="008A0FC7"/>
    <w:rsid w:val="008A0FC9"/>
    <w:rsid w:val="008A16AD"/>
    <w:rsid w:val="008A182A"/>
    <w:rsid w:val="008A1AEB"/>
    <w:rsid w:val="008A1E3C"/>
    <w:rsid w:val="008A2A9C"/>
    <w:rsid w:val="008A3130"/>
    <w:rsid w:val="008A3914"/>
    <w:rsid w:val="008A3B24"/>
    <w:rsid w:val="008A42D5"/>
    <w:rsid w:val="008A471A"/>
    <w:rsid w:val="008A495E"/>
    <w:rsid w:val="008A4A1A"/>
    <w:rsid w:val="008A4A25"/>
    <w:rsid w:val="008A4C85"/>
    <w:rsid w:val="008A4E4F"/>
    <w:rsid w:val="008A533E"/>
    <w:rsid w:val="008A560B"/>
    <w:rsid w:val="008A5B8B"/>
    <w:rsid w:val="008A5C02"/>
    <w:rsid w:val="008A5C93"/>
    <w:rsid w:val="008A696A"/>
    <w:rsid w:val="008A6977"/>
    <w:rsid w:val="008A6D20"/>
    <w:rsid w:val="008A6DBC"/>
    <w:rsid w:val="008A6FEE"/>
    <w:rsid w:val="008A7397"/>
    <w:rsid w:val="008A7475"/>
    <w:rsid w:val="008A748B"/>
    <w:rsid w:val="008A7C51"/>
    <w:rsid w:val="008A7C60"/>
    <w:rsid w:val="008A7FBB"/>
    <w:rsid w:val="008B07C2"/>
    <w:rsid w:val="008B07DE"/>
    <w:rsid w:val="008B083D"/>
    <w:rsid w:val="008B0848"/>
    <w:rsid w:val="008B0977"/>
    <w:rsid w:val="008B0A4E"/>
    <w:rsid w:val="008B0ACF"/>
    <w:rsid w:val="008B0B5C"/>
    <w:rsid w:val="008B0C01"/>
    <w:rsid w:val="008B0D4D"/>
    <w:rsid w:val="008B10D1"/>
    <w:rsid w:val="008B1715"/>
    <w:rsid w:val="008B1A0A"/>
    <w:rsid w:val="008B1B2E"/>
    <w:rsid w:val="008B1D52"/>
    <w:rsid w:val="008B1E46"/>
    <w:rsid w:val="008B2194"/>
    <w:rsid w:val="008B21EA"/>
    <w:rsid w:val="008B232F"/>
    <w:rsid w:val="008B267A"/>
    <w:rsid w:val="008B285F"/>
    <w:rsid w:val="008B2A8E"/>
    <w:rsid w:val="008B2BF9"/>
    <w:rsid w:val="008B2E49"/>
    <w:rsid w:val="008B338C"/>
    <w:rsid w:val="008B3786"/>
    <w:rsid w:val="008B3BDB"/>
    <w:rsid w:val="008B3BE1"/>
    <w:rsid w:val="008B3D4E"/>
    <w:rsid w:val="008B421C"/>
    <w:rsid w:val="008B4BE4"/>
    <w:rsid w:val="008B4CD4"/>
    <w:rsid w:val="008B4DD2"/>
    <w:rsid w:val="008B4E31"/>
    <w:rsid w:val="008B4FEE"/>
    <w:rsid w:val="008B5317"/>
    <w:rsid w:val="008B53B8"/>
    <w:rsid w:val="008B5F04"/>
    <w:rsid w:val="008B660C"/>
    <w:rsid w:val="008B67C9"/>
    <w:rsid w:val="008B6881"/>
    <w:rsid w:val="008B68A1"/>
    <w:rsid w:val="008B69FC"/>
    <w:rsid w:val="008B6C70"/>
    <w:rsid w:val="008B79C8"/>
    <w:rsid w:val="008B7D0C"/>
    <w:rsid w:val="008B7F59"/>
    <w:rsid w:val="008C0203"/>
    <w:rsid w:val="008C07B2"/>
    <w:rsid w:val="008C0B38"/>
    <w:rsid w:val="008C0ED0"/>
    <w:rsid w:val="008C146C"/>
    <w:rsid w:val="008C1524"/>
    <w:rsid w:val="008C1699"/>
    <w:rsid w:val="008C178A"/>
    <w:rsid w:val="008C1833"/>
    <w:rsid w:val="008C18CE"/>
    <w:rsid w:val="008C1B99"/>
    <w:rsid w:val="008C1CF6"/>
    <w:rsid w:val="008C207F"/>
    <w:rsid w:val="008C2106"/>
    <w:rsid w:val="008C2305"/>
    <w:rsid w:val="008C243B"/>
    <w:rsid w:val="008C28BA"/>
    <w:rsid w:val="008C3351"/>
    <w:rsid w:val="008C34F1"/>
    <w:rsid w:val="008C3573"/>
    <w:rsid w:val="008C373F"/>
    <w:rsid w:val="008C3826"/>
    <w:rsid w:val="008C39FC"/>
    <w:rsid w:val="008C3BE9"/>
    <w:rsid w:val="008C3D83"/>
    <w:rsid w:val="008C3D9D"/>
    <w:rsid w:val="008C3DB9"/>
    <w:rsid w:val="008C4312"/>
    <w:rsid w:val="008C462C"/>
    <w:rsid w:val="008C4E43"/>
    <w:rsid w:val="008C50E9"/>
    <w:rsid w:val="008C5B06"/>
    <w:rsid w:val="008C5B80"/>
    <w:rsid w:val="008C5C4F"/>
    <w:rsid w:val="008C5CF9"/>
    <w:rsid w:val="008C60FC"/>
    <w:rsid w:val="008C63FF"/>
    <w:rsid w:val="008C6430"/>
    <w:rsid w:val="008C6531"/>
    <w:rsid w:val="008C6841"/>
    <w:rsid w:val="008C69B0"/>
    <w:rsid w:val="008C6BDF"/>
    <w:rsid w:val="008C7027"/>
    <w:rsid w:val="008C71D2"/>
    <w:rsid w:val="008C7410"/>
    <w:rsid w:val="008C7556"/>
    <w:rsid w:val="008C7857"/>
    <w:rsid w:val="008C7C86"/>
    <w:rsid w:val="008D0029"/>
    <w:rsid w:val="008D00DA"/>
    <w:rsid w:val="008D015B"/>
    <w:rsid w:val="008D02C4"/>
    <w:rsid w:val="008D0487"/>
    <w:rsid w:val="008D04CB"/>
    <w:rsid w:val="008D055A"/>
    <w:rsid w:val="008D057E"/>
    <w:rsid w:val="008D05C8"/>
    <w:rsid w:val="008D0D4B"/>
    <w:rsid w:val="008D0FB7"/>
    <w:rsid w:val="008D117D"/>
    <w:rsid w:val="008D173B"/>
    <w:rsid w:val="008D17B0"/>
    <w:rsid w:val="008D1857"/>
    <w:rsid w:val="008D19CA"/>
    <w:rsid w:val="008D1ABB"/>
    <w:rsid w:val="008D1CD1"/>
    <w:rsid w:val="008D22F3"/>
    <w:rsid w:val="008D23F1"/>
    <w:rsid w:val="008D2718"/>
    <w:rsid w:val="008D2901"/>
    <w:rsid w:val="008D29EF"/>
    <w:rsid w:val="008D2A3A"/>
    <w:rsid w:val="008D3049"/>
    <w:rsid w:val="008D3051"/>
    <w:rsid w:val="008D3356"/>
    <w:rsid w:val="008D3516"/>
    <w:rsid w:val="008D3A2D"/>
    <w:rsid w:val="008D3CBA"/>
    <w:rsid w:val="008D3EE3"/>
    <w:rsid w:val="008D3F43"/>
    <w:rsid w:val="008D41FB"/>
    <w:rsid w:val="008D4514"/>
    <w:rsid w:val="008D467E"/>
    <w:rsid w:val="008D481D"/>
    <w:rsid w:val="008D4E75"/>
    <w:rsid w:val="008D4F68"/>
    <w:rsid w:val="008D52D6"/>
    <w:rsid w:val="008D5702"/>
    <w:rsid w:val="008D5764"/>
    <w:rsid w:val="008D5DFF"/>
    <w:rsid w:val="008D5E35"/>
    <w:rsid w:val="008D6524"/>
    <w:rsid w:val="008D6BCB"/>
    <w:rsid w:val="008D6CD6"/>
    <w:rsid w:val="008D6E85"/>
    <w:rsid w:val="008D700A"/>
    <w:rsid w:val="008D72A0"/>
    <w:rsid w:val="008D74C5"/>
    <w:rsid w:val="008D7636"/>
    <w:rsid w:val="008E00CB"/>
    <w:rsid w:val="008E02E2"/>
    <w:rsid w:val="008E033F"/>
    <w:rsid w:val="008E0A8B"/>
    <w:rsid w:val="008E1000"/>
    <w:rsid w:val="008E17C0"/>
    <w:rsid w:val="008E1B8E"/>
    <w:rsid w:val="008E2054"/>
    <w:rsid w:val="008E206D"/>
    <w:rsid w:val="008E20C5"/>
    <w:rsid w:val="008E2382"/>
    <w:rsid w:val="008E24FA"/>
    <w:rsid w:val="008E2561"/>
    <w:rsid w:val="008E2990"/>
    <w:rsid w:val="008E2C7F"/>
    <w:rsid w:val="008E2D60"/>
    <w:rsid w:val="008E3A00"/>
    <w:rsid w:val="008E3AAF"/>
    <w:rsid w:val="008E3C1B"/>
    <w:rsid w:val="008E471E"/>
    <w:rsid w:val="008E4767"/>
    <w:rsid w:val="008E4C74"/>
    <w:rsid w:val="008E4ECC"/>
    <w:rsid w:val="008E5025"/>
    <w:rsid w:val="008E5322"/>
    <w:rsid w:val="008E5487"/>
    <w:rsid w:val="008E56AF"/>
    <w:rsid w:val="008E5982"/>
    <w:rsid w:val="008E5CA7"/>
    <w:rsid w:val="008E5DBB"/>
    <w:rsid w:val="008E5E4B"/>
    <w:rsid w:val="008E5F01"/>
    <w:rsid w:val="008E620E"/>
    <w:rsid w:val="008E645F"/>
    <w:rsid w:val="008E6B44"/>
    <w:rsid w:val="008E6B4C"/>
    <w:rsid w:val="008E6D40"/>
    <w:rsid w:val="008E6F7D"/>
    <w:rsid w:val="008E7301"/>
    <w:rsid w:val="008E73F3"/>
    <w:rsid w:val="008E7753"/>
    <w:rsid w:val="008E7EA3"/>
    <w:rsid w:val="008E7F35"/>
    <w:rsid w:val="008F0250"/>
    <w:rsid w:val="008F069E"/>
    <w:rsid w:val="008F0C5E"/>
    <w:rsid w:val="008F0DBC"/>
    <w:rsid w:val="008F1622"/>
    <w:rsid w:val="008F18F5"/>
    <w:rsid w:val="008F1B3E"/>
    <w:rsid w:val="008F1D37"/>
    <w:rsid w:val="008F1DFB"/>
    <w:rsid w:val="008F1EC4"/>
    <w:rsid w:val="008F1FB7"/>
    <w:rsid w:val="008F20EA"/>
    <w:rsid w:val="008F24AA"/>
    <w:rsid w:val="008F25F5"/>
    <w:rsid w:val="008F28C2"/>
    <w:rsid w:val="008F28D8"/>
    <w:rsid w:val="008F2956"/>
    <w:rsid w:val="008F2C26"/>
    <w:rsid w:val="008F2DD9"/>
    <w:rsid w:val="008F2EC2"/>
    <w:rsid w:val="008F3013"/>
    <w:rsid w:val="008F390D"/>
    <w:rsid w:val="008F3B67"/>
    <w:rsid w:val="008F3B83"/>
    <w:rsid w:val="008F3C88"/>
    <w:rsid w:val="008F4690"/>
    <w:rsid w:val="008F4D68"/>
    <w:rsid w:val="008F50BC"/>
    <w:rsid w:val="008F5215"/>
    <w:rsid w:val="008F5443"/>
    <w:rsid w:val="008F56A7"/>
    <w:rsid w:val="008F5785"/>
    <w:rsid w:val="008F57B0"/>
    <w:rsid w:val="008F5BA3"/>
    <w:rsid w:val="008F5DF5"/>
    <w:rsid w:val="008F60CA"/>
    <w:rsid w:val="008F6145"/>
    <w:rsid w:val="008F668F"/>
    <w:rsid w:val="008F67CB"/>
    <w:rsid w:val="008F6CBC"/>
    <w:rsid w:val="008F6D42"/>
    <w:rsid w:val="008F6EAA"/>
    <w:rsid w:val="008F6F3E"/>
    <w:rsid w:val="008F70A7"/>
    <w:rsid w:val="008F70F6"/>
    <w:rsid w:val="008F747A"/>
    <w:rsid w:val="008F75A5"/>
    <w:rsid w:val="008F7A0E"/>
    <w:rsid w:val="008F7AC6"/>
    <w:rsid w:val="008F7B63"/>
    <w:rsid w:val="0090013A"/>
    <w:rsid w:val="00900577"/>
    <w:rsid w:val="009007C2"/>
    <w:rsid w:val="0090092A"/>
    <w:rsid w:val="009009DB"/>
    <w:rsid w:val="00900BAE"/>
    <w:rsid w:val="00900DAA"/>
    <w:rsid w:val="00900E8E"/>
    <w:rsid w:val="00901012"/>
    <w:rsid w:val="0090108E"/>
    <w:rsid w:val="00901523"/>
    <w:rsid w:val="009017CE"/>
    <w:rsid w:val="00901A40"/>
    <w:rsid w:val="00901CBC"/>
    <w:rsid w:val="00901F91"/>
    <w:rsid w:val="009022A1"/>
    <w:rsid w:val="009025DA"/>
    <w:rsid w:val="00902698"/>
    <w:rsid w:val="00902818"/>
    <w:rsid w:val="009028AC"/>
    <w:rsid w:val="00903413"/>
    <w:rsid w:val="009038F4"/>
    <w:rsid w:val="009039C3"/>
    <w:rsid w:val="00904023"/>
    <w:rsid w:val="009043E7"/>
    <w:rsid w:val="00904537"/>
    <w:rsid w:val="00904588"/>
    <w:rsid w:val="009047A9"/>
    <w:rsid w:val="00904D27"/>
    <w:rsid w:val="00905031"/>
    <w:rsid w:val="00905053"/>
    <w:rsid w:val="0090533C"/>
    <w:rsid w:val="0090550C"/>
    <w:rsid w:val="0090552E"/>
    <w:rsid w:val="00905604"/>
    <w:rsid w:val="00905AB0"/>
    <w:rsid w:val="00905AEC"/>
    <w:rsid w:val="00905D75"/>
    <w:rsid w:val="00906268"/>
    <w:rsid w:val="00906EA7"/>
    <w:rsid w:val="00907140"/>
    <w:rsid w:val="009071D8"/>
    <w:rsid w:val="009078CC"/>
    <w:rsid w:val="009079F8"/>
    <w:rsid w:val="00907A77"/>
    <w:rsid w:val="00907C7D"/>
    <w:rsid w:val="00907DCD"/>
    <w:rsid w:val="009101D3"/>
    <w:rsid w:val="009103D9"/>
    <w:rsid w:val="00910691"/>
    <w:rsid w:val="0091074B"/>
    <w:rsid w:val="0091077A"/>
    <w:rsid w:val="00910C63"/>
    <w:rsid w:val="00910C84"/>
    <w:rsid w:val="0091156D"/>
    <w:rsid w:val="00911DF4"/>
    <w:rsid w:val="00911E05"/>
    <w:rsid w:val="009120B0"/>
    <w:rsid w:val="0091255B"/>
    <w:rsid w:val="00912570"/>
    <w:rsid w:val="0091291B"/>
    <w:rsid w:val="00912A02"/>
    <w:rsid w:val="00912B28"/>
    <w:rsid w:val="00912DB2"/>
    <w:rsid w:val="00913286"/>
    <w:rsid w:val="0091347B"/>
    <w:rsid w:val="00913480"/>
    <w:rsid w:val="00913558"/>
    <w:rsid w:val="00913677"/>
    <w:rsid w:val="00913715"/>
    <w:rsid w:val="00913882"/>
    <w:rsid w:val="0091390E"/>
    <w:rsid w:val="00914445"/>
    <w:rsid w:val="0091472B"/>
    <w:rsid w:val="0091478B"/>
    <w:rsid w:val="00914791"/>
    <w:rsid w:val="009149E9"/>
    <w:rsid w:val="00914F4A"/>
    <w:rsid w:val="009152D4"/>
    <w:rsid w:val="00915AC8"/>
    <w:rsid w:val="00915F2B"/>
    <w:rsid w:val="00916490"/>
    <w:rsid w:val="009166DF"/>
    <w:rsid w:val="0091676B"/>
    <w:rsid w:val="009168FB"/>
    <w:rsid w:val="00916972"/>
    <w:rsid w:val="009169D5"/>
    <w:rsid w:val="00916A30"/>
    <w:rsid w:val="00916B12"/>
    <w:rsid w:val="00916B38"/>
    <w:rsid w:val="00916BB2"/>
    <w:rsid w:val="0091706D"/>
    <w:rsid w:val="00917382"/>
    <w:rsid w:val="0091740E"/>
    <w:rsid w:val="00917840"/>
    <w:rsid w:val="00917CA6"/>
    <w:rsid w:val="00917FE4"/>
    <w:rsid w:val="0092000C"/>
    <w:rsid w:val="009205FB"/>
    <w:rsid w:val="00920630"/>
    <w:rsid w:val="009208DA"/>
    <w:rsid w:val="00920B7E"/>
    <w:rsid w:val="00920C09"/>
    <w:rsid w:val="00920D19"/>
    <w:rsid w:val="00920DFA"/>
    <w:rsid w:val="00921066"/>
    <w:rsid w:val="009213CE"/>
    <w:rsid w:val="009214FA"/>
    <w:rsid w:val="00921521"/>
    <w:rsid w:val="00921609"/>
    <w:rsid w:val="00921727"/>
    <w:rsid w:val="0092181A"/>
    <w:rsid w:val="009218DF"/>
    <w:rsid w:val="009219BD"/>
    <w:rsid w:val="00921A18"/>
    <w:rsid w:val="00921AF6"/>
    <w:rsid w:val="00921C42"/>
    <w:rsid w:val="00921F1A"/>
    <w:rsid w:val="00921F29"/>
    <w:rsid w:val="00922740"/>
    <w:rsid w:val="009227E2"/>
    <w:rsid w:val="00922908"/>
    <w:rsid w:val="00922E37"/>
    <w:rsid w:val="009234C8"/>
    <w:rsid w:val="00923801"/>
    <w:rsid w:val="00923999"/>
    <w:rsid w:val="00923CDE"/>
    <w:rsid w:val="0092400B"/>
    <w:rsid w:val="009241CE"/>
    <w:rsid w:val="009241D7"/>
    <w:rsid w:val="009242F8"/>
    <w:rsid w:val="00924467"/>
    <w:rsid w:val="0092479D"/>
    <w:rsid w:val="00924B2E"/>
    <w:rsid w:val="00924C35"/>
    <w:rsid w:val="00925028"/>
    <w:rsid w:val="00925653"/>
    <w:rsid w:val="009257CD"/>
    <w:rsid w:val="0092590E"/>
    <w:rsid w:val="00925B52"/>
    <w:rsid w:val="00925B9E"/>
    <w:rsid w:val="0092619A"/>
    <w:rsid w:val="009264E5"/>
    <w:rsid w:val="00926633"/>
    <w:rsid w:val="00926E2A"/>
    <w:rsid w:val="00926EB6"/>
    <w:rsid w:val="00926ED1"/>
    <w:rsid w:val="009270C7"/>
    <w:rsid w:val="009271E5"/>
    <w:rsid w:val="009273F3"/>
    <w:rsid w:val="009279DA"/>
    <w:rsid w:val="00927C38"/>
    <w:rsid w:val="00927C6E"/>
    <w:rsid w:val="00927CD0"/>
    <w:rsid w:val="00930429"/>
    <w:rsid w:val="00930670"/>
    <w:rsid w:val="0093072E"/>
    <w:rsid w:val="00930A97"/>
    <w:rsid w:val="00930C0E"/>
    <w:rsid w:val="00930C38"/>
    <w:rsid w:val="00930C9D"/>
    <w:rsid w:val="00930CFE"/>
    <w:rsid w:val="009313FC"/>
    <w:rsid w:val="009314E3"/>
    <w:rsid w:val="00931517"/>
    <w:rsid w:val="00931DEC"/>
    <w:rsid w:val="009321EF"/>
    <w:rsid w:val="00932267"/>
    <w:rsid w:val="0093259A"/>
    <w:rsid w:val="00932A51"/>
    <w:rsid w:val="00933517"/>
    <w:rsid w:val="00933631"/>
    <w:rsid w:val="009336FA"/>
    <w:rsid w:val="009339F8"/>
    <w:rsid w:val="00933B11"/>
    <w:rsid w:val="00933D55"/>
    <w:rsid w:val="00933EA6"/>
    <w:rsid w:val="0093403F"/>
    <w:rsid w:val="0093409E"/>
    <w:rsid w:val="009343F3"/>
    <w:rsid w:val="00934D9B"/>
    <w:rsid w:val="00934F6C"/>
    <w:rsid w:val="009351AE"/>
    <w:rsid w:val="009351E1"/>
    <w:rsid w:val="00935D1C"/>
    <w:rsid w:val="0093604C"/>
    <w:rsid w:val="009361FE"/>
    <w:rsid w:val="00936920"/>
    <w:rsid w:val="00936A08"/>
    <w:rsid w:val="00936B8F"/>
    <w:rsid w:val="00936DD3"/>
    <w:rsid w:val="00937332"/>
    <w:rsid w:val="0093782A"/>
    <w:rsid w:val="00937C83"/>
    <w:rsid w:val="00937CB4"/>
    <w:rsid w:val="00937D40"/>
    <w:rsid w:val="009403FA"/>
    <w:rsid w:val="00940B33"/>
    <w:rsid w:val="00940D2F"/>
    <w:rsid w:val="00940DA8"/>
    <w:rsid w:val="00941049"/>
    <w:rsid w:val="009410E0"/>
    <w:rsid w:val="009412CA"/>
    <w:rsid w:val="00941564"/>
    <w:rsid w:val="0094159B"/>
    <w:rsid w:val="0094172B"/>
    <w:rsid w:val="009418BE"/>
    <w:rsid w:val="009419A6"/>
    <w:rsid w:val="00941A8E"/>
    <w:rsid w:val="0094222D"/>
    <w:rsid w:val="0094227B"/>
    <w:rsid w:val="00942779"/>
    <w:rsid w:val="00942D74"/>
    <w:rsid w:val="009437C8"/>
    <w:rsid w:val="0094381F"/>
    <w:rsid w:val="00943874"/>
    <w:rsid w:val="00943ACD"/>
    <w:rsid w:val="00943D7A"/>
    <w:rsid w:val="00944398"/>
    <w:rsid w:val="00944C57"/>
    <w:rsid w:val="00944D3D"/>
    <w:rsid w:val="00944FD3"/>
    <w:rsid w:val="00945233"/>
    <w:rsid w:val="009453AB"/>
    <w:rsid w:val="00945533"/>
    <w:rsid w:val="009459F8"/>
    <w:rsid w:val="009461C1"/>
    <w:rsid w:val="00946365"/>
    <w:rsid w:val="009467A4"/>
    <w:rsid w:val="00946830"/>
    <w:rsid w:val="00946941"/>
    <w:rsid w:val="00947909"/>
    <w:rsid w:val="00947CE6"/>
    <w:rsid w:val="00947F1A"/>
    <w:rsid w:val="00950009"/>
    <w:rsid w:val="00950036"/>
    <w:rsid w:val="00950823"/>
    <w:rsid w:val="00950A1C"/>
    <w:rsid w:val="00950A8C"/>
    <w:rsid w:val="00950A90"/>
    <w:rsid w:val="00951351"/>
    <w:rsid w:val="009513F2"/>
    <w:rsid w:val="00951645"/>
    <w:rsid w:val="00951BD1"/>
    <w:rsid w:val="00951D14"/>
    <w:rsid w:val="00951DAB"/>
    <w:rsid w:val="0095204D"/>
    <w:rsid w:val="009523A4"/>
    <w:rsid w:val="00952561"/>
    <w:rsid w:val="0095265B"/>
    <w:rsid w:val="009527F9"/>
    <w:rsid w:val="00952A31"/>
    <w:rsid w:val="00953371"/>
    <w:rsid w:val="009535AD"/>
    <w:rsid w:val="00953820"/>
    <w:rsid w:val="00953846"/>
    <w:rsid w:val="0095393D"/>
    <w:rsid w:val="00953B61"/>
    <w:rsid w:val="00953CA6"/>
    <w:rsid w:val="00953F70"/>
    <w:rsid w:val="00953F72"/>
    <w:rsid w:val="00953F90"/>
    <w:rsid w:val="0095418D"/>
    <w:rsid w:val="009541A4"/>
    <w:rsid w:val="00954445"/>
    <w:rsid w:val="00954641"/>
    <w:rsid w:val="00954819"/>
    <w:rsid w:val="0095488D"/>
    <w:rsid w:val="00954968"/>
    <w:rsid w:val="00954C4C"/>
    <w:rsid w:val="00954C9F"/>
    <w:rsid w:val="0095574E"/>
    <w:rsid w:val="009558A3"/>
    <w:rsid w:val="009559AC"/>
    <w:rsid w:val="00955C2C"/>
    <w:rsid w:val="00955DA5"/>
    <w:rsid w:val="00955EC1"/>
    <w:rsid w:val="00956516"/>
    <w:rsid w:val="00956761"/>
    <w:rsid w:val="00956853"/>
    <w:rsid w:val="00956855"/>
    <w:rsid w:val="0095691F"/>
    <w:rsid w:val="00956937"/>
    <w:rsid w:val="00957005"/>
    <w:rsid w:val="0095733F"/>
    <w:rsid w:val="00957C7F"/>
    <w:rsid w:val="00957E79"/>
    <w:rsid w:val="00960980"/>
    <w:rsid w:val="009609FD"/>
    <w:rsid w:val="00960AC4"/>
    <w:rsid w:val="00960B01"/>
    <w:rsid w:val="00961117"/>
    <w:rsid w:val="009613F2"/>
    <w:rsid w:val="00961421"/>
    <w:rsid w:val="00961474"/>
    <w:rsid w:val="0096147B"/>
    <w:rsid w:val="00961A88"/>
    <w:rsid w:val="00961C06"/>
    <w:rsid w:val="00961D4F"/>
    <w:rsid w:val="00961DC7"/>
    <w:rsid w:val="00961FE8"/>
    <w:rsid w:val="0096215F"/>
    <w:rsid w:val="00962663"/>
    <w:rsid w:val="009626D3"/>
    <w:rsid w:val="00963272"/>
    <w:rsid w:val="009632DF"/>
    <w:rsid w:val="00963748"/>
    <w:rsid w:val="0096374D"/>
    <w:rsid w:val="00964082"/>
    <w:rsid w:val="0096433F"/>
    <w:rsid w:val="00964482"/>
    <w:rsid w:val="009644D7"/>
    <w:rsid w:val="0096489C"/>
    <w:rsid w:val="00964968"/>
    <w:rsid w:val="00964A51"/>
    <w:rsid w:val="00964A7E"/>
    <w:rsid w:val="00965475"/>
    <w:rsid w:val="0096551C"/>
    <w:rsid w:val="009656D0"/>
    <w:rsid w:val="00965A04"/>
    <w:rsid w:val="00965A73"/>
    <w:rsid w:val="00965EB2"/>
    <w:rsid w:val="009661D5"/>
    <w:rsid w:val="0096653E"/>
    <w:rsid w:val="0096664D"/>
    <w:rsid w:val="00966665"/>
    <w:rsid w:val="00966777"/>
    <w:rsid w:val="0096696A"/>
    <w:rsid w:val="00966B80"/>
    <w:rsid w:val="00966D35"/>
    <w:rsid w:val="00966DDA"/>
    <w:rsid w:val="00967002"/>
    <w:rsid w:val="0096703C"/>
    <w:rsid w:val="0096731B"/>
    <w:rsid w:val="00967408"/>
    <w:rsid w:val="0096742A"/>
    <w:rsid w:val="009675CC"/>
    <w:rsid w:val="00967914"/>
    <w:rsid w:val="00967A67"/>
    <w:rsid w:val="00967AD0"/>
    <w:rsid w:val="00967B62"/>
    <w:rsid w:val="00967CD5"/>
    <w:rsid w:val="00967DC1"/>
    <w:rsid w:val="00967EF7"/>
    <w:rsid w:val="00967F23"/>
    <w:rsid w:val="00970011"/>
    <w:rsid w:val="009702C7"/>
    <w:rsid w:val="0097099F"/>
    <w:rsid w:val="00970E4D"/>
    <w:rsid w:val="0097112D"/>
    <w:rsid w:val="009715DE"/>
    <w:rsid w:val="009715F5"/>
    <w:rsid w:val="009717B7"/>
    <w:rsid w:val="00971876"/>
    <w:rsid w:val="009719B6"/>
    <w:rsid w:val="00971BE4"/>
    <w:rsid w:val="00971E3B"/>
    <w:rsid w:val="00971EE0"/>
    <w:rsid w:val="009722A9"/>
    <w:rsid w:val="009724C0"/>
    <w:rsid w:val="00972968"/>
    <w:rsid w:val="00972A59"/>
    <w:rsid w:val="00973182"/>
    <w:rsid w:val="009731CB"/>
    <w:rsid w:val="0097322D"/>
    <w:rsid w:val="009736FC"/>
    <w:rsid w:val="009738DA"/>
    <w:rsid w:val="00973FF2"/>
    <w:rsid w:val="00974273"/>
    <w:rsid w:val="0097438C"/>
    <w:rsid w:val="00974453"/>
    <w:rsid w:val="009746C8"/>
    <w:rsid w:val="00974947"/>
    <w:rsid w:val="009749A9"/>
    <w:rsid w:val="009752B7"/>
    <w:rsid w:val="00975569"/>
    <w:rsid w:val="009759F8"/>
    <w:rsid w:val="00975ABB"/>
    <w:rsid w:val="00975B13"/>
    <w:rsid w:val="00975DCB"/>
    <w:rsid w:val="00976486"/>
    <w:rsid w:val="009769DF"/>
    <w:rsid w:val="00976A56"/>
    <w:rsid w:val="00976BAA"/>
    <w:rsid w:val="00976EB0"/>
    <w:rsid w:val="00976F3E"/>
    <w:rsid w:val="0097701D"/>
    <w:rsid w:val="009775BF"/>
    <w:rsid w:val="00977646"/>
    <w:rsid w:val="00977838"/>
    <w:rsid w:val="009778F7"/>
    <w:rsid w:val="00977C51"/>
    <w:rsid w:val="009800FE"/>
    <w:rsid w:val="00980383"/>
    <w:rsid w:val="00980778"/>
    <w:rsid w:val="00980883"/>
    <w:rsid w:val="0098090E"/>
    <w:rsid w:val="009809F3"/>
    <w:rsid w:val="00980CE6"/>
    <w:rsid w:val="0098153F"/>
    <w:rsid w:val="009816DE"/>
    <w:rsid w:val="009817AE"/>
    <w:rsid w:val="009818B6"/>
    <w:rsid w:val="0098199A"/>
    <w:rsid w:val="00981A7D"/>
    <w:rsid w:val="00981AD0"/>
    <w:rsid w:val="0098204D"/>
    <w:rsid w:val="009821BB"/>
    <w:rsid w:val="0098232F"/>
    <w:rsid w:val="009825E5"/>
    <w:rsid w:val="0098298B"/>
    <w:rsid w:val="00982A5B"/>
    <w:rsid w:val="00982AAD"/>
    <w:rsid w:val="00982C8A"/>
    <w:rsid w:val="00982D70"/>
    <w:rsid w:val="009831FF"/>
    <w:rsid w:val="009836C4"/>
    <w:rsid w:val="0098374A"/>
    <w:rsid w:val="00983D34"/>
    <w:rsid w:val="00983E90"/>
    <w:rsid w:val="00984177"/>
    <w:rsid w:val="00984441"/>
    <w:rsid w:val="00984BBA"/>
    <w:rsid w:val="00984BC1"/>
    <w:rsid w:val="00984C28"/>
    <w:rsid w:val="00984F71"/>
    <w:rsid w:val="0098525E"/>
    <w:rsid w:val="00985512"/>
    <w:rsid w:val="00985763"/>
    <w:rsid w:val="00985852"/>
    <w:rsid w:val="00985E0A"/>
    <w:rsid w:val="00986377"/>
    <w:rsid w:val="009867B4"/>
    <w:rsid w:val="00986E47"/>
    <w:rsid w:val="00986FD8"/>
    <w:rsid w:val="00987014"/>
    <w:rsid w:val="00987866"/>
    <w:rsid w:val="00987DB9"/>
    <w:rsid w:val="00990057"/>
    <w:rsid w:val="00990795"/>
    <w:rsid w:val="009908FD"/>
    <w:rsid w:val="00990B6C"/>
    <w:rsid w:val="00990D07"/>
    <w:rsid w:val="0099111A"/>
    <w:rsid w:val="009912DB"/>
    <w:rsid w:val="00991627"/>
    <w:rsid w:val="00991647"/>
    <w:rsid w:val="0099182B"/>
    <w:rsid w:val="00991AE9"/>
    <w:rsid w:val="00991BF3"/>
    <w:rsid w:val="0099240B"/>
    <w:rsid w:val="009925EB"/>
    <w:rsid w:val="0099262D"/>
    <w:rsid w:val="00992A6A"/>
    <w:rsid w:val="00992BB1"/>
    <w:rsid w:val="00992E57"/>
    <w:rsid w:val="0099323C"/>
    <w:rsid w:val="0099399E"/>
    <w:rsid w:val="00993B26"/>
    <w:rsid w:val="00993C42"/>
    <w:rsid w:val="00993D4E"/>
    <w:rsid w:val="0099405B"/>
    <w:rsid w:val="0099434B"/>
    <w:rsid w:val="0099438C"/>
    <w:rsid w:val="009943A8"/>
    <w:rsid w:val="00994484"/>
    <w:rsid w:val="0099449B"/>
    <w:rsid w:val="00994945"/>
    <w:rsid w:val="00995047"/>
    <w:rsid w:val="0099507C"/>
    <w:rsid w:val="0099578B"/>
    <w:rsid w:val="00995CC2"/>
    <w:rsid w:val="00995ECB"/>
    <w:rsid w:val="00995F8D"/>
    <w:rsid w:val="00996140"/>
    <w:rsid w:val="009969AE"/>
    <w:rsid w:val="00996E57"/>
    <w:rsid w:val="009970AB"/>
    <w:rsid w:val="009972A5"/>
    <w:rsid w:val="009973EA"/>
    <w:rsid w:val="0099754C"/>
    <w:rsid w:val="00997556"/>
    <w:rsid w:val="0099755B"/>
    <w:rsid w:val="009977C8"/>
    <w:rsid w:val="00997971"/>
    <w:rsid w:val="00997AE3"/>
    <w:rsid w:val="00997B60"/>
    <w:rsid w:val="00997B9F"/>
    <w:rsid w:val="00997F7A"/>
    <w:rsid w:val="00997F87"/>
    <w:rsid w:val="009A0030"/>
    <w:rsid w:val="009A0587"/>
    <w:rsid w:val="009A07D3"/>
    <w:rsid w:val="009A0965"/>
    <w:rsid w:val="009A0AFB"/>
    <w:rsid w:val="009A0E1D"/>
    <w:rsid w:val="009A10BA"/>
    <w:rsid w:val="009A1488"/>
    <w:rsid w:val="009A16DE"/>
    <w:rsid w:val="009A2062"/>
    <w:rsid w:val="009A226F"/>
    <w:rsid w:val="009A233E"/>
    <w:rsid w:val="009A2385"/>
    <w:rsid w:val="009A2822"/>
    <w:rsid w:val="009A293B"/>
    <w:rsid w:val="009A2EAD"/>
    <w:rsid w:val="009A347D"/>
    <w:rsid w:val="009A34FF"/>
    <w:rsid w:val="009A38AE"/>
    <w:rsid w:val="009A397D"/>
    <w:rsid w:val="009A45D7"/>
    <w:rsid w:val="009A4884"/>
    <w:rsid w:val="009A494E"/>
    <w:rsid w:val="009A4D40"/>
    <w:rsid w:val="009A525D"/>
    <w:rsid w:val="009A52FA"/>
    <w:rsid w:val="009A53AA"/>
    <w:rsid w:val="009A557E"/>
    <w:rsid w:val="009A5813"/>
    <w:rsid w:val="009A5A9A"/>
    <w:rsid w:val="009A5B7B"/>
    <w:rsid w:val="009A5DB1"/>
    <w:rsid w:val="009A5DC8"/>
    <w:rsid w:val="009A5EC5"/>
    <w:rsid w:val="009A6076"/>
    <w:rsid w:val="009A635F"/>
    <w:rsid w:val="009A6513"/>
    <w:rsid w:val="009A6B07"/>
    <w:rsid w:val="009A726A"/>
    <w:rsid w:val="009A7350"/>
    <w:rsid w:val="009A7519"/>
    <w:rsid w:val="009A75F5"/>
    <w:rsid w:val="009A7678"/>
    <w:rsid w:val="009A7795"/>
    <w:rsid w:val="009A7864"/>
    <w:rsid w:val="009A79F4"/>
    <w:rsid w:val="009A7BA4"/>
    <w:rsid w:val="009A7D7F"/>
    <w:rsid w:val="009A7E2C"/>
    <w:rsid w:val="009B011E"/>
    <w:rsid w:val="009B04B2"/>
    <w:rsid w:val="009B0CAC"/>
    <w:rsid w:val="009B0F30"/>
    <w:rsid w:val="009B1293"/>
    <w:rsid w:val="009B1315"/>
    <w:rsid w:val="009B173D"/>
    <w:rsid w:val="009B1AD1"/>
    <w:rsid w:val="009B1EB3"/>
    <w:rsid w:val="009B2094"/>
    <w:rsid w:val="009B216A"/>
    <w:rsid w:val="009B23BA"/>
    <w:rsid w:val="009B23C0"/>
    <w:rsid w:val="009B2495"/>
    <w:rsid w:val="009B256F"/>
    <w:rsid w:val="009B25F8"/>
    <w:rsid w:val="009B269F"/>
    <w:rsid w:val="009B2963"/>
    <w:rsid w:val="009B2977"/>
    <w:rsid w:val="009B2D3F"/>
    <w:rsid w:val="009B300D"/>
    <w:rsid w:val="009B35DC"/>
    <w:rsid w:val="009B3CB9"/>
    <w:rsid w:val="009B3CC4"/>
    <w:rsid w:val="009B404A"/>
    <w:rsid w:val="009B44D4"/>
    <w:rsid w:val="009B4873"/>
    <w:rsid w:val="009B4BA6"/>
    <w:rsid w:val="009B4E08"/>
    <w:rsid w:val="009B4E16"/>
    <w:rsid w:val="009B4F1C"/>
    <w:rsid w:val="009B5314"/>
    <w:rsid w:val="009B5323"/>
    <w:rsid w:val="009B57B1"/>
    <w:rsid w:val="009B5846"/>
    <w:rsid w:val="009B5B5F"/>
    <w:rsid w:val="009B5BB2"/>
    <w:rsid w:val="009B63F2"/>
    <w:rsid w:val="009B654D"/>
    <w:rsid w:val="009B66BB"/>
    <w:rsid w:val="009B6A88"/>
    <w:rsid w:val="009B7011"/>
    <w:rsid w:val="009B7136"/>
    <w:rsid w:val="009B7341"/>
    <w:rsid w:val="009B7A14"/>
    <w:rsid w:val="009B7A24"/>
    <w:rsid w:val="009B7C89"/>
    <w:rsid w:val="009C044B"/>
    <w:rsid w:val="009C0B29"/>
    <w:rsid w:val="009C0E21"/>
    <w:rsid w:val="009C0F0B"/>
    <w:rsid w:val="009C13C2"/>
    <w:rsid w:val="009C193D"/>
    <w:rsid w:val="009C1984"/>
    <w:rsid w:val="009C1BDE"/>
    <w:rsid w:val="009C1C1B"/>
    <w:rsid w:val="009C207D"/>
    <w:rsid w:val="009C21C4"/>
    <w:rsid w:val="009C257B"/>
    <w:rsid w:val="009C25E8"/>
    <w:rsid w:val="009C29FD"/>
    <w:rsid w:val="009C2A03"/>
    <w:rsid w:val="009C2CD6"/>
    <w:rsid w:val="009C2DA9"/>
    <w:rsid w:val="009C2F53"/>
    <w:rsid w:val="009C2F74"/>
    <w:rsid w:val="009C32D0"/>
    <w:rsid w:val="009C3426"/>
    <w:rsid w:val="009C3D6E"/>
    <w:rsid w:val="009C3D9F"/>
    <w:rsid w:val="009C4225"/>
    <w:rsid w:val="009C4326"/>
    <w:rsid w:val="009C4700"/>
    <w:rsid w:val="009C4953"/>
    <w:rsid w:val="009C4D56"/>
    <w:rsid w:val="009C504D"/>
    <w:rsid w:val="009C604B"/>
    <w:rsid w:val="009C64BE"/>
    <w:rsid w:val="009C6B1A"/>
    <w:rsid w:val="009C6D32"/>
    <w:rsid w:val="009C716E"/>
    <w:rsid w:val="009C7357"/>
    <w:rsid w:val="009C7A5A"/>
    <w:rsid w:val="009D014C"/>
    <w:rsid w:val="009D0161"/>
    <w:rsid w:val="009D0A60"/>
    <w:rsid w:val="009D0B7D"/>
    <w:rsid w:val="009D1BEE"/>
    <w:rsid w:val="009D2153"/>
    <w:rsid w:val="009D2468"/>
    <w:rsid w:val="009D25D9"/>
    <w:rsid w:val="009D2626"/>
    <w:rsid w:val="009D28E4"/>
    <w:rsid w:val="009D2B1F"/>
    <w:rsid w:val="009D2D30"/>
    <w:rsid w:val="009D2DB9"/>
    <w:rsid w:val="009D3105"/>
    <w:rsid w:val="009D32B5"/>
    <w:rsid w:val="009D34A5"/>
    <w:rsid w:val="009D3839"/>
    <w:rsid w:val="009D3E61"/>
    <w:rsid w:val="009D4874"/>
    <w:rsid w:val="009D4EC6"/>
    <w:rsid w:val="009D4F3F"/>
    <w:rsid w:val="009D5472"/>
    <w:rsid w:val="009D59F1"/>
    <w:rsid w:val="009D5A05"/>
    <w:rsid w:val="009D5AE4"/>
    <w:rsid w:val="009D60AB"/>
    <w:rsid w:val="009D610C"/>
    <w:rsid w:val="009D615F"/>
    <w:rsid w:val="009D684A"/>
    <w:rsid w:val="009D6C3A"/>
    <w:rsid w:val="009D6ECF"/>
    <w:rsid w:val="009D7085"/>
    <w:rsid w:val="009D70F3"/>
    <w:rsid w:val="009D76CB"/>
    <w:rsid w:val="009D7754"/>
    <w:rsid w:val="009D7A07"/>
    <w:rsid w:val="009D7B4E"/>
    <w:rsid w:val="009E013A"/>
    <w:rsid w:val="009E0344"/>
    <w:rsid w:val="009E0492"/>
    <w:rsid w:val="009E054B"/>
    <w:rsid w:val="009E0664"/>
    <w:rsid w:val="009E0A83"/>
    <w:rsid w:val="009E10D0"/>
    <w:rsid w:val="009E11E8"/>
    <w:rsid w:val="009E1B99"/>
    <w:rsid w:val="009E1D29"/>
    <w:rsid w:val="009E1D2C"/>
    <w:rsid w:val="009E1EAF"/>
    <w:rsid w:val="009E1F99"/>
    <w:rsid w:val="009E2082"/>
    <w:rsid w:val="009E20C9"/>
    <w:rsid w:val="009E2460"/>
    <w:rsid w:val="009E25BB"/>
    <w:rsid w:val="009E2AB4"/>
    <w:rsid w:val="009E2E14"/>
    <w:rsid w:val="009E2E1C"/>
    <w:rsid w:val="009E3064"/>
    <w:rsid w:val="009E30A2"/>
    <w:rsid w:val="009E31E5"/>
    <w:rsid w:val="009E3274"/>
    <w:rsid w:val="009E3A56"/>
    <w:rsid w:val="009E3F6E"/>
    <w:rsid w:val="009E42CB"/>
    <w:rsid w:val="009E464D"/>
    <w:rsid w:val="009E468A"/>
    <w:rsid w:val="009E50B5"/>
    <w:rsid w:val="009E520E"/>
    <w:rsid w:val="009E5318"/>
    <w:rsid w:val="009E5A21"/>
    <w:rsid w:val="009E5B48"/>
    <w:rsid w:val="009E5C02"/>
    <w:rsid w:val="009E5CB1"/>
    <w:rsid w:val="009E5FA8"/>
    <w:rsid w:val="009E6022"/>
    <w:rsid w:val="009E632F"/>
    <w:rsid w:val="009E6711"/>
    <w:rsid w:val="009E6758"/>
    <w:rsid w:val="009E69E4"/>
    <w:rsid w:val="009E6B3A"/>
    <w:rsid w:val="009E6F99"/>
    <w:rsid w:val="009E7127"/>
    <w:rsid w:val="009E7128"/>
    <w:rsid w:val="009E73D1"/>
    <w:rsid w:val="009E7472"/>
    <w:rsid w:val="009E7599"/>
    <w:rsid w:val="009E76F7"/>
    <w:rsid w:val="009E77D5"/>
    <w:rsid w:val="009E7873"/>
    <w:rsid w:val="009E7982"/>
    <w:rsid w:val="009E7A37"/>
    <w:rsid w:val="009E7A7C"/>
    <w:rsid w:val="009E7C13"/>
    <w:rsid w:val="009F005E"/>
    <w:rsid w:val="009F0068"/>
    <w:rsid w:val="009F089A"/>
    <w:rsid w:val="009F0992"/>
    <w:rsid w:val="009F0E0B"/>
    <w:rsid w:val="009F0E6A"/>
    <w:rsid w:val="009F0F45"/>
    <w:rsid w:val="009F0F88"/>
    <w:rsid w:val="009F1FEA"/>
    <w:rsid w:val="009F20BC"/>
    <w:rsid w:val="009F2226"/>
    <w:rsid w:val="009F298D"/>
    <w:rsid w:val="009F298E"/>
    <w:rsid w:val="009F2BD2"/>
    <w:rsid w:val="009F2D2C"/>
    <w:rsid w:val="009F30A0"/>
    <w:rsid w:val="009F33E2"/>
    <w:rsid w:val="009F343F"/>
    <w:rsid w:val="009F366B"/>
    <w:rsid w:val="009F3AA0"/>
    <w:rsid w:val="009F3C86"/>
    <w:rsid w:val="009F3E27"/>
    <w:rsid w:val="009F4237"/>
    <w:rsid w:val="009F4329"/>
    <w:rsid w:val="009F4656"/>
    <w:rsid w:val="009F49D3"/>
    <w:rsid w:val="009F523F"/>
    <w:rsid w:val="009F549F"/>
    <w:rsid w:val="009F56B8"/>
    <w:rsid w:val="009F5872"/>
    <w:rsid w:val="009F598F"/>
    <w:rsid w:val="009F5E76"/>
    <w:rsid w:val="009F5FF5"/>
    <w:rsid w:val="009F6C5F"/>
    <w:rsid w:val="009F7310"/>
    <w:rsid w:val="009F75D6"/>
    <w:rsid w:val="009F772C"/>
    <w:rsid w:val="009F7F28"/>
    <w:rsid w:val="00A00095"/>
    <w:rsid w:val="00A000BD"/>
    <w:rsid w:val="00A0037A"/>
    <w:rsid w:val="00A00DD3"/>
    <w:rsid w:val="00A00F6B"/>
    <w:rsid w:val="00A018F7"/>
    <w:rsid w:val="00A02495"/>
    <w:rsid w:val="00A02753"/>
    <w:rsid w:val="00A02A95"/>
    <w:rsid w:val="00A02BC4"/>
    <w:rsid w:val="00A02F05"/>
    <w:rsid w:val="00A03248"/>
    <w:rsid w:val="00A0327C"/>
    <w:rsid w:val="00A0340F"/>
    <w:rsid w:val="00A0342B"/>
    <w:rsid w:val="00A036C8"/>
    <w:rsid w:val="00A03B33"/>
    <w:rsid w:val="00A03C97"/>
    <w:rsid w:val="00A03EE2"/>
    <w:rsid w:val="00A03F96"/>
    <w:rsid w:val="00A04016"/>
    <w:rsid w:val="00A0420A"/>
    <w:rsid w:val="00A04416"/>
    <w:rsid w:val="00A04565"/>
    <w:rsid w:val="00A04669"/>
    <w:rsid w:val="00A047DF"/>
    <w:rsid w:val="00A04D21"/>
    <w:rsid w:val="00A04EAB"/>
    <w:rsid w:val="00A04EFE"/>
    <w:rsid w:val="00A04F40"/>
    <w:rsid w:val="00A05030"/>
    <w:rsid w:val="00A05154"/>
    <w:rsid w:val="00A051C2"/>
    <w:rsid w:val="00A056A6"/>
    <w:rsid w:val="00A05E31"/>
    <w:rsid w:val="00A05EC9"/>
    <w:rsid w:val="00A0635A"/>
    <w:rsid w:val="00A063A9"/>
    <w:rsid w:val="00A065F3"/>
    <w:rsid w:val="00A066C0"/>
    <w:rsid w:val="00A06C2A"/>
    <w:rsid w:val="00A075B5"/>
    <w:rsid w:val="00A07BAE"/>
    <w:rsid w:val="00A07E7B"/>
    <w:rsid w:val="00A10232"/>
    <w:rsid w:val="00A10264"/>
    <w:rsid w:val="00A10516"/>
    <w:rsid w:val="00A108CF"/>
    <w:rsid w:val="00A10BDB"/>
    <w:rsid w:val="00A10CE9"/>
    <w:rsid w:val="00A111B9"/>
    <w:rsid w:val="00A11363"/>
    <w:rsid w:val="00A1155A"/>
    <w:rsid w:val="00A11907"/>
    <w:rsid w:val="00A11929"/>
    <w:rsid w:val="00A1194C"/>
    <w:rsid w:val="00A11B45"/>
    <w:rsid w:val="00A11B63"/>
    <w:rsid w:val="00A11F6D"/>
    <w:rsid w:val="00A11F7E"/>
    <w:rsid w:val="00A1268A"/>
    <w:rsid w:val="00A12726"/>
    <w:rsid w:val="00A128FE"/>
    <w:rsid w:val="00A12B52"/>
    <w:rsid w:val="00A13301"/>
    <w:rsid w:val="00A13441"/>
    <w:rsid w:val="00A1361A"/>
    <w:rsid w:val="00A1365A"/>
    <w:rsid w:val="00A137AF"/>
    <w:rsid w:val="00A138F9"/>
    <w:rsid w:val="00A13A5D"/>
    <w:rsid w:val="00A13AF5"/>
    <w:rsid w:val="00A13BFD"/>
    <w:rsid w:val="00A13C0D"/>
    <w:rsid w:val="00A13F16"/>
    <w:rsid w:val="00A14157"/>
    <w:rsid w:val="00A14195"/>
    <w:rsid w:val="00A14284"/>
    <w:rsid w:val="00A14532"/>
    <w:rsid w:val="00A14CB9"/>
    <w:rsid w:val="00A14CD7"/>
    <w:rsid w:val="00A14F4F"/>
    <w:rsid w:val="00A1544E"/>
    <w:rsid w:val="00A16202"/>
    <w:rsid w:val="00A1636A"/>
    <w:rsid w:val="00A1641F"/>
    <w:rsid w:val="00A16511"/>
    <w:rsid w:val="00A16560"/>
    <w:rsid w:val="00A167BF"/>
    <w:rsid w:val="00A169A9"/>
    <w:rsid w:val="00A169CD"/>
    <w:rsid w:val="00A16C4F"/>
    <w:rsid w:val="00A16E7E"/>
    <w:rsid w:val="00A172DA"/>
    <w:rsid w:val="00A174B8"/>
    <w:rsid w:val="00A17BA3"/>
    <w:rsid w:val="00A17C94"/>
    <w:rsid w:val="00A2013A"/>
    <w:rsid w:val="00A20450"/>
    <w:rsid w:val="00A20559"/>
    <w:rsid w:val="00A213C4"/>
    <w:rsid w:val="00A214EC"/>
    <w:rsid w:val="00A218DD"/>
    <w:rsid w:val="00A21CFC"/>
    <w:rsid w:val="00A21E3C"/>
    <w:rsid w:val="00A21E6D"/>
    <w:rsid w:val="00A21ECA"/>
    <w:rsid w:val="00A21ED3"/>
    <w:rsid w:val="00A21EE4"/>
    <w:rsid w:val="00A21FC4"/>
    <w:rsid w:val="00A22B79"/>
    <w:rsid w:val="00A23588"/>
    <w:rsid w:val="00A238F6"/>
    <w:rsid w:val="00A23978"/>
    <w:rsid w:val="00A23B02"/>
    <w:rsid w:val="00A241DA"/>
    <w:rsid w:val="00A24468"/>
    <w:rsid w:val="00A24708"/>
    <w:rsid w:val="00A24864"/>
    <w:rsid w:val="00A24BF6"/>
    <w:rsid w:val="00A24E90"/>
    <w:rsid w:val="00A2535F"/>
    <w:rsid w:val="00A2570D"/>
    <w:rsid w:val="00A25746"/>
    <w:rsid w:val="00A259E1"/>
    <w:rsid w:val="00A25A49"/>
    <w:rsid w:val="00A25D6D"/>
    <w:rsid w:val="00A261AD"/>
    <w:rsid w:val="00A266C6"/>
    <w:rsid w:val="00A267D2"/>
    <w:rsid w:val="00A26EDC"/>
    <w:rsid w:val="00A26F65"/>
    <w:rsid w:val="00A26FC2"/>
    <w:rsid w:val="00A2748A"/>
    <w:rsid w:val="00A27738"/>
    <w:rsid w:val="00A2784D"/>
    <w:rsid w:val="00A30D5D"/>
    <w:rsid w:val="00A311D3"/>
    <w:rsid w:val="00A31200"/>
    <w:rsid w:val="00A3148B"/>
    <w:rsid w:val="00A31934"/>
    <w:rsid w:val="00A31AE0"/>
    <w:rsid w:val="00A31BA1"/>
    <w:rsid w:val="00A31E3C"/>
    <w:rsid w:val="00A322AC"/>
    <w:rsid w:val="00A32300"/>
    <w:rsid w:val="00A323BA"/>
    <w:rsid w:val="00A32A05"/>
    <w:rsid w:val="00A32A63"/>
    <w:rsid w:val="00A32A67"/>
    <w:rsid w:val="00A32BC4"/>
    <w:rsid w:val="00A32C0B"/>
    <w:rsid w:val="00A32C93"/>
    <w:rsid w:val="00A33358"/>
    <w:rsid w:val="00A33725"/>
    <w:rsid w:val="00A338C2"/>
    <w:rsid w:val="00A339C7"/>
    <w:rsid w:val="00A33F37"/>
    <w:rsid w:val="00A34124"/>
    <w:rsid w:val="00A34196"/>
    <w:rsid w:val="00A3421B"/>
    <w:rsid w:val="00A34258"/>
    <w:rsid w:val="00A34595"/>
    <w:rsid w:val="00A34CC0"/>
    <w:rsid w:val="00A35370"/>
    <w:rsid w:val="00A3542A"/>
    <w:rsid w:val="00A35C3E"/>
    <w:rsid w:val="00A35CD6"/>
    <w:rsid w:val="00A35CFA"/>
    <w:rsid w:val="00A35DD8"/>
    <w:rsid w:val="00A35FE7"/>
    <w:rsid w:val="00A3612E"/>
    <w:rsid w:val="00A3650A"/>
    <w:rsid w:val="00A3688E"/>
    <w:rsid w:val="00A36F4B"/>
    <w:rsid w:val="00A37121"/>
    <w:rsid w:val="00A373A5"/>
    <w:rsid w:val="00A374BE"/>
    <w:rsid w:val="00A375F9"/>
    <w:rsid w:val="00A37F74"/>
    <w:rsid w:val="00A40405"/>
    <w:rsid w:val="00A406D9"/>
    <w:rsid w:val="00A407BA"/>
    <w:rsid w:val="00A41081"/>
    <w:rsid w:val="00A412BD"/>
    <w:rsid w:val="00A41678"/>
    <w:rsid w:val="00A41B15"/>
    <w:rsid w:val="00A4206F"/>
    <w:rsid w:val="00A42A4C"/>
    <w:rsid w:val="00A42BDF"/>
    <w:rsid w:val="00A42E46"/>
    <w:rsid w:val="00A4317D"/>
    <w:rsid w:val="00A432E4"/>
    <w:rsid w:val="00A4339D"/>
    <w:rsid w:val="00A43506"/>
    <w:rsid w:val="00A43659"/>
    <w:rsid w:val="00A436BC"/>
    <w:rsid w:val="00A43A57"/>
    <w:rsid w:val="00A43ABF"/>
    <w:rsid w:val="00A44422"/>
    <w:rsid w:val="00A44A04"/>
    <w:rsid w:val="00A44A2A"/>
    <w:rsid w:val="00A44BEE"/>
    <w:rsid w:val="00A44BFC"/>
    <w:rsid w:val="00A44C87"/>
    <w:rsid w:val="00A45177"/>
    <w:rsid w:val="00A458D3"/>
    <w:rsid w:val="00A45A82"/>
    <w:rsid w:val="00A45F96"/>
    <w:rsid w:val="00A4600C"/>
    <w:rsid w:val="00A4618F"/>
    <w:rsid w:val="00A465B4"/>
    <w:rsid w:val="00A465C6"/>
    <w:rsid w:val="00A4665D"/>
    <w:rsid w:val="00A46762"/>
    <w:rsid w:val="00A46775"/>
    <w:rsid w:val="00A46850"/>
    <w:rsid w:val="00A46858"/>
    <w:rsid w:val="00A473FD"/>
    <w:rsid w:val="00A478FC"/>
    <w:rsid w:val="00A47C5C"/>
    <w:rsid w:val="00A47E13"/>
    <w:rsid w:val="00A47F5A"/>
    <w:rsid w:val="00A50525"/>
    <w:rsid w:val="00A50DC2"/>
    <w:rsid w:val="00A5127D"/>
    <w:rsid w:val="00A516DA"/>
    <w:rsid w:val="00A51734"/>
    <w:rsid w:val="00A5180E"/>
    <w:rsid w:val="00A5195E"/>
    <w:rsid w:val="00A51ACF"/>
    <w:rsid w:val="00A51B28"/>
    <w:rsid w:val="00A51E18"/>
    <w:rsid w:val="00A52210"/>
    <w:rsid w:val="00A52221"/>
    <w:rsid w:val="00A5234D"/>
    <w:rsid w:val="00A52362"/>
    <w:rsid w:val="00A52539"/>
    <w:rsid w:val="00A52C20"/>
    <w:rsid w:val="00A53184"/>
    <w:rsid w:val="00A5338B"/>
    <w:rsid w:val="00A5367C"/>
    <w:rsid w:val="00A53686"/>
    <w:rsid w:val="00A53866"/>
    <w:rsid w:val="00A53B2A"/>
    <w:rsid w:val="00A5418E"/>
    <w:rsid w:val="00A542A4"/>
    <w:rsid w:val="00A54409"/>
    <w:rsid w:val="00A546A3"/>
    <w:rsid w:val="00A5478F"/>
    <w:rsid w:val="00A54B53"/>
    <w:rsid w:val="00A54FE1"/>
    <w:rsid w:val="00A552DB"/>
    <w:rsid w:val="00A55960"/>
    <w:rsid w:val="00A561D9"/>
    <w:rsid w:val="00A562B2"/>
    <w:rsid w:val="00A565BF"/>
    <w:rsid w:val="00A56660"/>
    <w:rsid w:val="00A56888"/>
    <w:rsid w:val="00A56A3D"/>
    <w:rsid w:val="00A56E6F"/>
    <w:rsid w:val="00A56F09"/>
    <w:rsid w:val="00A57248"/>
    <w:rsid w:val="00A5760F"/>
    <w:rsid w:val="00A5780A"/>
    <w:rsid w:val="00A57A0A"/>
    <w:rsid w:val="00A57C83"/>
    <w:rsid w:val="00A6090E"/>
    <w:rsid w:val="00A60CCD"/>
    <w:rsid w:val="00A60ED3"/>
    <w:rsid w:val="00A60FCB"/>
    <w:rsid w:val="00A61017"/>
    <w:rsid w:val="00A61462"/>
    <w:rsid w:val="00A61657"/>
    <w:rsid w:val="00A6184C"/>
    <w:rsid w:val="00A61B8A"/>
    <w:rsid w:val="00A61BF3"/>
    <w:rsid w:val="00A61C48"/>
    <w:rsid w:val="00A62825"/>
    <w:rsid w:val="00A62871"/>
    <w:rsid w:val="00A62BEE"/>
    <w:rsid w:val="00A62CE4"/>
    <w:rsid w:val="00A62D44"/>
    <w:rsid w:val="00A62D5A"/>
    <w:rsid w:val="00A62E95"/>
    <w:rsid w:val="00A63605"/>
    <w:rsid w:val="00A639FA"/>
    <w:rsid w:val="00A63D39"/>
    <w:rsid w:val="00A63D41"/>
    <w:rsid w:val="00A64391"/>
    <w:rsid w:val="00A646BF"/>
    <w:rsid w:val="00A6493C"/>
    <w:rsid w:val="00A64C51"/>
    <w:rsid w:val="00A64FDC"/>
    <w:rsid w:val="00A650E1"/>
    <w:rsid w:val="00A656EE"/>
    <w:rsid w:val="00A65BFF"/>
    <w:rsid w:val="00A66397"/>
    <w:rsid w:val="00A66476"/>
    <w:rsid w:val="00A66C3B"/>
    <w:rsid w:val="00A66D28"/>
    <w:rsid w:val="00A66E60"/>
    <w:rsid w:val="00A6760C"/>
    <w:rsid w:val="00A67697"/>
    <w:rsid w:val="00A67714"/>
    <w:rsid w:val="00A6778D"/>
    <w:rsid w:val="00A677CB"/>
    <w:rsid w:val="00A6787A"/>
    <w:rsid w:val="00A67B26"/>
    <w:rsid w:val="00A67DD2"/>
    <w:rsid w:val="00A67F3B"/>
    <w:rsid w:val="00A694D0"/>
    <w:rsid w:val="00A702E8"/>
    <w:rsid w:val="00A709D1"/>
    <w:rsid w:val="00A70C26"/>
    <w:rsid w:val="00A70E54"/>
    <w:rsid w:val="00A70F2B"/>
    <w:rsid w:val="00A71146"/>
    <w:rsid w:val="00A7122A"/>
    <w:rsid w:val="00A712B0"/>
    <w:rsid w:val="00A71613"/>
    <w:rsid w:val="00A716DB"/>
    <w:rsid w:val="00A721A0"/>
    <w:rsid w:val="00A724E6"/>
    <w:rsid w:val="00A724F2"/>
    <w:rsid w:val="00A72711"/>
    <w:rsid w:val="00A72779"/>
    <w:rsid w:val="00A72B65"/>
    <w:rsid w:val="00A73115"/>
    <w:rsid w:val="00A73217"/>
    <w:rsid w:val="00A738CE"/>
    <w:rsid w:val="00A73A23"/>
    <w:rsid w:val="00A73E02"/>
    <w:rsid w:val="00A73EE1"/>
    <w:rsid w:val="00A74308"/>
    <w:rsid w:val="00A74A3C"/>
    <w:rsid w:val="00A74BBA"/>
    <w:rsid w:val="00A74C3D"/>
    <w:rsid w:val="00A74D7C"/>
    <w:rsid w:val="00A74D95"/>
    <w:rsid w:val="00A754D2"/>
    <w:rsid w:val="00A755BA"/>
    <w:rsid w:val="00A75C5E"/>
    <w:rsid w:val="00A760D9"/>
    <w:rsid w:val="00A761A8"/>
    <w:rsid w:val="00A76209"/>
    <w:rsid w:val="00A76C3B"/>
    <w:rsid w:val="00A76C7B"/>
    <w:rsid w:val="00A771F6"/>
    <w:rsid w:val="00A77426"/>
    <w:rsid w:val="00A77681"/>
    <w:rsid w:val="00A7794B"/>
    <w:rsid w:val="00A77B25"/>
    <w:rsid w:val="00A77B68"/>
    <w:rsid w:val="00A77B83"/>
    <w:rsid w:val="00A77D1B"/>
    <w:rsid w:val="00A80037"/>
    <w:rsid w:val="00A800DF"/>
    <w:rsid w:val="00A80FBF"/>
    <w:rsid w:val="00A8143A"/>
    <w:rsid w:val="00A8144C"/>
    <w:rsid w:val="00A814E2"/>
    <w:rsid w:val="00A8158D"/>
    <w:rsid w:val="00A81688"/>
    <w:rsid w:val="00A81744"/>
    <w:rsid w:val="00A81871"/>
    <w:rsid w:val="00A81A84"/>
    <w:rsid w:val="00A81AC8"/>
    <w:rsid w:val="00A81B1E"/>
    <w:rsid w:val="00A81D9B"/>
    <w:rsid w:val="00A82039"/>
    <w:rsid w:val="00A820D8"/>
    <w:rsid w:val="00A82335"/>
    <w:rsid w:val="00A824C8"/>
    <w:rsid w:val="00A8282D"/>
    <w:rsid w:val="00A8300A"/>
    <w:rsid w:val="00A83336"/>
    <w:rsid w:val="00A833C4"/>
    <w:rsid w:val="00A83511"/>
    <w:rsid w:val="00A83C1D"/>
    <w:rsid w:val="00A83E0E"/>
    <w:rsid w:val="00A84384"/>
    <w:rsid w:val="00A84706"/>
    <w:rsid w:val="00A847B9"/>
    <w:rsid w:val="00A84CC6"/>
    <w:rsid w:val="00A85561"/>
    <w:rsid w:val="00A855A5"/>
    <w:rsid w:val="00A8566D"/>
    <w:rsid w:val="00A858BD"/>
    <w:rsid w:val="00A85A91"/>
    <w:rsid w:val="00A85FBF"/>
    <w:rsid w:val="00A85FE1"/>
    <w:rsid w:val="00A8651B"/>
    <w:rsid w:val="00A865F5"/>
    <w:rsid w:val="00A86616"/>
    <w:rsid w:val="00A86649"/>
    <w:rsid w:val="00A86673"/>
    <w:rsid w:val="00A867FB"/>
    <w:rsid w:val="00A86C11"/>
    <w:rsid w:val="00A871B4"/>
    <w:rsid w:val="00A872FC"/>
    <w:rsid w:val="00A87711"/>
    <w:rsid w:val="00A87D00"/>
    <w:rsid w:val="00A87EA1"/>
    <w:rsid w:val="00A87F4C"/>
    <w:rsid w:val="00A90165"/>
    <w:rsid w:val="00A90319"/>
    <w:rsid w:val="00A9032C"/>
    <w:rsid w:val="00A905EB"/>
    <w:rsid w:val="00A90B0A"/>
    <w:rsid w:val="00A90CA3"/>
    <w:rsid w:val="00A910E4"/>
    <w:rsid w:val="00A91408"/>
    <w:rsid w:val="00A91A07"/>
    <w:rsid w:val="00A91B56"/>
    <w:rsid w:val="00A91E46"/>
    <w:rsid w:val="00A9218C"/>
    <w:rsid w:val="00A92208"/>
    <w:rsid w:val="00A92550"/>
    <w:rsid w:val="00A9271F"/>
    <w:rsid w:val="00A92E61"/>
    <w:rsid w:val="00A931BB"/>
    <w:rsid w:val="00A9337D"/>
    <w:rsid w:val="00A93834"/>
    <w:rsid w:val="00A93A66"/>
    <w:rsid w:val="00A93AB6"/>
    <w:rsid w:val="00A94576"/>
    <w:rsid w:val="00A948C9"/>
    <w:rsid w:val="00A94EF2"/>
    <w:rsid w:val="00A953E8"/>
    <w:rsid w:val="00A954E3"/>
    <w:rsid w:val="00A954F7"/>
    <w:rsid w:val="00A9569D"/>
    <w:rsid w:val="00A95D0D"/>
    <w:rsid w:val="00A962DA"/>
    <w:rsid w:val="00A96442"/>
    <w:rsid w:val="00A9644F"/>
    <w:rsid w:val="00A96455"/>
    <w:rsid w:val="00A967B2"/>
    <w:rsid w:val="00A96850"/>
    <w:rsid w:val="00A968F7"/>
    <w:rsid w:val="00A97117"/>
    <w:rsid w:val="00A97445"/>
    <w:rsid w:val="00A977CC"/>
    <w:rsid w:val="00A979B1"/>
    <w:rsid w:val="00A97E2D"/>
    <w:rsid w:val="00A97E3D"/>
    <w:rsid w:val="00A97FB5"/>
    <w:rsid w:val="00AA0028"/>
    <w:rsid w:val="00AA03BD"/>
    <w:rsid w:val="00AA07CC"/>
    <w:rsid w:val="00AA096B"/>
    <w:rsid w:val="00AA0A61"/>
    <w:rsid w:val="00AA0C80"/>
    <w:rsid w:val="00AA0D48"/>
    <w:rsid w:val="00AA11D7"/>
    <w:rsid w:val="00AA1655"/>
    <w:rsid w:val="00AA1889"/>
    <w:rsid w:val="00AA1AAE"/>
    <w:rsid w:val="00AA2030"/>
    <w:rsid w:val="00AA20A8"/>
    <w:rsid w:val="00AA2118"/>
    <w:rsid w:val="00AA2218"/>
    <w:rsid w:val="00AA252D"/>
    <w:rsid w:val="00AA279A"/>
    <w:rsid w:val="00AA2946"/>
    <w:rsid w:val="00AA2C32"/>
    <w:rsid w:val="00AA2F7E"/>
    <w:rsid w:val="00AA2F8A"/>
    <w:rsid w:val="00AA341E"/>
    <w:rsid w:val="00AA3733"/>
    <w:rsid w:val="00AA378D"/>
    <w:rsid w:val="00AA3B50"/>
    <w:rsid w:val="00AA3BAD"/>
    <w:rsid w:val="00AA3E4F"/>
    <w:rsid w:val="00AA419D"/>
    <w:rsid w:val="00AA42B9"/>
    <w:rsid w:val="00AA47AC"/>
    <w:rsid w:val="00AA4937"/>
    <w:rsid w:val="00AA4F4D"/>
    <w:rsid w:val="00AA50F0"/>
    <w:rsid w:val="00AA5393"/>
    <w:rsid w:val="00AA53DE"/>
    <w:rsid w:val="00AA5411"/>
    <w:rsid w:val="00AA5615"/>
    <w:rsid w:val="00AA5A3F"/>
    <w:rsid w:val="00AA6218"/>
    <w:rsid w:val="00AA65CD"/>
    <w:rsid w:val="00AA6686"/>
    <w:rsid w:val="00AA69A9"/>
    <w:rsid w:val="00AA6BFA"/>
    <w:rsid w:val="00AA718D"/>
    <w:rsid w:val="00AA7402"/>
    <w:rsid w:val="00AA7436"/>
    <w:rsid w:val="00AA7B85"/>
    <w:rsid w:val="00AA7CFD"/>
    <w:rsid w:val="00AA7FFE"/>
    <w:rsid w:val="00AB00B3"/>
    <w:rsid w:val="00AB00BD"/>
    <w:rsid w:val="00AB0187"/>
    <w:rsid w:val="00AB03C6"/>
    <w:rsid w:val="00AB042E"/>
    <w:rsid w:val="00AB04AF"/>
    <w:rsid w:val="00AB050B"/>
    <w:rsid w:val="00AB0560"/>
    <w:rsid w:val="00AB0634"/>
    <w:rsid w:val="00AB074B"/>
    <w:rsid w:val="00AB08BC"/>
    <w:rsid w:val="00AB09A7"/>
    <w:rsid w:val="00AB0F7D"/>
    <w:rsid w:val="00AB1186"/>
    <w:rsid w:val="00AB1342"/>
    <w:rsid w:val="00AB1647"/>
    <w:rsid w:val="00AB1E40"/>
    <w:rsid w:val="00AB1E4F"/>
    <w:rsid w:val="00AB1E85"/>
    <w:rsid w:val="00AB2478"/>
    <w:rsid w:val="00AB2A92"/>
    <w:rsid w:val="00AB2B7F"/>
    <w:rsid w:val="00AB2EDD"/>
    <w:rsid w:val="00AB32E5"/>
    <w:rsid w:val="00AB3453"/>
    <w:rsid w:val="00AB34E3"/>
    <w:rsid w:val="00AB36C5"/>
    <w:rsid w:val="00AB38F8"/>
    <w:rsid w:val="00AB3A5E"/>
    <w:rsid w:val="00AB3B50"/>
    <w:rsid w:val="00AB3C2E"/>
    <w:rsid w:val="00AB43DB"/>
    <w:rsid w:val="00AB4875"/>
    <w:rsid w:val="00AB4C96"/>
    <w:rsid w:val="00AB4CC4"/>
    <w:rsid w:val="00AB4D7B"/>
    <w:rsid w:val="00AB4DE6"/>
    <w:rsid w:val="00AB571C"/>
    <w:rsid w:val="00AB5A4A"/>
    <w:rsid w:val="00AB5C55"/>
    <w:rsid w:val="00AB5D66"/>
    <w:rsid w:val="00AB5FAC"/>
    <w:rsid w:val="00AB5FF8"/>
    <w:rsid w:val="00AB62C5"/>
    <w:rsid w:val="00AB6352"/>
    <w:rsid w:val="00AB6567"/>
    <w:rsid w:val="00AB6679"/>
    <w:rsid w:val="00AB6B0D"/>
    <w:rsid w:val="00AB6FFD"/>
    <w:rsid w:val="00AB757C"/>
    <w:rsid w:val="00AB7646"/>
    <w:rsid w:val="00AB789C"/>
    <w:rsid w:val="00AC032E"/>
    <w:rsid w:val="00AC0472"/>
    <w:rsid w:val="00AC0AC8"/>
    <w:rsid w:val="00AC0DFF"/>
    <w:rsid w:val="00AC0F02"/>
    <w:rsid w:val="00AC114D"/>
    <w:rsid w:val="00AC11A5"/>
    <w:rsid w:val="00AC13CC"/>
    <w:rsid w:val="00AC158A"/>
    <w:rsid w:val="00AC1866"/>
    <w:rsid w:val="00AC20B2"/>
    <w:rsid w:val="00AC21BD"/>
    <w:rsid w:val="00AC22F1"/>
    <w:rsid w:val="00AC2D24"/>
    <w:rsid w:val="00AC2E55"/>
    <w:rsid w:val="00AC3091"/>
    <w:rsid w:val="00AC313C"/>
    <w:rsid w:val="00AC31AC"/>
    <w:rsid w:val="00AC32D6"/>
    <w:rsid w:val="00AC356A"/>
    <w:rsid w:val="00AC35E3"/>
    <w:rsid w:val="00AC384B"/>
    <w:rsid w:val="00AC39FF"/>
    <w:rsid w:val="00AC3BB8"/>
    <w:rsid w:val="00AC3C96"/>
    <w:rsid w:val="00AC3DF6"/>
    <w:rsid w:val="00AC3F61"/>
    <w:rsid w:val="00AC3F83"/>
    <w:rsid w:val="00AC41E2"/>
    <w:rsid w:val="00AC4292"/>
    <w:rsid w:val="00AC45E9"/>
    <w:rsid w:val="00AC46D0"/>
    <w:rsid w:val="00AC46D4"/>
    <w:rsid w:val="00AC4784"/>
    <w:rsid w:val="00AC47BD"/>
    <w:rsid w:val="00AC4C3E"/>
    <w:rsid w:val="00AC4EB6"/>
    <w:rsid w:val="00AC4F96"/>
    <w:rsid w:val="00AC544F"/>
    <w:rsid w:val="00AC5459"/>
    <w:rsid w:val="00AC547D"/>
    <w:rsid w:val="00AC54C6"/>
    <w:rsid w:val="00AC5505"/>
    <w:rsid w:val="00AC5714"/>
    <w:rsid w:val="00AC5854"/>
    <w:rsid w:val="00AC59D2"/>
    <w:rsid w:val="00AC5CF9"/>
    <w:rsid w:val="00AC5D8F"/>
    <w:rsid w:val="00AC5DC0"/>
    <w:rsid w:val="00AC6166"/>
    <w:rsid w:val="00AC6214"/>
    <w:rsid w:val="00AC6ACF"/>
    <w:rsid w:val="00AC6E11"/>
    <w:rsid w:val="00AC6E31"/>
    <w:rsid w:val="00AC6E7B"/>
    <w:rsid w:val="00AC6EB5"/>
    <w:rsid w:val="00AC6F30"/>
    <w:rsid w:val="00AC76AF"/>
    <w:rsid w:val="00AC7824"/>
    <w:rsid w:val="00AC787D"/>
    <w:rsid w:val="00AC7896"/>
    <w:rsid w:val="00AC7FEE"/>
    <w:rsid w:val="00AD010A"/>
    <w:rsid w:val="00AD04EE"/>
    <w:rsid w:val="00AD05B2"/>
    <w:rsid w:val="00AD09B9"/>
    <w:rsid w:val="00AD09DA"/>
    <w:rsid w:val="00AD0B70"/>
    <w:rsid w:val="00AD1247"/>
    <w:rsid w:val="00AD1289"/>
    <w:rsid w:val="00AD13BE"/>
    <w:rsid w:val="00AD1484"/>
    <w:rsid w:val="00AD16A8"/>
    <w:rsid w:val="00AD1C4A"/>
    <w:rsid w:val="00AD1FD8"/>
    <w:rsid w:val="00AD2476"/>
    <w:rsid w:val="00AD250B"/>
    <w:rsid w:val="00AD2A2C"/>
    <w:rsid w:val="00AD2A79"/>
    <w:rsid w:val="00AD2B07"/>
    <w:rsid w:val="00AD2DE7"/>
    <w:rsid w:val="00AD3070"/>
    <w:rsid w:val="00AD32E4"/>
    <w:rsid w:val="00AD3389"/>
    <w:rsid w:val="00AD34EA"/>
    <w:rsid w:val="00AD36A4"/>
    <w:rsid w:val="00AD3834"/>
    <w:rsid w:val="00AD3B57"/>
    <w:rsid w:val="00AD3D10"/>
    <w:rsid w:val="00AD41F1"/>
    <w:rsid w:val="00AD4851"/>
    <w:rsid w:val="00AD4970"/>
    <w:rsid w:val="00AD4A2D"/>
    <w:rsid w:val="00AD50F1"/>
    <w:rsid w:val="00AD5116"/>
    <w:rsid w:val="00AD54FA"/>
    <w:rsid w:val="00AD5BC1"/>
    <w:rsid w:val="00AD6058"/>
    <w:rsid w:val="00AD62FC"/>
    <w:rsid w:val="00AD6F25"/>
    <w:rsid w:val="00AD7065"/>
    <w:rsid w:val="00AD71F9"/>
    <w:rsid w:val="00AD72DF"/>
    <w:rsid w:val="00AD73AE"/>
    <w:rsid w:val="00AD73FC"/>
    <w:rsid w:val="00AD7696"/>
    <w:rsid w:val="00AD7ABA"/>
    <w:rsid w:val="00AD7B94"/>
    <w:rsid w:val="00AE01A8"/>
    <w:rsid w:val="00AE04F9"/>
    <w:rsid w:val="00AE050B"/>
    <w:rsid w:val="00AE057D"/>
    <w:rsid w:val="00AE079A"/>
    <w:rsid w:val="00AE0C3C"/>
    <w:rsid w:val="00AE0C3F"/>
    <w:rsid w:val="00AE0D26"/>
    <w:rsid w:val="00AE11B1"/>
    <w:rsid w:val="00AE124D"/>
    <w:rsid w:val="00AE12E9"/>
    <w:rsid w:val="00AE183F"/>
    <w:rsid w:val="00AE1C38"/>
    <w:rsid w:val="00AE2BA0"/>
    <w:rsid w:val="00AE2BAE"/>
    <w:rsid w:val="00AE2C40"/>
    <w:rsid w:val="00AE2F8A"/>
    <w:rsid w:val="00AE32A9"/>
    <w:rsid w:val="00AE4038"/>
    <w:rsid w:val="00AE44B3"/>
    <w:rsid w:val="00AE4626"/>
    <w:rsid w:val="00AE4745"/>
    <w:rsid w:val="00AE4913"/>
    <w:rsid w:val="00AE4CD9"/>
    <w:rsid w:val="00AE4D24"/>
    <w:rsid w:val="00AE4D9C"/>
    <w:rsid w:val="00AE4EB9"/>
    <w:rsid w:val="00AE4FF6"/>
    <w:rsid w:val="00AE57A8"/>
    <w:rsid w:val="00AE5838"/>
    <w:rsid w:val="00AE5AA2"/>
    <w:rsid w:val="00AE5FB1"/>
    <w:rsid w:val="00AE690D"/>
    <w:rsid w:val="00AE6A0B"/>
    <w:rsid w:val="00AE6C05"/>
    <w:rsid w:val="00AE700B"/>
    <w:rsid w:val="00AE72CF"/>
    <w:rsid w:val="00AE77F3"/>
    <w:rsid w:val="00AE7AC2"/>
    <w:rsid w:val="00AF01F9"/>
    <w:rsid w:val="00AF04DD"/>
    <w:rsid w:val="00AF0D89"/>
    <w:rsid w:val="00AF0F4E"/>
    <w:rsid w:val="00AF169B"/>
    <w:rsid w:val="00AF16CF"/>
    <w:rsid w:val="00AF17B4"/>
    <w:rsid w:val="00AF1B13"/>
    <w:rsid w:val="00AF1FFA"/>
    <w:rsid w:val="00AF24EA"/>
    <w:rsid w:val="00AF26B1"/>
    <w:rsid w:val="00AF2AF9"/>
    <w:rsid w:val="00AF2B1D"/>
    <w:rsid w:val="00AF31F5"/>
    <w:rsid w:val="00AF33A4"/>
    <w:rsid w:val="00AF383B"/>
    <w:rsid w:val="00AF3B64"/>
    <w:rsid w:val="00AF3C28"/>
    <w:rsid w:val="00AF4385"/>
    <w:rsid w:val="00AF46AB"/>
    <w:rsid w:val="00AF4821"/>
    <w:rsid w:val="00AF4C02"/>
    <w:rsid w:val="00AF4DAF"/>
    <w:rsid w:val="00AF509E"/>
    <w:rsid w:val="00AF586F"/>
    <w:rsid w:val="00AF5973"/>
    <w:rsid w:val="00AF5EB0"/>
    <w:rsid w:val="00AF60C6"/>
    <w:rsid w:val="00AF6116"/>
    <w:rsid w:val="00AF627C"/>
    <w:rsid w:val="00AF6339"/>
    <w:rsid w:val="00AF6620"/>
    <w:rsid w:val="00AF6859"/>
    <w:rsid w:val="00AF72D9"/>
    <w:rsid w:val="00AF7498"/>
    <w:rsid w:val="00AF7711"/>
    <w:rsid w:val="00AF7798"/>
    <w:rsid w:val="00AF79D9"/>
    <w:rsid w:val="00AF7B5D"/>
    <w:rsid w:val="00B005A3"/>
    <w:rsid w:val="00B00C95"/>
    <w:rsid w:val="00B00D78"/>
    <w:rsid w:val="00B01278"/>
    <w:rsid w:val="00B0134C"/>
    <w:rsid w:val="00B015D2"/>
    <w:rsid w:val="00B01AE7"/>
    <w:rsid w:val="00B01E32"/>
    <w:rsid w:val="00B0235E"/>
    <w:rsid w:val="00B02426"/>
    <w:rsid w:val="00B02CE6"/>
    <w:rsid w:val="00B02F2A"/>
    <w:rsid w:val="00B0348C"/>
    <w:rsid w:val="00B03DE3"/>
    <w:rsid w:val="00B03E11"/>
    <w:rsid w:val="00B04222"/>
    <w:rsid w:val="00B0432A"/>
    <w:rsid w:val="00B04713"/>
    <w:rsid w:val="00B04828"/>
    <w:rsid w:val="00B048CC"/>
    <w:rsid w:val="00B04A64"/>
    <w:rsid w:val="00B0509A"/>
    <w:rsid w:val="00B0509F"/>
    <w:rsid w:val="00B050CC"/>
    <w:rsid w:val="00B051FA"/>
    <w:rsid w:val="00B053F4"/>
    <w:rsid w:val="00B05543"/>
    <w:rsid w:val="00B0554F"/>
    <w:rsid w:val="00B05769"/>
    <w:rsid w:val="00B058C7"/>
    <w:rsid w:val="00B063C1"/>
    <w:rsid w:val="00B06671"/>
    <w:rsid w:val="00B06AA9"/>
    <w:rsid w:val="00B06C56"/>
    <w:rsid w:val="00B070BD"/>
    <w:rsid w:val="00B0730F"/>
    <w:rsid w:val="00B074DB"/>
    <w:rsid w:val="00B0758C"/>
    <w:rsid w:val="00B0774D"/>
    <w:rsid w:val="00B10009"/>
    <w:rsid w:val="00B100DC"/>
    <w:rsid w:val="00B1015B"/>
    <w:rsid w:val="00B10646"/>
    <w:rsid w:val="00B10724"/>
    <w:rsid w:val="00B10755"/>
    <w:rsid w:val="00B1082C"/>
    <w:rsid w:val="00B110EE"/>
    <w:rsid w:val="00B11120"/>
    <w:rsid w:val="00B1129C"/>
    <w:rsid w:val="00B11A2A"/>
    <w:rsid w:val="00B11A63"/>
    <w:rsid w:val="00B11A7B"/>
    <w:rsid w:val="00B11AF8"/>
    <w:rsid w:val="00B11B81"/>
    <w:rsid w:val="00B11C15"/>
    <w:rsid w:val="00B120A5"/>
    <w:rsid w:val="00B12908"/>
    <w:rsid w:val="00B12954"/>
    <w:rsid w:val="00B12A16"/>
    <w:rsid w:val="00B12B07"/>
    <w:rsid w:val="00B1344E"/>
    <w:rsid w:val="00B13FB1"/>
    <w:rsid w:val="00B14486"/>
    <w:rsid w:val="00B14A4A"/>
    <w:rsid w:val="00B1521E"/>
    <w:rsid w:val="00B153A5"/>
    <w:rsid w:val="00B157B9"/>
    <w:rsid w:val="00B15927"/>
    <w:rsid w:val="00B15C90"/>
    <w:rsid w:val="00B1601B"/>
    <w:rsid w:val="00B160FF"/>
    <w:rsid w:val="00B163BC"/>
    <w:rsid w:val="00B16638"/>
    <w:rsid w:val="00B16931"/>
    <w:rsid w:val="00B16B10"/>
    <w:rsid w:val="00B16B71"/>
    <w:rsid w:val="00B16C0D"/>
    <w:rsid w:val="00B16D26"/>
    <w:rsid w:val="00B16DF7"/>
    <w:rsid w:val="00B16E2C"/>
    <w:rsid w:val="00B1722F"/>
    <w:rsid w:val="00B1731B"/>
    <w:rsid w:val="00B17376"/>
    <w:rsid w:val="00B178CB"/>
    <w:rsid w:val="00B178F3"/>
    <w:rsid w:val="00B17953"/>
    <w:rsid w:val="00B17AF8"/>
    <w:rsid w:val="00B17D52"/>
    <w:rsid w:val="00B17FD8"/>
    <w:rsid w:val="00B2003F"/>
    <w:rsid w:val="00B20222"/>
    <w:rsid w:val="00B202D7"/>
    <w:rsid w:val="00B202F3"/>
    <w:rsid w:val="00B20587"/>
    <w:rsid w:val="00B205D5"/>
    <w:rsid w:val="00B205DA"/>
    <w:rsid w:val="00B20F4C"/>
    <w:rsid w:val="00B210E8"/>
    <w:rsid w:val="00B2110B"/>
    <w:rsid w:val="00B21B82"/>
    <w:rsid w:val="00B226DC"/>
    <w:rsid w:val="00B2283E"/>
    <w:rsid w:val="00B22A00"/>
    <w:rsid w:val="00B22B20"/>
    <w:rsid w:val="00B22BC0"/>
    <w:rsid w:val="00B22C4F"/>
    <w:rsid w:val="00B22CA3"/>
    <w:rsid w:val="00B22CB7"/>
    <w:rsid w:val="00B23823"/>
    <w:rsid w:val="00B23D1A"/>
    <w:rsid w:val="00B24172"/>
    <w:rsid w:val="00B248E4"/>
    <w:rsid w:val="00B24A20"/>
    <w:rsid w:val="00B24ACF"/>
    <w:rsid w:val="00B24EBD"/>
    <w:rsid w:val="00B24ED9"/>
    <w:rsid w:val="00B25513"/>
    <w:rsid w:val="00B256A8"/>
    <w:rsid w:val="00B2571A"/>
    <w:rsid w:val="00B25E09"/>
    <w:rsid w:val="00B2607B"/>
    <w:rsid w:val="00B260C8"/>
    <w:rsid w:val="00B26106"/>
    <w:rsid w:val="00B2621F"/>
    <w:rsid w:val="00B266CD"/>
    <w:rsid w:val="00B26B67"/>
    <w:rsid w:val="00B26BA1"/>
    <w:rsid w:val="00B27241"/>
    <w:rsid w:val="00B27369"/>
    <w:rsid w:val="00B2739A"/>
    <w:rsid w:val="00B27427"/>
    <w:rsid w:val="00B277C7"/>
    <w:rsid w:val="00B278D6"/>
    <w:rsid w:val="00B279A7"/>
    <w:rsid w:val="00B27F68"/>
    <w:rsid w:val="00B27FC1"/>
    <w:rsid w:val="00B30050"/>
    <w:rsid w:val="00B30450"/>
    <w:rsid w:val="00B3063C"/>
    <w:rsid w:val="00B30658"/>
    <w:rsid w:val="00B308A8"/>
    <w:rsid w:val="00B3101E"/>
    <w:rsid w:val="00B31187"/>
    <w:rsid w:val="00B3172E"/>
    <w:rsid w:val="00B3195F"/>
    <w:rsid w:val="00B31A5E"/>
    <w:rsid w:val="00B31A88"/>
    <w:rsid w:val="00B31BBA"/>
    <w:rsid w:val="00B31D72"/>
    <w:rsid w:val="00B32338"/>
    <w:rsid w:val="00B323AC"/>
    <w:rsid w:val="00B3295B"/>
    <w:rsid w:val="00B32B08"/>
    <w:rsid w:val="00B32D74"/>
    <w:rsid w:val="00B3300D"/>
    <w:rsid w:val="00B33293"/>
    <w:rsid w:val="00B334B2"/>
    <w:rsid w:val="00B33B38"/>
    <w:rsid w:val="00B33FCB"/>
    <w:rsid w:val="00B340B6"/>
    <w:rsid w:val="00B340C5"/>
    <w:rsid w:val="00B34166"/>
    <w:rsid w:val="00B347B6"/>
    <w:rsid w:val="00B34E81"/>
    <w:rsid w:val="00B34EB5"/>
    <w:rsid w:val="00B34EEE"/>
    <w:rsid w:val="00B34FB8"/>
    <w:rsid w:val="00B35066"/>
    <w:rsid w:val="00B352C1"/>
    <w:rsid w:val="00B35538"/>
    <w:rsid w:val="00B35C8F"/>
    <w:rsid w:val="00B3604E"/>
    <w:rsid w:val="00B36283"/>
    <w:rsid w:val="00B36674"/>
    <w:rsid w:val="00B36694"/>
    <w:rsid w:val="00B369F6"/>
    <w:rsid w:val="00B36D62"/>
    <w:rsid w:val="00B36D79"/>
    <w:rsid w:val="00B36EBD"/>
    <w:rsid w:val="00B371D0"/>
    <w:rsid w:val="00B37452"/>
    <w:rsid w:val="00B37521"/>
    <w:rsid w:val="00B37A2D"/>
    <w:rsid w:val="00B37C8A"/>
    <w:rsid w:val="00B40321"/>
    <w:rsid w:val="00B4079D"/>
    <w:rsid w:val="00B40B14"/>
    <w:rsid w:val="00B40E3A"/>
    <w:rsid w:val="00B41216"/>
    <w:rsid w:val="00B41597"/>
    <w:rsid w:val="00B4168C"/>
    <w:rsid w:val="00B416DC"/>
    <w:rsid w:val="00B41E24"/>
    <w:rsid w:val="00B41E91"/>
    <w:rsid w:val="00B41F58"/>
    <w:rsid w:val="00B42102"/>
    <w:rsid w:val="00B426DA"/>
    <w:rsid w:val="00B427F0"/>
    <w:rsid w:val="00B42EEE"/>
    <w:rsid w:val="00B42F06"/>
    <w:rsid w:val="00B43030"/>
    <w:rsid w:val="00B43CAF"/>
    <w:rsid w:val="00B448EA"/>
    <w:rsid w:val="00B44942"/>
    <w:rsid w:val="00B44A83"/>
    <w:rsid w:val="00B44B57"/>
    <w:rsid w:val="00B4528F"/>
    <w:rsid w:val="00B4545B"/>
    <w:rsid w:val="00B45466"/>
    <w:rsid w:val="00B4568E"/>
    <w:rsid w:val="00B45D3F"/>
    <w:rsid w:val="00B46355"/>
    <w:rsid w:val="00B46448"/>
    <w:rsid w:val="00B46517"/>
    <w:rsid w:val="00B468B8"/>
    <w:rsid w:val="00B46BAE"/>
    <w:rsid w:val="00B4716E"/>
    <w:rsid w:val="00B474E1"/>
    <w:rsid w:val="00B4770C"/>
    <w:rsid w:val="00B478BC"/>
    <w:rsid w:val="00B47A80"/>
    <w:rsid w:val="00B47BE7"/>
    <w:rsid w:val="00B47D6E"/>
    <w:rsid w:val="00B47F26"/>
    <w:rsid w:val="00B47F7F"/>
    <w:rsid w:val="00B47FB2"/>
    <w:rsid w:val="00B502C2"/>
    <w:rsid w:val="00B50607"/>
    <w:rsid w:val="00B5072F"/>
    <w:rsid w:val="00B51042"/>
    <w:rsid w:val="00B511BE"/>
    <w:rsid w:val="00B512E4"/>
    <w:rsid w:val="00B518E9"/>
    <w:rsid w:val="00B519DE"/>
    <w:rsid w:val="00B51B07"/>
    <w:rsid w:val="00B51FDD"/>
    <w:rsid w:val="00B52050"/>
    <w:rsid w:val="00B52A3C"/>
    <w:rsid w:val="00B52F3E"/>
    <w:rsid w:val="00B52F86"/>
    <w:rsid w:val="00B53005"/>
    <w:rsid w:val="00B532D5"/>
    <w:rsid w:val="00B5345C"/>
    <w:rsid w:val="00B53A28"/>
    <w:rsid w:val="00B53A3D"/>
    <w:rsid w:val="00B53FFC"/>
    <w:rsid w:val="00B54327"/>
    <w:rsid w:val="00B543A9"/>
    <w:rsid w:val="00B5449E"/>
    <w:rsid w:val="00B54B0F"/>
    <w:rsid w:val="00B550CD"/>
    <w:rsid w:val="00B551AB"/>
    <w:rsid w:val="00B5528F"/>
    <w:rsid w:val="00B5556A"/>
    <w:rsid w:val="00B55822"/>
    <w:rsid w:val="00B55942"/>
    <w:rsid w:val="00B55EA1"/>
    <w:rsid w:val="00B5618A"/>
    <w:rsid w:val="00B56402"/>
    <w:rsid w:val="00B56493"/>
    <w:rsid w:val="00B56827"/>
    <w:rsid w:val="00B56B64"/>
    <w:rsid w:val="00B56C3D"/>
    <w:rsid w:val="00B56C75"/>
    <w:rsid w:val="00B56CB4"/>
    <w:rsid w:val="00B57531"/>
    <w:rsid w:val="00B5F497"/>
    <w:rsid w:val="00B60056"/>
    <w:rsid w:val="00B60899"/>
    <w:rsid w:val="00B60A2A"/>
    <w:rsid w:val="00B60C14"/>
    <w:rsid w:val="00B60E26"/>
    <w:rsid w:val="00B60F73"/>
    <w:rsid w:val="00B611C5"/>
    <w:rsid w:val="00B61703"/>
    <w:rsid w:val="00B61E7D"/>
    <w:rsid w:val="00B61FBA"/>
    <w:rsid w:val="00B6256C"/>
    <w:rsid w:val="00B627F3"/>
    <w:rsid w:val="00B62CEB"/>
    <w:rsid w:val="00B62F45"/>
    <w:rsid w:val="00B63335"/>
    <w:rsid w:val="00B63355"/>
    <w:rsid w:val="00B6377E"/>
    <w:rsid w:val="00B637D8"/>
    <w:rsid w:val="00B638DC"/>
    <w:rsid w:val="00B63DCC"/>
    <w:rsid w:val="00B63E43"/>
    <w:rsid w:val="00B63E5C"/>
    <w:rsid w:val="00B63F0D"/>
    <w:rsid w:val="00B64051"/>
    <w:rsid w:val="00B649D3"/>
    <w:rsid w:val="00B64B20"/>
    <w:rsid w:val="00B64D68"/>
    <w:rsid w:val="00B64F62"/>
    <w:rsid w:val="00B651B2"/>
    <w:rsid w:val="00B653FA"/>
    <w:rsid w:val="00B6556D"/>
    <w:rsid w:val="00B657DA"/>
    <w:rsid w:val="00B65863"/>
    <w:rsid w:val="00B659CF"/>
    <w:rsid w:val="00B66088"/>
    <w:rsid w:val="00B66650"/>
    <w:rsid w:val="00B66775"/>
    <w:rsid w:val="00B667BD"/>
    <w:rsid w:val="00B669D5"/>
    <w:rsid w:val="00B67013"/>
    <w:rsid w:val="00B67177"/>
    <w:rsid w:val="00B672C7"/>
    <w:rsid w:val="00B6752D"/>
    <w:rsid w:val="00B676FA"/>
    <w:rsid w:val="00B67728"/>
    <w:rsid w:val="00B6773E"/>
    <w:rsid w:val="00B7010A"/>
    <w:rsid w:val="00B707BE"/>
    <w:rsid w:val="00B7082E"/>
    <w:rsid w:val="00B70AD7"/>
    <w:rsid w:val="00B70FF5"/>
    <w:rsid w:val="00B71328"/>
    <w:rsid w:val="00B713C6"/>
    <w:rsid w:val="00B713E6"/>
    <w:rsid w:val="00B7151B"/>
    <w:rsid w:val="00B71575"/>
    <w:rsid w:val="00B7165A"/>
    <w:rsid w:val="00B718F1"/>
    <w:rsid w:val="00B71AA3"/>
    <w:rsid w:val="00B71D71"/>
    <w:rsid w:val="00B7201F"/>
    <w:rsid w:val="00B72265"/>
    <w:rsid w:val="00B726AF"/>
    <w:rsid w:val="00B72975"/>
    <w:rsid w:val="00B72A84"/>
    <w:rsid w:val="00B72B9B"/>
    <w:rsid w:val="00B72FBA"/>
    <w:rsid w:val="00B72FE9"/>
    <w:rsid w:val="00B73052"/>
    <w:rsid w:val="00B73392"/>
    <w:rsid w:val="00B73520"/>
    <w:rsid w:val="00B7353D"/>
    <w:rsid w:val="00B73903"/>
    <w:rsid w:val="00B740A0"/>
    <w:rsid w:val="00B74143"/>
    <w:rsid w:val="00B749CD"/>
    <w:rsid w:val="00B74A71"/>
    <w:rsid w:val="00B74A8E"/>
    <w:rsid w:val="00B7526E"/>
    <w:rsid w:val="00B75417"/>
    <w:rsid w:val="00B75535"/>
    <w:rsid w:val="00B757BB"/>
    <w:rsid w:val="00B75941"/>
    <w:rsid w:val="00B75FD7"/>
    <w:rsid w:val="00B7614D"/>
    <w:rsid w:val="00B761DD"/>
    <w:rsid w:val="00B7651F"/>
    <w:rsid w:val="00B766E1"/>
    <w:rsid w:val="00B768DE"/>
    <w:rsid w:val="00B7693A"/>
    <w:rsid w:val="00B76945"/>
    <w:rsid w:val="00B76F39"/>
    <w:rsid w:val="00B7700E"/>
    <w:rsid w:val="00B771D7"/>
    <w:rsid w:val="00B773A8"/>
    <w:rsid w:val="00B77804"/>
    <w:rsid w:val="00B80164"/>
    <w:rsid w:val="00B80253"/>
    <w:rsid w:val="00B80354"/>
    <w:rsid w:val="00B80758"/>
    <w:rsid w:val="00B80F4B"/>
    <w:rsid w:val="00B80FB3"/>
    <w:rsid w:val="00B8102E"/>
    <w:rsid w:val="00B812FF"/>
    <w:rsid w:val="00B81448"/>
    <w:rsid w:val="00B8195E"/>
    <w:rsid w:val="00B819AD"/>
    <w:rsid w:val="00B81A8B"/>
    <w:rsid w:val="00B81FDA"/>
    <w:rsid w:val="00B82C8A"/>
    <w:rsid w:val="00B82CC3"/>
    <w:rsid w:val="00B8300C"/>
    <w:rsid w:val="00B8310B"/>
    <w:rsid w:val="00B83331"/>
    <w:rsid w:val="00B83851"/>
    <w:rsid w:val="00B838EF"/>
    <w:rsid w:val="00B83DD3"/>
    <w:rsid w:val="00B841D6"/>
    <w:rsid w:val="00B84206"/>
    <w:rsid w:val="00B84266"/>
    <w:rsid w:val="00B843E4"/>
    <w:rsid w:val="00B8492A"/>
    <w:rsid w:val="00B8497C"/>
    <w:rsid w:val="00B84AD9"/>
    <w:rsid w:val="00B84F90"/>
    <w:rsid w:val="00B8547F"/>
    <w:rsid w:val="00B85564"/>
    <w:rsid w:val="00B85C5E"/>
    <w:rsid w:val="00B85F15"/>
    <w:rsid w:val="00B86060"/>
    <w:rsid w:val="00B8611E"/>
    <w:rsid w:val="00B86514"/>
    <w:rsid w:val="00B86618"/>
    <w:rsid w:val="00B86638"/>
    <w:rsid w:val="00B86644"/>
    <w:rsid w:val="00B86846"/>
    <w:rsid w:val="00B86A29"/>
    <w:rsid w:val="00B86BBD"/>
    <w:rsid w:val="00B86E1F"/>
    <w:rsid w:val="00B8703C"/>
    <w:rsid w:val="00B8712E"/>
    <w:rsid w:val="00B872EC"/>
    <w:rsid w:val="00B87586"/>
    <w:rsid w:val="00B87981"/>
    <w:rsid w:val="00B90015"/>
    <w:rsid w:val="00B902AA"/>
    <w:rsid w:val="00B90339"/>
    <w:rsid w:val="00B905D7"/>
    <w:rsid w:val="00B90B40"/>
    <w:rsid w:val="00B90F42"/>
    <w:rsid w:val="00B91674"/>
    <w:rsid w:val="00B91923"/>
    <w:rsid w:val="00B91958"/>
    <w:rsid w:val="00B9196F"/>
    <w:rsid w:val="00B91DF7"/>
    <w:rsid w:val="00B91E05"/>
    <w:rsid w:val="00B92129"/>
    <w:rsid w:val="00B927BD"/>
    <w:rsid w:val="00B93E3C"/>
    <w:rsid w:val="00B94355"/>
    <w:rsid w:val="00B9439A"/>
    <w:rsid w:val="00B94A5B"/>
    <w:rsid w:val="00B94B6D"/>
    <w:rsid w:val="00B94D51"/>
    <w:rsid w:val="00B94E22"/>
    <w:rsid w:val="00B95C68"/>
    <w:rsid w:val="00B95D21"/>
    <w:rsid w:val="00B95E77"/>
    <w:rsid w:val="00B95EE6"/>
    <w:rsid w:val="00B96483"/>
    <w:rsid w:val="00B96AC1"/>
    <w:rsid w:val="00B9743E"/>
    <w:rsid w:val="00B976CA"/>
    <w:rsid w:val="00B97B52"/>
    <w:rsid w:val="00BA00C1"/>
    <w:rsid w:val="00BA0208"/>
    <w:rsid w:val="00BA0326"/>
    <w:rsid w:val="00BA03E6"/>
    <w:rsid w:val="00BA052A"/>
    <w:rsid w:val="00BA06A2"/>
    <w:rsid w:val="00BA07C2"/>
    <w:rsid w:val="00BA0819"/>
    <w:rsid w:val="00BA0A46"/>
    <w:rsid w:val="00BA0B24"/>
    <w:rsid w:val="00BA0B3A"/>
    <w:rsid w:val="00BA0B48"/>
    <w:rsid w:val="00BA0B88"/>
    <w:rsid w:val="00BA0EC8"/>
    <w:rsid w:val="00BA0ECF"/>
    <w:rsid w:val="00BA1071"/>
    <w:rsid w:val="00BA1269"/>
    <w:rsid w:val="00BA1271"/>
    <w:rsid w:val="00BA141D"/>
    <w:rsid w:val="00BA1561"/>
    <w:rsid w:val="00BA177F"/>
    <w:rsid w:val="00BA1B15"/>
    <w:rsid w:val="00BA1C49"/>
    <w:rsid w:val="00BA1DA9"/>
    <w:rsid w:val="00BA2A61"/>
    <w:rsid w:val="00BA2C61"/>
    <w:rsid w:val="00BA2F37"/>
    <w:rsid w:val="00BA2FDA"/>
    <w:rsid w:val="00BA32A6"/>
    <w:rsid w:val="00BA3405"/>
    <w:rsid w:val="00BA3A3E"/>
    <w:rsid w:val="00BA3C9F"/>
    <w:rsid w:val="00BA4630"/>
    <w:rsid w:val="00BA4DB6"/>
    <w:rsid w:val="00BA53C4"/>
    <w:rsid w:val="00BA54FE"/>
    <w:rsid w:val="00BA560F"/>
    <w:rsid w:val="00BA5619"/>
    <w:rsid w:val="00BA5663"/>
    <w:rsid w:val="00BA5BCF"/>
    <w:rsid w:val="00BA5E70"/>
    <w:rsid w:val="00BA5E90"/>
    <w:rsid w:val="00BA658D"/>
    <w:rsid w:val="00BA69C4"/>
    <w:rsid w:val="00BA6C49"/>
    <w:rsid w:val="00BA76C8"/>
    <w:rsid w:val="00BA7A9A"/>
    <w:rsid w:val="00BA7B4D"/>
    <w:rsid w:val="00BA7F91"/>
    <w:rsid w:val="00BB008B"/>
    <w:rsid w:val="00BB035D"/>
    <w:rsid w:val="00BB03E6"/>
    <w:rsid w:val="00BB0622"/>
    <w:rsid w:val="00BB0871"/>
    <w:rsid w:val="00BB0B63"/>
    <w:rsid w:val="00BB1304"/>
    <w:rsid w:val="00BB1765"/>
    <w:rsid w:val="00BB183E"/>
    <w:rsid w:val="00BB1A1C"/>
    <w:rsid w:val="00BB1F23"/>
    <w:rsid w:val="00BB2235"/>
    <w:rsid w:val="00BB2AA4"/>
    <w:rsid w:val="00BB2E61"/>
    <w:rsid w:val="00BB2FBF"/>
    <w:rsid w:val="00BB3337"/>
    <w:rsid w:val="00BB3B14"/>
    <w:rsid w:val="00BB41F9"/>
    <w:rsid w:val="00BB4F5A"/>
    <w:rsid w:val="00BB4FF2"/>
    <w:rsid w:val="00BB5104"/>
    <w:rsid w:val="00BB555C"/>
    <w:rsid w:val="00BB55E3"/>
    <w:rsid w:val="00BB5A1A"/>
    <w:rsid w:val="00BB5A77"/>
    <w:rsid w:val="00BB5FEB"/>
    <w:rsid w:val="00BB6092"/>
    <w:rsid w:val="00BB615A"/>
    <w:rsid w:val="00BB64B4"/>
    <w:rsid w:val="00BB6749"/>
    <w:rsid w:val="00BB6AC4"/>
    <w:rsid w:val="00BB6C95"/>
    <w:rsid w:val="00BB6EC7"/>
    <w:rsid w:val="00BB709F"/>
    <w:rsid w:val="00BB71B9"/>
    <w:rsid w:val="00BB741D"/>
    <w:rsid w:val="00BB77D8"/>
    <w:rsid w:val="00BB77F7"/>
    <w:rsid w:val="00BB7DA9"/>
    <w:rsid w:val="00BB7EBD"/>
    <w:rsid w:val="00BC02DC"/>
    <w:rsid w:val="00BC04D1"/>
    <w:rsid w:val="00BC0593"/>
    <w:rsid w:val="00BC07CD"/>
    <w:rsid w:val="00BC0EDF"/>
    <w:rsid w:val="00BC0F7F"/>
    <w:rsid w:val="00BC1077"/>
    <w:rsid w:val="00BC147E"/>
    <w:rsid w:val="00BC15F6"/>
    <w:rsid w:val="00BC1718"/>
    <w:rsid w:val="00BC18D1"/>
    <w:rsid w:val="00BC1D79"/>
    <w:rsid w:val="00BC2039"/>
    <w:rsid w:val="00BC2615"/>
    <w:rsid w:val="00BC2E9C"/>
    <w:rsid w:val="00BC3000"/>
    <w:rsid w:val="00BC3B2D"/>
    <w:rsid w:val="00BC3BCE"/>
    <w:rsid w:val="00BC3D43"/>
    <w:rsid w:val="00BC3E47"/>
    <w:rsid w:val="00BC3EFF"/>
    <w:rsid w:val="00BC419C"/>
    <w:rsid w:val="00BC43D3"/>
    <w:rsid w:val="00BC4406"/>
    <w:rsid w:val="00BC4575"/>
    <w:rsid w:val="00BC49F7"/>
    <w:rsid w:val="00BC4AF4"/>
    <w:rsid w:val="00BC4B57"/>
    <w:rsid w:val="00BC4BFA"/>
    <w:rsid w:val="00BC4CE1"/>
    <w:rsid w:val="00BC5135"/>
    <w:rsid w:val="00BC53A8"/>
    <w:rsid w:val="00BC54E4"/>
    <w:rsid w:val="00BC55EE"/>
    <w:rsid w:val="00BC5645"/>
    <w:rsid w:val="00BC5652"/>
    <w:rsid w:val="00BC56DC"/>
    <w:rsid w:val="00BC575D"/>
    <w:rsid w:val="00BC58C0"/>
    <w:rsid w:val="00BC5958"/>
    <w:rsid w:val="00BC5DE5"/>
    <w:rsid w:val="00BC5EFD"/>
    <w:rsid w:val="00BC5F17"/>
    <w:rsid w:val="00BC62DD"/>
    <w:rsid w:val="00BC6866"/>
    <w:rsid w:val="00BC6F10"/>
    <w:rsid w:val="00BC7843"/>
    <w:rsid w:val="00BC7BF3"/>
    <w:rsid w:val="00BC7C8C"/>
    <w:rsid w:val="00BD019C"/>
    <w:rsid w:val="00BD029E"/>
    <w:rsid w:val="00BD03E2"/>
    <w:rsid w:val="00BD13EE"/>
    <w:rsid w:val="00BD13F2"/>
    <w:rsid w:val="00BD1590"/>
    <w:rsid w:val="00BD1735"/>
    <w:rsid w:val="00BD17C7"/>
    <w:rsid w:val="00BD199D"/>
    <w:rsid w:val="00BD1D84"/>
    <w:rsid w:val="00BD2092"/>
    <w:rsid w:val="00BD2739"/>
    <w:rsid w:val="00BD2B4A"/>
    <w:rsid w:val="00BD3071"/>
    <w:rsid w:val="00BD320B"/>
    <w:rsid w:val="00BD324D"/>
    <w:rsid w:val="00BD3690"/>
    <w:rsid w:val="00BD389E"/>
    <w:rsid w:val="00BD3921"/>
    <w:rsid w:val="00BD396A"/>
    <w:rsid w:val="00BD3DB6"/>
    <w:rsid w:val="00BD3DCC"/>
    <w:rsid w:val="00BD3EC8"/>
    <w:rsid w:val="00BD465C"/>
    <w:rsid w:val="00BD4A72"/>
    <w:rsid w:val="00BD4D12"/>
    <w:rsid w:val="00BD5118"/>
    <w:rsid w:val="00BD533A"/>
    <w:rsid w:val="00BD5407"/>
    <w:rsid w:val="00BD57B5"/>
    <w:rsid w:val="00BD597D"/>
    <w:rsid w:val="00BD5B06"/>
    <w:rsid w:val="00BD5B0D"/>
    <w:rsid w:val="00BD5DBF"/>
    <w:rsid w:val="00BD5DE7"/>
    <w:rsid w:val="00BD5F9C"/>
    <w:rsid w:val="00BD650A"/>
    <w:rsid w:val="00BD6ABC"/>
    <w:rsid w:val="00BD6C17"/>
    <w:rsid w:val="00BD6D4C"/>
    <w:rsid w:val="00BD71F7"/>
    <w:rsid w:val="00BD75AA"/>
    <w:rsid w:val="00BD7601"/>
    <w:rsid w:val="00BD7C9E"/>
    <w:rsid w:val="00BD7CB2"/>
    <w:rsid w:val="00BD7E37"/>
    <w:rsid w:val="00BD7EB0"/>
    <w:rsid w:val="00BE021C"/>
    <w:rsid w:val="00BE0683"/>
    <w:rsid w:val="00BE08A8"/>
    <w:rsid w:val="00BE08D4"/>
    <w:rsid w:val="00BE08FE"/>
    <w:rsid w:val="00BE09DA"/>
    <w:rsid w:val="00BE0D5E"/>
    <w:rsid w:val="00BE1082"/>
    <w:rsid w:val="00BE1188"/>
    <w:rsid w:val="00BE1563"/>
    <w:rsid w:val="00BE1652"/>
    <w:rsid w:val="00BE1D95"/>
    <w:rsid w:val="00BE2064"/>
    <w:rsid w:val="00BE2153"/>
    <w:rsid w:val="00BE2300"/>
    <w:rsid w:val="00BE23EF"/>
    <w:rsid w:val="00BE2604"/>
    <w:rsid w:val="00BE34C7"/>
    <w:rsid w:val="00BE35F3"/>
    <w:rsid w:val="00BE3B37"/>
    <w:rsid w:val="00BE4A40"/>
    <w:rsid w:val="00BE4C36"/>
    <w:rsid w:val="00BE5449"/>
    <w:rsid w:val="00BE54DF"/>
    <w:rsid w:val="00BE55B6"/>
    <w:rsid w:val="00BE58BC"/>
    <w:rsid w:val="00BE58EA"/>
    <w:rsid w:val="00BE59D2"/>
    <w:rsid w:val="00BE5A84"/>
    <w:rsid w:val="00BE5A9F"/>
    <w:rsid w:val="00BE5BE8"/>
    <w:rsid w:val="00BE6240"/>
    <w:rsid w:val="00BE68D8"/>
    <w:rsid w:val="00BE6BD0"/>
    <w:rsid w:val="00BE6F21"/>
    <w:rsid w:val="00BE7118"/>
    <w:rsid w:val="00BE7126"/>
    <w:rsid w:val="00BE7397"/>
    <w:rsid w:val="00BE7434"/>
    <w:rsid w:val="00BE77A2"/>
    <w:rsid w:val="00BE7874"/>
    <w:rsid w:val="00BE7957"/>
    <w:rsid w:val="00BE7B51"/>
    <w:rsid w:val="00BE7F65"/>
    <w:rsid w:val="00BF083A"/>
    <w:rsid w:val="00BF092A"/>
    <w:rsid w:val="00BF0973"/>
    <w:rsid w:val="00BF0B0F"/>
    <w:rsid w:val="00BF0C59"/>
    <w:rsid w:val="00BF124A"/>
    <w:rsid w:val="00BF1307"/>
    <w:rsid w:val="00BF170C"/>
    <w:rsid w:val="00BF1756"/>
    <w:rsid w:val="00BF193F"/>
    <w:rsid w:val="00BF1AD0"/>
    <w:rsid w:val="00BF1B11"/>
    <w:rsid w:val="00BF248C"/>
    <w:rsid w:val="00BF2693"/>
    <w:rsid w:val="00BF271E"/>
    <w:rsid w:val="00BF2ACD"/>
    <w:rsid w:val="00BF2F89"/>
    <w:rsid w:val="00BF3125"/>
    <w:rsid w:val="00BF3334"/>
    <w:rsid w:val="00BF383C"/>
    <w:rsid w:val="00BF38C8"/>
    <w:rsid w:val="00BF3FF3"/>
    <w:rsid w:val="00BF4229"/>
    <w:rsid w:val="00BF442A"/>
    <w:rsid w:val="00BF4859"/>
    <w:rsid w:val="00BF4A75"/>
    <w:rsid w:val="00BF4F02"/>
    <w:rsid w:val="00BF53CD"/>
    <w:rsid w:val="00BF5713"/>
    <w:rsid w:val="00BF58AE"/>
    <w:rsid w:val="00BF5A99"/>
    <w:rsid w:val="00BF633B"/>
    <w:rsid w:val="00BF643C"/>
    <w:rsid w:val="00BF64BC"/>
    <w:rsid w:val="00BF73C3"/>
    <w:rsid w:val="00BF7533"/>
    <w:rsid w:val="00BF7550"/>
    <w:rsid w:val="00BF7CA2"/>
    <w:rsid w:val="00C0080D"/>
    <w:rsid w:val="00C00CE5"/>
    <w:rsid w:val="00C00D3B"/>
    <w:rsid w:val="00C0126F"/>
    <w:rsid w:val="00C014A0"/>
    <w:rsid w:val="00C01B20"/>
    <w:rsid w:val="00C01BC0"/>
    <w:rsid w:val="00C01F1D"/>
    <w:rsid w:val="00C01FD0"/>
    <w:rsid w:val="00C02654"/>
    <w:rsid w:val="00C02739"/>
    <w:rsid w:val="00C02966"/>
    <w:rsid w:val="00C02B31"/>
    <w:rsid w:val="00C02B7C"/>
    <w:rsid w:val="00C02C41"/>
    <w:rsid w:val="00C02D98"/>
    <w:rsid w:val="00C03201"/>
    <w:rsid w:val="00C032A8"/>
    <w:rsid w:val="00C033AA"/>
    <w:rsid w:val="00C034AB"/>
    <w:rsid w:val="00C03BC5"/>
    <w:rsid w:val="00C04955"/>
    <w:rsid w:val="00C049C6"/>
    <w:rsid w:val="00C04C41"/>
    <w:rsid w:val="00C04D17"/>
    <w:rsid w:val="00C04F81"/>
    <w:rsid w:val="00C05660"/>
    <w:rsid w:val="00C05F54"/>
    <w:rsid w:val="00C062F6"/>
    <w:rsid w:val="00C06A04"/>
    <w:rsid w:val="00C06F19"/>
    <w:rsid w:val="00C06F43"/>
    <w:rsid w:val="00C070A9"/>
    <w:rsid w:val="00C07446"/>
    <w:rsid w:val="00C07898"/>
    <w:rsid w:val="00C078A8"/>
    <w:rsid w:val="00C07AB8"/>
    <w:rsid w:val="00C10085"/>
    <w:rsid w:val="00C10235"/>
    <w:rsid w:val="00C103D9"/>
    <w:rsid w:val="00C10597"/>
    <w:rsid w:val="00C10807"/>
    <w:rsid w:val="00C11461"/>
    <w:rsid w:val="00C1170D"/>
    <w:rsid w:val="00C117A1"/>
    <w:rsid w:val="00C118A9"/>
    <w:rsid w:val="00C11C42"/>
    <w:rsid w:val="00C120C2"/>
    <w:rsid w:val="00C1247A"/>
    <w:rsid w:val="00C124B3"/>
    <w:rsid w:val="00C12B31"/>
    <w:rsid w:val="00C12D76"/>
    <w:rsid w:val="00C130E5"/>
    <w:rsid w:val="00C13A7B"/>
    <w:rsid w:val="00C13E0C"/>
    <w:rsid w:val="00C140C9"/>
    <w:rsid w:val="00C142D2"/>
    <w:rsid w:val="00C14570"/>
    <w:rsid w:val="00C14A7F"/>
    <w:rsid w:val="00C14BAA"/>
    <w:rsid w:val="00C14DBA"/>
    <w:rsid w:val="00C15251"/>
    <w:rsid w:val="00C15432"/>
    <w:rsid w:val="00C157E8"/>
    <w:rsid w:val="00C15C6B"/>
    <w:rsid w:val="00C15CC9"/>
    <w:rsid w:val="00C15D5E"/>
    <w:rsid w:val="00C16269"/>
    <w:rsid w:val="00C16319"/>
    <w:rsid w:val="00C1690F"/>
    <w:rsid w:val="00C16AC2"/>
    <w:rsid w:val="00C16B42"/>
    <w:rsid w:val="00C170A5"/>
    <w:rsid w:val="00C171AC"/>
    <w:rsid w:val="00C171B7"/>
    <w:rsid w:val="00C17322"/>
    <w:rsid w:val="00C174F2"/>
    <w:rsid w:val="00C17DD8"/>
    <w:rsid w:val="00C20205"/>
    <w:rsid w:val="00C2069B"/>
    <w:rsid w:val="00C20B71"/>
    <w:rsid w:val="00C20B92"/>
    <w:rsid w:val="00C20C42"/>
    <w:rsid w:val="00C21145"/>
    <w:rsid w:val="00C2118E"/>
    <w:rsid w:val="00C21283"/>
    <w:rsid w:val="00C21486"/>
    <w:rsid w:val="00C21788"/>
    <w:rsid w:val="00C21FDF"/>
    <w:rsid w:val="00C22035"/>
    <w:rsid w:val="00C223F8"/>
    <w:rsid w:val="00C2263B"/>
    <w:rsid w:val="00C2269F"/>
    <w:rsid w:val="00C22957"/>
    <w:rsid w:val="00C229FC"/>
    <w:rsid w:val="00C22A31"/>
    <w:rsid w:val="00C22C27"/>
    <w:rsid w:val="00C22E39"/>
    <w:rsid w:val="00C23072"/>
    <w:rsid w:val="00C2421C"/>
    <w:rsid w:val="00C2439A"/>
    <w:rsid w:val="00C243F3"/>
    <w:rsid w:val="00C248A8"/>
    <w:rsid w:val="00C2502E"/>
    <w:rsid w:val="00C2529A"/>
    <w:rsid w:val="00C252B3"/>
    <w:rsid w:val="00C25414"/>
    <w:rsid w:val="00C25526"/>
    <w:rsid w:val="00C25705"/>
    <w:rsid w:val="00C25759"/>
    <w:rsid w:val="00C2580C"/>
    <w:rsid w:val="00C25A14"/>
    <w:rsid w:val="00C25FBF"/>
    <w:rsid w:val="00C2601C"/>
    <w:rsid w:val="00C2631C"/>
    <w:rsid w:val="00C26A05"/>
    <w:rsid w:val="00C26A08"/>
    <w:rsid w:val="00C26A5D"/>
    <w:rsid w:val="00C26F15"/>
    <w:rsid w:val="00C27278"/>
    <w:rsid w:val="00C27479"/>
    <w:rsid w:val="00C279F9"/>
    <w:rsid w:val="00C27FF7"/>
    <w:rsid w:val="00C300D4"/>
    <w:rsid w:val="00C300E2"/>
    <w:rsid w:val="00C30328"/>
    <w:rsid w:val="00C303DA"/>
    <w:rsid w:val="00C304BC"/>
    <w:rsid w:val="00C3051D"/>
    <w:rsid w:val="00C309B4"/>
    <w:rsid w:val="00C31397"/>
    <w:rsid w:val="00C315F2"/>
    <w:rsid w:val="00C3176F"/>
    <w:rsid w:val="00C31864"/>
    <w:rsid w:val="00C318B0"/>
    <w:rsid w:val="00C32073"/>
    <w:rsid w:val="00C3240B"/>
    <w:rsid w:val="00C327F8"/>
    <w:rsid w:val="00C32926"/>
    <w:rsid w:val="00C32B27"/>
    <w:rsid w:val="00C32CF5"/>
    <w:rsid w:val="00C32D0D"/>
    <w:rsid w:val="00C32EB1"/>
    <w:rsid w:val="00C33216"/>
    <w:rsid w:val="00C334AE"/>
    <w:rsid w:val="00C33579"/>
    <w:rsid w:val="00C33847"/>
    <w:rsid w:val="00C33871"/>
    <w:rsid w:val="00C338DD"/>
    <w:rsid w:val="00C33B6B"/>
    <w:rsid w:val="00C33D1C"/>
    <w:rsid w:val="00C34014"/>
    <w:rsid w:val="00C341F0"/>
    <w:rsid w:val="00C3425A"/>
    <w:rsid w:val="00C3448C"/>
    <w:rsid w:val="00C3491A"/>
    <w:rsid w:val="00C34BAB"/>
    <w:rsid w:val="00C34E5E"/>
    <w:rsid w:val="00C34E6E"/>
    <w:rsid w:val="00C34F1F"/>
    <w:rsid w:val="00C3551C"/>
    <w:rsid w:val="00C35975"/>
    <w:rsid w:val="00C35C67"/>
    <w:rsid w:val="00C35C7A"/>
    <w:rsid w:val="00C35E79"/>
    <w:rsid w:val="00C363EC"/>
    <w:rsid w:val="00C36B55"/>
    <w:rsid w:val="00C36C92"/>
    <w:rsid w:val="00C36D6A"/>
    <w:rsid w:val="00C36D81"/>
    <w:rsid w:val="00C37150"/>
    <w:rsid w:val="00C371DC"/>
    <w:rsid w:val="00C37F22"/>
    <w:rsid w:val="00C37FA3"/>
    <w:rsid w:val="00C37FEC"/>
    <w:rsid w:val="00C400E2"/>
    <w:rsid w:val="00C40140"/>
    <w:rsid w:val="00C402E4"/>
    <w:rsid w:val="00C409F7"/>
    <w:rsid w:val="00C40DA0"/>
    <w:rsid w:val="00C40E3E"/>
    <w:rsid w:val="00C41137"/>
    <w:rsid w:val="00C4132F"/>
    <w:rsid w:val="00C4135E"/>
    <w:rsid w:val="00C41517"/>
    <w:rsid w:val="00C41943"/>
    <w:rsid w:val="00C41B00"/>
    <w:rsid w:val="00C41CCC"/>
    <w:rsid w:val="00C41EF4"/>
    <w:rsid w:val="00C420B5"/>
    <w:rsid w:val="00C420FC"/>
    <w:rsid w:val="00C42124"/>
    <w:rsid w:val="00C4219A"/>
    <w:rsid w:val="00C424EB"/>
    <w:rsid w:val="00C4296F"/>
    <w:rsid w:val="00C42A96"/>
    <w:rsid w:val="00C42D41"/>
    <w:rsid w:val="00C43405"/>
    <w:rsid w:val="00C4359E"/>
    <w:rsid w:val="00C43EB3"/>
    <w:rsid w:val="00C446BF"/>
    <w:rsid w:val="00C4476F"/>
    <w:rsid w:val="00C44CC5"/>
    <w:rsid w:val="00C44E91"/>
    <w:rsid w:val="00C44F48"/>
    <w:rsid w:val="00C44F75"/>
    <w:rsid w:val="00C44FC4"/>
    <w:rsid w:val="00C44FD0"/>
    <w:rsid w:val="00C4527A"/>
    <w:rsid w:val="00C4534C"/>
    <w:rsid w:val="00C4577D"/>
    <w:rsid w:val="00C45FB8"/>
    <w:rsid w:val="00C4619F"/>
    <w:rsid w:val="00C46272"/>
    <w:rsid w:val="00C4639D"/>
    <w:rsid w:val="00C464E7"/>
    <w:rsid w:val="00C46AD9"/>
    <w:rsid w:val="00C46AE1"/>
    <w:rsid w:val="00C47743"/>
    <w:rsid w:val="00C47767"/>
    <w:rsid w:val="00C47880"/>
    <w:rsid w:val="00C4798E"/>
    <w:rsid w:val="00C4799F"/>
    <w:rsid w:val="00C47A24"/>
    <w:rsid w:val="00C50073"/>
    <w:rsid w:val="00C503E2"/>
    <w:rsid w:val="00C50926"/>
    <w:rsid w:val="00C510EA"/>
    <w:rsid w:val="00C512D2"/>
    <w:rsid w:val="00C515F3"/>
    <w:rsid w:val="00C519AF"/>
    <w:rsid w:val="00C51B16"/>
    <w:rsid w:val="00C51F46"/>
    <w:rsid w:val="00C51FDC"/>
    <w:rsid w:val="00C5226A"/>
    <w:rsid w:val="00C52C3E"/>
    <w:rsid w:val="00C52CB4"/>
    <w:rsid w:val="00C52FA9"/>
    <w:rsid w:val="00C53143"/>
    <w:rsid w:val="00C53267"/>
    <w:rsid w:val="00C53400"/>
    <w:rsid w:val="00C53477"/>
    <w:rsid w:val="00C53548"/>
    <w:rsid w:val="00C53554"/>
    <w:rsid w:val="00C538E6"/>
    <w:rsid w:val="00C53E9D"/>
    <w:rsid w:val="00C5435C"/>
    <w:rsid w:val="00C54624"/>
    <w:rsid w:val="00C54643"/>
    <w:rsid w:val="00C547E8"/>
    <w:rsid w:val="00C54BF6"/>
    <w:rsid w:val="00C55123"/>
    <w:rsid w:val="00C554C2"/>
    <w:rsid w:val="00C55688"/>
    <w:rsid w:val="00C5577C"/>
    <w:rsid w:val="00C558A3"/>
    <w:rsid w:val="00C55A85"/>
    <w:rsid w:val="00C55BB1"/>
    <w:rsid w:val="00C55E9B"/>
    <w:rsid w:val="00C5645A"/>
    <w:rsid w:val="00C564D0"/>
    <w:rsid w:val="00C56951"/>
    <w:rsid w:val="00C56F06"/>
    <w:rsid w:val="00C56F09"/>
    <w:rsid w:val="00C570B9"/>
    <w:rsid w:val="00C570E1"/>
    <w:rsid w:val="00C57273"/>
    <w:rsid w:val="00C60030"/>
    <w:rsid w:val="00C6028C"/>
    <w:rsid w:val="00C6029B"/>
    <w:rsid w:val="00C6030F"/>
    <w:rsid w:val="00C60414"/>
    <w:rsid w:val="00C60AAA"/>
    <w:rsid w:val="00C60DA5"/>
    <w:rsid w:val="00C60DBB"/>
    <w:rsid w:val="00C617A2"/>
    <w:rsid w:val="00C617BA"/>
    <w:rsid w:val="00C617FF"/>
    <w:rsid w:val="00C61B24"/>
    <w:rsid w:val="00C6224F"/>
    <w:rsid w:val="00C625E1"/>
    <w:rsid w:val="00C62908"/>
    <w:rsid w:val="00C6297A"/>
    <w:rsid w:val="00C62AE1"/>
    <w:rsid w:val="00C62CB4"/>
    <w:rsid w:val="00C62FCE"/>
    <w:rsid w:val="00C630C2"/>
    <w:rsid w:val="00C6352A"/>
    <w:rsid w:val="00C638EB"/>
    <w:rsid w:val="00C63BB6"/>
    <w:rsid w:val="00C63C44"/>
    <w:rsid w:val="00C63E09"/>
    <w:rsid w:val="00C64167"/>
    <w:rsid w:val="00C6445D"/>
    <w:rsid w:val="00C64A62"/>
    <w:rsid w:val="00C64B3C"/>
    <w:rsid w:val="00C64CFA"/>
    <w:rsid w:val="00C65423"/>
    <w:rsid w:val="00C6560B"/>
    <w:rsid w:val="00C65698"/>
    <w:rsid w:val="00C65D95"/>
    <w:rsid w:val="00C66246"/>
    <w:rsid w:val="00C662C7"/>
    <w:rsid w:val="00C663A6"/>
    <w:rsid w:val="00C669E7"/>
    <w:rsid w:val="00C66D9E"/>
    <w:rsid w:val="00C6726E"/>
    <w:rsid w:val="00C677AA"/>
    <w:rsid w:val="00C6789D"/>
    <w:rsid w:val="00C678A3"/>
    <w:rsid w:val="00C679FB"/>
    <w:rsid w:val="00C67B25"/>
    <w:rsid w:val="00C67DA9"/>
    <w:rsid w:val="00C67E11"/>
    <w:rsid w:val="00C67EA7"/>
    <w:rsid w:val="00C67F97"/>
    <w:rsid w:val="00C67FEB"/>
    <w:rsid w:val="00C7003B"/>
    <w:rsid w:val="00C70236"/>
    <w:rsid w:val="00C7027E"/>
    <w:rsid w:val="00C7035A"/>
    <w:rsid w:val="00C7094C"/>
    <w:rsid w:val="00C70B90"/>
    <w:rsid w:val="00C70F7F"/>
    <w:rsid w:val="00C7119B"/>
    <w:rsid w:val="00C71281"/>
    <w:rsid w:val="00C712C9"/>
    <w:rsid w:val="00C71469"/>
    <w:rsid w:val="00C715C9"/>
    <w:rsid w:val="00C71872"/>
    <w:rsid w:val="00C71D24"/>
    <w:rsid w:val="00C71F2E"/>
    <w:rsid w:val="00C72642"/>
    <w:rsid w:val="00C72709"/>
    <w:rsid w:val="00C72BCC"/>
    <w:rsid w:val="00C72C37"/>
    <w:rsid w:val="00C73396"/>
    <w:rsid w:val="00C733F6"/>
    <w:rsid w:val="00C73482"/>
    <w:rsid w:val="00C7388A"/>
    <w:rsid w:val="00C73ABE"/>
    <w:rsid w:val="00C73AF9"/>
    <w:rsid w:val="00C73C94"/>
    <w:rsid w:val="00C73C97"/>
    <w:rsid w:val="00C74059"/>
    <w:rsid w:val="00C740A4"/>
    <w:rsid w:val="00C74D11"/>
    <w:rsid w:val="00C75884"/>
    <w:rsid w:val="00C75B8D"/>
    <w:rsid w:val="00C75C75"/>
    <w:rsid w:val="00C76002"/>
    <w:rsid w:val="00C76AD0"/>
    <w:rsid w:val="00C76DC2"/>
    <w:rsid w:val="00C76E89"/>
    <w:rsid w:val="00C77096"/>
    <w:rsid w:val="00C772DB"/>
    <w:rsid w:val="00C77302"/>
    <w:rsid w:val="00C77408"/>
    <w:rsid w:val="00C775C7"/>
    <w:rsid w:val="00C7768D"/>
    <w:rsid w:val="00C778B0"/>
    <w:rsid w:val="00C7792C"/>
    <w:rsid w:val="00C77BE9"/>
    <w:rsid w:val="00C80148"/>
    <w:rsid w:val="00C8027D"/>
    <w:rsid w:val="00C80569"/>
    <w:rsid w:val="00C806D1"/>
    <w:rsid w:val="00C8078F"/>
    <w:rsid w:val="00C80B74"/>
    <w:rsid w:val="00C80C0E"/>
    <w:rsid w:val="00C8122C"/>
    <w:rsid w:val="00C81572"/>
    <w:rsid w:val="00C817AA"/>
    <w:rsid w:val="00C81A0F"/>
    <w:rsid w:val="00C81CE0"/>
    <w:rsid w:val="00C81D2D"/>
    <w:rsid w:val="00C822EF"/>
    <w:rsid w:val="00C8239B"/>
    <w:rsid w:val="00C824C8"/>
    <w:rsid w:val="00C82CC2"/>
    <w:rsid w:val="00C82CE6"/>
    <w:rsid w:val="00C82E09"/>
    <w:rsid w:val="00C82EC7"/>
    <w:rsid w:val="00C835CA"/>
    <w:rsid w:val="00C8364F"/>
    <w:rsid w:val="00C83BD2"/>
    <w:rsid w:val="00C83CEC"/>
    <w:rsid w:val="00C83E68"/>
    <w:rsid w:val="00C840DE"/>
    <w:rsid w:val="00C84455"/>
    <w:rsid w:val="00C84C66"/>
    <w:rsid w:val="00C852EF"/>
    <w:rsid w:val="00C85355"/>
    <w:rsid w:val="00C85843"/>
    <w:rsid w:val="00C85978"/>
    <w:rsid w:val="00C85E83"/>
    <w:rsid w:val="00C85EBE"/>
    <w:rsid w:val="00C85F5F"/>
    <w:rsid w:val="00C86089"/>
    <w:rsid w:val="00C86378"/>
    <w:rsid w:val="00C864C2"/>
    <w:rsid w:val="00C86765"/>
    <w:rsid w:val="00C8682B"/>
    <w:rsid w:val="00C86B4E"/>
    <w:rsid w:val="00C86D40"/>
    <w:rsid w:val="00C86DEC"/>
    <w:rsid w:val="00C86FD9"/>
    <w:rsid w:val="00C8720F"/>
    <w:rsid w:val="00C87520"/>
    <w:rsid w:val="00C876A0"/>
    <w:rsid w:val="00C87BA0"/>
    <w:rsid w:val="00C90011"/>
    <w:rsid w:val="00C900C1"/>
    <w:rsid w:val="00C900FF"/>
    <w:rsid w:val="00C904BE"/>
    <w:rsid w:val="00C908A0"/>
    <w:rsid w:val="00C90A89"/>
    <w:rsid w:val="00C90AD9"/>
    <w:rsid w:val="00C90C14"/>
    <w:rsid w:val="00C90D31"/>
    <w:rsid w:val="00C90DB5"/>
    <w:rsid w:val="00C91308"/>
    <w:rsid w:val="00C91908"/>
    <w:rsid w:val="00C9196F"/>
    <w:rsid w:val="00C91BB9"/>
    <w:rsid w:val="00C91E6D"/>
    <w:rsid w:val="00C920D1"/>
    <w:rsid w:val="00C92399"/>
    <w:rsid w:val="00C92412"/>
    <w:rsid w:val="00C924DE"/>
    <w:rsid w:val="00C929AF"/>
    <w:rsid w:val="00C9325B"/>
    <w:rsid w:val="00C934D0"/>
    <w:rsid w:val="00C937E9"/>
    <w:rsid w:val="00C940ED"/>
    <w:rsid w:val="00C94291"/>
    <w:rsid w:val="00C94574"/>
    <w:rsid w:val="00C949F3"/>
    <w:rsid w:val="00C94CDA"/>
    <w:rsid w:val="00C9508A"/>
    <w:rsid w:val="00C95497"/>
    <w:rsid w:val="00C95E98"/>
    <w:rsid w:val="00C95FB4"/>
    <w:rsid w:val="00C96019"/>
    <w:rsid w:val="00C96788"/>
    <w:rsid w:val="00C96B07"/>
    <w:rsid w:val="00C96CEF"/>
    <w:rsid w:val="00C96D25"/>
    <w:rsid w:val="00C96E3E"/>
    <w:rsid w:val="00C96FCD"/>
    <w:rsid w:val="00C9707A"/>
    <w:rsid w:val="00C97081"/>
    <w:rsid w:val="00C972ED"/>
    <w:rsid w:val="00C97829"/>
    <w:rsid w:val="00C97B2A"/>
    <w:rsid w:val="00C97BD2"/>
    <w:rsid w:val="00C97C87"/>
    <w:rsid w:val="00C97F1D"/>
    <w:rsid w:val="00CA0368"/>
    <w:rsid w:val="00CA0415"/>
    <w:rsid w:val="00CA04EB"/>
    <w:rsid w:val="00CA0790"/>
    <w:rsid w:val="00CA07CD"/>
    <w:rsid w:val="00CA107F"/>
    <w:rsid w:val="00CA10A6"/>
    <w:rsid w:val="00CA18B1"/>
    <w:rsid w:val="00CA1B23"/>
    <w:rsid w:val="00CA1BBA"/>
    <w:rsid w:val="00CA1CC8"/>
    <w:rsid w:val="00CA1DF5"/>
    <w:rsid w:val="00CA1ED1"/>
    <w:rsid w:val="00CA2CF2"/>
    <w:rsid w:val="00CA2FD5"/>
    <w:rsid w:val="00CA32C9"/>
    <w:rsid w:val="00CA36D7"/>
    <w:rsid w:val="00CA38F9"/>
    <w:rsid w:val="00CA41AA"/>
    <w:rsid w:val="00CA44A5"/>
    <w:rsid w:val="00CA4641"/>
    <w:rsid w:val="00CA474F"/>
    <w:rsid w:val="00CA48CE"/>
    <w:rsid w:val="00CA4914"/>
    <w:rsid w:val="00CA4A8A"/>
    <w:rsid w:val="00CA4B8E"/>
    <w:rsid w:val="00CA4C89"/>
    <w:rsid w:val="00CA4CED"/>
    <w:rsid w:val="00CA4F1A"/>
    <w:rsid w:val="00CA521D"/>
    <w:rsid w:val="00CA5A6E"/>
    <w:rsid w:val="00CA5A88"/>
    <w:rsid w:val="00CA5B0E"/>
    <w:rsid w:val="00CA5B9A"/>
    <w:rsid w:val="00CA5E7D"/>
    <w:rsid w:val="00CA615C"/>
    <w:rsid w:val="00CA63D2"/>
    <w:rsid w:val="00CA6543"/>
    <w:rsid w:val="00CA65AC"/>
    <w:rsid w:val="00CA6607"/>
    <w:rsid w:val="00CA6AD4"/>
    <w:rsid w:val="00CA6BD9"/>
    <w:rsid w:val="00CA6E0B"/>
    <w:rsid w:val="00CA6F04"/>
    <w:rsid w:val="00CA7603"/>
    <w:rsid w:val="00CA7B8A"/>
    <w:rsid w:val="00CA7BF3"/>
    <w:rsid w:val="00CA7F1F"/>
    <w:rsid w:val="00CB0076"/>
    <w:rsid w:val="00CB01E1"/>
    <w:rsid w:val="00CB0386"/>
    <w:rsid w:val="00CB063E"/>
    <w:rsid w:val="00CB0BEC"/>
    <w:rsid w:val="00CB0FF8"/>
    <w:rsid w:val="00CB147A"/>
    <w:rsid w:val="00CB1494"/>
    <w:rsid w:val="00CB1795"/>
    <w:rsid w:val="00CB1EE2"/>
    <w:rsid w:val="00CB227C"/>
    <w:rsid w:val="00CB25D5"/>
    <w:rsid w:val="00CB2873"/>
    <w:rsid w:val="00CB289A"/>
    <w:rsid w:val="00CB28D4"/>
    <w:rsid w:val="00CB2BE5"/>
    <w:rsid w:val="00CB2D92"/>
    <w:rsid w:val="00CB2E39"/>
    <w:rsid w:val="00CB318D"/>
    <w:rsid w:val="00CB3204"/>
    <w:rsid w:val="00CB3443"/>
    <w:rsid w:val="00CB35C0"/>
    <w:rsid w:val="00CB3761"/>
    <w:rsid w:val="00CB3791"/>
    <w:rsid w:val="00CB3826"/>
    <w:rsid w:val="00CB3940"/>
    <w:rsid w:val="00CB3BD1"/>
    <w:rsid w:val="00CB40A2"/>
    <w:rsid w:val="00CB4334"/>
    <w:rsid w:val="00CB444F"/>
    <w:rsid w:val="00CB446F"/>
    <w:rsid w:val="00CB486A"/>
    <w:rsid w:val="00CB48A8"/>
    <w:rsid w:val="00CB4ACE"/>
    <w:rsid w:val="00CB4B8A"/>
    <w:rsid w:val="00CB50DA"/>
    <w:rsid w:val="00CB54C8"/>
    <w:rsid w:val="00CB5555"/>
    <w:rsid w:val="00CB562F"/>
    <w:rsid w:val="00CB58F8"/>
    <w:rsid w:val="00CB5AAA"/>
    <w:rsid w:val="00CB5B3F"/>
    <w:rsid w:val="00CB5EBA"/>
    <w:rsid w:val="00CB668C"/>
    <w:rsid w:val="00CB6C58"/>
    <w:rsid w:val="00CB6E34"/>
    <w:rsid w:val="00CB6E78"/>
    <w:rsid w:val="00CB7170"/>
    <w:rsid w:val="00CB7478"/>
    <w:rsid w:val="00CB74EC"/>
    <w:rsid w:val="00CB7551"/>
    <w:rsid w:val="00CB7669"/>
    <w:rsid w:val="00CB76C2"/>
    <w:rsid w:val="00CB7BFD"/>
    <w:rsid w:val="00CB7E0F"/>
    <w:rsid w:val="00CB7E28"/>
    <w:rsid w:val="00CB7FB6"/>
    <w:rsid w:val="00CC0039"/>
    <w:rsid w:val="00CC0189"/>
    <w:rsid w:val="00CC03F8"/>
    <w:rsid w:val="00CC0646"/>
    <w:rsid w:val="00CC0A4D"/>
    <w:rsid w:val="00CC0A90"/>
    <w:rsid w:val="00CC0C51"/>
    <w:rsid w:val="00CC1042"/>
    <w:rsid w:val="00CC13DD"/>
    <w:rsid w:val="00CC1437"/>
    <w:rsid w:val="00CC179F"/>
    <w:rsid w:val="00CC18F6"/>
    <w:rsid w:val="00CC1B89"/>
    <w:rsid w:val="00CC1CB0"/>
    <w:rsid w:val="00CC1EDE"/>
    <w:rsid w:val="00CC23FC"/>
    <w:rsid w:val="00CC2539"/>
    <w:rsid w:val="00CC25F2"/>
    <w:rsid w:val="00CC263E"/>
    <w:rsid w:val="00CC2BBF"/>
    <w:rsid w:val="00CC2CC5"/>
    <w:rsid w:val="00CC2EB7"/>
    <w:rsid w:val="00CC30E2"/>
    <w:rsid w:val="00CC3157"/>
    <w:rsid w:val="00CC392E"/>
    <w:rsid w:val="00CC4033"/>
    <w:rsid w:val="00CC4784"/>
    <w:rsid w:val="00CC4D44"/>
    <w:rsid w:val="00CC4FF9"/>
    <w:rsid w:val="00CC54B4"/>
    <w:rsid w:val="00CC561F"/>
    <w:rsid w:val="00CC56B2"/>
    <w:rsid w:val="00CC5DDC"/>
    <w:rsid w:val="00CC5DE4"/>
    <w:rsid w:val="00CC5FA1"/>
    <w:rsid w:val="00CC617D"/>
    <w:rsid w:val="00CC6926"/>
    <w:rsid w:val="00CC710B"/>
    <w:rsid w:val="00CC71F5"/>
    <w:rsid w:val="00CC7284"/>
    <w:rsid w:val="00CC7516"/>
    <w:rsid w:val="00CC76FF"/>
    <w:rsid w:val="00CC77DD"/>
    <w:rsid w:val="00CC7B8A"/>
    <w:rsid w:val="00CD0CFF"/>
    <w:rsid w:val="00CD0DEA"/>
    <w:rsid w:val="00CD105A"/>
    <w:rsid w:val="00CD15F1"/>
    <w:rsid w:val="00CD18DD"/>
    <w:rsid w:val="00CD1924"/>
    <w:rsid w:val="00CD1BEC"/>
    <w:rsid w:val="00CD1CE9"/>
    <w:rsid w:val="00CD2243"/>
    <w:rsid w:val="00CD2817"/>
    <w:rsid w:val="00CD2ED3"/>
    <w:rsid w:val="00CD31A8"/>
    <w:rsid w:val="00CD32A0"/>
    <w:rsid w:val="00CD366A"/>
    <w:rsid w:val="00CD3BB2"/>
    <w:rsid w:val="00CD3C10"/>
    <w:rsid w:val="00CD3C7C"/>
    <w:rsid w:val="00CD4272"/>
    <w:rsid w:val="00CD44AC"/>
    <w:rsid w:val="00CD45D5"/>
    <w:rsid w:val="00CD4F7F"/>
    <w:rsid w:val="00CD53A2"/>
    <w:rsid w:val="00CD5ABA"/>
    <w:rsid w:val="00CD5CF7"/>
    <w:rsid w:val="00CD61D5"/>
    <w:rsid w:val="00CD61F2"/>
    <w:rsid w:val="00CD6274"/>
    <w:rsid w:val="00CD62D9"/>
    <w:rsid w:val="00CD62EB"/>
    <w:rsid w:val="00CD63AE"/>
    <w:rsid w:val="00CD63BC"/>
    <w:rsid w:val="00CD64CD"/>
    <w:rsid w:val="00CD6622"/>
    <w:rsid w:val="00CD6DC6"/>
    <w:rsid w:val="00CD6E64"/>
    <w:rsid w:val="00CD6E81"/>
    <w:rsid w:val="00CD74AC"/>
    <w:rsid w:val="00CD7669"/>
    <w:rsid w:val="00CD7783"/>
    <w:rsid w:val="00CD7795"/>
    <w:rsid w:val="00CD796C"/>
    <w:rsid w:val="00CD7C5B"/>
    <w:rsid w:val="00CD7EC2"/>
    <w:rsid w:val="00CD7F66"/>
    <w:rsid w:val="00CE09F7"/>
    <w:rsid w:val="00CE0A0B"/>
    <w:rsid w:val="00CE0A59"/>
    <w:rsid w:val="00CE0F5B"/>
    <w:rsid w:val="00CE11C8"/>
    <w:rsid w:val="00CE12BC"/>
    <w:rsid w:val="00CE1452"/>
    <w:rsid w:val="00CE16B1"/>
    <w:rsid w:val="00CE1C67"/>
    <w:rsid w:val="00CE20E3"/>
    <w:rsid w:val="00CE21E6"/>
    <w:rsid w:val="00CE222B"/>
    <w:rsid w:val="00CE2523"/>
    <w:rsid w:val="00CE2671"/>
    <w:rsid w:val="00CE28C7"/>
    <w:rsid w:val="00CE2942"/>
    <w:rsid w:val="00CE2BE4"/>
    <w:rsid w:val="00CE2C65"/>
    <w:rsid w:val="00CE304C"/>
    <w:rsid w:val="00CE32F1"/>
    <w:rsid w:val="00CE3D70"/>
    <w:rsid w:val="00CE3F17"/>
    <w:rsid w:val="00CE4088"/>
    <w:rsid w:val="00CE427B"/>
    <w:rsid w:val="00CE4484"/>
    <w:rsid w:val="00CE46A7"/>
    <w:rsid w:val="00CE48E8"/>
    <w:rsid w:val="00CE4C74"/>
    <w:rsid w:val="00CE4DF2"/>
    <w:rsid w:val="00CE4DFE"/>
    <w:rsid w:val="00CE4FF7"/>
    <w:rsid w:val="00CE5628"/>
    <w:rsid w:val="00CE5A2E"/>
    <w:rsid w:val="00CE5F19"/>
    <w:rsid w:val="00CE6368"/>
    <w:rsid w:val="00CE6425"/>
    <w:rsid w:val="00CE6745"/>
    <w:rsid w:val="00CE67A7"/>
    <w:rsid w:val="00CE693F"/>
    <w:rsid w:val="00CE6AB5"/>
    <w:rsid w:val="00CE6AD6"/>
    <w:rsid w:val="00CE6B27"/>
    <w:rsid w:val="00CE701B"/>
    <w:rsid w:val="00CE73AE"/>
    <w:rsid w:val="00CE7674"/>
    <w:rsid w:val="00CE7CC3"/>
    <w:rsid w:val="00CE7E05"/>
    <w:rsid w:val="00CF0082"/>
    <w:rsid w:val="00CF0470"/>
    <w:rsid w:val="00CF04AF"/>
    <w:rsid w:val="00CF0E59"/>
    <w:rsid w:val="00CF0E7E"/>
    <w:rsid w:val="00CF1133"/>
    <w:rsid w:val="00CF132E"/>
    <w:rsid w:val="00CF15B2"/>
    <w:rsid w:val="00CF168A"/>
    <w:rsid w:val="00CF1A32"/>
    <w:rsid w:val="00CF1BB0"/>
    <w:rsid w:val="00CF2451"/>
    <w:rsid w:val="00CF2504"/>
    <w:rsid w:val="00CF2784"/>
    <w:rsid w:val="00CF2980"/>
    <w:rsid w:val="00CF2FE4"/>
    <w:rsid w:val="00CF3A70"/>
    <w:rsid w:val="00CF3D8F"/>
    <w:rsid w:val="00CF3F6C"/>
    <w:rsid w:val="00CF42FA"/>
    <w:rsid w:val="00CF48F5"/>
    <w:rsid w:val="00CF4D50"/>
    <w:rsid w:val="00CF4DFA"/>
    <w:rsid w:val="00CF4FD2"/>
    <w:rsid w:val="00CF5350"/>
    <w:rsid w:val="00CF5B63"/>
    <w:rsid w:val="00CF5D9A"/>
    <w:rsid w:val="00CF5E3D"/>
    <w:rsid w:val="00CF61C0"/>
    <w:rsid w:val="00CF62E7"/>
    <w:rsid w:val="00CF6DDC"/>
    <w:rsid w:val="00CF6EC7"/>
    <w:rsid w:val="00CF704E"/>
    <w:rsid w:val="00CF771E"/>
    <w:rsid w:val="00CF79C1"/>
    <w:rsid w:val="00CF7B2D"/>
    <w:rsid w:val="00CF7D81"/>
    <w:rsid w:val="00CF7D8F"/>
    <w:rsid w:val="00D00507"/>
    <w:rsid w:val="00D00573"/>
    <w:rsid w:val="00D00CF3"/>
    <w:rsid w:val="00D00F49"/>
    <w:rsid w:val="00D0141D"/>
    <w:rsid w:val="00D0183B"/>
    <w:rsid w:val="00D0189D"/>
    <w:rsid w:val="00D01A10"/>
    <w:rsid w:val="00D01B46"/>
    <w:rsid w:val="00D01E1D"/>
    <w:rsid w:val="00D02132"/>
    <w:rsid w:val="00D02225"/>
    <w:rsid w:val="00D024AE"/>
    <w:rsid w:val="00D024B7"/>
    <w:rsid w:val="00D02617"/>
    <w:rsid w:val="00D0266D"/>
    <w:rsid w:val="00D02AA1"/>
    <w:rsid w:val="00D02DCF"/>
    <w:rsid w:val="00D02F3B"/>
    <w:rsid w:val="00D0302B"/>
    <w:rsid w:val="00D0315B"/>
    <w:rsid w:val="00D032C3"/>
    <w:rsid w:val="00D036BC"/>
    <w:rsid w:val="00D0377C"/>
    <w:rsid w:val="00D03C52"/>
    <w:rsid w:val="00D03EE5"/>
    <w:rsid w:val="00D03FA7"/>
    <w:rsid w:val="00D04135"/>
    <w:rsid w:val="00D041B2"/>
    <w:rsid w:val="00D0430A"/>
    <w:rsid w:val="00D0440C"/>
    <w:rsid w:val="00D0467E"/>
    <w:rsid w:val="00D0468F"/>
    <w:rsid w:val="00D0501D"/>
    <w:rsid w:val="00D05678"/>
    <w:rsid w:val="00D05759"/>
    <w:rsid w:val="00D05C4E"/>
    <w:rsid w:val="00D05E42"/>
    <w:rsid w:val="00D05EDF"/>
    <w:rsid w:val="00D06103"/>
    <w:rsid w:val="00D06A22"/>
    <w:rsid w:val="00D06FF7"/>
    <w:rsid w:val="00D073A5"/>
    <w:rsid w:val="00D073BD"/>
    <w:rsid w:val="00D07579"/>
    <w:rsid w:val="00D075AD"/>
    <w:rsid w:val="00D07665"/>
    <w:rsid w:val="00D079B7"/>
    <w:rsid w:val="00D07E6B"/>
    <w:rsid w:val="00D10323"/>
    <w:rsid w:val="00D103DE"/>
    <w:rsid w:val="00D1128D"/>
    <w:rsid w:val="00D112BE"/>
    <w:rsid w:val="00D1135E"/>
    <w:rsid w:val="00D11543"/>
    <w:rsid w:val="00D11F8C"/>
    <w:rsid w:val="00D1203F"/>
    <w:rsid w:val="00D12166"/>
    <w:rsid w:val="00D123EA"/>
    <w:rsid w:val="00D12423"/>
    <w:rsid w:val="00D128A4"/>
    <w:rsid w:val="00D12AC5"/>
    <w:rsid w:val="00D12FE0"/>
    <w:rsid w:val="00D140E1"/>
    <w:rsid w:val="00D14B6C"/>
    <w:rsid w:val="00D14D62"/>
    <w:rsid w:val="00D14DFC"/>
    <w:rsid w:val="00D14F4D"/>
    <w:rsid w:val="00D14F70"/>
    <w:rsid w:val="00D1556E"/>
    <w:rsid w:val="00D15686"/>
    <w:rsid w:val="00D16131"/>
    <w:rsid w:val="00D1665B"/>
    <w:rsid w:val="00D1685B"/>
    <w:rsid w:val="00D168E7"/>
    <w:rsid w:val="00D16B49"/>
    <w:rsid w:val="00D16DB2"/>
    <w:rsid w:val="00D17820"/>
    <w:rsid w:val="00D17AF0"/>
    <w:rsid w:val="00D17C2C"/>
    <w:rsid w:val="00D20113"/>
    <w:rsid w:val="00D201BF"/>
    <w:rsid w:val="00D20500"/>
    <w:rsid w:val="00D20558"/>
    <w:rsid w:val="00D206D4"/>
    <w:rsid w:val="00D20702"/>
    <w:rsid w:val="00D20B43"/>
    <w:rsid w:val="00D20B6F"/>
    <w:rsid w:val="00D20F42"/>
    <w:rsid w:val="00D2128A"/>
    <w:rsid w:val="00D2146F"/>
    <w:rsid w:val="00D216ED"/>
    <w:rsid w:val="00D217FA"/>
    <w:rsid w:val="00D21866"/>
    <w:rsid w:val="00D219BC"/>
    <w:rsid w:val="00D21AD5"/>
    <w:rsid w:val="00D21B80"/>
    <w:rsid w:val="00D21D0B"/>
    <w:rsid w:val="00D21E81"/>
    <w:rsid w:val="00D21E88"/>
    <w:rsid w:val="00D221E6"/>
    <w:rsid w:val="00D22259"/>
    <w:rsid w:val="00D22C08"/>
    <w:rsid w:val="00D22E1D"/>
    <w:rsid w:val="00D23044"/>
    <w:rsid w:val="00D2314F"/>
    <w:rsid w:val="00D23777"/>
    <w:rsid w:val="00D239AB"/>
    <w:rsid w:val="00D23D9F"/>
    <w:rsid w:val="00D23DBA"/>
    <w:rsid w:val="00D24157"/>
    <w:rsid w:val="00D24378"/>
    <w:rsid w:val="00D2447C"/>
    <w:rsid w:val="00D2468F"/>
    <w:rsid w:val="00D247DA"/>
    <w:rsid w:val="00D248A2"/>
    <w:rsid w:val="00D249E4"/>
    <w:rsid w:val="00D24D46"/>
    <w:rsid w:val="00D250B2"/>
    <w:rsid w:val="00D252A7"/>
    <w:rsid w:val="00D259E0"/>
    <w:rsid w:val="00D25AD1"/>
    <w:rsid w:val="00D25F6C"/>
    <w:rsid w:val="00D26196"/>
    <w:rsid w:val="00D26A6E"/>
    <w:rsid w:val="00D26A83"/>
    <w:rsid w:val="00D26C79"/>
    <w:rsid w:val="00D26FC0"/>
    <w:rsid w:val="00D2785A"/>
    <w:rsid w:val="00D279B6"/>
    <w:rsid w:val="00D27BC0"/>
    <w:rsid w:val="00D27E4C"/>
    <w:rsid w:val="00D303FF"/>
    <w:rsid w:val="00D30BEA"/>
    <w:rsid w:val="00D3113C"/>
    <w:rsid w:val="00D31218"/>
    <w:rsid w:val="00D31306"/>
    <w:rsid w:val="00D31334"/>
    <w:rsid w:val="00D314EA"/>
    <w:rsid w:val="00D319BF"/>
    <w:rsid w:val="00D31C36"/>
    <w:rsid w:val="00D31C9C"/>
    <w:rsid w:val="00D32085"/>
    <w:rsid w:val="00D3221C"/>
    <w:rsid w:val="00D32742"/>
    <w:rsid w:val="00D3286D"/>
    <w:rsid w:val="00D32890"/>
    <w:rsid w:val="00D32940"/>
    <w:rsid w:val="00D32DCE"/>
    <w:rsid w:val="00D33013"/>
    <w:rsid w:val="00D3313F"/>
    <w:rsid w:val="00D339E4"/>
    <w:rsid w:val="00D33BB2"/>
    <w:rsid w:val="00D33FA0"/>
    <w:rsid w:val="00D34496"/>
    <w:rsid w:val="00D34612"/>
    <w:rsid w:val="00D34753"/>
    <w:rsid w:val="00D349BA"/>
    <w:rsid w:val="00D34F3B"/>
    <w:rsid w:val="00D3509B"/>
    <w:rsid w:val="00D3521B"/>
    <w:rsid w:val="00D355AF"/>
    <w:rsid w:val="00D355DC"/>
    <w:rsid w:val="00D3584A"/>
    <w:rsid w:val="00D359C6"/>
    <w:rsid w:val="00D35D55"/>
    <w:rsid w:val="00D35E9B"/>
    <w:rsid w:val="00D3603E"/>
    <w:rsid w:val="00D36107"/>
    <w:rsid w:val="00D36324"/>
    <w:rsid w:val="00D3632C"/>
    <w:rsid w:val="00D36875"/>
    <w:rsid w:val="00D36B15"/>
    <w:rsid w:val="00D36F15"/>
    <w:rsid w:val="00D3796F"/>
    <w:rsid w:val="00D40051"/>
    <w:rsid w:val="00D40325"/>
    <w:rsid w:val="00D404AC"/>
    <w:rsid w:val="00D40971"/>
    <w:rsid w:val="00D40AEB"/>
    <w:rsid w:val="00D40B4C"/>
    <w:rsid w:val="00D40DC2"/>
    <w:rsid w:val="00D4179B"/>
    <w:rsid w:val="00D417A9"/>
    <w:rsid w:val="00D418D3"/>
    <w:rsid w:val="00D41968"/>
    <w:rsid w:val="00D41A90"/>
    <w:rsid w:val="00D41B76"/>
    <w:rsid w:val="00D42408"/>
    <w:rsid w:val="00D42A0B"/>
    <w:rsid w:val="00D42C85"/>
    <w:rsid w:val="00D4307B"/>
    <w:rsid w:val="00D4313C"/>
    <w:rsid w:val="00D43706"/>
    <w:rsid w:val="00D437FE"/>
    <w:rsid w:val="00D4387E"/>
    <w:rsid w:val="00D43CAF"/>
    <w:rsid w:val="00D43E52"/>
    <w:rsid w:val="00D43F54"/>
    <w:rsid w:val="00D44022"/>
    <w:rsid w:val="00D4426F"/>
    <w:rsid w:val="00D443CD"/>
    <w:rsid w:val="00D44B28"/>
    <w:rsid w:val="00D44CA6"/>
    <w:rsid w:val="00D45164"/>
    <w:rsid w:val="00D451E1"/>
    <w:rsid w:val="00D453FF"/>
    <w:rsid w:val="00D45521"/>
    <w:rsid w:val="00D4559B"/>
    <w:rsid w:val="00D45677"/>
    <w:rsid w:val="00D45FFC"/>
    <w:rsid w:val="00D45FFF"/>
    <w:rsid w:val="00D4668D"/>
    <w:rsid w:val="00D467EB"/>
    <w:rsid w:val="00D4681C"/>
    <w:rsid w:val="00D46BC1"/>
    <w:rsid w:val="00D46EE1"/>
    <w:rsid w:val="00D4753D"/>
    <w:rsid w:val="00D475B4"/>
    <w:rsid w:val="00D47A36"/>
    <w:rsid w:val="00D47A43"/>
    <w:rsid w:val="00D47AE1"/>
    <w:rsid w:val="00D47C6B"/>
    <w:rsid w:val="00D47D25"/>
    <w:rsid w:val="00D47F22"/>
    <w:rsid w:val="00D50233"/>
    <w:rsid w:val="00D505C4"/>
    <w:rsid w:val="00D50FE1"/>
    <w:rsid w:val="00D51128"/>
    <w:rsid w:val="00D51175"/>
    <w:rsid w:val="00D513A5"/>
    <w:rsid w:val="00D51406"/>
    <w:rsid w:val="00D51659"/>
    <w:rsid w:val="00D51964"/>
    <w:rsid w:val="00D51BA9"/>
    <w:rsid w:val="00D52221"/>
    <w:rsid w:val="00D5227B"/>
    <w:rsid w:val="00D52446"/>
    <w:rsid w:val="00D52874"/>
    <w:rsid w:val="00D528F2"/>
    <w:rsid w:val="00D5293B"/>
    <w:rsid w:val="00D52E91"/>
    <w:rsid w:val="00D531DE"/>
    <w:rsid w:val="00D53230"/>
    <w:rsid w:val="00D53797"/>
    <w:rsid w:val="00D53969"/>
    <w:rsid w:val="00D53FD9"/>
    <w:rsid w:val="00D54028"/>
    <w:rsid w:val="00D541D5"/>
    <w:rsid w:val="00D54696"/>
    <w:rsid w:val="00D54A0E"/>
    <w:rsid w:val="00D54B8D"/>
    <w:rsid w:val="00D54CBA"/>
    <w:rsid w:val="00D558CB"/>
    <w:rsid w:val="00D56142"/>
    <w:rsid w:val="00D56194"/>
    <w:rsid w:val="00D56357"/>
    <w:rsid w:val="00D5636E"/>
    <w:rsid w:val="00D564C4"/>
    <w:rsid w:val="00D568D6"/>
    <w:rsid w:val="00D56DC1"/>
    <w:rsid w:val="00D56E04"/>
    <w:rsid w:val="00D56EAF"/>
    <w:rsid w:val="00D56ED4"/>
    <w:rsid w:val="00D577FE"/>
    <w:rsid w:val="00D5789D"/>
    <w:rsid w:val="00D57C6C"/>
    <w:rsid w:val="00D57CE5"/>
    <w:rsid w:val="00D57E70"/>
    <w:rsid w:val="00D57EF4"/>
    <w:rsid w:val="00D60339"/>
    <w:rsid w:val="00D605BE"/>
    <w:rsid w:val="00D60B18"/>
    <w:rsid w:val="00D615E6"/>
    <w:rsid w:val="00D6198B"/>
    <w:rsid w:val="00D61B82"/>
    <w:rsid w:val="00D61D19"/>
    <w:rsid w:val="00D620A5"/>
    <w:rsid w:val="00D622E0"/>
    <w:rsid w:val="00D62489"/>
    <w:rsid w:val="00D625B9"/>
    <w:rsid w:val="00D63034"/>
    <w:rsid w:val="00D63044"/>
    <w:rsid w:val="00D630F5"/>
    <w:rsid w:val="00D63109"/>
    <w:rsid w:val="00D6327D"/>
    <w:rsid w:val="00D63343"/>
    <w:rsid w:val="00D63407"/>
    <w:rsid w:val="00D6342D"/>
    <w:rsid w:val="00D635D1"/>
    <w:rsid w:val="00D636A8"/>
    <w:rsid w:val="00D636EF"/>
    <w:rsid w:val="00D637B6"/>
    <w:rsid w:val="00D6389E"/>
    <w:rsid w:val="00D63C7E"/>
    <w:rsid w:val="00D6401A"/>
    <w:rsid w:val="00D641E8"/>
    <w:rsid w:val="00D64500"/>
    <w:rsid w:val="00D6452C"/>
    <w:rsid w:val="00D64566"/>
    <w:rsid w:val="00D64584"/>
    <w:rsid w:val="00D647D0"/>
    <w:rsid w:val="00D64902"/>
    <w:rsid w:val="00D649ED"/>
    <w:rsid w:val="00D64ED4"/>
    <w:rsid w:val="00D64FB6"/>
    <w:rsid w:val="00D65A13"/>
    <w:rsid w:val="00D65EC1"/>
    <w:rsid w:val="00D66208"/>
    <w:rsid w:val="00D6626A"/>
    <w:rsid w:val="00D663EB"/>
    <w:rsid w:val="00D664BF"/>
    <w:rsid w:val="00D667BB"/>
    <w:rsid w:val="00D667FF"/>
    <w:rsid w:val="00D6699A"/>
    <w:rsid w:val="00D66F37"/>
    <w:rsid w:val="00D66F4D"/>
    <w:rsid w:val="00D671C0"/>
    <w:rsid w:val="00D672D3"/>
    <w:rsid w:val="00D678AE"/>
    <w:rsid w:val="00D67CD1"/>
    <w:rsid w:val="00D67CFF"/>
    <w:rsid w:val="00D67F30"/>
    <w:rsid w:val="00D70E29"/>
    <w:rsid w:val="00D70FDF"/>
    <w:rsid w:val="00D71233"/>
    <w:rsid w:val="00D712D3"/>
    <w:rsid w:val="00D7138A"/>
    <w:rsid w:val="00D71EA8"/>
    <w:rsid w:val="00D71ED4"/>
    <w:rsid w:val="00D72673"/>
    <w:rsid w:val="00D72768"/>
    <w:rsid w:val="00D72840"/>
    <w:rsid w:val="00D72A16"/>
    <w:rsid w:val="00D72C34"/>
    <w:rsid w:val="00D72D9F"/>
    <w:rsid w:val="00D72E6C"/>
    <w:rsid w:val="00D73257"/>
    <w:rsid w:val="00D7387C"/>
    <w:rsid w:val="00D73C2E"/>
    <w:rsid w:val="00D73C4B"/>
    <w:rsid w:val="00D7406B"/>
    <w:rsid w:val="00D74172"/>
    <w:rsid w:val="00D7442D"/>
    <w:rsid w:val="00D747D7"/>
    <w:rsid w:val="00D74905"/>
    <w:rsid w:val="00D74B10"/>
    <w:rsid w:val="00D74B68"/>
    <w:rsid w:val="00D75313"/>
    <w:rsid w:val="00D7540E"/>
    <w:rsid w:val="00D7568C"/>
    <w:rsid w:val="00D761DC"/>
    <w:rsid w:val="00D7655F"/>
    <w:rsid w:val="00D765AF"/>
    <w:rsid w:val="00D7692C"/>
    <w:rsid w:val="00D76B22"/>
    <w:rsid w:val="00D76D64"/>
    <w:rsid w:val="00D76DF7"/>
    <w:rsid w:val="00D76F9D"/>
    <w:rsid w:val="00D76FDE"/>
    <w:rsid w:val="00D7705E"/>
    <w:rsid w:val="00D77AD1"/>
    <w:rsid w:val="00D77D9F"/>
    <w:rsid w:val="00D77DB5"/>
    <w:rsid w:val="00D80062"/>
    <w:rsid w:val="00D804AF"/>
    <w:rsid w:val="00D805F9"/>
    <w:rsid w:val="00D80845"/>
    <w:rsid w:val="00D808F1"/>
    <w:rsid w:val="00D80C6C"/>
    <w:rsid w:val="00D80F82"/>
    <w:rsid w:val="00D8112F"/>
    <w:rsid w:val="00D81637"/>
    <w:rsid w:val="00D81672"/>
    <w:rsid w:val="00D81AE8"/>
    <w:rsid w:val="00D81C90"/>
    <w:rsid w:val="00D81D16"/>
    <w:rsid w:val="00D82191"/>
    <w:rsid w:val="00D822B2"/>
    <w:rsid w:val="00D823BC"/>
    <w:rsid w:val="00D824F2"/>
    <w:rsid w:val="00D83277"/>
    <w:rsid w:val="00D833E2"/>
    <w:rsid w:val="00D83418"/>
    <w:rsid w:val="00D83906"/>
    <w:rsid w:val="00D83986"/>
    <w:rsid w:val="00D83DA8"/>
    <w:rsid w:val="00D84044"/>
    <w:rsid w:val="00D84463"/>
    <w:rsid w:val="00D84498"/>
    <w:rsid w:val="00D8477B"/>
    <w:rsid w:val="00D849DE"/>
    <w:rsid w:val="00D84E67"/>
    <w:rsid w:val="00D8513A"/>
    <w:rsid w:val="00D85156"/>
    <w:rsid w:val="00D851FE"/>
    <w:rsid w:val="00D85461"/>
    <w:rsid w:val="00D855CC"/>
    <w:rsid w:val="00D859A5"/>
    <w:rsid w:val="00D85C7C"/>
    <w:rsid w:val="00D85EB9"/>
    <w:rsid w:val="00D86024"/>
    <w:rsid w:val="00D8624D"/>
    <w:rsid w:val="00D862A2"/>
    <w:rsid w:val="00D8644F"/>
    <w:rsid w:val="00D86492"/>
    <w:rsid w:val="00D86F05"/>
    <w:rsid w:val="00D87470"/>
    <w:rsid w:val="00D87516"/>
    <w:rsid w:val="00D87585"/>
    <w:rsid w:val="00D87596"/>
    <w:rsid w:val="00D8766C"/>
    <w:rsid w:val="00D87BC5"/>
    <w:rsid w:val="00D90365"/>
    <w:rsid w:val="00D90380"/>
    <w:rsid w:val="00D90F5D"/>
    <w:rsid w:val="00D91000"/>
    <w:rsid w:val="00D91075"/>
    <w:rsid w:val="00D911F9"/>
    <w:rsid w:val="00D91252"/>
    <w:rsid w:val="00D916C9"/>
    <w:rsid w:val="00D91784"/>
    <w:rsid w:val="00D91858"/>
    <w:rsid w:val="00D919DB"/>
    <w:rsid w:val="00D91A1B"/>
    <w:rsid w:val="00D91A69"/>
    <w:rsid w:val="00D91C10"/>
    <w:rsid w:val="00D91FEE"/>
    <w:rsid w:val="00D9210C"/>
    <w:rsid w:val="00D92A9D"/>
    <w:rsid w:val="00D92C70"/>
    <w:rsid w:val="00D93066"/>
    <w:rsid w:val="00D93480"/>
    <w:rsid w:val="00D934CD"/>
    <w:rsid w:val="00D936D8"/>
    <w:rsid w:val="00D93AD4"/>
    <w:rsid w:val="00D94205"/>
    <w:rsid w:val="00D94B4B"/>
    <w:rsid w:val="00D95008"/>
    <w:rsid w:val="00D95017"/>
    <w:rsid w:val="00D950B5"/>
    <w:rsid w:val="00D95140"/>
    <w:rsid w:val="00D95239"/>
    <w:rsid w:val="00D9526A"/>
    <w:rsid w:val="00D95875"/>
    <w:rsid w:val="00D95B52"/>
    <w:rsid w:val="00D95CE9"/>
    <w:rsid w:val="00D95EC0"/>
    <w:rsid w:val="00D96081"/>
    <w:rsid w:val="00D9690D"/>
    <w:rsid w:val="00D96C3D"/>
    <w:rsid w:val="00D96C61"/>
    <w:rsid w:val="00D96C6F"/>
    <w:rsid w:val="00D97137"/>
    <w:rsid w:val="00D971D0"/>
    <w:rsid w:val="00D971FA"/>
    <w:rsid w:val="00D972D9"/>
    <w:rsid w:val="00D9739E"/>
    <w:rsid w:val="00D97480"/>
    <w:rsid w:val="00D97511"/>
    <w:rsid w:val="00D975E5"/>
    <w:rsid w:val="00D97968"/>
    <w:rsid w:val="00D97A8F"/>
    <w:rsid w:val="00D97BED"/>
    <w:rsid w:val="00D97FF4"/>
    <w:rsid w:val="00DA04DF"/>
    <w:rsid w:val="00DA054F"/>
    <w:rsid w:val="00DA0813"/>
    <w:rsid w:val="00DA0889"/>
    <w:rsid w:val="00DA0F1C"/>
    <w:rsid w:val="00DA104E"/>
    <w:rsid w:val="00DA1224"/>
    <w:rsid w:val="00DA1737"/>
    <w:rsid w:val="00DA1C6D"/>
    <w:rsid w:val="00DA1CDD"/>
    <w:rsid w:val="00DA28BD"/>
    <w:rsid w:val="00DA29AE"/>
    <w:rsid w:val="00DA29B3"/>
    <w:rsid w:val="00DA2F64"/>
    <w:rsid w:val="00DA35B1"/>
    <w:rsid w:val="00DA378F"/>
    <w:rsid w:val="00DA3825"/>
    <w:rsid w:val="00DA4081"/>
    <w:rsid w:val="00DA40DD"/>
    <w:rsid w:val="00DA44D5"/>
    <w:rsid w:val="00DA45B1"/>
    <w:rsid w:val="00DA4ACF"/>
    <w:rsid w:val="00DA4B2B"/>
    <w:rsid w:val="00DA4E20"/>
    <w:rsid w:val="00DA4EC6"/>
    <w:rsid w:val="00DA4FD7"/>
    <w:rsid w:val="00DA5258"/>
    <w:rsid w:val="00DA5509"/>
    <w:rsid w:val="00DA56B0"/>
    <w:rsid w:val="00DA5DA7"/>
    <w:rsid w:val="00DA6181"/>
    <w:rsid w:val="00DA6346"/>
    <w:rsid w:val="00DA65D3"/>
    <w:rsid w:val="00DA679D"/>
    <w:rsid w:val="00DA6B40"/>
    <w:rsid w:val="00DA6B51"/>
    <w:rsid w:val="00DA6B7D"/>
    <w:rsid w:val="00DA6C78"/>
    <w:rsid w:val="00DA7421"/>
    <w:rsid w:val="00DA7867"/>
    <w:rsid w:val="00DA791F"/>
    <w:rsid w:val="00DA7F02"/>
    <w:rsid w:val="00DB069A"/>
    <w:rsid w:val="00DB0A5F"/>
    <w:rsid w:val="00DB0E4D"/>
    <w:rsid w:val="00DB12E0"/>
    <w:rsid w:val="00DB155E"/>
    <w:rsid w:val="00DB1758"/>
    <w:rsid w:val="00DB1964"/>
    <w:rsid w:val="00DB1CEB"/>
    <w:rsid w:val="00DB2055"/>
    <w:rsid w:val="00DB2542"/>
    <w:rsid w:val="00DB2B54"/>
    <w:rsid w:val="00DB2BE5"/>
    <w:rsid w:val="00DB2FFC"/>
    <w:rsid w:val="00DB3030"/>
    <w:rsid w:val="00DB356E"/>
    <w:rsid w:val="00DB35D6"/>
    <w:rsid w:val="00DB3B57"/>
    <w:rsid w:val="00DB406C"/>
    <w:rsid w:val="00DB4098"/>
    <w:rsid w:val="00DB41FD"/>
    <w:rsid w:val="00DB4490"/>
    <w:rsid w:val="00DB4981"/>
    <w:rsid w:val="00DB4A90"/>
    <w:rsid w:val="00DB4AAF"/>
    <w:rsid w:val="00DB52A6"/>
    <w:rsid w:val="00DB5551"/>
    <w:rsid w:val="00DB55D7"/>
    <w:rsid w:val="00DB572F"/>
    <w:rsid w:val="00DB5B0E"/>
    <w:rsid w:val="00DB5C13"/>
    <w:rsid w:val="00DB5CE8"/>
    <w:rsid w:val="00DB5DDD"/>
    <w:rsid w:val="00DB5E4E"/>
    <w:rsid w:val="00DB5E7E"/>
    <w:rsid w:val="00DB6285"/>
    <w:rsid w:val="00DB638A"/>
    <w:rsid w:val="00DB686E"/>
    <w:rsid w:val="00DB6B90"/>
    <w:rsid w:val="00DB6E38"/>
    <w:rsid w:val="00DB6FDE"/>
    <w:rsid w:val="00DB798E"/>
    <w:rsid w:val="00DB7EE8"/>
    <w:rsid w:val="00DC013B"/>
    <w:rsid w:val="00DC019A"/>
    <w:rsid w:val="00DC0301"/>
    <w:rsid w:val="00DC053E"/>
    <w:rsid w:val="00DC057D"/>
    <w:rsid w:val="00DC0A88"/>
    <w:rsid w:val="00DC0F1A"/>
    <w:rsid w:val="00DC1065"/>
    <w:rsid w:val="00DC11A3"/>
    <w:rsid w:val="00DC1751"/>
    <w:rsid w:val="00DC1C77"/>
    <w:rsid w:val="00DC1FEB"/>
    <w:rsid w:val="00DC211C"/>
    <w:rsid w:val="00DC2656"/>
    <w:rsid w:val="00DC27CA"/>
    <w:rsid w:val="00DC2B6D"/>
    <w:rsid w:val="00DC2ED7"/>
    <w:rsid w:val="00DC2F29"/>
    <w:rsid w:val="00DC32C0"/>
    <w:rsid w:val="00DC350B"/>
    <w:rsid w:val="00DC37A0"/>
    <w:rsid w:val="00DC3C6B"/>
    <w:rsid w:val="00DC3DCF"/>
    <w:rsid w:val="00DC3E42"/>
    <w:rsid w:val="00DC4C4B"/>
    <w:rsid w:val="00DC4D19"/>
    <w:rsid w:val="00DC4DA7"/>
    <w:rsid w:val="00DC4F67"/>
    <w:rsid w:val="00DC51E5"/>
    <w:rsid w:val="00DC53D4"/>
    <w:rsid w:val="00DC563D"/>
    <w:rsid w:val="00DC566A"/>
    <w:rsid w:val="00DC572D"/>
    <w:rsid w:val="00DC5E30"/>
    <w:rsid w:val="00DC5E48"/>
    <w:rsid w:val="00DC60CD"/>
    <w:rsid w:val="00DC6357"/>
    <w:rsid w:val="00DC66C8"/>
    <w:rsid w:val="00DC692B"/>
    <w:rsid w:val="00DC69EC"/>
    <w:rsid w:val="00DC6D0D"/>
    <w:rsid w:val="00DC6D82"/>
    <w:rsid w:val="00DC6EDF"/>
    <w:rsid w:val="00DC7587"/>
    <w:rsid w:val="00DC767E"/>
    <w:rsid w:val="00DC79F2"/>
    <w:rsid w:val="00DD040E"/>
    <w:rsid w:val="00DD042C"/>
    <w:rsid w:val="00DD081B"/>
    <w:rsid w:val="00DD0C16"/>
    <w:rsid w:val="00DD121B"/>
    <w:rsid w:val="00DD148F"/>
    <w:rsid w:val="00DD1ADA"/>
    <w:rsid w:val="00DD1CCC"/>
    <w:rsid w:val="00DD1DD4"/>
    <w:rsid w:val="00DD1F9A"/>
    <w:rsid w:val="00DD232D"/>
    <w:rsid w:val="00DD251F"/>
    <w:rsid w:val="00DD28AD"/>
    <w:rsid w:val="00DD2B92"/>
    <w:rsid w:val="00DD2F48"/>
    <w:rsid w:val="00DD3355"/>
    <w:rsid w:val="00DD34FC"/>
    <w:rsid w:val="00DD35B8"/>
    <w:rsid w:val="00DD365D"/>
    <w:rsid w:val="00DD3866"/>
    <w:rsid w:val="00DD3EB0"/>
    <w:rsid w:val="00DD3EF4"/>
    <w:rsid w:val="00DD40B6"/>
    <w:rsid w:val="00DD47EC"/>
    <w:rsid w:val="00DD4A3F"/>
    <w:rsid w:val="00DD4B28"/>
    <w:rsid w:val="00DD4C78"/>
    <w:rsid w:val="00DD4F9C"/>
    <w:rsid w:val="00DD5003"/>
    <w:rsid w:val="00DD553A"/>
    <w:rsid w:val="00DD57BB"/>
    <w:rsid w:val="00DD5D11"/>
    <w:rsid w:val="00DD5DD5"/>
    <w:rsid w:val="00DD5E86"/>
    <w:rsid w:val="00DD5E9F"/>
    <w:rsid w:val="00DD6066"/>
    <w:rsid w:val="00DD641E"/>
    <w:rsid w:val="00DD6779"/>
    <w:rsid w:val="00DD680F"/>
    <w:rsid w:val="00DD6949"/>
    <w:rsid w:val="00DD69DD"/>
    <w:rsid w:val="00DD6A8F"/>
    <w:rsid w:val="00DD6D04"/>
    <w:rsid w:val="00DD6D99"/>
    <w:rsid w:val="00DD7064"/>
    <w:rsid w:val="00DD70A4"/>
    <w:rsid w:val="00DD75E9"/>
    <w:rsid w:val="00DD771A"/>
    <w:rsid w:val="00DD7D00"/>
    <w:rsid w:val="00DE01FA"/>
    <w:rsid w:val="00DE0600"/>
    <w:rsid w:val="00DE0840"/>
    <w:rsid w:val="00DE09E7"/>
    <w:rsid w:val="00DE0A44"/>
    <w:rsid w:val="00DE0CDE"/>
    <w:rsid w:val="00DE1264"/>
    <w:rsid w:val="00DE137F"/>
    <w:rsid w:val="00DE1464"/>
    <w:rsid w:val="00DE1584"/>
    <w:rsid w:val="00DE1F75"/>
    <w:rsid w:val="00DE22A9"/>
    <w:rsid w:val="00DE23C6"/>
    <w:rsid w:val="00DE240A"/>
    <w:rsid w:val="00DE2757"/>
    <w:rsid w:val="00DE2ECF"/>
    <w:rsid w:val="00DE2FD3"/>
    <w:rsid w:val="00DE3031"/>
    <w:rsid w:val="00DE3127"/>
    <w:rsid w:val="00DE3315"/>
    <w:rsid w:val="00DE34DE"/>
    <w:rsid w:val="00DE352C"/>
    <w:rsid w:val="00DE3C2A"/>
    <w:rsid w:val="00DE3C94"/>
    <w:rsid w:val="00DE4080"/>
    <w:rsid w:val="00DE42B4"/>
    <w:rsid w:val="00DE44CF"/>
    <w:rsid w:val="00DE48ED"/>
    <w:rsid w:val="00DE49E3"/>
    <w:rsid w:val="00DE4AC1"/>
    <w:rsid w:val="00DE4AC4"/>
    <w:rsid w:val="00DE4FA1"/>
    <w:rsid w:val="00DE50A5"/>
    <w:rsid w:val="00DE5309"/>
    <w:rsid w:val="00DE5520"/>
    <w:rsid w:val="00DE5738"/>
    <w:rsid w:val="00DE5785"/>
    <w:rsid w:val="00DE583E"/>
    <w:rsid w:val="00DE59F9"/>
    <w:rsid w:val="00DE5CAA"/>
    <w:rsid w:val="00DE611C"/>
    <w:rsid w:val="00DE61C3"/>
    <w:rsid w:val="00DE620C"/>
    <w:rsid w:val="00DE662C"/>
    <w:rsid w:val="00DE6878"/>
    <w:rsid w:val="00DE70FC"/>
    <w:rsid w:val="00DE714F"/>
    <w:rsid w:val="00DE7209"/>
    <w:rsid w:val="00DE73F1"/>
    <w:rsid w:val="00DE76B1"/>
    <w:rsid w:val="00DE7A50"/>
    <w:rsid w:val="00DE7A86"/>
    <w:rsid w:val="00DE7BBB"/>
    <w:rsid w:val="00DE7FD7"/>
    <w:rsid w:val="00DF04F2"/>
    <w:rsid w:val="00DF05D8"/>
    <w:rsid w:val="00DF096F"/>
    <w:rsid w:val="00DF0D0B"/>
    <w:rsid w:val="00DF0E04"/>
    <w:rsid w:val="00DF0E7E"/>
    <w:rsid w:val="00DF0F1C"/>
    <w:rsid w:val="00DF1343"/>
    <w:rsid w:val="00DF19AE"/>
    <w:rsid w:val="00DF1A7F"/>
    <w:rsid w:val="00DF1CD8"/>
    <w:rsid w:val="00DF20AD"/>
    <w:rsid w:val="00DF270C"/>
    <w:rsid w:val="00DF2FDF"/>
    <w:rsid w:val="00DF3212"/>
    <w:rsid w:val="00DF3BCA"/>
    <w:rsid w:val="00DF3C2E"/>
    <w:rsid w:val="00DF3EA5"/>
    <w:rsid w:val="00DF3F88"/>
    <w:rsid w:val="00DF40BF"/>
    <w:rsid w:val="00DF41B5"/>
    <w:rsid w:val="00DF4208"/>
    <w:rsid w:val="00DF4300"/>
    <w:rsid w:val="00DF4370"/>
    <w:rsid w:val="00DF44B4"/>
    <w:rsid w:val="00DF4C29"/>
    <w:rsid w:val="00DF4D59"/>
    <w:rsid w:val="00DF4EDE"/>
    <w:rsid w:val="00DF5224"/>
    <w:rsid w:val="00DF5524"/>
    <w:rsid w:val="00DF556D"/>
    <w:rsid w:val="00DF58F6"/>
    <w:rsid w:val="00DF5F69"/>
    <w:rsid w:val="00DF6022"/>
    <w:rsid w:val="00DF62B0"/>
    <w:rsid w:val="00DF6348"/>
    <w:rsid w:val="00DF69D3"/>
    <w:rsid w:val="00DF6C4A"/>
    <w:rsid w:val="00DF6F94"/>
    <w:rsid w:val="00DF7330"/>
    <w:rsid w:val="00DF7520"/>
    <w:rsid w:val="00DF7577"/>
    <w:rsid w:val="00DF782F"/>
    <w:rsid w:val="00DF78B1"/>
    <w:rsid w:val="00DF7CBC"/>
    <w:rsid w:val="00E000E6"/>
    <w:rsid w:val="00E0019B"/>
    <w:rsid w:val="00E00987"/>
    <w:rsid w:val="00E0098D"/>
    <w:rsid w:val="00E00A40"/>
    <w:rsid w:val="00E0120C"/>
    <w:rsid w:val="00E01382"/>
    <w:rsid w:val="00E014E3"/>
    <w:rsid w:val="00E01507"/>
    <w:rsid w:val="00E01560"/>
    <w:rsid w:val="00E018F5"/>
    <w:rsid w:val="00E01A17"/>
    <w:rsid w:val="00E01F0A"/>
    <w:rsid w:val="00E0203E"/>
    <w:rsid w:val="00E02281"/>
    <w:rsid w:val="00E02B9B"/>
    <w:rsid w:val="00E02C78"/>
    <w:rsid w:val="00E02D5B"/>
    <w:rsid w:val="00E0321D"/>
    <w:rsid w:val="00E032B8"/>
    <w:rsid w:val="00E03329"/>
    <w:rsid w:val="00E03508"/>
    <w:rsid w:val="00E0395D"/>
    <w:rsid w:val="00E03AAE"/>
    <w:rsid w:val="00E03D5B"/>
    <w:rsid w:val="00E03F64"/>
    <w:rsid w:val="00E04008"/>
    <w:rsid w:val="00E05271"/>
    <w:rsid w:val="00E056A2"/>
    <w:rsid w:val="00E0570F"/>
    <w:rsid w:val="00E0573B"/>
    <w:rsid w:val="00E05808"/>
    <w:rsid w:val="00E05AA0"/>
    <w:rsid w:val="00E05D94"/>
    <w:rsid w:val="00E05E99"/>
    <w:rsid w:val="00E069D2"/>
    <w:rsid w:val="00E06A31"/>
    <w:rsid w:val="00E06B73"/>
    <w:rsid w:val="00E07B9B"/>
    <w:rsid w:val="00E07FEC"/>
    <w:rsid w:val="00E1071F"/>
    <w:rsid w:val="00E10969"/>
    <w:rsid w:val="00E10DFB"/>
    <w:rsid w:val="00E10E5D"/>
    <w:rsid w:val="00E10F47"/>
    <w:rsid w:val="00E1157E"/>
    <w:rsid w:val="00E119E1"/>
    <w:rsid w:val="00E11B4A"/>
    <w:rsid w:val="00E11CA6"/>
    <w:rsid w:val="00E11DA3"/>
    <w:rsid w:val="00E120B8"/>
    <w:rsid w:val="00E1291F"/>
    <w:rsid w:val="00E12F99"/>
    <w:rsid w:val="00E1306C"/>
    <w:rsid w:val="00E1313E"/>
    <w:rsid w:val="00E134D7"/>
    <w:rsid w:val="00E1353F"/>
    <w:rsid w:val="00E1355A"/>
    <w:rsid w:val="00E13596"/>
    <w:rsid w:val="00E13869"/>
    <w:rsid w:val="00E13B79"/>
    <w:rsid w:val="00E13BA0"/>
    <w:rsid w:val="00E1431F"/>
    <w:rsid w:val="00E14503"/>
    <w:rsid w:val="00E148EA"/>
    <w:rsid w:val="00E14AF1"/>
    <w:rsid w:val="00E15052"/>
    <w:rsid w:val="00E151A2"/>
    <w:rsid w:val="00E15574"/>
    <w:rsid w:val="00E15AE8"/>
    <w:rsid w:val="00E161DA"/>
    <w:rsid w:val="00E166B7"/>
    <w:rsid w:val="00E16759"/>
    <w:rsid w:val="00E16969"/>
    <w:rsid w:val="00E16F49"/>
    <w:rsid w:val="00E17210"/>
    <w:rsid w:val="00E1760C"/>
    <w:rsid w:val="00E1781B"/>
    <w:rsid w:val="00E17A2E"/>
    <w:rsid w:val="00E17F32"/>
    <w:rsid w:val="00E200DB"/>
    <w:rsid w:val="00E20305"/>
    <w:rsid w:val="00E20521"/>
    <w:rsid w:val="00E2058C"/>
    <w:rsid w:val="00E20A3A"/>
    <w:rsid w:val="00E20BB8"/>
    <w:rsid w:val="00E20EC3"/>
    <w:rsid w:val="00E21211"/>
    <w:rsid w:val="00E215D7"/>
    <w:rsid w:val="00E2169D"/>
    <w:rsid w:val="00E21BD8"/>
    <w:rsid w:val="00E21E4E"/>
    <w:rsid w:val="00E21F6B"/>
    <w:rsid w:val="00E21FA5"/>
    <w:rsid w:val="00E22050"/>
    <w:rsid w:val="00E220AF"/>
    <w:rsid w:val="00E225E2"/>
    <w:rsid w:val="00E2279A"/>
    <w:rsid w:val="00E22946"/>
    <w:rsid w:val="00E22DF1"/>
    <w:rsid w:val="00E23C85"/>
    <w:rsid w:val="00E23D3C"/>
    <w:rsid w:val="00E23E79"/>
    <w:rsid w:val="00E24656"/>
    <w:rsid w:val="00E2472B"/>
    <w:rsid w:val="00E2483B"/>
    <w:rsid w:val="00E24B1D"/>
    <w:rsid w:val="00E2573C"/>
    <w:rsid w:val="00E25966"/>
    <w:rsid w:val="00E25D2C"/>
    <w:rsid w:val="00E25FD2"/>
    <w:rsid w:val="00E2601A"/>
    <w:rsid w:val="00E2607A"/>
    <w:rsid w:val="00E26278"/>
    <w:rsid w:val="00E26862"/>
    <w:rsid w:val="00E26924"/>
    <w:rsid w:val="00E26A0A"/>
    <w:rsid w:val="00E26D4A"/>
    <w:rsid w:val="00E27138"/>
    <w:rsid w:val="00E27A26"/>
    <w:rsid w:val="00E27C65"/>
    <w:rsid w:val="00E27E35"/>
    <w:rsid w:val="00E27EBD"/>
    <w:rsid w:val="00E311BA"/>
    <w:rsid w:val="00E31ACD"/>
    <w:rsid w:val="00E31B81"/>
    <w:rsid w:val="00E31F7E"/>
    <w:rsid w:val="00E326FF"/>
    <w:rsid w:val="00E32868"/>
    <w:rsid w:val="00E328C6"/>
    <w:rsid w:val="00E32A42"/>
    <w:rsid w:val="00E32DD2"/>
    <w:rsid w:val="00E3385D"/>
    <w:rsid w:val="00E33864"/>
    <w:rsid w:val="00E33C34"/>
    <w:rsid w:val="00E3405B"/>
    <w:rsid w:val="00E3422F"/>
    <w:rsid w:val="00E3484A"/>
    <w:rsid w:val="00E34A66"/>
    <w:rsid w:val="00E3554F"/>
    <w:rsid w:val="00E3562F"/>
    <w:rsid w:val="00E359FF"/>
    <w:rsid w:val="00E35E40"/>
    <w:rsid w:val="00E35F85"/>
    <w:rsid w:val="00E36567"/>
    <w:rsid w:val="00E36A10"/>
    <w:rsid w:val="00E36A82"/>
    <w:rsid w:val="00E36C40"/>
    <w:rsid w:val="00E36D65"/>
    <w:rsid w:val="00E37273"/>
    <w:rsid w:val="00E373F7"/>
    <w:rsid w:val="00E3767F"/>
    <w:rsid w:val="00E37939"/>
    <w:rsid w:val="00E37945"/>
    <w:rsid w:val="00E40074"/>
    <w:rsid w:val="00E4040E"/>
    <w:rsid w:val="00E405F2"/>
    <w:rsid w:val="00E4091E"/>
    <w:rsid w:val="00E40975"/>
    <w:rsid w:val="00E40AEF"/>
    <w:rsid w:val="00E40BAE"/>
    <w:rsid w:val="00E40E7E"/>
    <w:rsid w:val="00E414AC"/>
    <w:rsid w:val="00E41614"/>
    <w:rsid w:val="00E417C1"/>
    <w:rsid w:val="00E41824"/>
    <w:rsid w:val="00E41C87"/>
    <w:rsid w:val="00E4262E"/>
    <w:rsid w:val="00E42862"/>
    <w:rsid w:val="00E42A71"/>
    <w:rsid w:val="00E42ACB"/>
    <w:rsid w:val="00E42ADC"/>
    <w:rsid w:val="00E42C47"/>
    <w:rsid w:val="00E42E00"/>
    <w:rsid w:val="00E431F9"/>
    <w:rsid w:val="00E43339"/>
    <w:rsid w:val="00E43BD7"/>
    <w:rsid w:val="00E43E8E"/>
    <w:rsid w:val="00E442AD"/>
    <w:rsid w:val="00E4487D"/>
    <w:rsid w:val="00E448E6"/>
    <w:rsid w:val="00E44AEE"/>
    <w:rsid w:val="00E44B89"/>
    <w:rsid w:val="00E45071"/>
    <w:rsid w:val="00E45217"/>
    <w:rsid w:val="00E4532F"/>
    <w:rsid w:val="00E45343"/>
    <w:rsid w:val="00E455B2"/>
    <w:rsid w:val="00E45DFA"/>
    <w:rsid w:val="00E460BF"/>
    <w:rsid w:val="00E460FF"/>
    <w:rsid w:val="00E461D6"/>
    <w:rsid w:val="00E464C7"/>
    <w:rsid w:val="00E466DC"/>
    <w:rsid w:val="00E4672D"/>
    <w:rsid w:val="00E46A16"/>
    <w:rsid w:val="00E46AF1"/>
    <w:rsid w:val="00E46C97"/>
    <w:rsid w:val="00E47354"/>
    <w:rsid w:val="00E474B4"/>
    <w:rsid w:val="00E47742"/>
    <w:rsid w:val="00E47762"/>
    <w:rsid w:val="00E4793D"/>
    <w:rsid w:val="00E47D6D"/>
    <w:rsid w:val="00E50003"/>
    <w:rsid w:val="00E50110"/>
    <w:rsid w:val="00E5035B"/>
    <w:rsid w:val="00E505A2"/>
    <w:rsid w:val="00E50766"/>
    <w:rsid w:val="00E50772"/>
    <w:rsid w:val="00E5096A"/>
    <w:rsid w:val="00E50F8F"/>
    <w:rsid w:val="00E511F3"/>
    <w:rsid w:val="00E51275"/>
    <w:rsid w:val="00E5182F"/>
    <w:rsid w:val="00E518FC"/>
    <w:rsid w:val="00E5216F"/>
    <w:rsid w:val="00E52204"/>
    <w:rsid w:val="00E52C0E"/>
    <w:rsid w:val="00E52C44"/>
    <w:rsid w:val="00E52DE9"/>
    <w:rsid w:val="00E52F06"/>
    <w:rsid w:val="00E531CD"/>
    <w:rsid w:val="00E534BE"/>
    <w:rsid w:val="00E53769"/>
    <w:rsid w:val="00E5415E"/>
    <w:rsid w:val="00E54927"/>
    <w:rsid w:val="00E54F8D"/>
    <w:rsid w:val="00E54FCD"/>
    <w:rsid w:val="00E559E6"/>
    <w:rsid w:val="00E55A19"/>
    <w:rsid w:val="00E55CEF"/>
    <w:rsid w:val="00E55E4F"/>
    <w:rsid w:val="00E562C0"/>
    <w:rsid w:val="00E5645C"/>
    <w:rsid w:val="00E5658D"/>
    <w:rsid w:val="00E568F2"/>
    <w:rsid w:val="00E56E64"/>
    <w:rsid w:val="00E57092"/>
    <w:rsid w:val="00E5717C"/>
    <w:rsid w:val="00E572A2"/>
    <w:rsid w:val="00E57599"/>
    <w:rsid w:val="00E576AC"/>
    <w:rsid w:val="00E57C8B"/>
    <w:rsid w:val="00E57D0D"/>
    <w:rsid w:val="00E57DCE"/>
    <w:rsid w:val="00E60005"/>
    <w:rsid w:val="00E603D5"/>
    <w:rsid w:val="00E6044C"/>
    <w:rsid w:val="00E60B7B"/>
    <w:rsid w:val="00E610FC"/>
    <w:rsid w:val="00E611F0"/>
    <w:rsid w:val="00E619CC"/>
    <w:rsid w:val="00E62586"/>
    <w:rsid w:val="00E626B4"/>
    <w:rsid w:val="00E6287C"/>
    <w:rsid w:val="00E62CA2"/>
    <w:rsid w:val="00E63471"/>
    <w:rsid w:val="00E6348E"/>
    <w:rsid w:val="00E64155"/>
    <w:rsid w:val="00E64483"/>
    <w:rsid w:val="00E64702"/>
    <w:rsid w:val="00E64BFA"/>
    <w:rsid w:val="00E64DEE"/>
    <w:rsid w:val="00E652FD"/>
    <w:rsid w:val="00E6535F"/>
    <w:rsid w:val="00E658F6"/>
    <w:rsid w:val="00E65A27"/>
    <w:rsid w:val="00E65C88"/>
    <w:rsid w:val="00E65DF4"/>
    <w:rsid w:val="00E65FD6"/>
    <w:rsid w:val="00E6638D"/>
    <w:rsid w:val="00E6669E"/>
    <w:rsid w:val="00E66C14"/>
    <w:rsid w:val="00E66CBD"/>
    <w:rsid w:val="00E66E91"/>
    <w:rsid w:val="00E67622"/>
    <w:rsid w:val="00E676EC"/>
    <w:rsid w:val="00E67B4C"/>
    <w:rsid w:val="00E700F8"/>
    <w:rsid w:val="00E7035D"/>
    <w:rsid w:val="00E705C3"/>
    <w:rsid w:val="00E708B5"/>
    <w:rsid w:val="00E70A3B"/>
    <w:rsid w:val="00E70E7E"/>
    <w:rsid w:val="00E7128A"/>
    <w:rsid w:val="00E7159A"/>
    <w:rsid w:val="00E716C5"/>
    <w:rsid w:val="00E71B62"/>
    <w:rsid w:val="00E71CC4"/>
    <w:rsid w:val="00E72113"/>
    <w:rsid w:val="00E72230"/>
    <w:rsid w:val="00E724EA"/>
    <w:rsid w:val="00E72540"/>
    <w:rsid w:val="00E725FE"/>
    <w:rsid w:val="00E72863"/>
    <w:rsid w:val="00E731D8"/>
    <w:rsid w:val="00E73437"/>
    <w:rsid w:val="00E735B6"/>
    <w:rsid w:val="00E735E4"/>
    <w:rsid w:val="00E73686"/>
    <w:rsid w:val="00E73A02"/>
    <w:rsid w:val="00E73DDC"/>
    <w:rsid w:val="00E74058"/>
    <w:rsid w:val="00E740B2"/>
    <w:rsid w:val="00E7434B"/>
    <w:rsid w:val="00E745C2"/>
    <w:rsid w:val="00E74B25"/>
    <w:rsid w:val="00E74BB1"/>
    <w:rsid w:val="00E74BD5"/>
    <w:rsid w:val="00E74DF2"/>
    <w:rsid w:val="00E74E2F"/>
    <w:rsid w:val="00E75002"/>
    <w:rsid w:val="00E758D4"/>
    <w:rsid w:val="00E75A70"/>
    <w:rsid w:val="00E75DE5"/>
    <w:rsid w:val="00E76041"/>
    <w:rsid w:val="00E7650F"/>
    <w:rsid w:val="00E765DC"/>
    <w:rsid w:val="00E76624"/>
    <w:rsid w:val="00E76735"/>
    <w:rsid w:val="00E7691E"/>
    <w:rsid w:val="00E76980"/>
    <w:rsid w:val="00E76991"/>
    <w:rsid w:val="00E76F57"/>
    <w:rsid w:val="00E77000"/>
    <w:rsid w:val="00E772B3"/>
    <w:rsid w:val="00E77D62"/>
    <w:rsid w:val="00E77EDC"/>
    <w:rsid w:val="00E80155"/>
    <w:rsid w:val="00E80186"/>
    <w:rsid w:val="00E8024A"/>
    <w:rsid w:val="00E80272"/>
    <w:rsid w:val="00E8039D"/>
    <w:rsid w:val="00E8065B"/>
    <w:rsid w:val="00E8091E"/>
    <w:rsid w:val="00E8095D"/>
    <w:rsid w:val="00E80963"/>
    <w:rsid w:val="00E80A57"/>
    <w:rsid w:val="00E80B09"/>
    <w:rsid w:val="00E81130"/>
    <w:rsid w:val="00E8167F"/>
    <w:rsid w:val="00E8176C"/>
    <w:rsid w:val="00E81D6A"/>
    <w:rsid w:val="00E81EE4"/>
    <w:rsid w:val="00E823DE"/>
    <w:rsid w:val="00E828EF"/>
    <w:rsid w:val="00E82AEB"/>
    <w:rsid w:val="00E82D0B"/>
    <w:rsid w:val="00E8377F"/>
    <w:rsid w:val="00E83CEB"/>
    <w:rsid w:val="00E83F1F"/>
    <w:rsid w:val="00E845B6"/>
    <w:rsid w:val="00E846DD"/>
    <w:rsid w:val="00E84CD5"/>
    <w:rsid w:val="00E84DC0"/>
    <w:rsid w:val="00E84DF5"/>
    <w:rsid w:val="00E85015"/>
    <w:rsid w:val="00E85BA5"/>
    <w:rsid w:val="00E85D33"/>
    <w:rsid w:val="00E85D52"/>
    <w:rsid w:val="00E85DF8"/>
    <w:rsid w:val="00E86362"/>
    <w:rsid w:val="00E8649D"/>
    <w:rsid w:val="00E86C30"/>
    <w:rsid w:val="00E870CE"/>
    <w:rsid w:val="00E874CF"/>
    <w:rsid w:val="00E879F0"/>
    <w:rsid w:val="00E87BCC"/>
    <w:rsid w:val="00E87D59"/>
    <w:rsid w:val="00E87FAD"/>
    <w:rsid w:val="00E87FE3"/>
    <w:rsid w:val="00E9041E"/>
    <w:rsid w:val="00E906F3"/>
    <w:rsid w:val="00E90F01"/>
    <w:rsid w:val="00E911F1"/>
    <w:rsid w:val="00E91357"/>
    <w:rsid w:val="00E91AA8"/>
    <w:rsid w:val="00E91D47"/>
    <w:rsid w:val="00E91DD7"/>
    <w:rsid w:val="00E91F51"/>
    <w:rsid w:val="00E922B7"/>
    <w:rsid w:val="00E92349"/>
    <w:rsid w:val="00E92997"/>
    <w:rsid w:val="00E92D2A"/>
    <w:rsid w:val="00E9325B"/>
    <w:rsid w:val="00E93433"/>
    <w:rsid w:val="00E93608"/>
    <w:rsid w:val="00E9397C"/>
    <w:rsid w:val="00E93F82"/>
    <w:rsid w:val="00E941AA"/>
    <w:rsid w:val="00E94461"/>
    <w:rsid w:val="00E9459D"/>
    <w:rsid w:val="00E94703"/>
    <w:rsid w:val="00E9473E"/>
    <w:rsid w:val="00E94D30"/>
    <w:rsid w:val="00E94D6A"/>
    <w:rsid w:val="00E94DFD"/>
    <w:rsid w:val="00E951BD"/>
    <w:rsid w:val="00E951E1"/>
    <w:rsid w:val="00E95559"/>
    <w:rsid w:val="00E958F0"/>
    <w:rsid w:val="00E95DA0"/>
    <w:rsid w:val="00E96303"/>
    <w:rsid w:val="00E969FF"/>
    <w:rsid w:val="00E97000"/>
    <w:rsid w:val="00E97431"/>
    <w:rsid w:val="00E976A8"/>
    <w:rsid w:val="00E977AC"/>
    <w:rsid w:val="00E977D7"/>
    <w:rsid w:val="00E9781B"/>
    <w:rsid w:val="00E97A15"/>
    <w:rsid w:val="00E97DA5"/>
    <w:rsid w:val="00EA02DC"/>
    <w:rsid w:val="00EA05FA"/>
    <w:rsid w:val="00EA0D92"/>
    <w:rsid w:val="00EA0F4D"/>
    <w:rsid w:val="00EA1033"/>
    <w:rsid w:val="00EA1302"/>
    <w:rsid w:val="00EA1785"/>
    <w:rsid w:val="00EA17AC"/>
    <w:rsid w:val="00EA19CE"/>
    <w:rsid w:val="00EA1BBA"/>
    <w:rsid w:val="00EA1D08"/>
    <w:rsid w:val="00EA1F04"/>
    <w:rsid w:val="00EA241E"/>
    <w:rsid w:val="00EA2E16"/>
    <w:rsid w:val="00EA2F9D"/>
    <w:rsid w:val="00EA30CE"/>
    <w:rsid w:val="00EA314A"/>
    <w:rsid w:val="00EA322A"/>
    <w:rsid w:val="00EA38AC"/>
    <w:rsid w:val="00EA3AE0"/>
    <w:rsid w:val="00EA3C32"/>
    <w:rsid w:val="00EA3DA8"/>
    <w:rsid w:val="00EA41FB"/>
    <w:rsid w:val="00EA491A"/>
    <w:rsid w:val="00EA4A5E"/>
    <w:rsid w:val="00EA4C87"/>
    <w:rsid w:val="00EA513A"/>
    <w:rsid w:val="00EA533C"/>
    <w:rsid w:val="00EA5563"/>
    <w:rsid w:val="00EA55D3"/>
    <w:rsid w:val="00EA566E"/>
    <w:rsid w:val="00EA5756"/>
    <w:rsid w:val="00EA5CE2"/>
    <w:rsid w:val="00EA5DC2"/>
    <w:rsid w:val="00EA5FFF"/>
    <w:rsid w:val="00EA6040"/>
    <w:rsid w:val="00EA6519"/>
    <w:rsid w:val="00EA652C"/>
    <w:rsid w:val="00EA6961"/>
    <w:rsid w:val="00EA6998"/>
    <w:rsid w:val="00EA6A2A"/>
    <w:rsid w:val="00EA6DF3"/>
    <w:rsid w:val="00EA6E0E"/>
    <w:rsid w:val="00EA6E52"/>
    <w:rsid w:val="00EA7397"/>
    <w:rsid w:val="00EA7563"/>
    <w:rsid w:val="00EA76DB"/>
    <w:rsid w:val="00EA78A9"/>
    <w:rsid w:val="00EA79A8"/>
    <w:rsid w:val="00EA7B73"/>
    <w:rsid w:val="00EA7C61"/>
    <w:rsid w:val="00EA7CB1"/>
    <w:rsid w:val="00EB0B57"/>
    <w:rsid w:val="00EB0D47"/>
    <w:rsid w:val="00EB1565"/>
    <w:rsid w:val="00EB1677"/>
    <w:rsid w:val="00EB1797"/>
    <w:rsid w:val="00EB1B74"/>
    <w:rsid w:val="00EB1D6B"/>
    <w:rsid w:val="00EB213E"/>
    <w:rsid w:val="00EB2475"/>
    <w:rsid w:val="00EB2631"/>
    <w:rsid w:val="00EB286A"/>
    <w:rsid w:val="00EB29C9"/>
    <w:rsid w:val="00EB3313"/>
    <w:rsid w:val="00EB3476"/>
    <w:rsid w:val="00EB36C6"/>
    <w:rsid w:val="00EB39C0"/>
    <w:rsid w:val="00EB39E2"/>
    <w:rsid w:val="00EB3AE5"/>
    <w:rsid w:val="00EB3BC9"/>
    <w:rsid w:val="00EB3BF0"/>
    <w:rsid w:val="00EB3CCC"/>
    <w:rsid w:val="00EB41F5"/>
    <w:rsid w:val="00EB44BF"/>
    <w:rsid w:val="00EB4700"/>
    <w:rsid w:val="00EB48EC"/>
    <w:rsid w:val="00EB491C"/>
    <w:rsid w:val="00EB4A42"/>
    <w:rsid w:val="00EB56FC"/>
    <w:rsid w:val="00EB5F41"/>
    <w:rsid w:val="00EB617C"/>
    <w:rsid w:val="00EB6CF2"/>
    <w:rsid w:val="00EB6DA4"/>
    <w:rsid w:val="00EB70E7"/>
    <w:rsid w:val="00EB7910"/>
    <w:rsid w:val="00EB7B70"/>
    <w:rsid w:val="00EB7DDE"/>
    <w:rsid w:val="00EB7F05"/>
    <w:rsid w:val="00EB7FDE"/>
    <w:rsid w:val="00EB7FEE"/>
    <w:rsid w:val="00EC0199"/>
    <w:rsid w:val="00EC0666"/>
    <w:rsid w:val="00EC07E9"/>
    <w:rsid w:val="00EC088F"/>
    <w:rsid w:val="00EC09B3"/>
    <w:rsid w:val="00EC12B7"/>
    <w:rsid w:val="00EC1684"/>
    <w:rsid w:val="00EC1939"/>
    <w:rsid w:val="00EC1A30"/>
    <w:rsid w:val="00EC1CFD"/>
    <w:rsid w:val="00EC1DD7"/>
    <w:rsid w:val="00EC1E4B"/>
    <w:rsid w:val="00EC2648"/>
    <w:rsid w:val="00EC27AD"/>
    <w:rsid w:val="00EC32F7"/>
    <w:rsid w:val="00EC3609"/>
    <w:rsid w:val="00EC37EC"/>
    <w:rsid w:val="00EC37FF"/>
    <w:rsid w:val="00EC3E50"/>
    <w:rsid w:val="00EC3E90"/>
    <w:rsid w:val="00EC4B20"/>
    <w:rsid w:val="00EC4EA0"/>
    <w:rsid w:val="00EC4EB2"/>
    <w:rsid w:val="00EC4FD8"/>
    <w:rsid w:val="00EC51FD"/>
    <w:rsid w:val="00EC58AB"/>
    <w:rsid w:val="00EC59E7"/>
    <w:rsid w:val="00EC59ED"/>
    <w:rsid w:val="00EC5AC1"/>
    <w:rsid w:val="00EC5D92"/>
    <w:rsid w:val="00EC5E43"/>
    <w:rsid w:val="00EC6225"/>
    <w:rsid w:val="00EC6270"/>
    <w:rsid w:val="00EC683A"/>
    <w:rsid w:val="00EC69E5"/>
    <w:rsid w:val="00EC6EBC"/>
    <w:rsid w:val="00EC6F51"/>
    <w:rsid w:val="00EC73E1"/>
    <w:rsid w:val="00EC75BB"/>
    <w:rsid w:val="00EC7AC9"/>
    <w:rsid w:val="00EC7B3C"/>
    <w:rsid w:val="00EC7CBE"/>
    <w:rsid w:val="00EC7CDF"/>
    <w:rsid w:val="00EC7E78"/>
    <w:rsid w:val="00ED00C4"/>
    <w:rsid w:val="00ED00E3"/>
    <w:rsid w:val="00ED0A33"/>
    <w:rsid w:val="00ED0EB0"/>
    <w:rsid w:val="00ED0F64"/>
    <w:rsid w:val="00ED1645"/>
    <w:rsid w:val="00ED1876"/>
    <w:rsid w:val="00ED18D8"/>
    <w:rsid w:val="00ED1A60"/>
    <w:rsid w:val="00ED2222"/>
    <w:rsid w:val="00ED23D6"/>
    <w:rsid w:val="00ED25FC"/>
    <w:rsid w:val="00ED2A7D"/>
    <w:rsid w:val="00ED2AE3"/>
    <w:rsid w:val="00ED2C98"/>
    <w:rsid w:val="00ED2CDB"/>
    <w:rsid w:val="00ED2F2C"/>
    <w:rsid w:val="00ED2F58"/>
    <w:rsid w:val="00ED313F"/>
    <w:rsid w:val="00ED388F"/>
    <w:rsid w:val="00ED3A6C"/>
    <w:rsid w:val="00ED4999"/>
    <w:rsid w:val="00ED55D4"/>
    <w:rsid w:val="00ED5B70"/>
    <w:rsid w:val="00ED5BA5"/>
    <w:rsid w:val="00ED5C80"/>
    <w:rsid w:val="00ED5F76"/>
    <w:rsid w:val="00ED5FD4"/>
    <w:rsid w:val="00ED60A6"/>
    <w:rsid w:val="00ED614A"/>
    <w:rsid w:val="00ED61FC"/>
    <w:rsid w:val="00ED6347"/>
    <w:rsid w:val="00ED65D9"/>
    <w:rsid w:val="00ED6730"/>
    <w:rsid w:val="00ED6DAD"/>
    <w:rsid w:val="00ED6EAB"/>
    <w:rsid w:val="00ED7531"/>
    <w:rsid w:val="00ED759B"/>
    <w:rsid w:val="00ED76BD"/>
    <w:rsid w:val="00ED7796"/>
    <w:rsid w:val="00ED7A81"/>
    <w:rsid w:val="00ED7BCB"/>
    <w:rsid w:val="00ED7E8F"/>
    <w:rsid w:val="00EE038D"/>
    <w:rsid w:val="00EE07E2"/>
    <w:rsid w:val="00EE0A54"/>
    <w:rsid w:val="00EE0BC6"/>
    <w:rsid w:val="00EE0E81"/>
    <w:rsid w:val="00EE12BA"/>
    <w:rsid w:val="00EE12F9"/>
    <w:rsid w:val="00EE1874"/>
    <w:rsid w:val="00EE189E"/>
    <w:rsid w:val="00EE19D5"/>
    <w:rsid w:val="00EE1A4D"/>
    <w:rsid w:val="00EE1D10"/>
    <w:rsid w:val="00EE1E24"/>
    <w:rsid w:val="00EE240A"/>
    <w:rsid w:val="00EE2694"/>
    <w:rsid w:val="00EE2AF2"/>
    <w:rsid w:val="00EE2F80"/>
    <w:rsid w:val="00EE338C"/>
    <w:rsid w:val="00EE344D"/>
    <w:rsid w:val="00EE353D"/>
    <w:rsid w:val="00EE3949"/>
    <w:rsid w:val="00EE39CF"/>
    <w:rsid w:val="00EE3E8B"/>
    <w:rsid w:val="00EE5307"/>
    <w:rsid w:val="00EE5968"/>
    <w:rsid w:val="00EE59A1"/>
    <w:rsid w:val="00EE5DE8"/>
    <w:rsid w:val="00EE5E3C"/>
    <w:rsid w:val="00EE5E45"/>
    <w:rsid w:val="00EE6399"/>
    <w:rsid w:val="00EE6525"/>
    <w:rsid w:val="00EE654E"/>
    <w:rsid w:val="00EE6754"/>
    <w:rsid w:val="00EE7272"/>
    <w:rsid w:val="00EE7355"/>
    <w:rsid w:val="00EE745B"/>
    <w:rsid w:val="00EE751E"/>
    <w:rsid w:val="00EE75AA"/>
    <w:rsid w:val="00EE762F"/>
    <w:rsid w:val="00EE7AC6"/>
    <w:rsid w:val="00EE7E8E"/>
    <w:rsid w:val="00EF0064"/>
    <w:rsid w:val="00EF045F"/>
    <w:rsid w:val="00EF08DD"/>
    <w:rsid w:val="00EF0A33"/>
    <w:rsid w:val="00EF105F"/>
    <w:rsid w:val="00EF1112"/>
    <w:rsid w:val="00EF15AB"/>
    <w:rsid w:val="00EF1980"/>
    <w:rsid w:val="00EF19CC"/>
    <w:rsid w:val="00EF1AB0"/>
    <w:rsid w:val="00EF1F87"/>
    <w:rsid w:val="00EF2285"/>
    <w:rsid w:val="00EF2293"/>
    <w:rsid w:val="00EF273D"/>
    <w:rsid w:val="00EF2966"/>
    <w:rsid w:val="00EF2BE5"/>
    <w:rsid w:val="00EF3123"/>
    <w:rsid w:val="00EF31D2"/>
    <w:rsid w:val="00EF3225"/>
    <w:rsid w:val="00EF3326"/>
    <w:rsid w:val="00EF3416"/>
    <w:rsid w:val="00EF3784"/>
    <w:rsid w:val="00EF38F9"/>
    <w:rsid w:val="00EF3954"/>
    <w:rsid w:val="00EF3B7A"/>
    <w:rsid w:val="00EF3C07"/>
    <w:rsid w:val="00EF415D"/>
    <w:rsid w:val="00EF43DC"/>
    <w:rsid w:val="00EF450C"/>
    <w:rsid w:val="00EF48BD"/>
    <w:rsid w:val="00EF4A54"/>
    <w:rsid w:val="00EF59DE"/>
    <w:rsid w:val="00EF5A63"/>
    <w:rsid w:val="00EF5ADA"/>
    <w:rsid w:val="00EF5BBE"/>
    <w:rsid w:val="00EF5BFA"/>
    <w:rsid w:val="00EF5D0C"/>
    <w:rsid w:val="00EF6089"/>
    <w:rsid w:val="00EF6184"/>
    <w:rsid w:val="00EF62AF"/>
    <w:rsid w:val="00EF62C4"/>
    <w:rsid w:val="00EF6567"/>
    <w:rsid w:val="00EF6691"/>
    <w:rsid w:val="00EF6BC7"/>
    <w:rsid w:val="00EF6DD6"/>
    <w:rsid w:val="00EF7562"/>
    <w:rsid w:val="00EF797B"/>
    <w:rsid w:val="00EF7D5E"/>
    <w:rsid w:val="00F0019C"/>
    <w:rsid w:val="00F00785"/>
    <w:rsid w:val="00F00CAC"/>
    <w:rsid w:val="00F00DBC"/>
    <w:rsid w:val="00F0102D"/>
    <w:rsid w:val="00F01144"/>
    <w:rsid w:val="00F01235"/>
    <w:rsid w:val="00F013F9"/>
    <w:rsid w:val="00F01499"/>
    <w:rsid w:val="00F0179A"/>
    <w:rsid w:val="00F01983"/>
    <w:rsid w:val="00F01992"/>
    <w:rsid w:val="00F019DC"/>
    <w:rsid w:val="00F01E45"/>
    <w:rsid w:val="00F02075"/>
    <w:rsid w:val="00F0230D"/>
    <w:rsid w:val="00F0243B"/>
    <w:rsid w:val="00F025B8"/>
    <w:rsid w:val="00F027B2"/>
    <w:rsid w:val="00F027B4"/>
    <w:rsid w:val="00F02B57"/>
    <w:rsid w:val="00F02BE9"/>
    <w:rsid w:val="00F02BF2"/>
    <w:rsid w:val="00F02C03"/>
    <w:rsid w:val="00F02FC8"/>
    <w:rsid w:val="00F0330E"/>
    <w:rsid w:val="00F03619"/>
    <w:rsid w:val="00F03A87"/>
    <w:rsid w:val="00F03AED"/>
    <w:rsid w:val="00F03B3C"/>
    <w:rsid w:val="00F03B8E"/>
    <w:rsid w:val="00F03BF6"/>
    <w:rsid w:val="00F04463"/>
    <w:rsid w:val="00F045B2"/>
    <w:rsid w:val="00F047AF"/>
    <w:rsid w:val="00F04948"/>
    <w:rsid w:val="00F04CBA"/>
    <w:rsid w:val="00F04D44"/>
    <w:rsid w:val="00F04DBD"/>
    <w:rsid w:val="00F053AE"/>
    <w:rsid w:val="00F056A4"/>
    <w:rsid w:val="00F05772"/>
    <w:rsid w:val="00F057D7"/>
    <w:rsid w:val="00F059E7"/>
    <w:rsid w:val="00F059F7"/>
    <w:rsid w:val="00F05AF3"/>
    <w:rsid w:val="00F05DA2"/>
    <w:rsid w:val="00F05E66"/>
    <w:rsid w:val="00F06125"/>
    <w:rsid w:val="00F0645F"/>
    <w:rsid w:val="00F0679F"/>
    <w:rsid w:val="00F06C22"/>
    <w:rsid w:val="00F06E52"/>
    <w:rsid w:val="00F06F91"/>
    <w:rsid w:val="00F06FDD"/>
    <w:rsid w:val="00F06FF9"/>
    <w:rsid w:val="00F071B0"/>
    <w:rsid w:val="00F07220"/>
    <w:rsid w:val="00F0751E"/>
    <w:rsid w:val="00F07732"/>
    <w:rsid w:val="00F07782"/>
    <w:rsid w:val="00F0784B"/>
    <w:rsid w:val="00F07B39"/>
    <w:rsid w:val="00F07B46"/>
    <w:rsid w:val="00F10155"/>
    <w:rsid w:val="00F10278"/>
    <w:rsid w:val="00F103AB"/>
    <w:rsid w:val="00F1090E"/>
    <w:rsid w:val="00F10DAD"/>
    <w:rsid w:val="00F10F52"/>
    <w:rsid w:val="00F11223"/>
    <w:rsid w:val="00F1124B"/>
    <w:rsid w:val="00F11325"/>
    <w:rsid w:val="00F1164A"/>
    <w:rsid w:val="00F117E4"/>
    <w:rsid w:val="00F118DB"/>
    <w:rsid w:val="00F11912"/>
    <w:rsid w:val="00F11E57"/>
    <w:rsid w:val="00F11EAB"/>
    <w:rsid w:val="00F127D1"/>
    <w:rsid w:val="00F129E2"/>
    <w:rsid w:val="00F12C7F"/>
    <w:rsid w:val="00F13077"/>
    <w:rsid w:val="00F1317C"/>
    <w:rsid w:val="00F131A0"/>
    <w:rsid w:val="00F13717"/>
    <w:rsid w:val="00F13872"/>
    <w:rsid w:val="00F13AF8"/>
    <w:rsid w:val="00F13BB0"/>
    <w:rsid w:val="00F13BC0"/>
    <w:rsid w:val="00F13C1B"/>
    <w:rsid w:val="00F145EC"/>
    <w:rsid w:val="00F14B13"/>
    <w:rsid w:val="00F14F87"/>
    <w:rsid w:val="00F15094"/>
    <w:rsid w:val="00F150DD"/>
    <w:rsid w:val="00F15389"/>
    <w:rsid w:val="00F153FE"/>
    <w:rsid w:val="00F15599"/>
    <w:rsid w:val="00F15BB1"/>
    <w:rsid w:val="00F15DC0"/>
    <w:rsid w:val="00F15F99"/>
    <w:rsid w:val="00F1606B"/>
    <w:rsid w:val="00F165EB"/>
    <w:rsid w:val="00F16757"/>
    <w:rsid w:val="00F170A4"/>
    <w:rsid w:val="00F171F9"/>
    <w:rsid w:val="00F1729C"/>
    <w:rsid w:val="00F17866"/>
    <w:rsid w:val="00F1789D"/>
    <w:rsid w:val="00F17FD9"/>
    <w:rsid w:val="00F20509"/>
    <w:rsid w:val="00F20596"/>
    <w:rsid w:val="00F20759"/>
    <w:rsid w:val="00F20954"/>
    <w:rsid w:val="00F20B61"/>
    <w:rsid w:val="00F20F1E"/>
    <w:rsid w:val="00F2127D"/>
    <w:rsid w:val="00F2143A"/>
    <w:rsid w:val="00F216CC"/>
    <w:rsid w:val="00F2181A"/>
    <w:rsid w:val="00F21A4D"/>
    <w:rsid w:val="00F21E7A"/>
    <w:rsid w:val="00F22092"/>
    <w:rsid w:val="00F221C6"/>
    <w:rsid w:val="00F223C9"/>
    <w:rsid w:val="00F22B24"/>
    <w:rsid w:val="00F22E7D"/>
    <w:rsid w:val="00F2329C"/>
    <w:rsid w:val="00F23671"/>
    <w:rsid w:val="00F2368E"/>
    <w:rsid w:val="00F2398D"/>
    <w:rsid w:val="00F23B8D"/>
    <w:rsid w:val="00F23C05"/>
    <w:rsid w:val="00F23C79"/>
    <w:rsid w:val="00F23CA5"/>
    <w:rsid w:val="00F23D38"/>
    <w:rsid w:val="00F23D46"/>
    <w:rsid w:val="00F23EE1"/>
    <w:rsid w:val="00F23F3B"/>
    <w:rsid w:val="00F240CF"/>
    <w:rsid w:val="00F2421F"/>
    <w:rsid w:val="00F24796"/>
    <w:rsid w:val="00F249E3"/>
    <w:rsid w:val="00F24A5E"/>
    <w:rsid w:val="00F24E06"/>
    <w:rsid w:val="00F2525A"/>
    <w:rsid w:val="00F2541B"/>
    <w:rsid w:val="00F25EC5"/>
    <w:rsid w:val="00F2624B"/>
    <w:rsid w:val="00F264E2"/>
    <w:rsid w:val="00F26520"/>
    <w:rsid w:val="00F2672A"/>
    <w:rsid w:val="00F269F6"/>
    <w:rsid w:val="00F26AF2"/>
    <w:rsid w:val="00F26B75"/>
    <w:rsid w:val="00F26F4E"/>
    <w:rsid w:val="00F27267"/>
    <w:rsid w:val="00F274CB"/>
    <w:rsid w:val="00F275F8"/>
    <w:rsid w:val="00F27760"/>
    <w:rsid w:val="00F27807"/>
    <w:rsid w:val="00F27875"/>
    <w:rsid w:val="00F27D18"/>
    <w:rsid w:val="00F30213"/>
    <w:rsid w:val="00F3033C"/>
    <w:rsid w:val="00F30433"/>
    <w:rsid w:val="00F30773"/>
    <w:rsid w:val="00F308AE"/>
    <w:rsid w:val="00F30BC2"/>
    <w:rsid w:val="00F30C01"/>
    <w:rsid w:val="00F310EF"/>
    <w:rsid w:val="00F31121"/>
    <w:rsid w:val="00F312B6"/>
    <w:rsid w:val="00F31411"/>
    <w:rsid w:val="00F31BE5"/>
    <w:rsid w:val="00F32046"/>
    <w:rsid w:val="00F32FCC"/>
    <w:rsid w:val="00F33000"/>
    <w:rsid w:val="00F3322D"/>
    <w:rsid w:val="00F33347"/>
    <w:rsid w:val="00F334E2"/>
    <w:rsid w:val="00F3360D"/>
    <w:rsid w:val="00F337B4"/>
    <w:rsid w:val="00F3386D"/>
    <w:rsid w:val="00F3464E"/>
    <w:rsid w:val="00F346C4"/>
    <w:rsid w:val="00F347BE"/>
    <w:rsid w:val="00F35446"/>
    <w:rsid w:val="00F35F3F"/>
    <w:rsid w:val="00F35F54"/>
    <w:rsid w:val="00F35FE6"/>
    <w:rsid w:val="00F360F1"/>
    <w:rsid w:val="00F3627F"/>
    <w:rsid w:val="00F3628D"/>
    <w:rsid w:val="00F3649D"/>
    <w:rsid w:val="00F366CC"/>
    <w:rsid w:val="00F36D75"/>
    <w:rsid w:val="00F36E09"/>
    <w:rsid w:val="00F36EBA"/>
    <w:rsid w:val="00F3713C"/>
    <w:rsid w:val="00F373ED"/>
    <w:rsid w:val="00F376C1"/>
    <w:rsid w:val="00F37A25"/>
    <w:rsid w:val="00F37A3B"/>
    <w:rsid w:val="00F37D1C"/>
    <w:rsid w:val="00F402B8"/>
    <w:rsid w:val="00F40637"/>
    <w:rsid w:val="00F40868"/>
    <w:rsid w:val="00F408CC"/>
    <w:rsid w:val="00F40A7E"/>
    <w:rsid w:val="00F40ACD"/>
    <w:rsid w:val="00F40BCE"/>
    <w:rsid w:val="00F40FB4"/>
    <w:rsid w:val="00F4125E"/>
    <w:rsid w:val="00F412A8"/>
    <w:rsid w:val="00F4134E"/>
    <w:rsid w:val="00F41E5D"/>
    <w:rsid w:val="00F42024"/>
    <w:rsid w:val="00F42035"/>
    <w:rsid w:val="00F4252B"/>
    <w:rsid w:val="00F427AB"/>
    <w:rsid w:val="00F42871"/>
    <w:rsid w:val="00F429B4"/>
    <w:rsid w:val="00F42D7E"/>
    <w:rsid w:val="00F42F45"/>
    <w:rsid w:val="00F43037"/>
    <w:rsid w:val="00F431E7"/>
    <w:rsid w:val="00F434F8"/>
    <w:rsid w:val="00F4431D"/>
    <w:rsid w:val="00F4446A"/>
    <w:rsid w:val="00F4458E"/>
    <w:rsid w:val="00F445AF"/>
    <w:rsid w:val="00F451DC"/>
    <w:rsid w:val="00F4533A"/>
    <w:rsid w:val="00F453AF"/>
    <w:rsid w:val="00F4565D"/>
    <w:rsid w:val="00F456BC"/>
    <w:rsid w:val="00F4575D"/>
    <w:rsid w:val="00F457AF"/>
    <w:rsid w:val="00F45BFE"/>
    <w:rsid w:val="00F45EA9"/>
    <w:rsid w:val="00F465DE"/>
    <w:rsid w:val="00F46608"/>
    <w:rsid w:val="00F466A5"/>
    <w:rsid w:val="00F46AA0"/>
    <w:rsid w:val="00F47138"/>
    <w:rsid w:val="00F4715A"/>
    <w:rsid w:val="00F4737B"/>
    <w:rsid w:val="00F4739C"/>
    <w:rsid w:val="00F47575"/>
    <w:rsid w:val="00F47898"/>
    <w:rsid w:val="00F50088"/>
    <w:rsid w:val="00F50617"/>
    <w:rsid w:val="00F507E7"/>
    <w:rsid w:val="00F50C73"/>
    <w:rsid w:val="00F511D4"/>
    <w:rsid w:val="00F512A9"/>
    <w:rsid w:val="00F5148F"/>
    <w:rsid w:val="00F517D1"/>
    <w:rsid w:val="00F51B31"/>
    <w:rsid w:val="00F51C46"/>
    <w:rsid w:val="00F51F26"/>
    <w:rsid w:val="00F52414"/>
    <w:rsid w:val="00F52A88"/>
    <w:rsid w:val="00F52B9D"/>
    <w:rsid w:val="00F5336B"/>
    <w:rsid w:val="00F53458"/>
    <w:rsid w:val="00F5352F"/>
    <w:rsid w:val="00F53741"/>
    <w:rsid w:val="00F53944"/>
    <w:rsid w:val="00F53AFC"/>
    <w:rsid w:val="00F53B5D"/>
    <w:rsid w:val="00F53D17"/>
    <w:rsid w:val="00F53D76"/>
    <w:rsid w:val="00F54555"/>
    <w:rsid w:val="00F54836"/>
    <w:rsid w:val="00F54A85"/>
    <w:rsid w:val="00F553E2"/>
    <w:rsid w:val="00F5568E"/>
    <w:rsid w:val="00F55811"/>
    <w:rsid w:val="00F560AD"/>
    <w:rsid w:val="00F563B1"/>
    <w:rsid w:val="00F56B81"/>
    <w:rsid w:val="00F56E58"/>
    <w:rsid w:val="00F56F17"/>
    <w:rsid w:val="00F56F97"/>
    <w:rsid w:val="00F57069"/>
    <w:rsid w:val="00F5737E"/>
    <w:rsid w:val="00F5738A"/>
    <w:rsid w:val="00F57475"/>
    <w:rsid w:val="00F574EF"/>
    <w:rsid w:val="00F57783"/>
    <w:rsid w:val="00F57791"/>
    <w:rsid w:val="00F577CC"/>
    <w:rsid w:val="00F57925"/>
    <w:rsid w:val="00F60129"/>
    <w:rsid w:val="00F6055D"/>
    <w:rsid w:val="00F605C5"/>
    <w:rsid w:val="00F6073D"/>
    <w:rsid w:val="00F608AB"/>
    <w:rsid w:val="00F60AC2"/>
    <w:rsid w:val="00F60E9B"/>
    <w:rsid w:val="00F60F6B"/>
    <w:rsid w:val="00F61057"/>
    <w:rsid w:val="00F61118"/>
    <w:rsid w:val="00F61390"/>
    <w:rsid w:val="00F615EE"/>
    <w:rsid w:val="00F61BB7"/>
    <w:rsid w:val="00F61CA3"/>
    <w:rsid w:val="00F62022"/>
    <w:rsid w:val="00F62064"/>
    <w:rsid w:val="00F620EB"/>
    <w:rsid w:val="00F6225D"/>
    <w:rsid w:val="00F6259D"/>
    <w:rsid w:val="00F625D1"/>
    <w:rsid w:val="00F62D40"/>
    <w:rsid w:val="00F62D56"/>
    <w:rsid w:val="00F62DE0"/>
    <w:rsid w:val="00F63135"/>
    <w:rsid w:val="00F6318C"/>
    <w:rsid w:val="00F635F9"/>
    <w:rsid w:val="00F63BC2"/>
    <w:rsid w:val="00F63CC3"/>
    <w:rsid w:val="00F63F6D"/>
    <w:rsid w:val="00F641A1"/>
    <w:rsid w:val="00F6432F"/>
    <w:rsid w:val="00F643B7"/>
    <w:rsid w:val="00F648BE"/>
    <w:rsid w:val="00F64A4A"/>
    <w:rsid w:val="00F64C6D"/>
    <w:rsid w:val="00F6531B"/>
    <w:rsid w:val="00F65ABF"/>
    <w:rsid w:val="00F65CED"/>
    <w:rsid w:val="00F65D10"/>
    <w:rsid w:val="00F66133"/>
    <w:rsid w:val="00F6672F"/>
    <w:rsid w:val="00F66A40"/>
    <w:rsid w:val="00F66BEF"/>
    <w:rsid w:val="00F66E65"/>
    <w:rsid w:val="00F671D1"/>
    <w:rsid w:val="00F6768B"/>
    <w:rsid w:val="00F676CA"/>
    <w:rsid w:val="00F676F0"/>
    <w:rsid w:val="00F677C2"/>
    <w:rsid w:val="00F67827"/>
    <w:rsid w:val="00F67A21"/>
    <w:rsid w:val="00F67D75"/>
    <w:rsid w:val="00F67F08"/>
    <w:rsid w:val="00F702C4"/>
    <w:rsid w:val="00F70444"/>
    <w:rsid w:val="00F70592"/>
    <w:rsid w:val="00F70823"/>
    <w:rsid w:val="00F708D9"/>
    <w:rsid w:val="00F70A64"/>
    <w:rsid w:val="00F70B07"/>
    <w:rsid w:val="00F70CF6"/>
    <w:rsid w:val="00F70D4E"/>
    <w:rsid w:val="00F70D8F"/>
    <w:rsid w:val="00F7101A"/>
    <w:rsid w:val="00F715C0"/>
    <w:rsid w:val="00F718D6"/>
    <w:rsid w:val="00F71BC9"/>
    <w:rsid w:val="00F71C25"/>
    <w:rsid w:val="00F71C91"/>
    <w:rsid w:val="00F720C9"/>
    <w:rsid w:val="00F72121"/>
    <w:rsid w:val="00F723AD"/>
    <w:rsid w:val="00F72780"/>
    <w:rsid w:val="00F7289A"/>
    <w:rsid w:val="00F728BA"/>
    <w:rsid w:val="00F728C0"/>
    <w:rsid w:val="00F72AF5"/>
    <w:rsid w:val="00F72CD6"/>
    <w:rsid w:val="00F72D34"/>
    <w:rsid w:val="00F73051"/>
    <w:rsid w:val="00F737EE"/>
    <w:rsid w:val="00F73CA5"/>
    <w:rsid w:val="00F7440A"/>
    <w:rsid w:val="00F744C3"/>
    <w:rsid w:val="00F7495B"/>
    <w:rsid w:val="00F74BA1"/>
    <w:rsid w:val="00F74D31"/>
    <w:rsid w:val="00F74DE3"/>
    <w:rsid w:val="00F74EBF"/>
    <w:rsid w:val="00F756BB"/>
    <w:rsid w:val="00F75C73"/>
    <w:rsid w:val="00F75EED"/>
    <w:rsid w:val="00F7622E"/>
    <w:rsid w:val="00F76995"/>
    <w:rsid w:val="00F77080"/>
    <w:rsid w:val="00F77992"/>
    <w:rsid w:val="00F77DF5"/>
    <w:rsid w:val="00F80039"/>
    <w:rsid w:val="00F80041"/>
    <w:rsid w:val="00F80342"/>
    <w:rsid w:val="00F80A48"/>
    <w:rsid w:val="00F80A78"/>
    <w:rsid w:val="00F80BA8"/>
    <w:rsid w:val="00F816C4"/>
    <w:rsid w:val="00F81BA4"/>
    <w:rsid w:val="00F81E11"/>
    <w:rsid w:val="00F820F5"/>
    <w:rsid w:val="00F822CF"/>
    <w:rsid w:val="00F824D1"/>
    <w:rsid w:val="00F82543"/>
    <w:rsid w:val="00F82571"/>
    <w:rsid w:val="00F82868"/>
    <w:rsid w:val="00F82B40"/>
    <w:rsid w:val="00F82C4F"/>
    <w:rsid w:val="00F82D74"/>
    <w:rsid w:val="00F830BA"/>
    <w:rsid w:val="00F831D5"/>
    <w:rsid w:val="00F83532"/>
    <w:rsid w:val="00F83613"/>
    <w:rsid w:val="00F83749"/>
    <w:rsid w:val="00F839D2"/>
    <w:rsid w:val="00F842B2"/>
    <w:rsid w:val="00F8447B"/>
    <w:rsid w:val="00F8457E"/>
    <w:rsid w:val="00F84809"/>
    <w:rsid w:val="00F848B9"/>
    <w:rsid w:val="00F850F2"/>
    <w:rsid w:val="00F8563A"/>
    <w:rsid w:val="00F85720"/>
    <w:rsid w:val="00F85B5D"/>
    <w:rsid w:val="00F85CC2"/>
    <w:rsid w:val="00F86028"/>
    <w:rsid w:val="00F8618F"/>
    <w:rsid w:val="00F8639C"/>
    <w:rsid w:val="00F86EC3"/>
    <w:rsid w:val="00F86EF0"/>
    <w:rsid w:val="00F87162"/>
    <w:rsid w:val="00F875E3"/>
    <w:rsid w:val="00F87CF2"/>
    <w:rsid w:val="00F87EAE"/>
    <w:rsid w:val="00F905EE"/>
    <w:rsid w:val="00F90697"/>
    <w:rsid w:val="00F9072E"/>
    <w:rsid w:val="00F90795"/>
    <w:rsid w:val="00F90B8C"/>
    <w:rsid w:val="00F90C7B"/>
    <w:rsid w:val="00F90D5D"/>
    <w:rsid w:val="00F90DAD"/>
    <w:rsid w:val="00F91072"/>
    <w:rsid w:val="00F91359"/>
    <w:rsid w:val="00F91846"/>
    <w:rsid w:val="00F91980"/>
    <w:rsid w:val="00F9233C"/>
    <w:rsid w:val="00F92712"/>
    <w:rsid w:val="00F92F21"/>
    <w:rsid w:val="00F93354"/>
    <w:rsid w:val="00F9372E"/>
    <w:rsid w:val="00F938FB"/>
    <w:rsid w:val="00F9390E"/>
    <w:rsid w:val="00F93AAA"/>
    <w:rsid w:val="00F9433E"/>
    <w:rsid w:val="00F94589"/>
    <w:rsid w:val="00F947CE"/>
    <w:rsid w:val="00F948AB"/>
    <w:rsid w:val="00F95132"/>
    <w:rsid w:val="00F95199"/>
    <w:rsid w:val="00F956B9"/>
    <w:rsid w:val="00F95A42"/>
    <w:rsid w:val="00F95F58"/>
    <w:rsid w:val="00F96176"/>
    <w:rsid w:val="00F966ED"/>
    <w:rsid w:val="00F96A56"/>
    <w:rsid w:val="00F96B13"/>
    <w:rsid w:val="00F96B6B"/>
    <w:rsid w:val="00F96BF0"/>
    <w:rsid w:val="00F96D95"/>
    <w:rsid w:val="00F971CC"/>
    <w:rsid w:val="00F97526"/>
    <w:rsid w:val="00F97D43"/>
    <w:rsid w:val="00F97DF5"/>
    <w:rsid w:val="00FA00F9"/>
    <w:rsid w:val="00FA1284"/>
    <w:rsid w:val="00FA1455"/>
    <w:rsid w:val="00FA186F"/>
    <w:rsid w:val="00FA213B"/>
    <w:rsid w:val="00FA2529"/>
    <w:rsid w:val="00FA2693"/>
    <w:rsid w:val="00FA29BD"/>
    <w:rsid w:val="00FA2DF8"/>
    <w:rsid w:val="00FA2E41"/>
    <w:rsid w:val="00FA2F3B"/>
    <w:rsid w:val="00FA3144"/>
    <w:rsid w:val="00FA3250"/>
    <w:rsid w:val="00FA33DA"/>
    <w:rsid w:val="00FA33DF"/>
    <w:rsid w:val="00FA33FC"/>
    <w:rsid w:val="00FA35A4"/>
    <w:rsid w:val="00FA3A31"/>
    <w:rsid w:val="00FA3AF6"/>
    <w:rsid w:val="00FA4916"/>
    <w:rsid w:val="00FA4CE5"/>
    <w:rsid w:val="00FA4D1E"/>
    <w:rsid w:val="00FA5028"/>
    <w:rsid w:val="00FA5626"/>
    <w:rsid w:val="00FA5787"/>
    <w:rsid w:val="00FA5B93"/>
    <w:rsid w:val="00FA5C2B"/>
    <w:rsid w:val="00FA5EF4"/>
    <w:rsid w:val="00FA65D8"/>
    <w:rsid w:val="00FA66D6"/>
    <w:rsid w:val="00FA6915"/>
    <w:rsid w:val="00FA6931"/>
    <w:rsid w:val="00FA6B35"/>
    <w:rsid w:val="00FA6C3C"/>
    <w:rsid w:val="00FA722D"/>
    <w:rsid w:val="00FA75B5"/>
    <w:rsid w:val="00FA76B3"/>
    <w:rsid w:val="00FA76BB"/>
    <w:rsid w:val="00FA773A"/>
    <w:rsid w:val="00FA7CB5"/>
    <w:rsid w:val="00FB03A1"/>
    <w:rsid w:val="00FB03DF"/>
    <w:rsid w:val="00FB0BC2"/>
    <w:rsid w:val="00FB0BDB"/>
    <w:rsid w:val="00FB0CE1"/>
    <w:rsid w:val="00FB10AD"/>
    <w:rsid w:val="00FB187F"/>
    <w:rsid w:val="00FB1EAC"/>
    <w:rsid w:val="00FB21FB"/>
    <w:rsid w:val="00FB2415"/>
    <w:rsid w:val="00FB25BA"/>
    <w:rsid w:val="00FB2E9D"/>
    <w:rsid w:val="00FB3149"/>
    <w:rsid w:val="00FB340D"/>
    <w:rsid w:val="00FB35D7"/>
    <w:rsid w:val="00FB3CF0"/>
    <w:rsid w:val="00FB4881"/>
    <w:rsid w:val="00FB4942"/>
    <w:rsid w:val="00FB4F37"/>
    <w:rsid w:val="00FB55CD"/>
    <w:rsid w:val="00FB58CE"/>
    <w:rsid w:val="00FB5A5A"/>
    <w:rsid w:val="00FB5C16"/>
    <w:rsid w:val="00FB5D6A"/>
    <w:rsid w:val="00FB5D9F"/>
    <w:rsid w:val="00FB5F5B"/>
    <w:rsid w:val="00FB6001"/>
    <w:rsid w:val="00FB74FA"/>
    <w:rsid w:val="00FB78CC"/>
    <w:rsid w:val="00FB7A21"/>
    <w:rsid w:val="00FB7B7A"/>
    <w:rsid w:val="00FB7D84"/>
    <w:rsid w:val="00FB7E73"/>
    <w:rsid w:val="00FB7FC9"/>
    <w:rsid w:val="00FC013E"/>
    <w:rsid w:val="00FC04AB"/>
    <w:rsid w:val="00FC0A56"/>
    <w:rsid w:val="00FC0A5B"/>
    <w:rsid w:val="00FC1082"/>
    <w:rsid w:val="00FC1167"/>
    <w:rsid w:val="00FC1168"/>
    <w:rsid w:val="00FC1188"/>
    <w:rsid w:val="00FC16A6"/>
    <w:rsid w:val="00FC1E9B"/>
    <w:rsid w:val="00FC1EB1"/>
    <w:rsid w:val="00FC205F"/>
    <w:rsid w:val="00FC2927"/>
    <w:rsid w:val="00FC2BED"/>
    <w:rsid w:val="00FC3216"/>
    <w:rsid w:val="00FC3222"/>
    <w:rsid w:val="00FC323C"/>
    <w:rsid w:val="00FC3484"/>
    <w:rsid w:val="00FC3CCC"/>
    <w:rsid w:val="00FC40A6"/>
    <w:rsid w:val="00FC40B3"/>
    <w:rsid w:val="00FC42F1"/>
    <w:rsid w:val="00FC4472"/>
    <w:rsid w:val="00FC4810"/>
    <w:rsid w:val="00FC4B80"/>
    <w:rsid w:val="00FC4F6A"/>
    <w:rsid w:val="00FC56B7"/>
    <w:rsid w:val="00FC58D0"/>
    <w:rsid w:val="00FC59E2"/>
    <w:rsid w:val="00FC5A67"/>
    <w:rsid w:val="00FC5B31"/>
    <w:rsid w:val="00FC5BF8"/>
    <w:rsid w:val="00FC62FC"/>
    <w:rsid w:val="00FC6694"/>
    <w:rsid w:val="00FC6732"/>
    <w:rsid w:val="00FC6AAF"/>
    <w:rsid w:val="00FC6AFA"/>
    <w:rsid w:val="00FC6AFB"/>
    <w:rsid w:val="00FC73CF"/>
    <w:rsid w:val="00FC76BE"/>
    <w:rsid w:val="00FC7C4E"/>
    <w:rsid w:val="00FC7C6E"/>
    <w:rsid w:val="00FD02BC"/>
    <w:rsid w:val="00FD03EB"/>
    <w:rsid w:val="00FD0737"/>
    <w:rsid w:val="00FD0847"/>
    <w:rsid w:val="00FD0857"/>
    <w:rsid w:val="00FD0BB7"/>
    <w:rsid w:val="00FD1130"/>
    <w:rsid w:val="00FD1224"/>
    <w:rsid w:val="00FD12F7"/>
    <w:rsid w:val="00FD1503"/>
    <w:rsid w:val="00FD1C78"/>
    <w:rsid w:val="00FD200A"/>
    <w:rsid w:val="00FD21BD"/>
    <w:rsid w:val="00FD21E2"/>
    <w:rsid w:val="00FD2B37"/>
    <w:rsid w:val="00FD2C2B"/>
    <w:rsid w:val="00FD2C7A"/>
    <w:rsid w:val="00FD31B1"/>
    <w:rsid w:val="00FD31E0"/>
    <w:rsid w:val="00FD326B"/>
    <w:rsid w:val="00FD3522"/>
    <w:rsid w:val="00FD374B"/>
    <w:rsid w:val="00FD3EFB"/>
    <w:rsid w:val="00FD4094"/>
    <w:rsid w:val="00FD41E9"/>
    <w:rsid w:val="00FD4397"/>
    <w:rsid w:val="00FD43B1"/>
    <w:rsid w:val="00FD4637"/>
    <w:rsid w:val="00FD4A28"/>
    <w:rsid w:val="00FD4CDB"/>
    <w:rsid w:val="00FD4EAC"/>
    <w:rsid w:val="00FD519A"/>
    <w:rsid w:val="00FD52F6"/>
    <w:rsid w:val="00FD5D8E"/>
    <w:rsid w:val="00FD5F29"/>
    <w:rsid w:val="00FD650A"/>
    <w:rsid w:val="00FD68CB"/>
    <w:rsid w:val="00FD6ED2"/>
    <w:rsid w:val="00FD7339"/>
    <w:rsid w:val="00FD7549"/>
    <w:rsid w:val="00FD7BE3"/>
    <w:rsid w:val="00FD7D94"/>
    <w:rsid w:val="00FD7DB4"/>
    <w:rsid w:val="00FD7E4B"/>
    <w:rsid w:val="00FE005C"/>
    <w:rsid w:val="00FE00AE"/>
    <w:rsid w:val="00FE03DF"/>
    <w:rsid w:val="00FE0829"/>
    <w:rsid w:val="00FE0B59"/>
    <w:rsid w:val="00FE0D45"/>
    <w:rsid w:val="00FE0E4F"/>
    <w:rsid w:val="00FE0E52"/>
    <w:rsid w:val="00FE0EF6"/>
    <w:rsid w:val="00FE1110"/>
    <w:rsid w:val="00FE1554"/>
    <w:rsid w:val="00FE1687"/>
    <w:rsid w:val="00FE171B"/>
    <w:rsid w:val="00FE192A"/>
    <w:rsid w:val="00FE1C0A"/>
    <w:rsid w:val="00FE1E2C"/>
    <w:rsid w:val="00FE2080"/>
    <w:rsid w:val="00FE2105"/>
    <w:rsid w:val="00FE23A1"/>
    <w:rsid w:val="00FE24C6"/>
    <w:rsid w:val="00FE260C"/>
    <w:rsid w:val="00FE2680"/>
    <w:rsid w:val="00FE26D6"/>
    <w:rsid w:val="00FE2750"/>
    <w:rsid w:val="00FE27CE"/>
    <w:rsid w:val="00FE2869"/>
    <w:rsid w:val="00FE2C8F"/>
    <w:rsid w:val="00FE2CE3"/>
    <w:rsid w:val="00FE316D"/>
    <w:rsid w:val="00FE3438"/>
    <w:rsid w:val="00FE3571"/>
    <w:rsid w:val="00FE3624"/>
    <w:rsid w:val="00FE3CB1"/>
    <w:rsid w:val="00FE41CD"/>
    <w:rsid w:val="00FE437F"/>
    <w:rsid w:val="00FE45D1"/>
    <w:rsid w:val="00FE48F6"/>
    <w:rsid w:val="00FE49DF"/>
    <w:rsid w:val="00FE4CDB"/>
    <w:rsid w:val="00FE4D89"/>
    <w:rsid w:val="00FE4E4B"/>
    <w:rsid w:val="00FE5505"/>
    <w:rsid w:val="00FE5839"/>
    <w:rsid w:val="00FE5A78"/>
    <w:rsid w:val="00FE5AB6"/>
    <w:rsid w:val="00FE5ABC"/>
    <w:rsid w:val="00FE5E6F"/>
    <w:rsid w:val="00FE60AE"/>
    <w:rsid w:val="00FE6386"/>
    <w:rsid w:val="00FE67CB"/>
    <w:rsid w:val="00FE698D"/>
    <w:rsid w:val="00FE6D7B"/>
    <w:rsid w:val="00FE6DFD"/>
    <w:rsid w:val="00FE72B2"/>
    <w:rsid w:val="00FE75F4"/>
    <w:rsid w:val="00FE7625"/>
    <w:rsid w:val="00FE7C31"/>
    <w:rsid w:val="00FE7D92"/>
    <w:rsid w:val="00FE7EC0"/>
    <w:rsid w:val="00FF0208"/>
    <w:rsid w:val="00FF031D"/>
    <w:rsid w:val="00FF045C"/>
    <w:rsid w:val="00FF0A33"/>
    <w:rsid w:val="00FF0A35"/>
    <w:rsid w:val="00FF0BE2"/>
    <w:rsid w:val="00FF0D50"/>
    <w:rsid w:val="00FF0F25"/>
    <w:rsid w:val="00FF0F6D"/>
    <w:rsid w:val="00FF1473"/>
    <w:rsid w:val="00FF1B15"/>
    <w:rsid w:val="00FF1E5B"/>
    <w:rsid w:val="00FF1EE3"/>
    <w:rsid w:val="00FF2199"/>
    <w:rsid w:val="00FF255E"/>
    <w:rsid w:val="00FF2649"/>
    <w:rsid w:val="00FF2AA0"/>
    <w:rsid w:val="00FF2E02"/>
    <w:rsid w:val="00FF2F14"/>
    <w:rsid w:val="00FF3517"/>
    <w:rsid w:val="00FF39E1"/>
    <w:rsid w:val="00FF4282"/>
    <w:rsid w:val="00FF4549"/>
    <w:rsid w:val="00FF45EA"/>
    <w:rsid w:val="00FF4B87"/>
    <w:rsid w:val="00FF4C95"/>
    <w:rsid w:val="00FF4D94"/>
    <w:rsid w:val="00FF4F3D"/>
    <w:rsid w:val="00FF5340"/>
    <w:rsid w:val="00FF59F3"/>
    <w:rsid w:val="00FF5A27"/>
    <w:rsid w:val="00FF5A86"/>
    <w:rsid w:val="00FF5BA2"/>
    <w:rsid w:val="00FF5BDD"/>
    <w:rsid w:val="00FF5BE2"/>
    <w:rsid w:val="00FF63D5"/>
    <w:rsid w:val="00FF643E"/>
    <w:rsid w:val="00FF6784"/>
    <w:rsid w:val="00FF6B08"/>
    <w:rsid w:val="00FF6D4C"/>
    <w:rsid w:val="00FF708E"/>
    <w:rsid w:val="00FF71DD"/>
    <w:rsid w:val="00FF72B9"/>
    <w:rsid w:val="00FF785A"/>
    <w:rsid w:val="01020EA8"/>
    <w:rsid w:val="010E4D40"/>
    <w:rsid w:val="01450466"/>
    <w:rsid w:val="014CFECD"/>
    <w:rsid w:val="015C236B"/>
    <w:rsid w:val="016E7A31"/>
    <w:rsid w:val="0174C783"/>
    <w:rsid w:val="01860FAB"/>
    <w:rsid w:val="01908F47"/>
    <w:rsid w:val="019116D0"/>
    <w:rsid w:val="01A22217"/>
    <w:rsid w:val="01A6FB0B"/>
    <w:rsid w:val="01E6AA35"/>
    <w:rsid w:val="01FBE169"/>
    <w:rsid w:val="0222329F"/>
    <w:rsid w:val="0250312A"/>
    <w:rsid w:val="0257BC8A"/>
    <w:rsid w:val="027AB349"/>
    <w:rsid w:val="027D1E4D"/>
    <w:rsid w:val="02C89621"/>
    <w:rsid w:val="02D700A7"/>
    <w:rsid w:val="02E61152"/>
    <w:rsid w:val="02EE0D51"/>
    <w:rsid w:val="02FE778B"/>
    <w:rsid w:val="0305CC95"/>
    <w:rsid w:val="0306DBC6"/>
    <w:rsid w:val="03200B27"/>
    <w:rsid w:val="033A9719"/>
    <w:rsid w:val="034C4F81"/>
    <w:rsid w:val="03555761"/>
    <w:rsid w:val="036A1407"/>
    <w:rsid w:val="0380D9D3"/>
    <w:rsid w:val="0381673F"/>
    <w:rsid w:val="03A2F017"/>
    <w:rsid w:val="03B4DE95"/>
    <w:rsid w:val="03B8581B"/>
    <w:rsid w:val="03B98C85"/>
    <w:rsid w:val="03BD1948"/>
    <w:rsid w:val="03BEBC32"/>
    <w:rsid w:val="03C975FA"/>
    <w:rsid w:val="03E9ABF7"/>
    <w:rsid w:val="03E9CB8E"/>
    <w:rsid w:val="041C4FAB"/>
    <w:rsid w:val="0423B852"/>
    <w:rsid w:val="048A253E"/>
    <w:rsid w:val="048B0CB9"/>
    <w:rsid w:val="048F9CE5"/>
    <w:rsid w:val="049F3002"/>
    <w:rsid w:val="04B8187E"/>
    <w:rsid w:val="051C5E65"/>
    <w:rsid w:val="0535A508"/>
    <w:rsid w:val="05377CB3"/>
    <w:rsid w:val="054732CF"/>
    <w:rsid w:val="0566C3E5"/>
    <w:rsid w:val="0577E936"/>
    <w:rsid w:val="059BFF7A"/>
    <w:rsid w:val="05A52ECA"/>
    <w:rsid w:val="05B4878B"/>
    <w:rsid w:val="05C2A7F3"/>
    <w:rsid w:val="05D26FB1"/>
    <w:rsid w:val="05EBF4E9"/>
    <w:rsid w:val="0628416B"/>
    <w:rsid w:val="0632F63D"/>
    <w:rsid w:val="063B6382"/>
    <w:rsid w:val="0648145A"/>
    <w:rsid w:val="06774314"/>
    <w:rsid w:val="068E9F29"/>
    <w:rsid w:val="0692418B"/>
    <w:rsid w:val="069C81E0"/>
    <w:rsid w:val="06C5A628"/>
    <w:rsid w:val="07092DE1"/>
    <w:rsid w:val="07258E55"/>
    <w:rsid w:val="0726BEB4"/>
    <w:rsid w:val="072D8EC8"/>
    <w:rsid w:val="0743D320"/>
    <w:rsid w:val="077D52AA"/>
    <w:rsid w:val="07837BB0"/>
    <w:rsid w:val="078A9151"/>
    <w:rsid w:val="0790F088"/>
    <w:rsid w:val="079887A6"/>
    <w:rsid w:val="07A52607"/>
    <w:rsid w:val="07B86B97"/>
    <w:rsid w:val="07C139E1"/>
    <w:rsid w:val="07E056A8"/>
    <w:rsid w:val="07EA108D"/>
    <w:rsid w:val="07ED0761"/>
    <w:rsid w:val="07FD6875"/>
    <w:rsid w:val="080A1975"/>
    <w:rsid w:val="0833F3F4"/>
    <w:rsid w:val="083A2240"/>
    <w:rsid w:val="0866E777"/>
    <w:rsid w:val="086E28DB"/>
    <w:rsid w:val="086EF4A8"/>
    <w:rsid w:val="08A1EA2F"/>
    <w:rsid w:val="08BF4ED6"/>
    <w:rsid w:val="0900B2B9"/>
    <w:rsid w:val="0905C635"/>
    <w:rsid w:val="0912721C"/>
    <w:rsid w:val="09134A40"/>
    <w:rsid w:val="09159127"/>
    <w:rsid w:val="091EBCA9"/>
    <w:rsid w:val="0948FC24"/>
    <w:rsid w:val="0976481C"/>
    <w:rsid w:val="09B4D7BC"/>
    <w:rsid w:val="09CD4404"/>
    <w:rsid w:val="09D0BBA3"/>
    <w:rsid w:val="09DE7A33"/>
    <w:rsid w:val="09F058FE"/>
    <w:rsid w:val="0A0C8033"/>
    <w:rsid w:val="0A167B7B"/>
    <w:rsid w:val="0A2D198F"/>
    <w:rsid w:val="0A33CD8F"/>
    <w:rsid w:val="0A93D1EF"/>
    <w:rsid w:val="0AA99EE1"/>
    <w:rsid w:val="0AD68813"/>
    <w:rsid w:val="0B15E687"/>
    <w:rsid w:val="0B1BD34F"/>
    <w:rsid w:val="0B563448"/>
    <w:rsid w:val="0B80EAED"/>
    <w:rsid w:val="0B8C8741"/>
    <w:rsid w:val="0B950A4C"/>
    <w:rsid w:val="0B9F7298"/>
    <w:rsid w:val="0BD10D1E"/>
    <w:rsid w:val="0BD683EA"/>
    <w:rsid w:val="0BD73E89"/>
    <w:rsid w:val="0BD9D877"/>
    <w:rsid w:val="0C269B5F"/>
    <w:rsid w:val="0C27E3AC"/>
    <w:rsid w:val="0C46AEC3"/>
    <w:rsid w:val="0C4D9FBB"/>
    <w:rsid w:val="0C53AC63"/>
    <w:rsid w:val="0C547D6A"/>
    <w:rsid w:val="0C65FE65"/>
    <w:rsid w:val="0C7D658A"/>
    <w:rsid w:val="0C864549"/>
    <w:rsid w:val="0C87E596"/>
    <w:rsid w:val="0C9C6CA9"/>
    <w:rsid w:val="0CA7EEB8"/>
    <w:rsid w:val="0CE662C2"/>
    <w:rsid w:val="0CFFE349"/>
    <w:rsid w:val="0D4212AF"/>
    <w:rsid w:val="0D926CC4"/>
    <w:rsid w:val="0DB1EDCA"/>
    <w:rsid w:val="0DC1BAD6"/>
    <w:rsid w:val="0DDFAF47"/>
    <w:rsid w:val="0DE2573E"/>
    <w:rsid w:val="0DE50073"/>
    <w:rsid w:val="0E35591A"/>
    <w:rsid w:val="0E439B05"/>
    <w:rsid w:val="0E8433C0"/>
    <w:rsid w:val="0E88A74F"/>
    <w:rsid w:val="0EA0EAB8"/>
    <w:rsid w:val="0EC10BA1"/>
    <w:rsid w:val="0F2553DC"/>
    <w:rsid w:val="0F32748E"/>
    <w:rsid w:val="0F49D154"/>
    <w:rsid w:val="0F511506"/>
    <w:rsid w:val="0F5D4498"/>
    <w:rsid w:val="0F63D7E5"/>
    <w:rsid w:val="0FBAA82E"/>
    <w:rsid w:val="0FE069F0"/>
    <w:rsid w:val="0FF696A1"/>
    <w:rsid w:val="0FF77A61"/>
    <w:rsid w:val="10024BCA"/>
    <w:rsid w:val="100B3BD1"/>
    <w:rsid w:val="101698DD"/>
    <w:rsid w:val="1021BC95"/>
    <w:rsid w:val="1024444B"/>
    <w:rsid w:val="104C8DF2"/>
    <w:rsid w:val="104DB39C"/>
    <w:rsid w:val="10D359E9"/>
    <w:rsid w:val="10D8A8D8"/>
    <w:rsid w:val="10E5A99C"/>
    <w:rsid w:val="1119F039"/>
    <w:rsid w:val="1122755F"/>
    <w:rsid w:val="114E6343"/>
    <w:rsid w:val="114F068D"/>
    <w:rsid w:val="11C63590"/>
    <w:rsid w:val="11C89865"/>
    <w:rsid w:val="11DBC25E"/>
    <w:rsid w:val="12047BCE"/>
    <w:rsid w:val="12149713"/>
    <w:rsid w:val="123CD58D"/>
    <w:rsid w:val="12C68A6E"/>
    <w:rsid w:val="12CAE514"/>
    <w:rsid w:val="12EA44C8"/>
    <w:rsid w:val="1303A040"/>
    <w:rsid w:val="130865AD"/>
    <w:rsid w:val="130E3FD2"/>
    <w:rsid w:val="13205CE5"/>
    <w:rsid w:val="132C409E"/>
    <w:rsid w:val="132CC1F4"/>
    <w:rsid w:val="13373CA9"/>
    <w:rsid w:val="1341136E"/>
    <w:rsid w:val="134BF457"/>
    <w:rsid w:val="1363C8BB"/>
    <w:rsid w:val="13650A02"/>
    <w:rsid w:val="1385C367"/>
    <w:rsid w:val="13BF7C47"/>
    <w:rsid w:val="13C3DAEA"/>
    <w:rsid w:val="13D5EA03"/>
    <w:rsid w:val="13D7E8A2"/>
    <w:rsid w:val="14109317"/>
    <w:rsid w:val="146DF61E"/>
    <w:rsid w:val="1474E4A2"/>
    <w:rsid w:val="14BE28E9"/>
    <w:rsid w:val="14CFACFC"/>
    <w:rsid w:val="14DDFA3A"/>
    <w:rsid w:val="14F1DC6C"/>
    <w:rsid w:val="1503B8CA"/>
    <w:rsid w:val="1524E083"/>
    <w:rsid w:val="15317A58"/>
    <w:rsid w:val="155FCB3F"/>
    <w:rsid w:val="15704B31"/>
    <w:rsid w:val="159F08A2"/>
    <w:rsid w:val="15E60E44"/>
    <w:rsid w:val="163EC12C"/>
    <w:rsid w:val="1682570E"/>
    <w:rsid w:val="168EFFE7"/>
    <w:rsid w:val="169C504E"/>
    <w:rsid w:val="16F5C234"/>
    <w:rsid w:val="17620490"/>
    <w:rsid w:val="1786E09A"/>
    <w:rsid w:val="17A885EB"/>
    <w:rsid w:val="17B4E55F"/>
    <w:rsid w:val="17B6B040"/>
    <w:rsid w:val="17BB7F35"/>
    <w:rsid w:val="17C31E30"/>
    <w:rsid w:val="17F0E864"/>
    <w:rsid w:val="17FD98AF"/>
    <w:rsid w:val="18587383"/>
    <w:rsid w:val="188352DE"/>
    <w:rsid w:val="18948560"/>
    <w:rsid w:val="18A33AE4"/>
    <w:rsid w:val="18AA5565"/>
    <w:rsid w:val="18D85033"/>
    <w:rsid w:val="19093D3A"/>
    <w:rsid w:val="191D86FF"/>
    <w:rsid w:val="19381C54"/>
    <w:rsid w:val="1939B4EB"/>
    <w:rsid w:val="193C340B"/>
    <w:rsid w:val="193FDDC3"/>
    <w:rsid w:val="19961606"/>
    <w:rsid w:val="199BDADF"/>
    <w:rsid w:val="19BE1A7F"/>
    <w:rsid w:val="19D78E07"/>
    <w:rsid w:val="1A0376B3"/>
    <w:rsid w:val="1A158100"/>
    <w:rsid w:val="1A1B3AA5"/>
    <w:rsid w:val="1A386938"/>
    <w:rsid w:val="1A487003"/>
    <w:rsid w:val="1A8A7D5F"/>
    <w:rsid w:val="1A9A1E40"/>
    <w:rsid w:val="1AAE7830"/>
    <w:rsid w:val="1ABC1C89"/>
    <w:rsid w:val="1AC8D616"/>
    <w:rsid w:val="1AC9BE2C"/>
    <w:rsid w:val="1ACF370F"/>
    <w:rsid w:val="1AD5719E"/>
    <w:rsid w:val="1AD794EE"/>
    <w:rsid w:val="1AF5EB0F"/>
    <w:rsid w:val="1B04D65B"/>
    <w:rsid w:val="1B348828"/>
    <w:rsid w:val="1B3522A1"/>
    <w:rsid w:val="1B58E7D7"/>
    <w:rsid w:val="1B69516E"/>
    <w:rsid w:val="1BB899CB"/>
    <w:rsid w:val="1BBA6E94"/>
    <w:rsid w:val="1BC286AD"/>
    <w:rsid w:val="1BCAE4A3"/>
    <w:rsid w:val="1BE33BA6"/>
    <w:rsid w:val="1BEEE222"/>
    <w:rsid w:val="1BF22757"/>
    <w:rsid w:val="1C1226BC"/>
    <w:rsid w:val="1C3767CD"/>
    <w:rsid w:val="1C3E0856"/>
    <w:rsid w:val="1C4E3744"/>
    <w:rsid w:val="1C666E5B"/>
    <w:rsid w:val="1C8A0894"/>
    <w:rsid w:val="1C9953B8"/>
    <w:rsid w:val="1CE2D03C"/>
    <w:rsid w:val="1D4DE17B"/>
    <w:rsid w:val="1D5A238D"/>
    <w:rsid w:val="1D5E912B"/>
    <w:rsid w:val="1D8045E2"/>
    <w:rsid w:val="1D91C3EF"/>
    <w:rsid w:val="1DC291C2"/>
    <w:rsid w:val="1E245642"/>
    <w:rsid w:val="1E267029"/>
    <w:rsid w:val="1E2F6E1D"/>
    <w:rsid w:val="1E36C0A8"/>
    <w:rsid w:val="1E3EF4E7"/>
    <w:rsid w:val="1E6694F7"/>
    <w:rsid w:val="1E682FF1"/>
    <w:rsid w:val="1E7798A8"/>
    <w:rsid w:val="1E7883FF"/>
    <w:rsid w:val="1EAFBEB5"/>
    <w:rsid w:val="1EB556DF"/>
    <w:rsid w:val="1EB734DE"/>
    <w:rsid w:val="1ED7728B"/>
    <w:rsid w:val="1EEBE11A"/>
    <w:rsid w:val="1EF944FB"/>
    <w:rsid w:val="1F0B2A11"/>
    <w:rsid w:val="1F42DF30"/>
    <w:rsid w:val="1F66FAB7"/>
    <w:rsid w:val="1FA3EF4D"/>
    <w:rsid w:val="1FC40B56"/>
    <w:rsid w:val="20053B51"/>
    <w:rsid w:val="2020DA52"/>
    <w:rsid w:val="20262009"/>
    <w:rsid w:val="202CCCFE"/>
    <w:rsid w:val="203DE22F"/>
    <w:rsid w:val="205CD950"/>
    <w:rsid w:val="206C3C77"/>
    <w:rsid w:val="207A7E10"/>
    <w:rsid w:val="209F024C"/>
    <w:rsid w:val="20A495A3"/>
    <w:rsid w:val="20BC5791"/>
    <w:rsid w:val="20BCB03A"/>
    <w:rsid w:val="20BE158C"/>
    <w:rsid w:val="210A93E7"/>
    <w:rsid w:val="21116078"/>
    <w:rsid w:val="212C66EA"/>
    <w:rsid w:val="21345814"/>
    <w:rsid w:val="214723F7"/>
    <w:rsid w:val="21504BEF"/>
    <w:rsid w:val="2158483E"/>
    <w:rsid w:val="215B0200"/>
    <w:rsid w:val="216B0230"/>
    <w:rsid w:val="21761068"/>
    <w:rsid w:val="21A7BAF8"/>
    <w:rsid w:val="21AB1A6A"/>
    <w:rsid w:val="21AF9110"/>
    <w:rsid w:val="21CD1B92"/>
    <w:rsid w:val="21DB1C0E"/>
    <w:rsid w:val="22592706"/>
    <w:rsid w:val="2288E7CF"/>
    <w:rsid w:val="22A696A2"/>
    <w:rsid w:val="22B3B6B2"/>
    <w:rsid w:val="22BFEBB5"/>
    <w:rsid w:val="22EB555F"/>
    <w:rsid w:val="22F8EFA0"/>
    <w:rsid w:val="2329E58F"/>
    <w:rsid w:val="232D52FF"/>
    <w:rsid w:val="23429416"/>
    <w:rsid w:val="2343A72C"/>
    <w:rsid w:val="234C8C4E"/>
    <w:rsid w:val="23859381"/>
    <w:rsid w:val="238BAEBE"/>
    <w:rsid w:val="23A702F2"/>
    <w:rsid w:val="23B8BBB0"/>
    <w:rsid w:val="23DF8921"/>
    <w:rsid w:val="23E21806"/>
    <w:rsid w:val="2411DAE5"/>
    <w:rsid w:val="24129325"/>
    <w:rsid w:val="241EC6B3"/>
    <w:rsid w:val="2448CBD3"/>
    <w:rsid w:val="24614221"/>
    <w:rsid w:val="2472CD3F"/>
    <w:rsid w:val="2486F958"/>
    <w:rsid w:val="24887AC6"/>
    <w:rsid w:val="24894958"/>
    <w:rsid w:val="24958D28"/>
    <w:rsid w:val="24C9535B"/>
    <w:rsid w:val="24DC8F96"/>
    <w:rsid w:val="24E7079D"/>
    <w:rsid w:val="251CCE84"/>
    <w:rsid w:val="2528F716"/>
    <w:rsid w:val="2545E12F"/>
    <w:rsid w:val="2599E6FB"/>
    <w:rsid w:val="25BEA1E5"/>
    <w:rsid w:val="25D3BE5B"/>
    <w:rsid w:val="25E36896"/>
    <w:rsid w:val="25EAC75E"/>
    <w:rsid w:val="25EAE6DD"/>
    <w:rsid w:val="25F1A018"/>
    <w:rsid w:val="26090B3A"/>
    <w:rsid w:val="262D9253"/>
    <w:rsid w:val="262DF326"/>
    <w:rsid w:val="263A3447"/>
    <w:rsid w:val="2640796A"/>
    <w:rsid w:val="2642D6D9"/>
    <w:rsid w:val="2682B7F4"/>
    <w:rsid w:val="26A80248"/>
    <w:rsid w:val="26BAC70C"/>
    <w:rsid w:val="26BB8611"/>
    <w:rsid w:val="26CC64A1"/>
    <w:rsid w:val="26D915AA"/>
    <w:rsid w:val="26E20C5B"/>
    <w:rsid w:val="26E23A09"/>
    <w:rsid w:val="26F15E27"/>
    <w:rsid w:val="26FC99C3"/>
    <w:rsid w:val="270F9710"/>
    <w:rsid w:val="271F384A"/>
    <w:rsid w:val="2720E1B5"/>
    <w:rsid w:val="273D37C9"/>
    <w:rsid w:val="27425D36"/>
    <w:rsid w:val="274B088A"/>
    <w:rsid w:val="27751421"/>
    <w:rsid w:val="2792384E"/>
    <w:rsid w:val="27C1F7AD"/>
    <w:rsid w:val="280D8B29"/>
    <w:rsid w:val="280F940F"/>
    <w:rsid w:val="281959FB"/>
    <w:rsid w:val="28244D66"/>
    <w:rsid w:val="28430F59"/>
    <w:rsid w:val="28594AB1"/>
    <w:rsid w:val="289876F0"/>
    <w:rsid w:val="28A2AAB1"/>
    <w:rsid w:val="28A58002"/>
    <w:rsid w:val="28B2B84C"/>
    <w:rsid w:val="28B929F2"/>
    <w:rsid w:val="28E096EC"/>
    <w:rsid w:val="29311311"/>
    <w:rsid w:val="294B88EF"/>
    <w:rsid w:val="294EFB3D"/>
    <w:rsid w:val="29879394"/>
    <w:rsid w:val="29955768"/>
    <w:rsid w:val="29BF7869"/>
    <w:rsid w:val="29D37326"/>
    <w:rsid w:val="29D3FEA1"/>
    <w:rsid w:val="2A01CB10"/>
    <w:rsid w:val="2A469714"/>
    <w:rsid w:val="2A54158C"/>
    <w:rsid w:val="2A55ED3E"/>
    <w:rsid w:val="2A6B429F"/>
    <w:rsid w:val="2A760BCE"/>
    <w:rsid w:val="2A77C251"/>
    <w:rsid w:val="2A7BF0F7"/>
    <w:rsid w:val="2A82B327"/>
    <w:rsid w:val="2A86B5C5"/>
    <w:rsid w:val="2AC0D892"/>
    <w:rsid w:val="2ACD23B6"/>
    <w:rsid w:val="2AE0F2AE"/>
    <w:rsid w:val="2AF3E42D"/>
    <w:rsid w:val="2AFE9239"/>
    <w:rsid w:val="2B011873"/>
    <w:rsid w:val="2B10461B"/>
    <w:rsid w:val="2B18C097"/>
    <w:rsid w:val="2B297DD7"/>
    <w:rsid w:val="2B52B3C8"/>
    <w:rsid w:val="2B6E8F40"/>
    <w:rsid w:val="2B703E49"/>
    <w:rsid w:val="2B7BA709"/>
    <w:rsid w:val="2B9B24C6"/>
    <w:rsid w:val="2B9D15CD"/>
    <w:rsid w:val="2BB24B30"/>
    <w:rsid w:val="2BC60502"/>
    <w:rsid w:val="2BD13090"/>
    <w:rsid w:val="2BDADC85"/>
    <w:rsid w:val="2BE35ECE"/>
    <w:rsid w:val="2BEA50E0"/>
    <w:rsid w:val="2BF68C51"/>
    <w:rsid w:val="2C02BCDF"/>
    <w:rsid w:val="2C3F553B"/>
    <w:rsid w:val="2C4F5158"/>
    <w:rsid w:val="2C7057B1"/>
    <w:rsid w:val="2C73AE52"/>
    <w:rsid w:val="2C7F3351"/>
    <w:rsid w:val="2CBAB675"/>
    <w:rsid w:val="2CF5C912"/>
    <w:rsid w:val="2D1ABD07"/>
    <w:rsid w:val="2D36C214"/>
    <w:rsid w:val="2D4C657A"/>
    <w:rsid w:val="2D519046"/>
    <w:rsid w:val="2D5C9719"/>
    <w:rsid w:val="2D603292"/>
    <w:rsid w:val="2D656276"/>
    <w:rsid w:val="2DA2793A"/>
    <w:rsid w:val="2DA41E7C"/>
    <w:rsid w:val="2DBC0177"/>
    <w:rsid w:val="2DD048A2"/>
    <w:rsid w:val="2DEEE0D6"/>
    <w:rsid w:val="2E03C2E1"/>
    <w:rsid w:val="2E1A52F5"/>
    <w:rsid w:val="2E2671B6"/>
    <w:rsid w:val="2E2BAAFE"/>
    <w:rsid w:val="2E42FF4E"/>
    <w:rsid w:val="2E86A51C"/>
    <w:rsid w:val="2E923961"/>
    <w:rsid w:val="2EA4B9BE"/>
    <w:rsid w:val="2EBE1368"/>
    <w:rsid w:val="2EBFEF12"/>
    <w:rsid w:val="2ED11A68"/>
    <w:rsid w:val="2F0500E5"/>
    <w:rsid w:val="2F508EC5"/>
    <w:rsid w:val="2F5796DF"/>
    <w:rsid w:val="2F6599AE"/>
    <w:rsid w:val="2F913299"/>
    <w:rsid w:val="2F917D57"/>
    <w:rsid w:val="2F941329"/>
    <w:rsid w:val="2F968CF4"/>
    <w:rsid w:val="2F9DEC2A"/>
    <w:rsid w:val="2FA1D0AE"/>
    <w:rsid w:val="2FFAD0E7"/>
    <w:rsid w:val="2FFCDB65"/>
    <w:rsid w:val="30193D0A"/>
    <w:rsid w:val="303F4E0A"/>
    <w:rsid w:val="304D17E9"/>
    <w:rsid w:val="306A7C8F"/>
    <w:rsid w:val="308C0147"/>
    <w:rsid w:val="3095BB45"/>
    <w:rsid w:val="309B77EC"/>
    <w:rsid w:val="30B1B784"/>
    <w:rsid w:val="30F37BCB"/>
    <w:rsid w:val="31805D16"/>
    <w:rsid w:val="31899BCE"/>
    <w:rsid w:val="31949346"/>
    <w:rsid w:val="31BCA3C4"/>
    <w:rsid w:val="3232AC6D"/>
    <w:rsid w:val="324FE89F"/>
    <w:rsid w:val="3253502A"/>
    <w:rsid w:val="32818054"/>
    <w:rsid w:val="32A79B96"/>
    <w:rsid w:val="32B5BD6A"/>
    <w:rsid w:val="32B7A423"/>
    <w:rsid w:val="32C5658B"/>
    <w:rsid w:val="32FF0018"/>
    <w:rsid w:val="330E34DD"/>
    <w:rsid w:val="332244E6"/>
    <w:rsid w:val="332E1A7A"/>
    <w:rsid w:val="33314EE5"/>
    <w:rsid w:val="3331E5C0"/>
    <w:rsid w:val="33624D29"/>
    <w:rsid w:val="337273CF"/>
    <w:rsid w:val="338FB90A"/>
    <w:rsid w:val="33930195"/>
    <w:rsid w:val="33B4C735"/>
    <w:rsid w:val="33B805B9"/>
    <w:rsid w:val="33C36A09"/>
    <w:rsid w:val="33C901BF"/>
    <w:rsid w:val="340A2DC5"/>
    <w:rsid w:val="3420827F"/>
    <w:rsid w:val="34268502"/>
    <w:rsid w:val="3463E9C0"/>
    <w:rsid w:val="34CC7D24"/>
    <w:rsid w:val="34D5B100"/>
    <w:rsid w:val="34EF673E"/>
    <w:rsid w:val="350C3073"/>
    <w:rsid w:val="3537E316"/>
    <w:rsid w:val="353F7A2A"/>
    <w:rsid w:val="35435D51"/>
    <w:rsid w:val="35505693"/>
    <w:rsid w:val="35646493"/>
    <w:rsid w:val="3571D7E8"/>
    <w:rsid w:val="35734A08"/>
    <w:rsid w:val="357640D7"/>
    <w:rsid w:val="35ADF017"/>
    <w:rsid w:val="35E50F63"/>
    <w:rsid w:val="361CD68B"/>
    <w:rsid w:val="3633B94B"/>
    <w:rsid w:val="3635CFE0"/>
    <w:rsid w:val="366FC85E"/>
    <w:rsid w:val="368BF427"/>
    <w:rsid w:val="36B56B7D"/>
    <w:rsid w:val="36B7303C"/>
    <w:rsid w:val="36EEFA52"/>
    <w:rsid w:val="36F20957"/>
    <w:rsid w:val="36F51C22"/>
    <w:rsid w:val="3710010E"/>
    <w:rsid w:val="3725D160"/>
    <w:rsid w:val="3754F33E"/>
    <w:rsid w:val="3758F41B"/>
    <w:rsid w:val="3763AC72"/>
    <w:rsid w:val="3766CAB7"/>
    <w:rsid w:val="37674A1C"/>
    <w:rsid w:val="377CC113"/>
    <w:rsid w:val="37869307"/>
    <w:rsid w:val="378D56D2"/>
    <w:rsid w:val="379C477F"/>
    <w:rsid w:val="37CF43AA"/>
    <w:rsid w:val="37F89178"/>
    <w:rsid w:val="3815F719"/>
    <w:rsid w:val="384609F3"/>
    <w:rsid w:val="38471435"/>
    <w:rsid w:val="384FA242"/>
    <w:rsid w:val="3851CB3D"/>
    <w:rsid w:val="3854B52E"/>
    <w:rsid w:val="385CAB11"/>
    <w:rsid w:val="3869EAAD"/>
    <w:rsid w:val="388AFD30"/>
    <w:rsid w:val="388ED8AF"/>
    <w:rsid w:val="38C3F62C"/>
    <w:rsid w:val="38C93D77"/>
    <w:rsid w:val="38D90EF2"/>
    <w:rsid w:val="3904FB25"/>
    <w:rsid w:val="392BBE37"/>
    <w:rsid w:val="393322EE"/>
    <w:rsid w:val="3969DA04"/>
    <w:rsid w:val="396F7221"/>
    <w:rsid w:val="399374A0"/>
    <w:rsid w:val="39BB97B6"/>
    <w:rsid w:val="3A0536F1"/>
    <w:rsid w:val="3A221014"/>
    <w:rsid w:val="3A326231"/>
    <w:rsid w:val="3A37F9F9"/>
    <w:rsid w:val="3A586827"/>
    <w:rsid w:val="3A6168D6"/>
    <w:rsid w:val="3A6535D6"/>
    <w:rsid w:val="3A6A4A61"/>
    <w:rsid w:val="3A6BBDCB"/>
    <w:rsid w:val="3A84A0E4"/>
    <w:rsid w:val="3A855F3F"/>
    <w:rsid w:val="3A9F4F64"/>
    <w:rsid w:val="3AB42498"/>
    <w:rsid w:val="3AC27D01"/>
    <w:rsid w:val="3AF2AE7E"/>
    <w:rsid w:val="3B035673"/>
    <w:rsid w:val="3B0A9C98"/>
    <w:rsid w:val="3B0F96CE"/>
    <w:rsid w:val="3B13C28A"/>
    <w:rsid w:val="3B2F4C57"/>
    <w:rsid w:val="3B373CBF"/>
    <w:rsid w:val="3B380121"/>
    <w:rsid w:val="3BA48029"/>
    <w:rsid w:val="3BA7AAED"/>
    <w:rsid w:val="3BAF5466"/>
    <w:rsid w:val="3BBECCEE"/>
    <w:rsid w:val="3BCF0C3D"/>
    <w:rsid w:val="3BE390BF"/>
    <w:rsid w:val="3BFBB16C"/>
    <w:rsid w:val="3C012B55"/>
    <w:rsid w:val="3C07C6FD"/>
    <w:rsid w:val="3C196AF5"/>
    <w:rsid w:val="3C300A9D"/>
    <w:rsid w:val="3C3D3512"/>
    <w:rsid w:val="3C517E8D"/>
    <w:rsid w:val="3C5DE3DC"/>
    <w:rsid w:val="3C658EA5"/>
    <w:rsid w:val="3C7AEF04"/>
    <w:rsid w:val="3C973D8C"/>
    <w:rsid w:val="3CA07EAB"/>
    <w:rsid w:val="3CB29200"/>
    <w:rsid w:val="3CB6DE06"/>
    <w:rsid w:val="3CCDD9B6"/>
    <w:rsid w:val="3CE10DAC"/>
    <w:rsid w:val="3CE5B30E"/>
    <w:rsid w:val="3D04038E"/>
    <w:rsid w:val="3D0BD98C"/>
    <w:rsid w:val="3D0DA8BC"/>
    <w:rsid w:val="3D191A14"/>
    <w:rsid w:val="3D207D4F"/>
    <w:rsid w:val="3D3124DE"/>
    <w:rsid w:val="3D5C11C7"/>
    <w:rsid w:val="3D6AD1CE"/>
    <w:rsid w:val="3D6B5E08"/>
    <w:rsid w:val="3D6CD211"/>
    <w:rsid w:val="3D9DF071"/>
    <w:rsid w:val="3DC1CD58"/>
    <w:rsid w:val="3DC86FB0"/>
    <w:rsid w:val="3DE4080C"/>
    <w:rsid w:val="3DF96F4E"/>
    <w:rsid w:val="3E02DDB5"/>
    <w:rsid w:val="3E471154"/>
    <w:rsid w:val="3E62F333"/>
    <w:rsid w:val="3E84C686"/>
    <w:rsid w:val="3E88DAF1"/>
    <w:rsid w:val="3E8C54C9"/>
    <w:rsid w:val="3E9F801B"/>
    <w:rsid w:val="3EE9A0F3"/>
    <w:rsid w:val="3F61862E"/>
    <w:rsid w:val="3F6D066C"/>
    <w:rsid w:val="3F76CE01"/>
    <w:rsid w:val="3F92EC48"/>
    <w:rsid w:val="3FDF5A37"/>
    <w:rsid w:val="3FDFFF85"/>
    <w:rsid w:val="3FE01EAD"/>
    <w:rsid w:val="4039431E"/>
    <w:rsid w:val="4056EB5B"/>
    <w:rsid w:val="409799E1"/>
    <w:rsid w:val="40A8515D"/>
    <w:rsid w:val="40BA7C1D"/>
    <w:rsid w:val="40CF3B16"/>
    <w:rsid w:val="40DAD025"/>
    <w:rsid w:val="40F4E1E3"/>
    <w:rsid w:val="410BDF33"/>
    <w:rsid w:val="41289B88"/>
    <w:rsid w:val="41687266"/>
    <w:rsid w:val="416F9B78"/>
    <w:rsid w:val="41752245"/>
    <w:rsid w:val="41794AE0"/>
    <w:rsid w:val="418BFD9F"/>
    <w:rsid w:val="41942542"/>
    <w:rsid w:val="419D3A9A"/>
    <w:rsid w:val="41ADA5CB"/>
    <w:rsid w:val="41B3B2F0"/>
    <w:rsid w:val="41B7C632"/>
    <w:rsid w:val="421CD4EE"/>
    <w:rsid w:val="4230D90F"/>
    <w:rsid w:val="423F55AC"/>
    <w:rsid w:val="424F5270"/>
    <w:rsid w:val="4257B7BB"/>
    <w:rsid w:val="42693E77"/>
    <w:rsid w:val="42852269"/>
    <w:rsid w:val="4287EBA2"/>
    <w:rsid w:val="428856EC"/>
    <w:rsid w:val="429A2C95"/>
    <w:rsid w:val="42C29EB8"/>
    <w:rsid w:val="42D88BE3"/>
    <w:rsid w:val="42F6D4C1"/>
    <w:rsid w:val="4326357C"/>
    <w:rsid w:val="436D8B6C"/>
    <w:rsid w:val="436F0498"/>
    <w:rsid w:val="43845063"/>
    <w:rsid w:val="438C76CD"/>
    <w:rsid w:val="43AA4D8D"/>
    <w:rsid w:val="43BDAA03"/>
    <w:rsid w:val="43C76E8C"/>
    <w:rsid w:val="43F05208"/>
    <w:rsid w:val="43FA6C6D"/>
    <w:rsid w:val="444B8021"/>
    <w:rsid w:val="44584101"/>
    <w:rsid w:val="4463815E"/>
    <w:rsid w:val="448411E5"/>
    <w:rsid w:val="44A2D1A4"/>
    <w:rsid w:val="44C4A8A4"/>
    <w:rsid w:val="44CDE2EB"/>
    <w:rsid w:val="454D5C7A"/>
    <w:rsid w:val="458237C7"/>
    <w:rsid w:val="45B53391"/>
    <w:rsid w:val="45B576A8"/>
    <w:rsid w:val="45D010ED"/>
    <w:rsid w:val="45F3D031"/>
    <w:rsid w:val="4602C405"/>
    <w:rsid w:val="4604318F"/>
    <w:rsid w:val="4609E7E8"/>
    <w:rsid w:val="460E3162"/>
    <w:rsid w:val="46193238"/>
    <w:rsid w:val="461E5C47"/>
    <w:rsid w:val="46319870"/>
    <w:rsid w:val="4644336C"/>
    <w:rsid w:val="46599744"/>
    <w:rsid w:val="4669FB43"/>
    <w:rsid w:val="4684FBAD"/>
    <w:rsid w:val="468B14F1"/>
    <w:rsid w:val="46916135"/>
    <w:rsid w:val="46D72DF0"/>
    <w:rsid w:val="47097045"/>
    <w:rsid w:val="4709D59A"/>
    <w:rsid w:val="4762719F"/>
    <w:rsid w:val="476B7224"/>
    <w:rsid w:val="4790CD45"/>
    <w:rsid w:val="479A16DD"/>
    <w:rsid w:val="479BCAEA"/>
    <w:rsid w:val="479C667F"/>
    <w:rsid w:val="479DEEAB"/>
    <w:rsid w:val="47BDD385"/>
    <w:rsid w:val="47C6C010"/>
    <w:rsid w:val="47D17D81"/>
    <w:rsid w:val="47F0A6CE"/>
    <w:rsid w:val="481B6A1F"/>
    <w:rsid w:val="481C33B8"/>
    <w:rsid w:val="485052D1"/>
    <w:rsid w:val="48764FDB"/>
    <w:rsid w:val="48AE7C78"/>
    <w:rsid w:val="48BC513B"/>
    <w:rsid w:val="48E16FC9"/>
    <w:rsid w:val="48ECB38C"/>
    <w:rsid w:val="48F2E2A2"/>
    <w:rsid w:val="48FABE48"/>
    <w:rsid w:val="4929D850"/>
    <w:rsid w:val="495A0ADA"/>
    <w:rsid w:val="49638138"/>
    <w:rsid w:val="49640E47"/>
    <w:rsid w:val="4990CAA8"/>
    <w:rsid w:val="49911101"/>
    <w:rsid w:val="4993DDA6"/>
    <w:rsid w:val="49958AC5"/>
    <w:rsid w:val="4999A887"/>
    <w:rsid w:val="49A00707"/>
    <w:rsid w:val="49AB8A02"/>
    <w:rsid w:val="49BBA7A5"/>
    <w:rsid w:val="49CD684A"/>
    <w:rsid w:val="49FA24B6"/>
    <w:rsid w:val="49FF3049"/>
    <w:rsid w:val="4A2105D8"/>
    <w:rsid w:val="4A45EDB1"/>
    <w:rsid w:val="4A495D0C"/>
    <w:rsid w:val="4A4BFB6F"/>
    <w:rsid w:val="4A56DFDE"/>
    <w:rsid w:val="4A67F8CB"/>
    <w:rsid w:val="4A6BB5D1"/>
    <w:rsid w:val="4A78924F"/>
    <w:rsid w:val="4A8D8264"/>
    <w:rsid w:val="4A8E5DAD"/>
    <w:rsid w:val="4A9D54E0"/>
    <w:rsid w:val="4AACEF84"/>
    <w:rsid w:val="4AD55B4F"/>
    <w:rsid w:val="4B0001A7"/>
    <w:rsid w:val="4B14BB49"/>
    <w:rsid w:val="4B30C019"/>
    <w:rsid w:val="4B5D5065"/>
    <w:rsid w:val="4B778DC2"/>
    <w:rsid w:val="4B944668"/>
    <w:rsid w:val="4B9C6A14"/>
    <w:rsid w:val="4BA148BB"/>
    <w:rsid w:val="4BA4FD68"/>
    <w:rsid w:val="4BA9C30F"/>
    <w:rsid w:val="4BC08569"/>
    <w:rsid w:val="4BCCB564"/>
    <w:rsid w:val="4C070325"/>
    <w:rsid w:val="4C117E93"/>
    <w:rsid w:val="4C11ABDD"/>
    <w:rsid w:val="4C125149"/>
    <w:rsid w:val="4C39F979"/>
    <w:rsid w:val="4C43EA7A"/>
    <w:rsid w:val="4C518C4E"/>
    <w:rsid w:val="4C7585EB"/>
    <w:rsid w:val="4C785D3D"/>
    <w:rsid w:val="4C9DD073"/>
    <w:rsid w:val="4CC901F8"/>
    <w:rsid w:val="4CD8815C"/>
    <w:rsid w:val="4CF712DE"/>
    <w:rsid w:val="4CF8C483"/>
    <w:rsid w:val="4D4A862C"/>
    <w:rsid w:val="4D665FD9"/>
    <w:rsid w:val="4D79CC1C"/>
    <w:rsid w:val="4DA27359"/>
    <w:rsid w:val="4DC72450"/>
    <w:rsid w:val="4DD4517B"/>
    <w:rsid w:val="4DDB44A0"/>
    <w:rsid w:val="4DE2DBA3"/>
    <w:rsid w:val="4DEA7AC0"/>
    <w:rsid w:val="4E70E11D"/>
    <w:rsid w:val="4E9E2BEC"/>
    <w:rsid w:val="4EA11D3B"/>
    <w:rsid w:val="4ECF7AC6"/>
    <w:rsid w:val="4ED963A1"/>
    <w:rsid w:val="4EE30BDA"/>
    <w:rsid w:val="4EF28003"/>
    <w:rsid w:val="4F009121"/>
    <w:rsid w:val="4F1B1973"/>
    <w:rsid w:val="4F9875CF"/>
    <w:rsid w:val="4F9E0ADF"/>
    <w:rsid w:val="4F9F64E8"/>
    <w:rsid w:val="4FACC303"/>
    <w:rsid w:val="4FB023D7"/>
    <w:rsid w:val="5005610C"/>
    <w:rsid w:val="501EB0A6"/>
    <w:rsid w:val="502BAABE"/>
    <w:rsid w:val="50475FFE"/>
    <w:rsid w:val="507F49B8"/>
    <w:rsid w:val="50B3D977"/>
    <w:rsid w:val="50E3B8A1"/>
    <w:rsid w:val="50E539E9"/>
    <w:rsid w:val="5105DCAC"/>
    <w:rsid w:val="513CF9EB"/>
    <w:rsid w:val="5144732D"/>
    <w:rsid w:val="5154B6C2"/>
    <w:rsid w:val="516C808E"/>
    <w:rsid w:val="51726F82"/>
    <w:rsid w:val="518D7A1E"/>
    <w:rsid w:val="51979103"/>
    <w:rsid w:val="51A6E55D"/>
    <w:rsid w:val="51C5F3D2"/>
    <w:rsid w:val="51EA2668"/>
    <w:rsid w:val="5207A206"/>
    <w:rsid w:val="521B53E2"/>
    <w:rsid w:val="524CDD99"/>
    <w:rsid w:val="5250DE3D"/>
    <w:rsid w:val="525F3BDD"/>
    <w:rsid w:val="527994BE"/>
    <w:rsid w:val="527A8EFF"/>
    <w:rsid w:val="5281510C"/>
    <w:rsid w:val="5288E05D"/>
    <w:rsid w:val="52924BEB"/>
    <w:rsid w:val="529D31F1"/>
    <w:rsid w:val="52A16D2F"/>
    <w:rsid w:val="52DC2D4C"/>
    <w:rsid w:val="52E1781C"/>
    <w:rsid w:val="52E1E1CB"/>
    <w:rsid w:val="52F3285E"/>
    <w:rsid w:val="52FD47F6"/>
    <w:rsid w:val="5315DE3D"/>
    <w:rsid w:val="5321FDCB"/>
    <w:rsid w:val="532B94C4"/>
    <w:rsid w:val="533B1F03"/>
    <w:rsid w:val="5346139F"/>
    <w:rsid w:val="5359B73F"/>
    <w:rsid w:val="535C864B"/>
    <w:rsid w:val="537005C0"/>
    <w:rsid w:val="537AB212"/>
    <w:rsid w:val="5398CFA2"/>
    <w:rsid w:val="53B459B2"/>
    <w:rsid w:val="53BC2FE1"/>
    <w:rsid w:val="53D430BA"/>
    <w:rsid w:val="53F40F8C"/>
    <w:rsid w:val="53F48D74"/>
    <w:rsid w:val="54136672"/>
    <w:rsid w:val="54160DDF"/>
    <w:rsid w:val="543CA903"/>
    <w:rsid w:val="54846B49"/>
    <w:rsid w:val="549ADF12"/>
    <w:rsid w:val="54BB88E5"/>
    <w:rsid w:val="54CFA9CB"/>
    <w:rsid w:val="54F5DA9B"/>
    <w:rsid w:val="551A6190"/>
    <w:rsid w:val="554A5C89"/>
    <w:rsid w:val="55632ACB"/>
    <w:rsid w:val="55756A93"/>
    <w:rsid w:val="55867698"/>
    <w:rsid w:val="55BFF735"/>
    <w:rsid w:val="55E8F93E"/>
    <w:rsid w:val="56057A71"/>
    <w:rsid w:val="56282956"/>
    <w:rsid w:val="562DEE0F"/>
    <w:rsid w:val="5630B67C"/>
    <w:rsid w:val="564E413D"/>
    <w:rsid w:val="565A1927"/>
    <w:rsid w:val="56A725D7"/>
    <w:rsid w:val="56BAD298"/>
    <w:rsid w:val="56DD2835"/>
    <w:rsid w:val="56E1788F"/>
    <w:rsid w:val="56E88EF8"/>
    <w:rsid w:val="57150FCB"/>
    <w:rsid w:val="5716A6A9"/>
    <w:rsid w:val="575524BB"/>
    <w:rsid w:val="575A4BBF"/>
    <w:rsid w:val="57A9DCAC"/>
    <w:rsid w:val="57B57C8C"/>
    <w:rsid w:val="57CB3589"/>
    <w:rsid w:val="57E062AF"/>
    <w:rsid w:val="57F72894"/>
    <w:rsid w:val="5826E952"/>
    <w:rsid w:val="583DE1E0"/>
    <w:rsid w:val="589C48E2"/>
    <w:rsid w:val="58A3B307"/>
    <w:rsid w:val="58AF358C"/>
    <w:rsid w:val="58AF9A0D"/>
    <w:rsid w:val="58D20C65"/>
    <w:rsid w:val="58E23218"/>
    <w:rsid w:val="58EDC478"/>
    <w:rsid w:val="58F600CA"/>
    <w:rsid w:val="59031A4E"/>
    <w:rsid w:val="5922C289"/>
    <w:rsid w:val="592A9208"/>
    <w:rsid w:val="592BDD87"/>
    <w:rsid w:val="59580365"/>
    <w:rsid w:val="5972CF4C"/>
    <w:rsid w:val="59736221"/>
    <w:rsid w:val="597DA1D8"/>
    <w:rsid w:val="59A136BE"/>
    <w:rsid w:val="59A39B15"/>
    <w:rsid w:val="59B62C12"/>
    <w:rsid w:val="59C951D9"/>
    <w:rsid w:val="59D8B8E4"/>
    <w:rsid w:val="59E56B28"/>
    <w:rsid w:val="59EC483A"/>
    <w:rsid w:val="5A022CCA"/>
    <w:rsid w:val="5A246604"/>
    <w:rsid w:val="5A28B084"/>
    <w:rsid w:val="5A350908"/>
    <w:rsid w:val="5A4B7F6A"/>
    <w:rsid w:val="5A511C87"/>
    <w:rsid w:val="5A64060D"/>
    <w:rsid w:val="5A6A6889"/>
    <w:rsid w:val="5A92ACEE"/>
    <w:rsid w:val="5A965285"/>
    <w:rsid w:val="5AA7F347"/>
    <w:rsid w:val="5AB28FC7"/>
    <w:rsid w:val="5ABBD8DB"/>
    <w:rsid w:val="5AEF6564"/>
    <w:rsid w:val="5B163961"/>
    <w:rsid w:val="5B23FE59"/>
    <w:rsid w:val="5B5B9722"/>
    <w:rsid w:val="5B622D1F"/>
    <w:rsid w:val="5B801523"/>
    <w:rsid w:val="5B8ACEE2"/>
    <w:rsid w:val="5BA59677"/>
    <w:rsid w:val="5BF0B78B"/>
    <w:rsid w:val="5C037A9A"/>
    <w:rsid w:val="5C17FE6A"/>
    <w:rsid w:val="5C195DE7"/>
    <w:rsid w:val="5C1C2F77"/>
    <w:rsid w:val="5C31109E"/>
    <w:rsid w:val="5C350985"/>
    <w:rsid w:val="5C3ADF13"/>
    <w:rsid w:val="5C55C711"/>
    <w:rsid w:val="5C7825D5"/>
    <w:rsid w:val="5C882A60"/>
    <w:rsid w:val="5C939C68"/>
    <w:rsid w:val="5CB2D78D"/>
    <w:rsid w:val="5CC58B17"/>
    <w:rsid w:val="5CDBA64A"/>
    <w:rsid w:val="5CFF835E"/>
    <w:rsid w:val="5D0A6E42"/>
    <w:rsid w:val="5D507E33"/>
    <w:rsid w:val="5D7F3EBD"/>
    <w:rsid w:val="5D914FAB"/>
    <w:rsid w:val="5D9B51A3"/>
    <w:rsid w:val="5DBDE8FB"/>
    <w:rsid w:val="5DC84AD5"/>
    <w:rsid w:val="5DC993D6"/>
    <w:rsid w:val="5DE39408"/>
    <w:rsid w:val="5E19B40D"/>
    <w:rsid w:val="5E1A3CFE"/>
    <w:rsid w:val="5E325D7C"/>
    <w:rsid w:val="5E50E9F6"/>
    <w:rsid w:val="5E650139"/>
    <w:rsid w:val="5E83B68E"/>
    <w:rsid w:val="5E8E509D"/>
    <w:rsid w:val="5E966C95"/>
    <w:rsid w:val="5ED2E11E"/>
    <w:rsid w:val="5ED48613"/>
    <w:rsid w:val="5EDA56E5"/>
    <w:rsid w:val="5EE354C9"/>
    <w:rsid w:val="5EE94349"/>
    <w:rsid w:val="5EEB339A"/>
    <w:rsid w:val="5F125215"/>
    <w:rsid w:val="5F1D7139"/>
    <w:rsid w:val="5F41DD2F"/>
    <w:rsid w:val="5F58CB3D"/>
    <w:rsid w:val="5F5A2333"/>
    <w:rsid w:val="5F73FB04"/>
    <w:rsid w:val="5FB8212F"/>
    <w:rsid w:val="5FBC62AC"/>
    <w:rsid w:val="5FBE2545"/>
    <w:rsid w:val="5FBF3433"/>
    <w:rsid w:val="5FC7CBAF"/>
    <w:rsid w:val="5FC957AC"/>
    <w:rsid w:val="5FFEA993"/>
    <w:rsid w:val="60117F2B"/>
    <w:rsid w:val="602103C1"/>
    <w:rsid w:val="60227769"/>
    <w:rsid w:val="602A7922"/>
    <w:rsid w:val="603ED15C"/>
    <w:rsid w:val="6064BD4A"/>
    <w:rsid w:val="60738C6B"/>
    <w:rsid w:val="607B638C"/>
    <w:rsid w:val="607B8B2B"/>
    <w:rsid w:val="6081B3EC"/>
    <w:rsid w:val="60895756"/>
    <w:rsid w:val="60D9DA31"/>
    <w:rsid w:val="61199A96"/>
    <w:rsid w:val="6132A45A"/>
    <w:rsid w:val="615794A9"/>
    <w:rsid w:val="616028B4"/>
    <w:rsid w:val="61BBDE90"/>
    <w:rsid w:val="61C83BA8"/>
    <w:rsid w:val="61D6F299"/>
    <w:rsid w:val="61D82884"/>
    <w:rsid w:val="61E1620A"/>
    <w:rsid w:val="623650F4"/>
    <w:rsid w:val="62486FBD"/>
    <w:rsid w:val="62515D46"/>
    <w:rsid w:val="628771C5"/>
    <w:rsid w:val="62B1FA92"/>
    <w:rsid w:val="62B81448"/>
    <w:rsid w:val="62D03015"/>
    <w:rsid w:val="6306D79D"/>
    <w:rsid w:val="631E5BF1"/>
    <w:rsid w:val="634492A8"/>
    <w:rsid w:val="6344F0C8"/>
    <w:rsid w:val="634BA2D1"/>
    <w:rsid w:val="634BD470"/>
    <w:rsid w:val="6386DE83"/>
    <w:rsid w:val="63988EDD"/>
    <w:rsid w:val="639B5146"/>
    <w:rsid w:val="639E3243"/>
    <w:rsid w:val="63A37266"/>
    <w:rsid w:val="63A447F0"/>
    <w:rsid w:val="63B09C56"/>
    <w:rsid w:val="63C73A5E"/>
    <w:rsid w:val="63CC01E8"/>
    <w:rsid w:val="63F60AC7"/>
    <w:rsid w:val="642218AD"/>
    <w:rsid w:val="64C38747"/>
    <w:rsid w:val="64C47F46"/>
    <w:rsid w:val="64C7A3CE"/>
    <w:rsid w:val="651AB222"/>
    <w:rsid w:val="65557231"/>
    <w:rsid w:val="6563C101"/>
    <w:rsid w:val="657C8C4B"/>
    <w:rsid w:val="65B978B1"/>
    <w:rsid w:val="65CBE964"/>
    <w:rsid w:val="65EDD345"/>
    <w:rsid w:val="65FFFC53"/>
    <w:rsid w:val="661057FD"/>
    <w:rsid w:val="662399CC"/>
    <w:rsid w:val="663144FC"/>
    <w:rsid w:val="66377331"/>
    <w:rsid w:val="663A68CF"/>
    <w:rsid w:val="664AF1D4"/>
    <w:rsid w:val="6652994C"/>
    <w:rsid w:val="666D0F10"/>
    <w:rsid w:val="668868B9"/>
    <w:rsid w:val="66A9FD58"/>
    <w:rsid w:val="66B2274E"/>
    <w:rsid w:val="66B776C1"/>
    <w:rsid w:val="66CD22D3"/>
    <w:rsid w:val="66CFED20"/>
    <w:rsid w:val="66F6EDCE"/>
    <w:rsid w:val="67186C45"/>
    <w:rsid w:val="672DC8D4"/>
    <w:rsid w:val="674582B9"/>
    <w:rsid w:val="675B343E"/>
    <w:rsid w:val="676F80E2"/>
    <w:rsid w:val="6776B9C2"/>
    <w:rsid w:val="677B8FD0"/>
    <w:rsid w:val="67955451"/>
    <w:rsid w:val="67CD8B4B"/>
    <w:rsid w:val="67D1E42F"/>
    <w:rsid w:val="67F79AAA"/>
    <w:rsid w:val="6808005C"/>
    <w:rsid w:val="680BE2CE"/>
    <w:rsid w:val="6810FD94"/>
    <w:rsid w:val="681FCC4F"/>
    <w:rsid w:val="6827CFB1"/>
    <w:rsid w:val="68416747"/>
    <w:rsid w:val="684FD7D1"/>
    <w:rsid w:val="6856AD99"/>
    <w:rsid w:val="68686A65"/>
    <w:rsid w:val="689A9180"/>
    <w:rsid w:val="689E4DA6"/>
    <w:rsid w:val="68AAC8C0"/>
    <w:rsid w:val="68BC58C5"/>
    <w:rsid w:val="68DA3E16"/>
    <w:rsid w:val="68FBB8B8"/>
    <w:rsid w:val="6901B149"/>
    <w:rsid w:val="6925501E"/>
    <w:rsid w:val="694E3DC0"/>
    <w:rsid w:val="69599352"/>
    <w:rsid w:val="6995AD94"/>
    <w:rsid w:val="699C2A14"/>
    <w:rsid w:val="69AB9586"/>
    <w:rsid w:val="69B1B185"/>
    <w:rsid w:val="69B21FE3"/>
    <w:rsid w:val="69DD6E8A"/>
    <w:rsid w:val="69E6B04A"/>
    <w:rsid w:val="69F6B815"/>
    <w:rsid w:val="6A40A540"/>
    <w:rsid w:val="6A5D97DF"/>
    <w:rsid w:val="6AAAE9F6"/>
    <w:rsid w:val="6AE9621E"/>
    <w:rsid w:val="6AF45F1D"/>
    <w:rsid w:val="6AFD13A9"/>
    <w:rsid w:val="6AFEA51A"/>
    <w:rsid w:val="6B2197FB"/>
    <w:rsid w:val="6B38C64C"/>
    <w:rsid w:val="6B65E171"/>
    <w:rsid w:val="6B678C85"/>
    <w:rsid w:val="6B6BEB33"/>
    <w:rsid w:val="6B70B2F2"/>
    <w:rsid w:val="6B8F2F80"/>
    <w:rsid w:val="6BA9DC70"/>
    <w:rsid w:val="6BDDC8D5"/>
    <w:rsid w:val="6BEC2C6C"/>
    <w:rsid w:val="6BF785BA"/>
    <w:rsid w:val="6C46ECDF"/>
    <w:rsid w:val="6C688812"/>
    <w:rsid w:val="6C72A3E3"/>
    <w:rsid w:val="6CA238EE"/>
    <w:rsid w:val="6CA241D1"/>
    <w:rsid w:val="6CA3C836"/>
    <w:rsid w:val="6CA88B80"/>
    <w:rsid w:val="6CA9D6E8"/>
    <w:rsid w:val="6CB05F78"/>
    <w:rsid w:val="6CB78C68"/>
    <w:rsid w:val="6CBE171D"/>
    <w:rsid w:val="6D5C9134"/>
    <w:rsid w:val="6D7E95D9"/>
    <w:rsid w:val="6D92D35A"/>
    <w:rsid w:val="6D9F9F5A"/>
    <w:rsid w:val="6DA0E2EC"/>
    <w:rsid w:val="6DA88761"/>
    <w:rsid w:val="6DB34FD9"/>
    <w:rsid w:val="6DB3BDEC"/>
    <w:rsid w:val="6DC93998"/>
    <w:rsid w:val="6DDF64B8"/>
    <w:rsid w:val="6E1101D0"/>
    <w:rsid w:val="6E23262F"/>
    <w:rsid w:val="6E306109"/>
    <w:rsid w:val="6E352CC8"/>
    <w:rsid w:val="6E55A69D"/>
    <w:rsid w:val="6E62F9BB"/>
    <w:rsid w:val="6EC1D50E"/>
    <w:rsid w:val="6ECF4D28"/>
    <w:rsid w:val="6EE110F1"/>
    <w:rsid w:val="6F0EA866"/>
    <w:rsid w:val="6F2AC276"/>
    <w:rsid w:val="6F3FFAF4"/>
    <w:rsid w:val="6F7BFD57"/>
    <w:rsid w:val="6F966FA9"/>
    <w:rsid w:val="6F99C6D7"/>
    <w:rsid w:val="6FB179B2"/>
    <w:rsid w:val="6FBFF27D"/>
    <w:rsid w:val="6FCADDEB"/>
    <w:rsid w:val="6FCDC36E"/>
    <w:rsid w:val="6FD2FC53"/>
    <w:rsid w:val="702E253E"/>
    <w:rsid w:val="706DB0F6"/>
    <w:rsid w:val="707793F2"/>
    <w:rsid w:val="7079F6AB"/>
    <w:rsid w:val="70865ED7"/>
    <w:rsid w:val="708FDE25"/>
    <w:rsid w:val="70A06A95"/>
    <w:rsid w:val="70A3597D"/>
    <w:rsid w:val="70AA43E0"/>
    <w:rsid w:val="70ACA61D"/>
    <w:rsid w:val="70B2E24D"/>
    <w:rsid w:val="70B63C71"/>
    <w:rsid w:val="70C0EFD1"/>
    <w:rsid w:val="70C8F07C"/>
    <w:rsid w:val="70D04CC6"/>
    <w:rsid w:val="70DE8949"/>
    <w:rsid w:val="710FC95F"/>
    <w:rsid w:val="711C3A00"/>
    <w:rsid w:val="711DA47B"/>
    <w:rsid w:val="713C4E0D"/>
    <w:rsid w:val="716594FD"/>
    <w:rsid w:val="716CDE0A"/>
    <w:rsid w:val="716F9E04"/>
    <w:rsid w:val="71A24F5D"/>
    <w:rsid w:val="71A5365B"/>
    <w:rsid w:val="71BD0576"/>
    <w:rsid w:val="71BFEB76"/>
    <w:rsid w:val="71C4560A"/>
    <w:rsid w:val="71CA1FD5"/>
    <w:rsid w:val="71D12686"/>
    <w:rsid w:val="71F09506"/>
    <w:rsid w:val="71F281AC"/>
    <w:rsid w:val="71F86AD5"/>
    <w:rsid w:val="721F94D2"/>
    <w:rsid w:val="723FAC94"/>
    <w:rsid w:val="7243A4FB"/>
    <w:rsid w:val="72593403"/>
    <w:rsid w:val="725A05E1"/>
    <w:rsid w:val="7276DA25"/>
    <w:rsid w:val="729DA840"/>
    <w:rsid w:val="72A5150F"/>
    <w:rsid w:val="72AE4C68"/>
    <w:rsid w:val="7308B169"/>
    <w:rsid w:val="730DF5BE"/>
    <w:rsid w:val="730E9968"/>
    <w:rsid w:val="732762A3"/>
    <w:rsid w:val="7334148C"/>
    <w:rsid w:val="735EE634"/>
    <w:rsid w:val="73741821"/>
    <w:rsid w:val="7382781C"/>
    <w:rsid w:val="73B7A8AB"/>
    <w:rsid w:val="73D01CD7"/>
    <w:rsid w:val="73D6696A"/>
    <w:rsid w:val="740279C7"/>
    <w:rsid w:val="740BABCA"/>
    <w:rsid w:val="744EE117"/>
    <w:rsid w:val="7452F0E0"/>
    <w:rsid w:val="745E2580"/>
    <w:rsid w:val="74A4299D"/>
    <w:rsid w:val="74E9FE0E"/>
    <w:rsid w:val="74EBF4EF"/>
    <w:rsid w:val="74FCB36F"/>
    <w:rsid w:val="7523A3C6"/>
    <w:rsid w:val="752865D6"/>
    <w:rsid w:val="754DC6EE"/>
    <w:rsid w:val="7553D413"/>
    <w:rsid w:val="756620A2"/>
    <w:rsid w:val="75884DC3"/>
    <w:rsid w:val="758FB705"/>
    <w:rsid w:val="75A6E1DB"/>
    <w:rsid w:val="75B6A417"/>
    <w:rsid w:val="75E44B2C"/>
    <w:rsid w:val="75E7C1F8"/>
    <w:rsid w:val="75FB5DB5"/>
    <w:rsid w:val="760D0CF6"/>
    <w:rsid w:val="7612BCA1"/>
    <w:rsid w:val="762836EF"/>
    <w:rsid w:val="76447D13"/>
    <w:rsid w:val="768D83E9"/>
    <w:rsid w:val="76AE2D30"/>
    <w:rsid w:val="76FCA9C1"/>
    <w:rsid w:val="772C6BD9"/>
    <w:rsid w:val="7735AC55"/>
    <w:rsid w:val="77416C48"/>
    <w:rsid w:val="77531824"/>
    <w:rsid w:val="7757076B"/>
    <w:rsid w:val="776E8623"/>
    <w:rsid w:val="7771F14F"/>
    <w:rsid w:val="777E15DB"/>
    <w:rsid w:val="77C0BC4D"/>
    <w:rsid w:val="77C7A7BA"/>
    <w:rsid w:val="77DE42F1"/>
    <w:rsid w:val="77F8D36A"/>
    <w:rsid w:val="77FD31A6"/>
    <w:rsid w:val="780FA013"/>
    <w:rsid w:val="7819D6C2"/>
    <w:rsid w:val="7822221F"/>
    <w:rsid w:val="783C77CB"/>
    <w:rsid w:val="78513C6C"/>
    <w:rsid w:val="785AC82E"/>
    <w:rsid w:val="78775094"/>
    <w:rsid w:val="7877CA45"/>
    <w:rsid w:val="7885A531"/>
    <w:rsid w:val="78949406"/>
    <w:rsid w:val="789BD016"/>
    <w:rsid w:val="78AF3F5E"/>
    <w:rsid w:val="78C3A239"/>
    <w:rsid w:val="78D12351"/>
    <w:rsid w:val="78E76965"/>
    <w:rsid w:val="78FA399A"/>
    <w:rsid w:val="792430CD"/>
    <w:rsid w:val="792F31CD"/>
    <w:rsid w:val="79373DB6"/>
    <w:rsid w:val="79895255"/>
    <w:rsid w:val="79A39F16"/>
    <w:rsid w:val="79C65992"/>
    <w:rsid w:val="79D6F890"/>
    <w:rsid w:val="79F89F76"/>
    <w:rsid w:val="7A33C2FF"/>
    <w:rsid w:val="7A5E4D05"/>
    <w:rsid w:val="7A6B3AC9"/>
    <w:rsid w:val="7AB2D756"/>
    <w:rsid w:val="7ABFEE23"/>
    <w:rsid w:val="7AF1ED4D"/>
    <w:rsid w:val="7B013BE6"/>
    <w:rsid w:val="7B06F02B"/>
    <w:rsid w:val="7B0DC8EC"/>
    <w:rsid w:val="7B1EFC55"/>
    <w:rsid w:val="7B55E887"/>
    <w:rsid w:val="7B5E7E27"/>
    <w:rsid w:val="7B621968"/>
    <w:rsid w:val="7B6390B5"/>
    <w:rsid w:val="7B8E5ED4"/>
    <w:rsid w:val="7B9D588A"/>
    <w:rsid w:val="7BC25F43"/>
    <w:rsid w:val="7BD0DEE8"/>
    <w:rsid w:val="7BE2C979"/>
    <w:rsid w:val="7C054946"/>
    <w:rsid w:val="7C194AD7"/>
    <w:rsid w:val="7C1A7DEC"/>
    <w:rsid w:val="7C787ED5"/>
    <w:rsid w:val="7C7C864F"/>
    <w:rsid w:val="7C7F6AA8"/>
    <w:rsid w:val="7CA9A5EF"/>
    <w:rsid w:val="7CC4ECA4"/>
    <w:rsid w:val="7CC85F1E"/>
    <w:rsid w:val="7CCF06D4"/>
    <w:rsid w:val="7CD5936D"/>
    <w:rsid w:val="7CDBA374"/>
    <w:rsid w:val="7D094CA6"/>
    <w:rsid w:val="7D263290"/>
    <w:rsid w:val="7D2C8B28"/>
    <w:rsid w:val="7D36F3D5"/>
    <w:rsid w:val="7D394F74"/>
    <w:rsid w:val="7D4563B7"/>
    <w:rsid w:val="7D5323F5"/>
    <w:rsid w:val="7D9EED2D"/>
    <w:rsid w:val="7DA1362B"/>
    <w:rsid w:val="7DA19ED8"/>
    <w:rsid w:val="7DA1AE9C"/>
    <w:rsid w:val="7DA732E0"/>
    <w:rsid w:val="7DD7BA7C"/>
    <w:rsid w:val="7DFE6A90"/>
    <w:rsid w:val="7E3C6B96"/>
    <w:rsid w:val="7E3D2BD1"/>
    <w:rsid w:val="7E4BD2AC"/>
    <w:rsid w:val="7E5BD857"/>
    <w:rsid w:val="7E84ADF4"/>
    <w:rsid w:val="7E8DA52E"/>
    <w:rsid w:val="7EA7F297"/>
    <w:rsid w:val="7EB81787"/>
    <w:rsid w:val="7EB99EC4"/>
    <w:rsid w:val="7ED3818E"/>
    <w:rsid w:val="7ED4EB54"/>
    <w:rsid w:val="7EECC5D0"/>
    <w:rsid w:val="7F01811B"/>
    <w:rsid w:val="7F0226DD"/>
    <w:rsid w:val="7F61C6AF"/>
    <w:rsid w:val="7FBE6B7E"/>
    <w:rsid w:val="7FD2837C"/>
    <w:rsid w:val="7FE3F2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848CA"/>
  <w15:chartTrackingRefBased/>
  <w15:docId w15:val="{6F940A2B-B1E2-4EA7-A575-591A2914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D222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1B14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D222C"/>
    <w:pPr>
      <w:spacing w:before="240"/>
      <w:outlineLvl w:val="1"/>
    </w:pPr>
    <w:rPr>
      <w:b/>
      <w:i/>
      <w:kern w:val="28"/>
      <w:sz w:val="28"/>
      <w:szCs w:val="28"/>
    </w:rPr>
  </w:style>
  <w:style w:type="paragraph" w:styleId="Heading3">
    <w:name w:val="heading 3"/>
    <w:basedOn w:val="Normal"/>
    <w:next w:val="Normal"/>
    <w:link w:val="Heading3Char"/>
    <w:uiPriority w:val="9"/>
    <w:unhideWhenUsed/>
    <w:qFormat/>
    <w:rsid w:val="0095384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2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22C"/>
    <w:rPr>
      <w:rFonts w:ascii="Segoe UI" w:hAnsi="Segoe UI" w:cs="Segoe UI"/>
      <w:sz w:val="18"/>
      <w:szCs w:val="18"/>
    </w:rPr>
  </w:style>
  <w:style w:type="character" w:customStyle="1" w:styleId="Heading2Char">
    <w:name w:val="Heading 2 Char"/>
    <w:basedOn w:val="DefaultParagraphFont"/>
    <w:link w:val="Heading2"/>
    <w:rsid w:val="003D222C"/>
    <w:rPr>
      <w:rFonts w:ascii="Arial" w:eastAsia="Times New Roman" w:hAnsi="Arial" w:cs="Times New Roman"/>
      <w:b/>
      <w:i/>
      <w:kern w:val="28"/>
      <w:sz w:val="28"/>
      <w:szCs w:val="28"/>
    </w:rPr>
  </w:style>
  <w:style w:type="paragraph" w:styleId="ListParagraph">
    <w:name w:val="List Paragraph"/>
    <w:aliases w:val="Recommendatio,Párrafo de lista,Recommendation,OBC Bullet,Dot pt,F5 List Paragraph,List Paragraph1,No Spacing1,List Paragraph Char Char Char,Indicator Text,Colorful List - Accent 11,Numbered Para 1,Bullet 1,Bullet Points,List Paragraph2,L"/>
    <w:basedOn w:val="Normal"/>
    <w:link w:val="ListParagraphChar"/>
    <w:uiPriority w:val="34"/>
    <w:qFormat/>
    <w:rsid w:val="003D222C"/>
    <w:pPr>
      <w:spacing w:after="240"/>
      <w:ind w:left="720"/>
      <w:contextualSpacing/>
    </w:pPr>
    <w:rPr>
      <w:szCs w:val="20"/>
      <w:lang w:eastAsia="en-GB"/>
    </w:rPr>
  </w:style>
  <w:style w:type="character" w:customStyle="1" w:styleId="ListParagraphChar">
    <w:name w:val="List Paragraph Char"/>
    <w:aliases w:val="Recommendatio Char,Párrafo de lista Char,Recommendation Char,OBC Bullet Char,Dot pt Char,F5 List Paragraph Char,List Paragraph1 Char,No Spacing1 Char,List Paragraph Char Char Char Char,Indicator Text Char,Numbered Para 1 Char,L Char"/>
    <w:basedOn w:val="DefaultParagraphFont"/>
    <w:link w:val="ListParagraph"/>
    <w:uiPriority w:val="34"/>
    <w:qFormat/>
    <w:locked/>
    <w:rsid w:val="003D222C"/>
    <w:rPr>
      <w:rFonts w:ascii="Arial" w:eastAsia="Times New Roman" w:hAnsi="Arial" w:cs="Times New Roman"/>
      <w:sz w:val="24"/>
      <w:szCs w:val="20"/>
      <w:lang w:eastAsia="en-GB"/>
    </w:rPr>
  </w:style>
  <w:style w:type="table" w:styleId="TableGrid">
    <w:name w:val="Table Grid"/>
    <w:basedOn w:val="TableNormal"/>
    <w:rsid w:val="003D222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222C"/>
    <w:rPr>
      <w:color w:val="0563C1" w:themeColor="hyperlink"/>
      <w:u w:val="single"/>
    </w:rPr>
  </w:style>
  <w:style w:type="paragraph" w:styleId="Header">
    <w:name w:val="header"/>
    <w:basedOn w:val="Normal"/>
    <w:link w:val="HeaderChar"/>
    <w:uiPriority w:val="99"/>
    <w:unhideWhenUsed/>
    <w:rsid w:val="003D222C"/>
    <w:pPr>
      <w:tabs>
        <w:tab w:val="center" w:pos="4513"/>
        <w:tab w:val="right" w:pos="9026"/>
      </w:tabs>
    </w:pPr>
  </w:style>
  <w:style w:type="character" w:customStyle="1" w:styleId="HeaderChar">
    <w:name w:val="Header Char"/>
    <w:basedOn w:val="DefaultParagraphFont"/>
    <w:link w:val="Header"/>
    <w:uiPriority w:val="99"/>
    <w:rsid w:val="003D222C"/>
    <w:rPr>
      <w:rFonts w:ascii="Arial" w:eastAsia="Times New Roman" w:hAnsi="Arial" w:cs="Times New Roman"/>
      <w:sz w:val="24"/>
      <w:szCs w:val="24"/>
    </w:rPr>
  </w:style>
  <w:style w:type="paragraph" w:styleId="Footer">
    <w:name w:val="footer"/>
    <w:basedOn w:val="Normal"/>
    <w:link w:val="FooterChar"/>
    <w:uiPriority w:val="99"/>
    <w:unhideWhenUsed/>
    <w:rsid w:val="001A4AA4"/>
    <w:pPr>
      <w:tabs>
        <w:tab w:val="center" w:pos="4513"/>
        <w:tab w:val="right" w:pos="9026"/>
      </w:tabs>
    </w:pPr>
  </w:style>
  <w:style w:type="character" w:customStyle="1" w:styleId="FooterChar">
    <w:name w:val="Footer Char"/>
    <w:basedOn w:val="DefaultParagraphFont"/>
    <w:link w:val="Footer"/>
    <w:uiPriority w:val="99"/>
    <w:rsid w:val="001A4AA4"/>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386DFC"/>
    <w:rPr>
      <w:color w:val="605E5C"/>
      <w:shd w:val="clear" w:color="auto" w:fill="E1DFDD"/>
    </w:rPr>
  </w:style>
  <w:style w:type="character" w:styleId="FollowedHyperlink">
    <w:name w:val="FollowedHyperlink"/>
    <w:basedOn w:val="DefaultParagraphFont"/>
    <w:uiPriority w:val="99"/>
    <w:semiHidden/>
    <w:unhideWhenUsed/>
    <w:rsid w:val="001356EA"/>
    <w:rPr>
      <w:color w:val="954F72" w:themeColor="followedHyperlink"/>
      <w:u w:val="single"/>
    </w:rPr>
  </w:style>
  <w:style w:type="paragraph" w:styleId="Revision">
    <w:name w:val="Revision"/>
    <w:hidden/>
    <w:uiPriority w:val="99"/>
    <w:semiHidden/>
    <w:rsid w:val="00FE0B59"/>
    <w:pPr>
      <w:spacing w:after="0" w:line="240" w:lineRule="auto"/>
    </w:pPr>
    <w:rPr>
      <w:rFonts w:ascii="Arial" w:eastAsia="Times New Roman" w:hAnsi="Arial" w:cs="Times New Roman"/>
      <w:sz w:val="24"/>
      <w:szCs w:val="24"/>
    </w:rPr>
  </w:style>
  <w:style w:type="paragraph" w:customStyle="1" w:styleId="BEISTitle">
    <w:name w:val="BEIS Title"/>
    <w:basedOn w:val="Normal"/>
    <w:next w:val="Normal"/>
    <w:rsid w:val="00885BB9"/>
    <w:pPr>
      <w:spacing w:after="240" w:line="320" w:lineRule="atLeast"/>
    </w:pPr>
    <w:rPr>
      <w:rFonts w:eastAsiaTheme="minorHAnsi" w:cstheme="minorBidi"/>
      <w:color w:val="041E42"/>
      <w:sz w:val="76"/>
      <w:szCs w:val="22"/>
    </w:rPr>
  </w:style>
  <w:style w:type="paragraph" w:customStyle="1" w:styleId="BEISDate">
    <w:name w:val="BEIS Date"/>
    <w:basedOn w:val="Normal"/>
    <w:rsid w:val="00090217"/>
    <w:pPr>
      <w:spacing w:line="320" w:lineRule="atLeast"/>
    </w:pPr>
    <w:rPr>
      <w:rFonts w:eastAsiaTheme="minorHAnsi" w:cstheme="minorBidi"/>
      <w:color w:val="868686"/>
      <w:sz w:val="28"/>
      <w:szCs w:val="22"/>
    </w:rPr>
  </w:style>
  <w:style w:type="character" w:customStyle="1" w:styleId="Heading1Char">
    <w:name w:val="Heading 1 Char"/>
    <w:basedOn w:val="DefaultParagraphFont"/>
    <w:link w:val="Heading1"/>
    <w:uiPriority w:val="9"/>
    <w:rsid w:val="001B14B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B14BA"/>
    <w:pPr>
      <w:spacing w:line="259" w:lineRule="auto"/>
      <w:outlineLvl w:val="9"/>
    </w:pPr>
    <w:rPr>
      <w:lang w:val="en-US"/>
    </w:rPr>
  </w:style>
  <w:style w:type="paragraph" w:styleId="TOC2">
    <w:name w:val="toc 2"/>
    <w:basedOn w:val="Normal"/>
    <w:next w:val="Normal"/>
    <w:autoRedefine/>
    <w:uiPriority w:val="39"/>
    <w:unhideWhenUsed/>
    <w:rsid w:val="001B14BA"/>
    <w:pPr>
      <w:spacing w:after="100"/>
      <w:ind w:left="240"/>
    </w:pPr>
  </w:style>
  <w:style w:type="paragraph" w:styleId="TOC1">
    <w:name w:val="toc 1"/>
    <w:basedOn w:val="Normal"/>
    <w:next w:val="Normal"/>
    <w:autoRedefine/>
    <w:uiPriority w:val="39"/>
    <w:unhideWhenUsed/>
    <w:rsid w:val="006C516E"/>
    <w:pPr>
      <w:spacing w:after="100"/>
    </w:pPr>
  </w:style>
  <w:style w:type="character" w:customStyle="1" w:styleId="Heading3Char">
    <w:name w:val="Heading 3 Char"/>
    <w:basedOn w:val="DefaultParagraphFont"/>
    <w:link w:val="Heading3"/>
    <w:uiPriority w:val="9"/>
    <w:rsid w:val="00953846"/>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953846"/>
    <w:pPr>
      <w:spacing w:after="100"/>
      <w:ind w:left="480"/>
    </w:pPr>
  </w:style>
  <w:style w:type="paragraph" w:styleId="Caption">
    <w:name w:val="caption"/>
    <w:basedOn w:val="Normal"/>
    <w:next w:val="Normal"/>
    <w:uiPriority w:val="35"/>
    <w:unhideWhenUsed/>
    <w:qFormat/>
    <w:rsid w:val="00F1164A"/>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582E9C"/>
    <w:rPr>
      <w:sz w:val="16"/>
      <w:szCs w:val="16"/>
    </w:rPr>
  </w:style>
  <w:style w:type="paragraph" w:styleId="CommentText">
    <w:name w:val="annotation text"/>
    <w:basedOn w:val="Normal"/>
    <w:link w:val="CommentTextChar"/>
    <w:uiPriority w:val="99"/>
    <w:unhideWhenUsed/>
    <w:rsid w:val="00582E9C"/>
    <w:rPr>
      <w:sz w:val="20"/>
      <w:szCs w:val="20"/>
    </w:rPr>
  </w:style>
  <w:style w:type="character" w:customStyle="1" w:styleId="CommentTextChar">
    <w:name w:val="Comment Text Char"/>
    <w:basedOn w:val="DefaultParagraphFont"/>
    <w:link w:val="CommentText"/>
    <w:uiPriority w:val="99"/>
    <w:rsid w:val="00582E9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82E9C"/>
    <w:rPr>
      <w:b/>
      <w:bCs/>
    </w:rPr>
  </w:style>
  <w:style w:type="character" w:customStyle="1" w:styleId="CommentSubjectChar">
    <w:name w:val="Comment Subject Char"/>
    <w:basedOn w:val="CommentTextChar"/>
    <w:link w:val="CommentSubject"/>
    <w:uiPriority w:val="99"/>
    <w:semiHidden/>
    <w:rsid w:val="00582E9C"/>
    <w:rPr>
      <w:rFonts w:ascii="Arial" w:eastAsia="Times New Roman" w:hAnsi="Arial" w:cs="Times New Roman"/>
      <w:b/>
      <w:bCs/>
      <w:sz w:val="20"/>
      <w:szCs w:val="20"/>
    </w:rPr>
  </w:style>
  <w:style w:type="character" w:styleId="Mention">
    <w:name w:val="Mention"/>
    <w:basedOn w:val="DefaultParagraphFont"/>
    <w:uiPriority w:val="99"/>
    <w:unhideWhenUsed/>
    <w:rsid w:val="00582E9C"/>
    <w:rPr>
      <w:color w:val="2B579A"/>
      <w:shd w:val="clear" w:color="auto" w:fill="E1DFDD"/>
    </w:rPr>
  </w:style>
  <w:style w:type="paragraph" w:customStyle="1" w:styleId="paragraph">
    <w:name w:val="paragraph"/>
    <w:basedOn w:val="Normal"/>
    <w:rsid w:val="00CA1ED1"/>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B0432A"/>
  </w:style>
  <w:style w:type="paragraph" w:styleId="NormalWeb">
    <w:name w:val="Normal (Web)"/>
    <w:basedOn w:val="Normal"/>
    <w:uiPriority w:val="99"/>
    <w:semiHidden/>
    <w:unhideWhenUsed/>
    <w:rsid w:val="004407C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27997">
      <w:bodyDiv w:val="1"/>
      <w:marLeft w:val="0"/>
      <w:marRight w:val="0"/>
      <w:marTop w:val="0"/>
      <w:marBottom w:val="0"/>
      <w:divBdr>
        <w:top w:val="none" w:sz="0" w:space="0" w:color="auto"/>
        <w:left w:val="none" w:sz="0" w:space="0" w:color="auto"/>
        <w:bottom w:val="none" w:sz="0" w:space="0" w:color="auto"/>
        <w:right w:val="none" w:sz="0" w:space="0" w:color="auto"/>
      </w:divBdr>
      <w:divsChild>
        <w:div w:id="1558323019">
          <w:marLeft w:val="0"/>
          <w:marRight w:val="0"/>
          <w:marTop w:val="0"/>
          <w:marBottom w:val="0"/>
          <w:divBdr>
            <w:top w:val="none" w:sz="0" w:space="0" w:color="auto"/>
            <w:left w:val="none" w:sz="0" w:space="0" w:color="auto"/>
            <w:bottom w:val="none" w:sz="0" w:space="0" w:color="auto"/>
            <w:right w:val="none" w:sz="0" w:space="0" w:color="auto"/>
          </w:divBdr>
        </w:div>
        <w:div w:id="2015449603">
          <w:marLeft w:val="0"/>
          <w:marRight w:val="0"/>
          <w:marTop w:val="0"/>
          <w:marBottom w:val="0"/>
          <w:divBdr>
            <w:top w:val="none" w:sz="0" w:space="0" w:color="auto"/>
            <w:left w:val="none" w:sz="0" w:space="0" w:color="auto"/>
            <w:bottom w:val="none" w:sz="0" w:space="0" w:color="auto"/>
            <w:right w:val="none" w:sz="0" w:space="0" w:color="auto"/>
          </w:divBdr>
        </w:div>
      </w:divsChild>
    </w:div>
    <w:div w:id="259338843">
      <w:bodyDiv w:val="1"/>
      <w:marLeft w:val="0"/>
      <w:marRight w:val="0"/>
      <w:marTop w:val="0"/>
      <w:marBottom w:val="0"/>
      <w:divBdr>
        <w:top w:val="none" w:sz="0" w:space="0" w:color="auto"/>
        <w:left w:val="none" w:sz="0" w:space="0" w:color="auto"/>
        <w:bottom w:val="none" w:sz="0" w:space="0" w:color="auto"/>
        <w:right w:val="none" w:sz="0" w:space="0" w:color="auto"/>
      </w:divBdr>
      <w:divsChild>
        <w:div w:id="39475970">
          <w:marLeft w:val="0"/>
          <w:marRight w:val="0"/>
          <w:marTop w:val="0"/>
          <w:marBottom w:val="0"/>
          <w:divBdr>
            <w:top w:val="none" w:sz="0" w:space="0" w:color="auto"/>
            <w:left w:val="none" w:sz="0" w:space="0" w:color="auto"/>
            <w:bottom w:val="none" w:sz="0" w:space="0" w:color="auto"/>
            <w:right w:val="none" w:sz="0" w:space="0" w:color="auto"/>
          </w:divBdr>
        </w:div>
        <w:div w:id="168567630">
          <w:marLeft w:val="0"/>
          <w:marRight w:val="0"/>
          <w:marTop w:val="0"/>
          <w:marBottom w:val="0"/>
          <w:divBdr>
            <w:top w:val="none" w:sz="0" w:space="0" w:color="auto"/>
            <w:left w:val="none" w:sz="0" w:space="0" w:color="auto"/>
            <w:bottom w:val="none" w:sz="0" w:space="0" w:color="auto"/>
            <w:right w:val="none" w:sz="0" w:space="0" w:color="auto"/>
          </w:divBdr>
        </w:div>
        <w:div w:id="234702573">
          <w:marLeft w:val="0"/>
          <w:marRight w:val="0"/>
          <w:marTop w:val="0"/>
          <w:marBottom w:val="0"/>
          <w:divBdr>
            <w:top w:val="none" w:sz="0" w:space="0" w:color="auto"/>
            <w:left w:val="none" w:sz="0" w:space="0" w:color="auto"/>
            <w:bottom w:val="none" w:sz="0" w:space="0" w:color="auto"/>
            <w:right w:val="none" w:sz="0" w:space="0" w:color="auto"/>
          </w:divBdr>
        </w:div>
      </w:divsChild>
    </w:div>
    <w:div w:id="279190806">
      <w:bodyDiv w:val="1"/>
      <w:marLeft w:val="0"/>
      <w:marRight w:val="0"/>
      <w:marTop w:val="0"/>
      <w:marBottom w:val="0"/>
      <w:divBdr>
        <w:top w:val="none" w:sz="0" w:space="0" w:color="auto"/>
        <w:left w:val="none" w:sz="0" w:space="0" w:color="auto"/>
        <w:bottom w:val="none" w:sz="0" w:space="0" w:color="auto"/>
        <w:right w:val="none" w:sz="0" w:space="0" w:color="auto"/>
      </w:divBdr>
      <w:divsChild>
        <w:div w:id="1115518301">
          <w:marLeft w:val="0"/>
          <w:marRight w:val="0"/>
          <w:marTop w:val="0"/>
          <w:marBottom w:val="0"/>
          <w:divBdr>
            <w:top w:val="none" w:sz="0" w:space="0" w:color="auto"/>
            <w:left w:val="none" w:sz="0" w:space="0" w:color="auto"/>
            <w:bottom w:val="none" w:sz="0" w:space="0" w:color="auto"/>
            <w:right w:val="none" w:sz="0" w:space="0" w:color="auto"/>
          </w:divBdr>
        </w:div>
        <w:div w:id="2054380806">
          <w:marLeft w:val="0"/>
          <w:marRight w:val="0"/>
          <w:marTop w:val="0"/>
          <w:marBottom w:val="0"/>
          <w:divBdr>
            <w:top w:val="none" w:sz="0" w:space="0" w:color="auto"/>
            <w:left w:val="none" w:sz="0" w:space="0" w:color="auto"/>
            <w:bottom w:val="none" w:sz="0" w:space="0" w:color="auto"/>
            <w:right w:val="none" w:sz="0" w:space="0" w:color="auto"/>
          </w:divBdr>
        </w:div>
      </w:divsChild>
    </w:div>
    <w:div w:id="446824940">
      <w:bodyDiv w:val="1"/>
      <w:marLeft w:val="0"/>
      <w:marRight w:val="0"/>
      <w:marTop w:val="0"/>
      <w:marBottom w:val="0"/>
      <w:divBdr>
        <w:top w:val="none" w:sz="0" w:space="0" w:color="auto"/>
        <w:left w:val="none" w:sz="0" w:space="0" w:color="auto"/>
        <w:bottom w:val="none" w:sz="0" w:space="0" w:color="auto"/>
        <w:right w:val="none" w:sz="0" w:space="0" w:color="auto"/>
      </w:divBdr>
      <w:divsChild>
        <w:div w:id="241530377">
          <w:marLeft w:val="0"/>
          <w:marRight w:val="0"/>
          <w:marTop w:val="0"/>
          <w:marBottom w:val="0"/>
          <w:divBdr>
            <w:top w:val="none" w:sz="0" w:space="0" w:color="auto"/>
            <w:left w:val="none" w:sz="0" w:space="0" w:color="auto"/>
            <w:bottom w:val="none" w:sz="0" w:space="0" w:color="auto"/>
            <w:right w:val="none" w:sz="0" w:space="0" w:color="auto"/>
          </w:divBdr>
        </w:div>
        <w:div w:id="314843631">
          <w:marLeft w:val="0"/>
          <w:marRight w:val="0"/>
          <w:marTop w:val="0"/>
          <w:marBottom w:val="0"/>
          <w:divBdr>
            <w:top w:val="none" w:sz="0" w:space="0" w:color="auto"/>
            <w:left w:val="none" w:sz="0" w:space="0" w:color="auto"/>
            <w:bottom w:val="none" w:sz="0" w:space="0" w:color="auto"/>
            <w:right w:val="none" w:sz="0" w:space="0" w:color="auto"/>
          </w:divBdr>
        </w:div>
        <w:div w:id="332800393">
          <w:marLeft w:val="0"/>
          <w:marRight w:val="0"/>
          <w:marTop w:val="0"/>
          <w:marBottom w:val="0"/>
          <w:divBdr>
            <w:top w:val="none" w:sz="0" w:space="0" w:color="auto"/>
            <w:left w:val="none" w:sz="0" w:space="0" w:color="auto"/>
            <w:bottom w:val="none" w:sz="0" w:space="0" w:color="auto"/>
            <w:right w:val="none" w:sz="0" w:space="0" w:color="auto"/>
          </w:divBdr>
        </w:div>
        <w:div w:id="701906105">
          <w:marLeft w:val="0"/>
          <w:marRight w:val="0"/>
          <w:marTop w:val="0"/>
          <w:marBottom w:val="0"/>
          <w:divBdr>
            <w:top w:val="none" w:sz="0" w:space="0" w:color="auto"/>
            <w:left w:val="none" w:sz="0" w:space="0" w:color="auto"/>
            <w:bottom w:val="none" w:sz="0" w:space="0" w:color="auto"/>
            <w:right w:val="none" w:sz="0" w:space="0" w:color="auto"/>
          </w:divBdr>
        </w:div>
        <w:div w:id="1311519319">
          <w:marLeft w:val="0"/>
          <w:marRight w:val="0"/>
          <w:marTop w:val="0"/>
          <w:marBottom w:val="0"/>
          <w:divBdr>
            <w:top w:val="none" w:sz="0" w:space="0" w:color="auto"/>
            <w:left w:val="none" w:sz="0" w:space="0" w:color="auto"/>
            <w:bottom w:val="none" w:sz="0" w:space="0" w:color="auto"/>
            <w:right w:val="none" w:sz="0" w:space="0" w:color="auto"/>
          </w:divBdr>
        </w:div>
        <w:div w:id="1421633958">
          <w:marLeft w:val="0"/>
          <w:marRight w:val="0"/>
          <w:marTop w:val="0"/>
          <w:marBottom w:val="0"/>
          <w:divBdr>
            <w:top w:val="none" w:sz="0" w:space="0" w:color="auto"/>
            <w:left w:val="none" w:sz="0" w:space="0" w:color="auto"/>
            <w:bottom w:val="none" w:sz="0" w:space="0" w:color="auto"/>
            <w:right w:val="none" w:sz="0" w:space="0" w:color="auto"/>
          </w:divBdr>
        </w:div>
        <w:div w:id="1456145368">
          <w:marLeft w:val="0"/>
          <w:marRight w:val="0"/>
          <w:marTop w:val="0"/>
          <w:marBottom w:val="0"/>
          <w:divBdr>
            <w:top w:val="none" w:sz="0" w:space="0" w:color="auto"/>
            <w:left w:val="none" w:sz="0" w:space="0" w:color="auto"/>
            <w:bottom w:val="none" w:sz="0" w:space="0" w:color="auto"/>
            <w:right w:val="none" w:sz="0" w:space="0" w:color="auto"/>
          </w:divBdr>
        </w:div>
        <w:div w:id="1629774060">
          <w:marLeft w:val="0"/>
          <w:marRight w:val="0"/>
          <w:marTop w:val="0"/>
          <w:marBottom w:val="0"/>
          <w:divBdr>
            <w:top w:val="none" w:sz="0" w:space="0" w:color="auto"/>
            <w:left w:val="none" w:sz="0" w:space="0" w:color="auto"/>
            <w:bottom w:val="none" w:sz="0" w:space="0" w:color="auto"/>
            <w:right w:val="none" w:sz="0" w:space="0" w:color="auto"/>
          </w:divBdr>
        </w:div>
        <w:div w:id="1718897118">
          <w:marLeft w:val="0"/>
          <w:marRight w:val="0"/>
          <w:marTop w:val="0"/>
          <w:marBottom w:val="0"/>
          <w:divBdr>
            <w:top w:val="none" w:sz="0" w:space="0" w:color="auto"/>
            <w:left w:val="none" w:sz="0" w:space="0" w:color="auto"/>
            <w:bottom w:val="none" w:sz="0" w:space="0" w:color="auto"/>
            <w:right w:val="none" w:sz="0" w:space="0" w:color="auto"/>
          </w:divBdr>
        </w:div>
        <w:div w:id="1818523208">
          <w:marLeft w:val="0"/>
          <w:marRight w:val="0"/>
          <w:marTop w:val="0"/>
          <w:marBottom w:val="0"/>
          <w:divBdr>
            <w:top w:val="none" w:sz="0" w:space="0" w:color="auto"/>
            <w:left w:val="none" w:sz="0" w:space="0" w:color="auto"/>
            <w:bottom w:val="none" w:sz="0" w:space="0" w:color="auto"/>
            <w:right w:val="none" w:sz="0" w:space="0" w:color="auto"/>
          </w:divBdr>
        </w:div>
        <w:div w:id="1941177829">
          <w:marLeft w:val="0"/>
          <w:marRight w:val="0"/>
          <w:marTop w:val="0"/>
          <w:marBottom w:val="0"/>
          <w:divBdr>
            <w:top w:val="none" w:sz="0" w:space="0" w:color="auto"/>
            <w:left w:val="none" w:sz="0" w:space="0" w:color="auto"/>
            <w:bottom w:val="none" w:sz="0" w:space="0" w:color="auto"/>
            <w:right w:val="none" w:sz="0" w:space="0" w:color="auto"/>
          </w:divBdr>
        </w:div>
      </w:divsChild>
    </w:div>
    <w:div w:id="576863456">
      <w:bodyDiv w:val="1"/>
      <w:marLeft w:val="0"/>
      <w:marRight w:val="0"/>
      <w:marTop w:val="0"/>
      <w:marBottom w:val="0"/>
      <w:divBdr>
        <w:top w:val="none" w:sz="0" w:space="0" w:color="auto"/>
        <w:left w:val="none" w:sz="0" w:space="0" w:color="auto"/>
        <w:bottom w:val="none" w:sz="0" w:space="0" w:color="auto"/>
        <w:right w:val="none" w:sz="0" w:space="0" w:color="auto"/>
      </w:divBdr>
      <w:divsChild>
        <w:div w:id="96102625">
          <w:marLeft w:val="0"/>
          <w:marRight w:val="0"/>
          <w:marTop w:val="0"/>
          <w:marBottom w:val="0"/>
          <w:divBdr>
            <w:top w:val="none" w:sz="0" w:space="0" w:color="auto"/>
            <w:left w:val="none" w:sz="0" w:space="0" w:color="auto"/>
            <w:bottom w:val="none" w:sz="0" w:space="0" w:color="auto"/>
            <w:right w:val="none" w:sz="0" w:space="0" w:color="auto"/>
          </w:divBdr>
        </w:div>
        <w:div w:id="227619093">
          <w:marLeft w:val="0"/>
          <w:marRight w:val="0"/>
          <w:marTop w:val="0"/>
          <w:marBottom w:val="0"/>
          <w:divBdr>
            <w:top w:val="none" w:sz="0" w:space="0" w:color="auto"/>
            <w:left w:val="none" w:sz="0" w:space="0" w:color="auto"/>
            <w:bottom w:val="none" w:sz="0" w:space="0" w:color="auto"/>
            <w:right w:val="none" w:sz="0" w:space="0" w:color="auto"/>
          </w:divBdr>
        </w:div>
        <w:div w:id="241649132">
          <w:marLeft w:val="0"/>
          <w:marRight w:val="0"/>
          <w:marTop w:val="0"/>
          <w:marBottom w:val="0"/>
          <w:divBdr>
            <w:top w:val="none" w:sz="0" w:space="0" w:color="auto"/>
            <w:left w:val="none" w:sz="0" w:space="0" w:color="auto"/>
            <w:bottom w:val="none" w:sz="0" w:space="0" w:color="auto"/>
            <w:right w:val="none" w:sz="0" w:space="0" w:color="auto"/>
          </w:divBdr>
        </w:div>
        <w:div w:id="279147549">
          <w:marLeft w:val="0"/>
          <w:marRight w:val="0"/>
          <w:marTop w:val="0"/>
          <w:marBottom w:val="0"/>
          <w:divBdr>
            <w:top w:val="none" w:sz="0" w:space="0" w:color="auto"/>
            <w:left w:val="none" w:sz="0" w:space="0" w:color="auto"/>
            <w:bottom w:val="none" w:sz="0" w:space="0" w:color="auto"/>
            <w:right w:val="none" w:sz="0" w:space="0" w:color="auto"/>
          </w:divBdr>
        </w:div>
        <w:div w:id="357119073">
          <w:marLeft w:val="0"/>
          <w:marRight w:val="0"/>
          <w:marTop w:val="0"/>
          <w:marBottom w:val="0"/>
          <w:divBdr>
            <w:top w:val="none" w:sz="0" w:space="0" w:color="auto"/>
            <w:left w:val="none" w:sz="0" w:space="0" w:color="auto"/>
            <w:bottom w:val="none" w:sz="0" w:space="0" w:color="auto"/>
            <w:right w:val="none" w:sz="0" w:space="0" w:color="auto"/>
          </w:divBdr>
        </w:div>
        <w:div w:id="425417771">
          <w:marLeft w:val="0"/>
          <w:marRight w:val="0"/>
          <w:marTop w:val="0"/>
          <w:marBottom w:val="0"/>
          <w:divBdr>
            <w:top w:val="none" w:sz="0" w:space="0" w:color="auto"/>
            <w:left w:val="none" w:sz="0" w:space="0" w:color="auto"/>
            <w:bottom w:val="none" w:sz="0" w:space="0" w:color="auto"/>
            <w:right w:val="none" w:sz="0" w:space="0" w:color="auto"/>
          </w:divBdr>
        </w:div>
        <w:div w:id="627318850">
          <w:marLeft w:val="0"/>
          <w:marRight w:val="0"/>
          <w:marTop w:val="0"/>
          <w:marBottom w:val="0"/>
          <w:divBdr>
            <w:top w:val="none" w:sz="0" w:space="0" w:color="auto"/>
            <w:left w:val="none" w:sz="0" w:space="0" w:color="auto"/>
            <w:bottom w:val="none" w:sz="0" w:space="0" w:color="auto"/>
            <w:right w:val="none" w:sz="0" w:space="0" w:color="auto"/>
          </w:divBdr>
        </w:div>
        <w:div w:id="765886287">
          <w:marLeft w:val="0"/>
          <w:marRight w:val="0"/>
          <w:marTop w:val="0"/>
          <w:marBottom w:val="0"/>
          <w:divBdr>
            <w:top w:val="none" w:sz="0" w:space="0" w:color="auto"/>
            <w:left w:val="none" w:sz="0" w:space="0" w:color="auto"/>
            <w:bottom w:val="none" w:sz="0" w:space="0" w:color="auto"/>
            <w:right w:val="none" w:sz="0" w:space="0" w:color="auto"/>
          </w:divBdr>
        </w:div>
        <w:div w:id="780493739">
          <w:marLeft w:val="0"/>
          <w:marRight w:val="0"/>
          <w:marTop w:val="0"/>
          <w:marBottom w:val="0"/>
          <w:divBdr>
            <w:top w:val="none" w:sz="0" w:space="0" w:color="auto"/>
            <w:left w:val="none" w:sz="0" w:space="0" w:color="auto"/>
            <w:bottom w:val="none" w:sz="0" w:space="0" w:color="auto"/>
            <w:right w:val="none" w:sz="0" w:space="0" w:color="auto"/>
          </w:divBdr>
        </w:div>
        <w:div w:id="825707041">
          <w:marLeft w:val="0"/>
          <w:marRight w:val="0"/>
          <w:marTop w:val="0"/>
          <w:marBottom w:val="0"/>
          <w:divBdr>
            <w:top w:val="none" w:sz="0" w:space="0" w:color="auto"/>
            <w:left w:val="none" w:sz="0" w:space="0" w:color="auto"/>
            <w:bottom w:val="none" w:sz="0" w:space="0" w:color="auto"/>
            <w:right w:val="none" w:sz="0" w:space="0" w:color="auto"/>
          </w:divBdr>
        </w:div>
        <w:div w:id="857306405">
          <w:marLeft w:val="0"/>
          <w:marRight w:val="0"/>
          <w:marTop w:val="0"/>
          <w:marBottom w:val="0"/>
          <w:divBdr>
            <w:top w:val="none" w:sz="0" w:space="0" w:color="auto"/>
            <w:left w:val="none" w:sz="0" w:space="0" w:color="auto"/>
            <w:bottom w:val="none" w:sz="0" w:space="0" w:color="auto"/>
            <w:right w:val="none" w:sz="0" w:space="0" w:color="auto"/>
          </w:divBdr>
        </w:div>
        <w:div w:id="884606077">
          <w:marLeft w:val="0"/>
          <w:marRight w:val="0"/>
          <w:marTop w:val="0"/>
          <w:marBottom w:val="0"/>
          <w:divBdr>
            <w:top w:val="none" w:sz="0" w:space="0" w:color="auto"/>
            <w:left w:val="none" w:sz="0" w:space="0" w:color="auto"/>
            <w:bottom w:val="none" w:sz="0" w:space="0" w:color="auto"/>
            <w:right w:val="none" w:sz="0" w:space="0" w:color="auto"/>
          </w:divBdr>
        </w:div>
        <w:div w:id="1103111811">
          <w:marLeft w:val="0"/>
          <w:marRight w:val="0"/>
          <w:marTop w:val="0"/>
          <w:marBottom w:val="0"/>
          <w:divBdr>
            <w:top w:val="none" w:sz="0" w:space="0" w:color="auto"/>
            <w:left w:val="none" w:sz="0" w:space="0" w:color="auto"/>
            <w:bottom w:val="none" w:sz="0" w:space="0" w:color="auto"/>
            <w:right w:val="none" w:sz="0" w:space="0" w:color="auto"/>
          </w:divBdr>
        </w:div>
        <w:div w:id="1180124626">
          <w:marLeft w:val="0"/>
          <w:marRight w:val="0"/>
          <w:marTop w:val="0"/>
          <w:marBottom w:val="0"/>
          <w:divBdr>
            <w:top w:val="none" w:sz="0" w:space="0" w:color="auto"/>
            <w:left w:val="none" w:sz="0" w:space="0" w:color="auto"/>
            <w:bottom w:val="none" w:sz="0" w:space="0" w:color="auto"/>
            <w:right w:val="none" w:sz="0" w:space="0" w:color="auto"/>
          </w:divBdr>
        </w:div>
        <w:div w:id="1519732535">
          <w:marLeft w:val="0"/>
          <w:marRight w:val="0"/>
          <w:marTop w:val="0"/>
          <w:marBottom w:val="0"/>
          <w:divBdr>
            <w:top w:val="none" w:sz="0" w:space="0" w:color="auto"/>
            <w:left w:val="none" w:sz="0" w:space="0" w:color="auto"/>
            <w:bottom w:val="none" w:sz="0" w:space="0" w:color="auto"/>
            <w:right w:val="none" w:sz="0" w:space="0" w:color="auto"/>
          </w:divBdr>
        </w:div>
        <w:div w:id="1538589788">
          <w:marLeft w:val="0"/>
          <w:marRight w:val="0"/>
          <w:marTop w:val="0"/>
          <w:marBottom w:val="0"/>
          <w:divBdr>
            <w:top w:val="none" w:sz="0" w:space="0" w:color="auto"/>
            <w:left w:val="none" w:sz="0" w:space="0" w:color="auto"/>
            <w:bottom w:val="none" w:sz="0" w:space="0" w:color="auto"/>
            <w:right w:val="none" w:sz="0" w:space="0" w:color="auto"/>
          </w:divBdr>
        </w:div>
        <w:div w:id="1753697462">
          <w:marLeft w:val="0"/>
          <w:marRight w:val="0"/>
          <w:marTop w:val="0"/>
          <w:marBottom w:val="0"/>
          <w:divBdr>
            <w:top w:val="none" w:sz="0" w:space="0" w:color="auto"/>
            <w:left w:val="none" w:sz="0" w:space="0" w:color="auto"/>
            <w:bottom w:val="none" w:sz="0" w:space="0" w:color="auto"/>
            <w:right w:val="none" w:sz="0" w:space="0" w:color="auto"/>
          </w:divBdr>
        </w:div>
        <w:div w:id="1960531712">
          <w:marLeft w:val="0"/>
          <w:marRight w:val="0"/>
          <w:marTop w:val="0"/>
          <w:marBottom w:val="0"/>
          <w:divBdr>
            <w:top w:val="none" w:sz="0" w:space="0" w:color="auto"/>
            <w:left w:val="none" w:sz="0" w:space="0" w:color="auto"/>
            <w:bottom w:val="none" w:sz="0" w:space="0" w:color="auto"/>
            <w:right w:val="none" w:sz="0" w:space="0" w:color="auto"/>
          </w:divBdr>
        </w:div>
        <w:div w:id="2009672899">
          <w:marLeft w:val="0"/>
          <w:marRight w:val="0"/>
          <w:marTop w:val="0"/>
          <w:marBottom w:val="0"/>
          <w:divBdr>
            <w:top w:val="none" w:sz="0" w:space="0" w:color="auto"/>
            <w:left w:val="none" w:sz="0" w:space="0" w:color="auto"/>
            <w:bottom w:val="none" w:sz="0" w:space="0" w:color="auto"/>
            <w:right w:val="none" w:sz="0" w:space="0" w:color="auto"/>
          </w:divBdr>
        </w:div>
        <w:div w:id="2144537487">
          <w:marLeft w:val="0"/>
          <w:marRight w:val="0"/>
          <w:marTop w:val="0"/>
          <w:marBottom w:val="0"/>
          <w:divBdr>
            <w:top w:val="none" w:sz="0" w:space="0" w:color="auto"/>
            <w:left w:val="none" w:sz="0" w:space="0" w:color="auto"/>
            <w:bottom w:val="none" w:sz="0" w:space="0" w:color="auto"/>
            <w:right w:val="none" w:sz="0" w:space="0" w:color="auto"/>
          </w:divBdr>
        </w:div>
      </w:divsChild>
    </w:div>
    <w:div w:id="599412047">
      <w:bodyDiv w:val="1"/>
      <w:marLeft w:val="0"/>
      <w:marRight w:val="0"/>
      <w:marTop w:val="0"/>
      <w:marBottom w:val="0"/>
      <w:divBdr>
        <w:top w:val="none" w:sz="0" w:space="0" w:color="auto"/>
        <w:left w:val="none" w:sz="0" w:space="0" w:color="auto"/>
        <w:bottom w:val="none" w:sz="0" w:space="0" w:color="auto"/>
        <w:right w:val="none" w:sz="0" w:space="0" w:color="auto"/>
      </w:divBdr>
      <w:divsChild>
        <w:div w:id="1252740475">
          <w:marLeft w:val="0"/>
          <w:marRight w:val="0"/>
          <w:marTop w:val="0"/>
          <w:marBottom w:val="0"/>
          <w:divBdr>
            <w:top w:val="none" w:sz="0" w:space="0" w:color="auto"/>
            <w:left w:val="none" w:sz="0" w:space="0" w:color="auto"/>
            <w:bottom w:val="none" w:sz="0" w:space="0" w:color="auto"/>
            <w:right w:val="none" w:sz="0" w:space="0" w:color="auto"/>
          </w:divBdr>
        </w:div>
        <w:div w:id="2006977968">
          <w:marLeft w:val="0"/>
          <w:marRight w:val="0"/>
          <w:marTop w:val="0"/>
          <w:marBottom w:val="0"/>
          <w:divBdr>
            <w:top w:val="none" w:sz="0" w:space="0" w:color="auto"/>
            <w:left w:val="none" w:sz="0" w:space="0" w:color="auto"/>
            <w:bottom w:val="none" w:sz="0" w:space="0" w:color="auto"/>
            <w:right w:val="none" w:sz="0" w:space="0" w:color="auto"/>
          </w:divBdr>
        </w:div>
      </w:divsChild>
    </w:div>
    <w:div w:id="611010781">
      <w:bodyDiv w:val="1"/>
      <w:marLeft w:val="0"/>
      <w:marRight w:val="0"/>
      <w:marTop w:val="0"/>
      <w:marBottom w:val="0"/>
      <w:divBdr>
        <w:top w:val="none" w:sz="0" w:space="0" w:color="auto"/>
        <w:left w:val="none" w:sz="0" w:space="0" w:color="auto"/>
        <w:bottom w:val="none" w:sz="0" w:space="0" w:color="auto"/>
        <w:right w:val="none" w:sz="0" w:space="0" w:color="auto"/>
      </w:divBdr>
    </w:div>
    <w:div w:id="675572389">
      <w:bodyDiv w:val="1"/>
      <w:marLeft w:val="0"/>
      <w:marRight w:val="0"/>
      <w:marTop w:val="0"/>
      <w:marBottom w:val="0"/>
      <w:divBdr>
        <w:top w:val="none" w:sz="0" w:space="0" w:color="auto"/>
        <w:left w:val="none" w:sz="0" w:space="0" w:color="auto"/>
        <w:bottom w:val="none" w:sz="0" w:space="0" w:color="auto"/>
        <w:right w:val="none" w:sz="0" w:space="0" w:color="auto"/>
      </w:divBdr>
      <w:divsChild>
        <w:div w:id="747969219">
          <w:marLeft w:val="0"/>
          <w:marRight w:val="0"/>
          <w:marTop w:val="0"/>
          <w:marBottom w:val="0"/>
          <w:divBdr>
            <w:top w:val="none" w:sz="0" w:space="0" w:color="auto"/>
            <w:left w:val="none" w:sz="0" w:space="0" w:color="auto"/>
            <w:bottom w:val="none" w:sz="0" w:space="0" w:color="auto"/>
            <w:right w:val="none" w:sz="0" w:space="0" w:color="auto"/>
          </w:divBdr>
        </w:div>
        <w:div w:id="1657369663">
          <w:marLeft w:val="0"/>
          <w:marRight w:val="0"/>
          <w:marTop w:val="0"/>
          <w:marBottom w:val="0"/>
          <w:divBdr>
            <w:top w:val="none" w:sz="0" w:space="0" w:color="auto"/>
            <w:left w:val="none" w:sz="0" w:space="0" w:color="auto"/>
            <w:bottom w:val="none" w:sz="0" w:space="0" w:color="auto"/>
            <w:right w:val="none" w:sz="0" w:space="0" w:color="auto"/>
          </w:divBdr>
        </w:div>
      </w:divsChild>
    </w:div>
    <w:div w:id="757562537">
      <w:bodyDiv w:val="1"/>
      <w:marLeft w:val="0"/>
      <w:marRight w:val="0"/>
      <w:marTop w:val="0"/>
      <w:marBottom w:val="0"/>
      <w:divBdr>
        <w:top w:val="none" w:sz="0" w:space="0" w:color="auto"/>
        <w:left w:val="none" w:sz="0" w:space="0" w:color="auto"/>
        <w:bottom w:val="none" w:sz="0" w:space="0" w:color="auto"/>
        <w:right w:val="none" w:sz="0" w:space="0" w:color="auto"/>
      </w:divBdr>
      <w:divsChild>
        <w:div w:id="73550080">
          <w:marLeft w:val="0"/>
          <w:marRight w:val="0"/>
          <w:marTop w:val="0"/>
          <w:marBottom w:val="0"/>
          <w:divBdr>
            <w:top w:val="none" w:sz="0" w:space="0" w:color="auto"/>
            <w:left w:val="none" w:sz="0" w:space="0" w:color="auto"/>
            <w:bottom w:val="none" w:sz="0" w:space="0" w:color="auto"/>
            <w:right w:val="none" w:sz="0" w:space="0" w:color="auto"/>
          </w:divBdr>
        </w:div>
        <w:div w:id="754941286">
          <w:marLeft w:val="0"/>
          <w:marRight w:val="0"/>
          <w:marTop w:val="0"/>
          <w:marBottom w:val="0"/>
          <w:divBdr>
            <w:top w:val="none" w:sz="0" w:space="0" w:color="auto"/>
            <w:left w:val="none" w:sz="0" w:space="0" w:color="auto"/>
            <w:bottom w:val="none" w:sz="0" w:space="0" w:color="auto"/>
            <w:right w:val="none" w:sz="0" w:space="0" w:color="auto"/>
          </w:divBdr>
        </w:div>
        <w:div w:id="1172263138">
          <w:marLeft w:val="0"/>
          <w:marRight w:val="0"/>
          <w:marTop w:val="0"/>
          <w:marBottom w:val="0"/>
          <w:divBdr>
            <w:top w:val="none" w:sz="0" w:space="0" w:color="auto"/>
            <w:left w:val="none" w:sz="0" w:space="0" w:color="auto"/>
            <w:bottom w:val="none" w:sz="0" w:space="0" w:color="auto"/>
            <w:right w:val="none" w:sz="0" w:space="0" w:color="auto"/>
          </w:divBdr>
        </w:div>
        <w:div w:id="1305045194">
          <w:marLeft w:val="0"/>
          <w:marRight w:val="0"/>
          <w:marTop w:val="0"/>
          <w:marBottom w:val="0"/>
          <w:divBdr>
            <w:top w:val="none" w:sz="0" w:space="0" w:color="auto"/>
            <w:left w:val="none" w:sz="0" w:space="0" w:color="auto"/>
            <w:bottom w:val="none" w:sz="0" w:space="0" w:color="auto"/>
            <w:right w:val="none" w:sz="0" w:space="0" w:color="auto"/>
          </w:divBdr>
        </w:div>
        <w:div w:id="1564100141">
          <w:marLeft w:val="0"/>
          <w:marRight w:val="0"/>
          <w:marTop w:val="0"/>
          <w:marBottom w:val="0"/>
          <w:divBdr>
            <w:top w:val="none" w:sz="0" w:space="0" w:color="auto"/>
            <w:left w:val="none" w:sz="0" w:space="0" w:color="auto"/>
            <w:bottom w:val="none" w:sz="0" w:space="0" w:color="auto"/>
            <w:right w:val="none" w:sz="0" w:space="0" w:color="auto"/>
          </w:divBdr>
        </w:div>
      </w:divsChild>
    </w:div>
    <w:div w:id="785318402">
      <w:bodyDiv w:val="1"/>
      <w:marLeft w:val="0"/>
      <w:marRight w:val="0"/>
      <w:marTop w:val="0"/>
      <w:marBottom w:val="0"/>
      <w:divBdr>
        <w:top w:val="none" w:sz="0" w:space="0" w:color="auto"/>
        <w:left w:val="none" w:sz="0" w:space="0" w:color="auto"/>
        <w:bottom w:val="none" w:sz="0" w:space="0" w:color="auto"/>
        <w:right w:val="none" w:sz="0" w:space="0" w:color="auto"/>
      </w:divBdr>
    </w:div>
    <w:div w:id="1176920351">
      <w:bodyDiv w:val="1"/>
      <w:marLeft w:val="0"/>
      <w:marRight w:val="0"/>
      <w:marTop w:val="0"/>
      <w:marBottom w:val="0"/>
      <w:divBdr>
        <w:top w:val="none" w:sz="0" w:space="0" w:color="auto"/>
        <w:left w:val="none" w:sz="0" w:space="0" w:color="auto"/>
        <w:bottom w:val="none" w:sz="0" w:space="0" w:color="auto"/>
        <w:right w:val="none" w:sz="0" w:space="0" w:color="auto"/>
      </w:divBdr>
      <w:divsChild>
        <w:div w:id="578829489">
          <w:marLeft w:val="0"/>
          <w:marRight w:val="0"/>
          <w:marTop w:val="0"/>
          <w:marBottom w:val="0"/>
          <w:divBdr>
            <w:top w:val="none" w:sz="0" w:space="0" w:color="auto"/>
            <w:left w:val="none" w:sz="0" w:space="0" w:color="auto"/>
            <w:bottom w:val="none" w:sz="0" w:space="0" w:color="auto"/>
            <w:right w:val="none" w:sz="0" w:space="0" w:color="auto"/>
          </w:divBdr>
        </w:div>
        <w:div w:id="604309851">
          <w:marLeft w:val="0"/>
          <w:marRight w:val="0"/>
          <w:marTop w:val="0"/>
          <w:marBottom w:val="0"/>
          <w:divBdr>
            <w:top w:val="none" w:sz="0" w:space="0" w:color="auto"/>
            <w:left w:val="none" w:sz="0" w:space="0" w:color="auto"/>
            <w:bottom w:val="none" w:sz="0" w:space="0" w:color="auto"/>
            <w:right w:val="none" w:sz="0" w:space="0" w:color="auto"/>
          </w:divBdr>
        </w:div>
        <w:div w:id="1982349651">
          <w:marLeft w:val="0"/>
          <w:marRight w:val="0"/>
          <w:marTop w:val="0"/>
          <w:marBottom w:val="0"/>
          <w:divBdr>
            <w:top w:val="none" w:sz="0" w:space="0" w:color="auto"/>
            <w:left w:val="none" w:sz="0" w:space="0" w:color="auto"/>
            <w:bottom w:val="none" w:sz="0" w:space="0" w:color="auto"/>
            <w:right w:val="none" w:sz="0" w:space="0" w:color="auto"/>
          </w:divBdr>
        </w:div>
        <w:div w:id="2108184520">
          <w:marLeft w:val="0"/>
          <w:marRight w:val="0"/>
          <w:marTop w:val="0"/>
          <w:marBottom w:val="0"/>
          <w:divBdr>
            <w:top w:val="none" w:sz="0" w:space="0" w:color="auto"/>
            <w:left w:val="none" w:sz="0" w:space="0" w:color="auto"/>
            <w:bottom w:val="none" w:sz="0" w:space="0" w:color="auto"/>
            <w:right w:val="none" w:sz="0" w:space="0" w:color="auto"/>
          </w:divBdr>
        </w:div>
        <w:div w:id="2114402716">
          <w:marLeft w:val="0"/>
          <w:marRight w:val="0"/>
          <w:marTop w:val="0"/>
          <w:marBottom w:val="0"/>
          <w:divBdr>
            <w:top w:val="none" w:sz="0" w:space="0" w:color="auto"/>
            <w:left w:val="none" w:sz="0" w:space="0" w:color="auto"/>
            <w:bottom w:val="none" w:sz="0" w:space="0" w:color="auto"/>
            <w:right w:val="none" w:sz="0" w:space="0" w:color="auto"/>
          </w:divBdr>
        </w:div>
      </w:divsChild>
    </w:div>
    <w:div w:id="1194029483">
      <w:bodyDiv w:val="1"/>
      <w:marLeft w:val="0"/>
      <w:marRight w:val="0"/>
      <w:marTop w:val="0"/>
      <w:marBottom w:val="0"/>
      <w:divBdr>
        <w:top w:val="none" w:sz="0" w:space="0" w:color="auto"/>
        <w:left w:val="none" w:sz="0" w:space="0" w:color="auto"/>
        <w:bottom w:val="none" w:sz="0" w:space="0" w:color="auto"/>
        <w:right w:val="none" w:sz="0" w:space="0" w:color="auto"/>
      </w:divBdr>
      <w:divsChild>
        <w:div w:id="183173632">
          <w:marLeft w:val="0"/>
          <w:marRight w:val="0"/>
          <w:marTop w:val="0"/>
          <w:marBottom w:val="0"/>
          <w:divBdr>
            <w:top w:val="none" w:sz="0" w:space="0" w:color="auto"/>
            <w:left w:val="none" w:sz="0" w:space="0" w:color="auto"/>
            <w:bottom w:val="none" w:sz="0" w:space="0" w:color="auto"/>
            <w:right w:val="none" w:sz="0" w:space="0" w:color="auto"/>
          </w:divBdr>
        </w:div>
        <w:div w:id="1457485579">
          <w:marLeft w:val="0"/>
          <w:marRight w:val="0"/>
          <w:marTop w:val="0"/>
          <w:marBottom w:val="0"/>
          <w:divBdr>
            <w:top w:val="none" w:sz="0" w:space="0" w:color="auto"/>
            <w:left w:val="none" w:sz="0" w:space="0" w:color="auto"/>
            <w:bottom w:val="none" w:sz="0" w:space="0" w:color="auto"/>
            <w:right w:val="none" w:sz="0" w:space="0" w:color="auto"/>
          </w:divBdr>
        </w:div>
      </w:divsChild>
    </w:div>
    <w:div w:id="1314216641">
      <w:bodyDiv w:val="1"/>
      <w:marLeft w:val="0"/>
      <w:marRight w:val="0"/>
      <w:marTop w:val="0"/>
      <w:marBottom w:val="0"/>
      <w:divBdr>
        <w:top w:val="none" w:sz="0" w:space="0" w:color="auto"/>
        <w:left w:val="none" w:sz="0" w:space="0" w:color="auto"/>
        <w:bottom w:val="none" w:sz="0" w:space="0" w:color="auto"/>
        <w:right w:val="none" w:sz="0" w:space="0" w:color="auto"/>
      </w:divBdr>
      <w:divsChild>
        <w:div w:id="236599032">
          <w:marLeft w:val="0"/>
          <w:marRight w:val="0"/>
          <w:marTop w:val="0"/>
          <w:marBottom w:val="0"/>
          <w:divBdr>
            <w:top w:val="none" w:sz="0" w:space="0" w:color="auto"/>
            <w:left w:val="none" w:sz="0" w:space="0" w:color="auto"/>
            <w:bottom w:val="none" w:sz="0" w:space="0" w:color="auto"/>
            <w:right w:val="none" w:sz="0" w:space="0" w:color="auto"/>
          </w:divBdr>
        </w:div>
        <w:div w:id="318923743">
          <w:marLeft w:val="0"/>
          <w:marRight w:val="0"/>
          <w:marTop w:val="0"/>
          <w:marBottom w:val="0"/>
          <w:divBdr>
            <w:top w:val="none" w:sz="0" w:space="0" w:color="auto"/>
            <w:left w:val="none" w:sz="0" w:space="0" w:color="auto"/>
            <w:bottom w:val="none" w:sz="0" w:space="0" w:color="auto"/>
            <w:right w:val="none" w:sz="0" w:space="0" w:color="auto"/>
          </w:divBdr>
        </w:div>
        <w:div w:id="351345585">
          <w:marLeft w:val="0"/>
          <w:marRight w:val="0"/>
          <w:marTop w:val="0"/>
          <w:marBottom w:val="0"/>
          <w:divBdr>
            <w:top w:val="none" w:sz="0" w:space="0" w:color="auto"/>
            <w:left w:val="none" w:sz="0" w:space="0" w:color="auto"/>
            <w:bottom w:val="none" w:sz="0" w:space="0" w:color="auto"/>
            <w:right w:val="none" w:sz="0" w:space="0" w:color="auto"/>
          </w:divBdr>
        </w:div>
        <w:div w:id="689792364">
          <w:marLeft w:val="0"/>
          <w:marRight w:val="0"/>
          <w:marTop w:val="0"/>
          <w:marBottom w:val="0"/>
          <w:divBdr>
            <w:top w:val="none" w:sz="0" w:space="0" w:color="auto"/>
            <w:left w:val="none" w:sz="0" w:space="0" w:color="auto"/>
            <w:bottom w:val="none" w:sz="0" w:space="0" w:color="auto"/>
            <w:right w:val="none" w:sz="0" w:space="0" w:color="auto"/>
          </w:divBdr>
        </w:div>
        <w:div w:id="1221400133">
          <w:marLeft w:val="0"/>
          <w:marRight w:val="0"/>
          <w:marTop w:val="0"/>
          <w:marBottom w:val="0"/>
          <w:divBdr>
            <w:top w:val="none" w:sz="0" w:space="0" w:color="auto"/>
            <w:left w:val="none" w:sz="0" w:space="0" w:color="auto"/>
            <w:bottom w:val="none" w:sz="0" w:space="0" w:color="auto"/>
            <w:right w:val="none" w:sz="0" w:space="0" w:color="auto"/>
          </w:divBdr>
        </w:div>
        <w:div w:id="1573462269">
          <w:marLeft w:val="0"/>
          <w:marRight w:val="0"/>
          <w:marTop w:val="0"/>
          <w:marBottom w:val="0"/>
          <w:divBdr>
            <w:top w:val="none" w:sz="0" w:space="0" w:color="auto"/>
            <w:left w:val="none" w:sz="0" w:space="0" w:color="auto"/>
            <w:bottom w:val="none" w:sz="0" w:space="0" w:color="auto"/>
            <w:right w:val="none" w:sz="0" w:space="0" w:color="auto"/>
          </w:divBdr>
        </w:div>
        <w:div w:id="1576621518">
          <w:marLeft w:val="0"/>
          <w:marRight w:val="0"/>
          <w:marTop w:val="0"/>
          <w:marBottom w:val="0"/>
          <w:divBdr>
            <w:top w:val="none" w:sz="0" w:space="0" w:color="auto"/>
            <w:left w:val="none" w:sz="0" w:space="0" w:color="auto"/>
            <w:bottom w:val="none" w:sz="0" w:space="0" w:color="auto"/>
            <w:right w:val="none" w:sz="0" w:space="0" w:color="auto"/>
          </w:divBdr>
        </w:div>
        <w:div w:id="1859467045">
          <w:marLeft w:val="0"/>
          <w:marRight w:val="0"/>
          <w:marTop w:val="0"/>
          <w:marBottom w:val="0"/>
          <w:divBdr>
            <w:top w:val="none" w:sz="0" w:space="0" w:color="auto"/>
            <w:left w:val="none" w:sz="0" w:space="0" w:color="auto"/>
            <w:bottom w:val="none" w:sz="0" w:space="0" w:color="auto"/>
            <w:right w:val="none" w:sz="0" w:space="0" w:color="auto"/>
          </w:divBdr>
        </w:div>
      </w:divsChild>
    </w:div>
    <w:div w:id="1371491479">
      <w:bodyDiv w:val="1"/>
      <w:marLeft w:val="0"/>
      <w:marRight w:val="0"/>
      <w:marTop w:val="0"/>
      <w:marBottom w:val="0"/>
      <w:divBdr>
        <w:top w:val="none" w:sz="0" w:space="0" w:color="auto"/>
        <w:left w:val="none" w:sz="0" w:space="0" w:color="auto"/>
        <w:bottom w:val="none" w:sz="0" w:space="0" w:color="auto"/>
        <w:right w:val="none" w:sz="0" w:space="0" w:color="auto"/>
      </w:divBdr>
    </w:div>
    <w:div w:id="1381830344">
      <w:bodyDiv w:val="1"/>
      <w:marLeft w:val="0"/>
      <w:marRight w:val="0"/>
      <w:marTop w:val="0"/>
      <w:marBottom w:val="0"/>
      <w:divBdr>
        <w:top w:val="none" w:sz="0" w:space="0" w:color="auto"/>
        <w:left w:val="none" w:sz="0" w:space="0" w:color="auto"/>
        <w:bottom w:val="none" w:sz="0" w:space="0" w:color="auto"/>
        <w:right w:val="none" w:sz="0" w:space="0" w:color="auto"/>
      </w:divBdr>
    </w:div>
    <w:div w:id="1395664836">
      <w:bodyDiv w:val="1"/>
      <w:marLeft w:val="0"/>
      <w:marRight w:val="0"/>
      <w:marTop w:val="0"/>
      <w:marBottom w:val="0"/>
      <w:divBdr>
        <w:top w:val="none" w:sz="0" w:space="0" w:color="auto"/>
        <w:left w:val="none" w:sz="0" w:space="0" w:color="auto"/>
        <w:bottom w:val="none" w:sz="0" w:space="0" w:color="auto"/>
        <w:right w:val="none" w:sz="0" w:space="0" w:color="auto"/>
      </w:divBdr>
      <w:divsChild>
        <w:div w:id="295185299">
          <w:marLeft w:val="0"/>
          <w:marRight w:val="0"/>
          <w:marTop w:val="0"/>
          <w:marBottom w:val="0"/>
          <w:divBdr>
            <w:top w:val="none" w:sz="0" w:space="0" w:color="auto"/>
            <w:left w:val="none" w:sz="0" w:space="0" w:color="auto"/>
            <w:bottom w:val="none" w:sz="0" w:space="0" w:color="auto"/>
            <w:right w:val="none" w:sz="0" w:space="0" w:color="auto"/>
          </w:divBdr>
        </w:div>
        <w:div w:id="336347550">
          <w:marLeft w:val="0"/>
          <w:marRight w:val="0"/>
          <w:marTop w:val="0"/>
          <w:marBottom w:val="0"/>
          <w:divBdr>
            <w:top w:val="none" w:sz="0" w:space="0" w:color="auto"/>
            <w:left w:val="none" w:sz="0" w:space="0" w:color="auto"/>
            <w:bottom w:val="none" w:sz="0" w:space="0" w:color="auto"/>
            <w:right w:val="none" w:sz="0" w:space="0" w:color="auto"/>
          </w:divBdr>
        </w:div>
        <w:div w:id="343825760">
          <w:marLeft w:val="0"/>
          <w:marRight w:val="0"/>
          <w:marTop w:val="0"/>
          <w:marBottom w:val="0"/>
          <w:divBdr>
            <w:top w:val="none" w:sz="0" w:space="0" w:color="auto"/>
            <w:left w:val="none" w:sz="0" w:space="0" w:color="auto"/>
            <w:bottom w:val="none" w:sz="0" w:space="0" w:color="auto"/>
            <w:right w:val="none" w:sz="0" w:space="0" w:color="auto"/>
          </w:divBdr>
        </w:div>
        <w:div w:id="378435927">
          <w:marLeft w:val="0"/>
          <w:marRight w:val="0"/>
          <w:marTop w:val="0"/>
          <w:marBottom w:val="0"/>
          <w:divBdr>
            <w:top w:val="none" w:sz="0" w:space="0" w:color="auto"/>
            <w:left w:val="none" w:sz="0" w:space="0" w:color="auto"/>
            <w:bottom w:val="none" w:sz="0" w:space="0" w:color="auto"/>
            <w:right w:val="none" w:sz="0" w:space="0" w:color="auto"/>
          </w:divBdr>
        </w:div>
        <w:div w:id="543367181">
          <w:marLeft w:val="0"/>
          <w:marRight w:val="0"/>
          <w:marTop w:val="0"/>
          <w:marBottom w:val="0"/>
          <w:divBdr>
            <w:top w:val="none" w:sz="0" w:space="0" w:color="auto"/>
            <w:left w:val="none" w:sz="0" w:space="0" w:color="auto"/>
            <w:bottom w:val="none" w:sz="0" w:space="0" w:color="auto"/>
            <w:right w:val="none" w:sz="0" w:space="0" w:color="auto"/>
          </w:divBdr>
        </w:div>
        <w:div w:id="744449952">
          <w:marLeft w:val="0"/>
          <w:marRight w:val="0"/>
          <w:marTop w:val="0"/>
          <w:marBottom w:val="0"/>
          <w:divBdr>
            <w:top w:val="none" w:sz="0" w:space="0" w:color="auto"/>
            <w:left w:val="none" w:sz="0" w:space="0" w:color="auto"/>
            <w:bottom w:val="none" w:sz="0" w:space="0" w:color="auto"/>
            <w:right w:val="none" w:sz="0" w:space="0" w:color="auto"/>
          </w:divBdr>
        </w:div>
        <w:div w:id="848253341">
          <w:marLeft w:val="0"/>
          <w:marRight w:val="0"/>
          <w:marTop w:val="0"/>
          <w:marBottom w:val="0"/>
          <w:divBdr>
            <w:top w:val="none" w:sz="0" w:space="0" w:color="auto"/>
            <w:left w:val="none" w:sz="0" w:space="0" w:color="auto"/>
            <w:bottom w:val="none" w:sz="0" w:space="0" w:color="auto"/>
            <w:right w:val="none" w:sz="0" w:space="0" w:color="auto"/>
          </w:divBdr>
        </w:div>
        <w:div w:id="919094201">
          <w:marLeft w:val="0"/>
          <w:marRight w:val="0"/>
          <w:marTop w:val="0"/>
          <w:marBottom w:val="0"/>
          <w:divBdr>
            <w:top w:val="none" w:sz="0" w:space="0" w:color="auto"/>
            <w:left w:val="none" w:sz="0" w:space="0" w:color="auto"/>
            <w:bottom w:val="none" w:sz="0" w:space="0" w:color="auto"/>
            <w:right w:val="none" w:sz="0" w:space="0" w:color="auto"/>
          </w:divBdr>
        </w:div>
        <w:div w:id="1122991248">
          <w:marLeft w:val="0"/>
          <w:marRight w:val="0"/>
          <w:marTop w:val="0"/>
          <w:marBottom w:val="0"/>
          <w:divBdr>
            <w:top w:val="none" w:sz="0" w:space="0" w:color="auto"/>
            <w:left w:val="none" w:sz="0" w:space="0" w:color="auto"/>
            <w:bottom w:val="none" w:sz="0" w:space="0" w:color="auto"/>
            <w:right w:val="none" w:sz="0" w:space="0" w:color="auto"/>
          </w:divBdr>
        </w:div>
        <w:div w:id="1136295043">
          <w:marLeft w:val="0"/>
          <w:marRight w:val="0"/>
          <w:marTop w:val="0"/>
          <w:marBottom w:val="0"/>
          <w:divBdr>
            <w:top w:val="none" w:sz="0" w:space="0" w:color="auto"/>
            <w:left w:val="none" w:sz="0" w:space="0" w:color="auto"/>
            <w:bottom w:val="none" w:sz="0" w:space="0" w:color="auto"/>
            <w:right w:val="none" w:sz="0" w:space="0" w:color="auto"/>
          </w:divBdr>
        </w:div>
        <w:div w:id="1138498457">
          <w:marLeft w:val="0"/>
          <w:marRight w:val="0"/>
          <w:marTop w:val="0"/>
          <w:marBottom w:val="0"/>
          <w:divBdr>
            <w:top w:val="none" w:sz="0" w:space="0" w:color="auto"/>
            <w:left w:val="none" w:sz="0" w:space="0" w:color="auto"/>
            <w:bottom w:val="none" w:sz="0" w:space="0" w:color="auto"/>
            <w:right w:val="none" w:sz="0" w:space="0" w:color="auto"/>
          </w:divBdr>
        </w:div>
        <w:div w:id="1231041145">
          <w:marLeft w:val="0"/>
          <w:marRight w:val="0"/>
          <w:marTop w:val="0"/>
          <w:marBottom w:val="0"/>
          <w:divBdr>
            <w:top w:val="none" w:sz="0" w:space="0" w:color="auto"/>
            <w:left w:val="none" w:sz="0" w:space="0" w:color="auto"/>
            <w:bottom w:val="none" w:sz="0" w:space="0" w:color="auto"/>
            <w:right w:val="none" w:sz="0" w:space="0" w:color="auto"/>
          </w:divBdr>
        </w:div>
        <w:div w:id="1315373264">
          <w:marLeft w:val="0"/>
          <w:marRight w:val="0"/>
          <w:marTop w:val="0"/>
          <w:marBottom w:val="0"/>
          <w:divBdr>
            <w:top w:val="none" w:sz="0" w:space="0" w:color="auto"/>
            <w:left w:val="none" w:sz="0" w:space="0" w:color="auto"/>
            <w:bottom w:val="none" w:sz="0" w:space="0" w:color="auto"/>
            <w:right w:val="none" w:sz="0" w:space="0" w:color="auto"/>
          </w:divBdr>
        </w:div>
        <w:div w:id="1361323983">
          <w:marLeft w:val="0"/>
          <w:marRight w:val="0"/>
          <w:marTop w:val="0"/>
          <w:marBottom w:val="0"/>
          <w:divBdr>
            <w:top w:val="none" w:sz="0" w:space="0" w:color="auto"/>
            <w:left w:val="none" w:sz="0" w:space="0" w:color="auto"/>
            <w:bottom w:val="none" w:sz="0" w:space="0" w:color="auto"/>
            <w:right w:val="none" w:sz="0" w:space="0" w:color="auto"/>
          </w:divBdr>
        </w:div>
        <w:div w:id="1450079832">
          <w:marLeft w:val="0"/>
          <w:marRight w:val="0"/>
          <w:marTop w:val="0"/>
          <w:marBottom w:val="0"/>
          <w:divBdr>
            <w:top w:val="none" w:sz="0" w:space="0" w:color="auto"/>
            <w:left w:val="none" w:sz="0" w:space="0" w:color="auto"/>
            <w:bottom w:val="none" w:sz="0" w:space="0" w:color="auto"/>
            <w:right w:val="none" w:sz="0" w:space="0" w:color="auto"/>
          </w:divBdr>
        </w:div>
        <w:div w:id="1678385539">
          <w:marLeft w:val="0"/>
          <w:marRight w:val="0"/>
          <w:marTop w:val="0"/>
          <w:marBottom w:val="0"/>
          <w:divBdr>
            <w:top w:val="none" w:sz="0" w:space="0" w:color="auto"/>
            <w:left w:val="none" w:sz="0" w:space="0" w:color="auto"/>
            <w:bottom w:val="none" w:sz="0" w:space="0" w:color="auto"/>
            <w:right w:val="none" w:sz="0" w:space="0" w:color="auto"/>
          </w:divBdr>
        </w:div>
        <w:div w:id="1735734975">
          <w:marLeft w:val="0"/>
          <w:marRight w:val="0"/>
          <w:marTop w:val="0"/>
          <w:marBottom w:val="0"/>
          <w:divBdr>
            <w:top w:val="none" w:sz="0" w:space="0" w:color="auto"/>
            <w:left w:val="none" w:sz="0" w:space="0" w:color="auto"/>
            <w:bottom w:val="none" w:sz="0" w:space="0" w:color="auto"/>
            <w:right w:val="none" w:sz="0" w:space="0" w:color="auto"/>
          </w:divBdr>
        </w:div>
        <w:div w:id="1833720973">
          <w:marLeft w:val="0"/>
          <w:marRight w:val="0"/>
          <w:marTop w:val="0"/>
          <w:marBottom w:val="0"/>
          <w:divBdr>
            <w:top w:val="none" w:sz="0" w:space="0" w:color="auto"/>
            <w:left w:val="none" w:sz="0" w:space="0" w:color="auto"/>
            <w:bottom w:val="none" w:sz="0" w:space="0" w:color="auto"/>
            <w:right w:val="none" w:sz="0" w:space="0" w:color="auto"/>
          </w:divBdr>
        </w:div>
        <w:div w:id="1977906553">
          <w:marLeft w:val="0"/>
          <w:marRight w:val="0"/>
          <w:marTop w:val="0"/>
          <w:marBottom w:val="0"/>
          <w:divBdr>
            <w:top w:val="none" w:sz="0" w:space="0" w:color="auto"/>
            <w:left w:val="none" w:sz="0" w:space="0" w:color="auto"/>
            <w:bottom w:val="none" w:sz="0" w:space="0" w:color="auto"/>
            <w:right w:val="none" w:sz="0" w:space="0" w:color="auto"/>
          </w:divBdr>
        </w:div>
        <w:div w:id="2018117657">
          <w:marLeft w:val="0"/>
          <w:marRight w:val="0"/>
          <w:marTop w:val="0"/>
          <w:marBottom w:val="0"/>
          <w:divBdr>
            <w:top w:val="none" w:sz="0" w:space="0" w:color="auto"/>
            <w:left w:val="none" w:sz="0" w:space="0" w:color="auto"/>
            <w:bottom w:val="none" w:sz="0" w:space="0" w:color="auto"/>
            <w:right w:val="none" w:sz="0" w:space="0" w:color="auto"/>
          </w:divBdr>
        </w:div>
      </w:divsChild>
    </w:div>
    <w:div w:id="1428041664">
      <w:bodyDiv w:val="1"/>
      <w:marLeft w:val="0"/>
      <w:marRight w:val="0"/>
      <w:marTop w:val="0"/>
      <w:marBottom w:val="0"/>
      <w:divBdr>
        <w:top w:val="none" w:sz="0" w:space="0" w:color="auto"/>
        <w:left w:val="none" w:sz="0" w:space="0" w:color="auto"/>
        <w:bottom w:val="none" w:sz="0" w:space="0" w:color="auto"/>
        <w:right w:val="none" w:sz="0" w:space="0" w:color="auto"/>
      </w:divBdr>
    </w:div>
    <w:div w:id="1504128064">
      <w:bodyDiv w:val="1"/>
      <w:marLeft w:val="0"/>
      <w:marRight w:val="0"/>
      <w:marTop w:val="0"/>
      <w:marBottom w:val="0"/>
      <w:divBdr>
        <w:top w:val="none" w:sz="0" w:space="0" w:color="auto"/>
        <w:left w:val="none" w:sz="0" w:space="0" w:color="auto"/>
        <w:bottom w:val="none" w:sz="0" w:space="0" w:color="auto"/>
        <w:right w:val="none" w:sz="0" w:space="0" w:color="auto"/>
      </w:divBdr>
      <w:divsChild>
        <w:div w:id="239290947">
          <w:marLeft w:val="0"/>
          <w:marRight w:val="0"/>
          <w:marTop w:val="0"/>
          <w:marBottom w:val="0"/>
          <w:divBdr>
            <w:top w:val="none" w:sz="0" w:space="0" w:color="auto"/>
            <w:left w:val="none" w:sz="0" w:space="0" w:color="auto"/>
            <w:bottom w:val="none" w:sz="0" w:space="0" w:color="auto"/>
            <w:right w:val="none" w:sz="0" w:space="0" w:color="auto"/>
          </w:divBdr>
        </w:div>
        <w:div w:id="319701118">
          <w:marLeft w:val="0"/>
          <w:marRight w:val="0"/>
          <w:marTop w:val="0"/>
          <w:marBottom w:val="0"/>
          <w:divBdr>
            <w:top w:val="none" w:sz="0" w:space="0" w:color="auto"/>
            <w:left w:val="none" w:sz="0" w:space="0" w:color="auto"/>
            <w:bottom w:val="none" w:sz="0" w:space="0" w:color="auto"/>
            <w:right w:val="none" w:sz="0" w:space="0" w:color="auto"/>
          </w:divBdr>
        </w:div>
        <w:div w:id="956715663">
          <w:marLeft w:val="0"/>
          <w:marRight w:val="0"/>
          <w:marTop w:val="0"/>
          <w:marBottom w:val="0"/>
          <w:divBdr>
            <w:top w:val="none" w:sz="0" w:space="0" w:color="auto"/>
            <w:left w:val="none" w:sz="0" w:space="0" w:color="auto"/>
            <w:bottom w:val="none" w:sz="0" w:space="0" w:color="auto"/>
            <w:right w:val="none" w:sz="0" w:space="0" w:color="auto"/>
          </w:divBdr>
        </w:div>
        <w:div w:id="1031998879">
          <w:marLeft w:val="0"/>
          <w:marRight w:val="0"/>
          <w:marTop w:val="0"/>
          <w:marBottom w:val="0"/>
          <w:divBdr>
            <w:top w:val="none" w:sz="0" w:space="0" w:color="auto"/>
            <w:left w:val="none" w:sz="0" w:space="0" w:color="auto"/>
            <w:bottom w:val="none" w:sz="0" w:space="0" w:color="auto"/>
            <w:right w:val="none" w:sz="0" w:space="0" w:color="auto"/>
          </w:divBdr>
        </w:div>
        <w:div w:id="1332610744">
          <w:marLeft w:val="0"/>
          <w:marRight w:val="0"/>
          <w:marTop w:val="0"/>
          <w:marBottom w:val="0"/>
          <w:divBdr>
            <w:top w:val="none" w:sz="0" w:space="0" w:color="auto"/>
            <w:left w:val="none" w:sz="0" w:space="0" w:color="auto"/>
            <w:bottom w:val="none" w:sz="0" w:space="0" w:color="auto"/>
            <w:right w:val="none" w:sz="0" w:space="0" w:color="auto"/>
          </w:divBdr>
        </w:div>
      </w:divsChild>
    </w:div>
    <w:div w:id="1576162984">
      <w:bodyDiv w:val="1"/>
      <w:marLeft w:val="0"/>
      <w:marRight w:val="0"/>
      <w:marTop w:val="0"/>
      <w:marBottom w:val="0"/>
      <w:divBdr>
        <w:top w:val="none" w:sz="0" w:space="0" w:color="auto"/>
        <w:left w:val="none" w:sz="0" w:space="0" w:color="auto"/>
        <w:bottom w:val="none" w:sz="0" w:space="0" w:color="auto"/>
        <w:right w:val="none" w:sz="0" w:space="0" w:color="auto"/>
      </w:divBdr>
      <w:divsChild>
        <w:div w:id="110560934">
          <w:marLeft w:val="0"/>
          <w:marRight w:val="0"/>
          <w:marTop w:val="0"/>
          <w:marBottom w:val="0"/>
          <w:divBdr>
            <w:top w:val="none" w:sz="0" w:space="0" w:color="auto"/>
            <w:left w:val="none" w:sz="0" w:space="0" w:color="auto"/>
            <w:bottom w:val="none" w:sz="0" w:space="0" w:color="auto"/>
            <w:right w:val="none" w:sz="0" w:space="0" w:color="auto"/>
          </w:divBdr>
        </w:div>
        <w:div w:id="325208206">
          <w:marLeft w:val="0"/>
          <w:marRight w:val="0"/>
          <w:marTop w:val="0"/>
          <w:marBottom w:val="0"/>
          <w:divBdr>
            <w:top w:val="none" w:sz="0" w:space="0" w:color="auto"/>
            <w:left w:val="none" w:sz="0" w:space="0" w:color="auto"/>
            <w:bottom w:val="none" w:sz="0" w:space="0" w:color="auto"/>
            <w:right w:val="none" w:sz="0" w:space="0" w:color="auto"/>
          </w:divBdr>
        </w:div>
        <w:div w:id="399864844">
          <w:marLeft w:val="0"/>
          <w:marRight w:val="0"/>
          <w:marTop w:val="0"/>
          <w:marBottom w:val="0"/>
          <w:divBdr>
            <w:top w:val="none" w:sz="0" w:space="0" w:color="auto"/>
            <w:left w:val="none" w:sz="0" w:space="0" w:color="auto"/>
            <w:bottom w:val="none" w:sz="0" w:space="0" w:color="auto"/>
            <w:right w:val="none" w:sz="0" w:space="0" w:color="auto"/>
          </w:divBdr>
        </w:div>
        <w:div w:id="420878262">
          <w:marLeft w:val="0"/>
          <w:marRight w:val="0"/>
          <w:marTop w:val="0"/>
          <w:marBottom w:val="0"/>
          <w:divBdr>
            <w:top w:val="none" w:sz="0" w:space="0" w:color="auto"/>
            <w:left w:val="none" w:sz="0" w:space="0" w:color="auto"/>
            <w:bottom w:val="none" w:sz="0" w:space="0" w:color="auto"/>
            <w:right w:val="none" w:sz="0" w:space="0" w:color="auto"/>
          </w:divBdr>
        </w:div>
        <w:div w:id="642273865">
          <w:marLeft w:val="0"/>
          <w:marRight w:val="0"/>
          <w:marTop w:val="0"/>
          <w:marBottom w:val="0"/>
          <w:divBdr>
            <w:top w:val="none" w:sz="0" w:space="0" w:color="auto"/>
            <w:left w:val="none" w:sz="0" w:space="0" w:color="auto"/>
            <w:bottom w:val="none" w:sz="0" w:space="0" w:color="auto"/>
            <w:right w:val="none" w:sz="0" w:space="0" w:color="auto"/>
          </w:divBdr>
        </w:div>
        <w:div w:id="867566112">
          <w:marLeft w:val="0"/>
          <w:marRight w:val="0"/>
          <w:marTop w:val="0"/>
          <w:marBottom w:val="0"/>
          <w:divBdr>
            <w:top w:val="none" w:sz="0" w:space="0" w:color="auto"/>
            <w:left w:val="none" w:sz="0" w:space="0" w:color="auto"/>
            <w:bottom w:val="none" w:sz="0" w:space="0" w:color="auto"/>
            <w:right w:val="none" w:sz="0" w:space="0" w:color="auto"/>
          </w:divBdr>
        </w:div>
        <w:div w:id="1018123514">
          <w:marLeft w:val="0"/>
          <w:marRight w:val="0"/>
          <w:marTop w:val="0"/>
          <w:marBottom w:val="0"/>
          <w:divBdr>
            <w:top w:val="none" w:sz="0" w:space="0" w:color="auto"/>
            <w:left w:val="none" w:sz="0" w:space="0" w:color="auto"/>
            <w:bottom w:val="none" w:sz="0" w:space="0" w:color="auto"/>
            <w:right w:val="none" w:sz="0" w:space="0" w:color="auto"/>
          </w:divBdr>
        </w:div>
        <w:div w:id="1797674628">
          <w:marLeft w:val="0"/>
          <w:marRight w:val="0"/>
          <w:marTop w:val="0"/>
          <w:marBottom w:val="0"/>
          <w:divBdr>
            <w:top w:val="none" w:sz="0" w:space="0" w:color="auto"/>
            <w:left w:val="none" w:sz="0" w:space="0" w:color="auto"/>
            <w:bottom w:val="none" w:sz="0" w:space="0" w:color="auto"/>
            <w:right w:val="none" w:sz="0" w:space="0" w:color="auto"/>
          </w:divBdr>
        </w:div>
      </w:divsChild>
    </w:div>
    <w:div w:id="1625193580">
      <w:bodyDiv w:val="1"/>
      <w:marLeft w:val="0"/>
      <w:marRight w:val="0"/>
      <w:marTop w:val="0"/>
      <w:marBottom w:val="0"/>
      <w:divBdr>
        <w:top w:val="none" w:sz="0" w:space="0" w:color="auto"/>
        <w:left w:val="none" w:sz="0" w:space="0" w:color="auto"/>
        <w:bottom w:val="none" w:sz="0" w:space="0" w:color="auto"/>
        <w:right w:val="none" w:sz="0" w:space="0" w:color="auto"/>
      </w:divBdr>
      <w:divsChild>
        <w:div w:id="224224488">
          <w:marLeft w:val="0"/>
          <w:marRight w:val="0"/>
          <w:marTop w:val="0"/>
          <w:marBottom w:val="0"/>
          <w:divBdr>
            <w:top w:val="none" w:sz="0" w:space="0" w:color="auto"/>
            <w:left w:val="none" w:sz="0" w:space="0" w:color="auto"/>
            <w:bottom w:val="none" w:sz="0" w:space="0" w:color="auto"/>
            <w:right w:val="none" w:sz="0" w:space="0" w:color="auto"/>
          </w:divBdr>
        </w:div>
        <w:div w:id="748892136">
          <w:marLeft w:val="0"/>
          <w:marRight w:val="0"/>
          <w:marTop w:val="0"/>
          <w:marBottom w:val="0"/>
          <w:divBdr>
            <w:top w:val="none" w:sz="0" w:space="0" w:color="auto"/>
            <w:left w:val="none" w:sz="0" w:space="0" w:color="auto"/>
            <w:bottom w:val="none" w:sz="0" w:space="0" w:color="auto"/>
            <w:right w:val="none" w:sz="0" w:space="0" w:color="auto"/>
          </w:divBdr>
        </w:div>
        <w:div w:id="2002006609">
          <w:marLeft w:val="0"/>
          <w:marRight w:val="0"/>
          <w:marTop w:val="0"/>
          <w:marBottom w:val="0"/>
          <w:divBdr>
            <w:top w:val="none" w:sz="0" w:space="0" w:color="auto"/>
            <w:left w:val="none" w:sz="0" w:space="0" w:color="auto"/>
            <w:bottom w:val="none" w:sz="0" w:space="0" w:color="auto"/>
            <w:right w:val="none" w:sz="0" w:space="0" w:color="auto"/>
          </w:divBdr>
        </w:div>
      </w:divsChild>
    </w:div>
    <w:div w:id="1626235030">
      <w:bodyDiv w:val="1"/>
      <w:marLeft w:val="0"/>
      <w:marRight w:val="0"/>
      <w:marTop w:val="0"/>
      <w:marBottom w:val="0"/>
      <w:divBdr>
        <w:top w:val="none" w:sz="0" w:space="0" w:color="auto"/>
        <w:left w:val="none" w:sz="0" w:space="0" w:color="auto"/>
        <w:bottom w:val="none" w:sz="0" w:space="0" w:color="auto"/>
        <w:right w:val="none" w:sz="0" w:space="0" w:color="auto"/>
      </w:divBdr>
      <w:divsChild>
        <w:div w:id="137110701">
          <w:marLeft w:val="0"/>
          <w:marRight w:val="0"/>
          <w:marTop w:val="0"/>
          <w:marBottom w:val="0"/>
          <w:divBdr>
            <w:top w:val="none" w:sz="0" w:space="0" w:color="auto"/>
            <w:left w:val="none" w:sz="0" w:space="0" w:color="auto"/>
            <w:bottom w:val="none" w:sz="0" w:space="0" w:color="auto"/>
            <w:right w:val="none" w:sz="0" w:space="0" w:color="auto"/>
          </w:divBdr>
        </w:div>
        <w:div w:id="257444194">
          <w:marLeft w:val="0"/>
          <w:marRight w:val="0"/>
          <w:marTop w:val="0"/>
          <w:marBottom w:val="0"/>
          <w:divBdr>
            <w:top w:val="none" w:sz="0" w:space="0" w:color="auto"/>
            <w:left w:val="none" w:sz="0" w:space="0" w:color="auto"/>
            <w:bottom w:val="none" w:sz="0" w:space="0" w:color="auto"/>
            <w:right w:val="none" w:sz="0" w:space="0" w:color="auto"/>
          </w:divBdr>
        </w:div>
        <w:div w:id="909537997">
          <w:marLeft w:val="0"/>
          <w:marRight w:val="0"/>
          <w:marTop w:val="0"/>
          <w:marBottom w:val="0"/>
          <w:divBdr>
            <w:top w:val="none" w:sz="0" w:space="0" w:color="auto"/>
            <w:left w:val="none" w:sz="0" w:space="0" w:color="auto"/>
            <w:bottom w:val="none" w:sz="0" w:space="0" w:color="auto"/>
            <w:right w:val="none" w:sz="0" w:space="0" w:color="auto"/>
          </w:divBdr>
        </w:div>
        <w:div w:id="1157572707">
          <w:marLeft w:val="0"/>
          <w:marRight w:val="0"/>
          <w:marTop w:val="0"/>
          <w:marBottom w:val="0"/>
          <w:divBdr>
            <w:top w:val="none" w:sz="0" w:space="0" w:color="auto"/>
            <w:left w:val="none" w:sz="0" w:space="0" w:color="auto"/>
            <w:bottom w:val="none" w:sz="0" w:space="0" w:color="auto"/>
            <w:right w:val="none" w:sz="0" w:space="0" w:color="auto"/>
          </w:divBdr>
        </w:div>
        <w:div w:id="1851985981">
          <w:marLeft w:val="0"/>
          <w:marRight w:val="0"/>
          <w:marTop w:val="0"/>
          <w:marBottom w:val="0"/>
          <w:divBdr>
            <w:top w:val="none" w:sz="0" w:space="0" w:color="auto"/>
            <w:left w:val="none" w:sz="0" w:space="0" w:color="auto"/>
            <w:bottom w:val="none" w:sz="0" w:space="0" w:color="auto"/>
            <w:right w:val="none" w:sz="0" w:space="0" w:color="auto"/>
          </w:divBdr>
        </w:div>
      </w:divsChild>
    </w:div>
    <w:div w:id="1767651709">
      <w:bodyDiv w:val="1"/>
      <w:marLeft w:val="0"/>
      <w:marRight w:val="0"/>
      <w:marTop w:val="0"/>
      <w:marBottom w:val="0"/>
      <w:divBdr>
        <w:top w:val="none" w:sz="0" w:space="0" w:color="auto"/>
        <w:left w:val="none" w:sz="0" w:space="0" w:color="auto"/>
        <w:bottom w:val="none" w:sz="0" w:space="0" w:color="auto"/>
        <w:right w:val="none" w:sz="0" w:space="0" w:color="auto"/>
      </w:divBdr>
      <w:divsChild>
        <w:div w:id="64495799">
          <w:marLeft w:val="0"/>
          <w:marRight w:val="0"/>
          <w:marTop w:val="0"/>
          <w:marBottom w:val="0"/>
          <w:divBdr>
            <w:top w:val="none" w:sz="0" w:space="0" w:color="auto"/>
            <w:left w:val="none" w:sz="0" w:space="0" w:color="auto"/>
            <w:bottom w:val="none" w:sz="0" w:space="0" w:color="auto"/>
            <w:right w:val="none" w:sz="0" w:space="0" w:color="auto"/>
          </w:divBdr>
        </w:div>
        <w:div w:id="749038122">
          <w:marLeft w:val="0"/>
          <w:marRight w:val="0"/>
          <w:marTop w:val="0"/>
          <w:marBottom w:val="0"/>
          <w:divBdr>
            <w:top w:val="none" w:sz="0" w:space="0" w:color="auto"/>
            <w:left w:val="none" w:sz="0" w:space="0" w:color="auto"/>
            <w:bottom w:val="none" w:sz="0" w:space="0" w:color="auto"/>
            <w:right w:val="none" w:sz="0" w:space="0" w:color="auto"/>
          </w:divBdr>
        </w:div>
        <w:div w:id="988634344">
          <w:marLeft w:val="0"/>
          <w:marRight w:val="0"/>
          <w:marTop w:val="0"/>
          <w:marBottom w:val="0"/>
          <w:divBdr>
            <w:top w:val="none" w:sz="0" w:space="0" w:color="auto"/>
            <w:left w:val="none" w:sz="0" w:space="0" w:color="auto"/>
            <w:bottom w:val="none" w:sz="0" w:space="0" w:color="auto"/>
            <w:right w:val="none" w:sz="0" w:space="0" w:color="auto"/>
          </w:divBdr>
        </w:div>
        <w:div w:id="1074666963">
          <w:marLeft w:val="0"/>
          <w:marRight w:val="0"/>
          <w:marTop w:val="0"/>
          <w:marBottom w:val="0"/>
          <w:divBdr>
            <w:top w:val="none" w:sz="0" w:space="0" w:color="auto"/>
            <w:left w:val="none" w:sz="0" w:space="0" w:color="auto"/>
            <w:bottom w:val="none" w:sz="0" w:space="0" w:color="auto"/>
            <w:right w:val="none" w:sz="0" w:space="0" w:color="auto"/>
          </w:divBdr>
        </w:div>
        <w:div w:id="1087387148">
          <w:marLeft w:val="0"/>
          <w:marRight w:val="0"/>
          <w:marTop w:val="0"/>
          <w:marBottom w:val="0"/>
          <w:divBdr>
            <w:top w:val="none" w:sz="0" w:space="0" w:color="auto"/>
            <w:left w:val="none" w:sz="0" w:space="0" w:color="auto"/>
            <w:bottom w:val="none" w:sz="0" w:space="0" w:color="auto"/>
            <w:right w:val="none" w:sz="0" w:space="0" w:color="auto"/>
          </w:divBdr>
        </w:div>
      </w:divsChild>
    </w:div>
    <w:div w:id="1926650456">
      <w:bodyDiv w:val="1"/>
      <w:marLeft w:val="0"/>
      <w:marRight w:val="0"/>
      <w:marTop w:val="0"/>
      <w:marBottom w:val="0"/>
      <w:divBdr>
        <w:top w:val="none" w:sz="0" w:space="0" w:color="auto"/>
        <w:left w:val="none" w:sz="0" w:space="0" w:color="auto"/>
        <w:bottom w:val="none" w:sz="0" w:space="0" w:color="auto"/>
        <w:right w:val="none" w:sz="0" w:space="0" w:color="auto"/>
      </w:divBdr>
      <w:divsChild>
        <w:div w:id="178085891">
          <w:marLeft w:val="0"/>
          <w:marRight w:val="0"/>
          <w:marTop w:val="0"/>
          <w:marBottom w:val="0"/>
          <w:divBdr>
            <w:top w:val="none" w:sz="0" w:space="0" w:color="auto"/>
            <w:left w:val="none" w:sz="0" w:space="0" w:color="auto"/>
            <w:bottom w:val="none" w:sz="0" w:space="0" w:color="auto"/>
            <w:right w:val="none" w:sz="0" w:space="0" w:color="auto"/>
          </w:divBdr>
        </w:div>
        <w:div w:id="627203494">
          <w:marLeft w:val="0"/>
          <w:marRight w:val="0"/>
          <w:marTop w:val="0"/>
          <w:marBottom w:val="0"/>
          <w:divBdr>
            <w:top w:val="none" w:sz="0" w:space="0" w:color="auto"/>
            <w:left w:val="none" w:sz="0" w:space="0" w:color="auto"/>
            <w:bottom w:val="none" w:sz="0" w:space="0" w:color="auto"/>
            <w:right w:val="none" w:sz="0" w:space="0" w:color="auto"/>
          </w:divBdr>
        </w:div>
        <w:div w:id="664750677">
          <w:marLeft w:val="0"/>
          <w:marRight w:val="0"/>
          <w:marTop w:val="0"/>
          <w:marBottom w:val="0"/>
          <w:divBdr>
            <w:top w:val="none" w:sz="0" w:space="0" w:color="auto"/>
            <w:left w:val="none" w:sz="0" w:space="0" w:color="auto"/>
            <w:bottom w:val="none" w:sz="0" w:space="0" w:color="auto"/>
            <w:right w:val="none" w:sz="0" w:space="0" w:color="auto"/>
          </w:divBdr>
        </w:div>
        <w:div w:id="1239513998">
          <w:marLeft w:val="0"/>
          <w:marRight w:val="0"/>
          <w:marTop w:val="0"/>
          <w:marBottom w:val="0"/>
          <w:divBdr>
            <w:top w:val="none" w:sz="0" w:space="0" w:color="auto"/>
            <w:left w:val="none" w:sz="0" w:space="0" w:color="auto"/>
            <w:bottom w:val="none" w:sz="0" w:space="0" w:color="auto"/>
            <w:right w:val="none" w:sz="0" w:space="0" w:color="auto"/>
          </w:divBdr>
        </w:div>
        <w:div w:id="1582639204">
          <w:marLeft w:val="0"/>
          <w:marRight w:val="0"/>
          <w:marTop w:val="0"/>
          <w:marBottom w:val="0"/>
          <w:divBdr>
            <w:top w:val="none" w:sz="0" w:space="0" w:color="auto"/>
            <w:left w:val="none" w:sz="0" w:space="0" w:color="auto"/>
            <w:bottom w:val="none" w:sz="0" w:space="0" w:color="auto"/>
            <w:right w:val="none" w:sz="0" w:space="0" w:color="auto"/>
          </w:divBdr>
        </w:div>
      </w:divsChild>
    </w:div>
    <w:div w:id="1932355631">
      <w:bodyDiv w:val="1"/>
      <w:marLeft w:val="0"/>
      <w:marRight w:val="0"/>
      <w:marTop w:val="0"/>
      <w:marBottom w:val="0"/>
      <w:divBdr>
        <w:top w:val="none" w:sz="0" w:space="0" w:color="auto"/>
        <w:left w:val="none" w:sz="0" w:space="0" w:color="auto"/>
        <w:bottom w:val="none" w:sz="0" w:space="0" w:color="auto"/>
        <w:right w:val="none" w:sz="0" w:space="0" w:color="auto"/>
      </w:divBdr>
      <w:divsChild>
        <w:div w:id="504593520">
          <w:marLeft w:val="0"/>
          <w:marRight w:val="0"/>
          <w:marTop w:val="0"/>
          <w:marBottom w:val="0"/>
          <w:divBdr>
            <w:top w:val="none" w:sz="0" w:space="0" w:color="auto"/>
            <w:left w:val="none" w:sz="0" w:space="0" w:color="auto"/>
            <w:bottom w:val="none" w:sz="0" w:space="0" w:color="auto"/>
            <w:right w:val="none" w:sz="0" w:space="0" w:color="auto"/>
          </w:divBdr>
        </w:div>
        <w:div w:id="1014067912">
          <w:marLeft w:val="0"/>
          <w:marRight w:val="0"/>
          <w:marTop w:val="0"/>
          <w:marBottom w:val="0"/>
          <w:divBdr>
            <w:top w:val="none" w:sz="0" w:space="0" w:color="auto"/>
            <w:left w:val="none" w:sz="0" w:space="0" w:color="auto"/>
            <w:bottom w:val="none" w:sz="0" w:space="0" w:color="auto"/>
            <w:right w:val="none" w:sz="0" w:space="0" w:color="auto"/>
          </w:divBdr>
        </w:div>
      </w:divsChild>
    </w:div>
    <w:div w:id="1938951125">
      <w:bodyDiv w:val="1"/>
      <w:marLeft w:val="0"/>
      <w:marRight w:val="0"/>
      <w:marTop w:val="0"/>
      <w:marBottom w:val="0"/>
      <w:divBdr>
        <w:top w:val="none" w:sz="0" w:space="0" w:color="auto"/>
        <w:left w:val="none" w:sz="0" w:space="0" w:color="auto"/>
        <w:bottom w:val="none" w:sz="0" w:space="0" w:color="auto"/>
        <w:right w:val="none" w:sz="0" w:space="0" w:color="auto"/>
      </w:divBdr>
      <w:divsChild>
        <w:div w:id="518661477">
          <w:marLeft w:val="0"/>
          <w:marRight w:val="0"/>
          <w:marTop w:val="0"/>
          <w:marBottom w:val="0"/>
          <w:divBdr>
            <w:top w:val="none" w:sz="0" w:space="0" w:color="auto"/>
            <w:left w:val="none" w:sz="0" w:space="0" w:color="auto"/>
            <w:bottom w:val="none" w:sz="0" w:space="0" w:color="auto"/>
            <w:right w:val="none" w:sz="0" w:space="0" w:color="auto"/>
          </w:divBdr>
        </w:div>
        <w:div w:id="610282228">
          <w:marLeft w:val="0"/>
          <w:marRight w:val="0"/>
          <w:marTop w:val="0"/>
          <w:marBottom w:val="0"/>
          <w:divBdr>
            <w:top w:val="none" w:sz="0" w:space="0" w:color="auto"/>
            <w:left w:val="none" w:sz="0" w:space="0" w:color="auto"/>
            <w:bottom w:val="none" w:sz="0" w:space="0" w:color="auto"/>
            <w:right w:val="none" w:sz="0" w:space="0" w:color="auto"/>
          </w:divBdr>
        </w:div>
        <w:div w:id="1297833428">
          <w:marLeft w:val="0"/>
          <w:marRight w:val="0"/>
          <w:marTop w:val="0"/>
          <w:marBottom w:val="0"/>
          <w:divBdr>
            <w:top w:val="none" w:sz="0" w:space="0" w:color="auto"/>
            <w:left w:val="none" w:sz="0" w:space="0" w:color="auto"/>
            <w:bottom w:val="none" w:sz="0" w:space="0" w:color="auto"/>
            <w:right w:val="none" w:sz="0" w:space="0" w:color="auto"/>
          </w:divBdr>
        </w:div>
      </w:divsChild>
    </w:div>
    <w:div w:id="2049257502">
      <w:bodyDiv w:val="1"/>
      <w:marLeft w:val="0"/>
      <w:marRight w:val="0"/>
      <w:marTop w:val="0"/>
      <w:marBottom w:val="0"/>
      <w:divBdr>
        <w:top w:val="none" w:sz="0" w:space="0" w:color="auto"/>
        <w:left w:val="none" w:sz="0" w:space="0" w:color="auto"/>
        <w:bottom w:val="none" w:sz="0" w:space="0" w:color="auto"/>
        <w:right w:val="none" w:sz="0" w:space="0" w:color="auto"/>
      </w:divBdr>
      <w:divsChild>
        <w:div w:id="417290756">
          <w:marLeft w:val="0"/>
          <w:marRight w:val="0"/>
          <w:marTop w:val="0"/>
          <w:marBottom w:val="0"/>
          <w:divBdr>
            <w:top w:val="none" w:sz="0" w:space="0" w:color="auto"/>
            <w:left w:val="none" w:sz="0" w:space="0" w:color="auto"/>
            <w:bottom w:val="none" w:sz="0" w:space="0" w:color="auto"/>
            <w:right w:val="none" w:sz="0" w:space="0" w:color="auto"/>
          </w:divBdr>
        </w:div>
        <w:div w:id="2005738078">
          <w:marLeft w:val="0"/>
          <w:marRight w:val="0"/>
          <w:marTop w:val="0"/>
          <w:marBottom w:val="0"/>
          <w:divBdr>
            <w:top w:val="none" w:sz="0" w:space="0" w:color="auto"/>
            <w:left w:val="none" w:sz="0" w:space="0" w:color="auto"/>
            <w:bottom w:val="none" w:sz="0" w:space="0" w:color="auto"/>
            <w:right w:val="none" w:sz="0" w:space="0" w:color="auto"/>
          </w:divBdr>
        </w:div>
      </w:divsChild>
    </w:div>
    <w:div w:id="2146045975">
      <w:bodyDiv w:val="1"/>
      <w:marLeft w:val="0"/>
      <w:marRight w:val="0"/>
      <w:marTop w:val="0"/>
      <w:marBottom w:val="0"/>
      <w:divBdr>
        <w:top w:val="none" w:sz="0" w:space="0" w:color="auto"/>
        <w:left w:val="none" w:sz="0" w:space="0" w:color="auto"/>
        <w:bottom w:val="none" w:sz="0" w:space="0" w:color="auto"/>
        <w:right w:val="none" w:sz="0" w:space="0" w:color="auto"/>
      </w:divBdr>
      <w:divsChild>
        <w:div w:id="572786715">
          <w:marLeft w:val="0"/>
          <w:marRight w:val="0"/>
          <w:marTop w:val="0"/>
          <w:marBottom w:val="0"/>
          <w:divBdr>
            <w:top w:val="none" w:sz="0" w:space="0" w:color="auto"/>
            <w:left w:val="none" w:sz="0" w:space="0" w:color="auto"/>
            <w:bottom w:val="none" w:sz="0" w:space="0" w:color="auto"/>
            <w:right w:val="none" w:sz="0" w:space="0" w:color="auto"/>
          </w:divBdr>
        </w:div>
        <w:div w:id="1932858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ationalarchives.gov.uk/doc/open-government-licence/version/3/" TargetMode="External"/><Relationship Id="rId18" Type="http://schemas.openxmlformats.org/officeDocument/2006/relationships/hyperlink" Target="https://view.officeapps.live.com/op/view.aspx?src=https%3A%2F%2Fscience-and-innovation-network.s3.eu-west-2.amazonaws.com%2FBEIS%2BICF%2FNDCP%2FAPPROVED%2BVERSION%2BFOR%2BPUBLICATION%2B-%2BAnnual%2BReview%2Bfor%2BNDC%2BPartnership%2BFY%2B2023-2024.docx&amp;wdOrigin=BROWSELINK"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science-and-innovation-network.s3.eu-west-2.amazonaws.com/BEIS+ICF/NDCP/Annex+C+-+UK+Support+to+NDC+Partnership+LogFram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iew.officeapps.live.com/op/view.aspx?src=https%3A%2F%2Fscience-and-innovation-network.s3.eu-west-2.amazonaws.com%2FBEIS%2BICF%2FNDCP%2FNDC%2BPartnership%2Bextension%2Bbusiness%2Bcase%2B-%2BRedacted.docx&amp;wdOrigin=BROWSELI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ODA-Transparency@beis.gov.u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si@nationalarchives.gsi.gov.uk"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gacyData xmlns="aaacb922-5235-4a66-b188-303b9b46fbd7">{
  "Name": "BEIS Annual Review Template April 2020.docx",
  "Title": "Annual Review Template_April 2020",
  "External": "",
  "Document Notes": "",
  "Security Classification": "OFFICIAL",
  "Handling Instructions": "",
  "Descriptor": "",
  "Government Body": "BEIS",
  "Business Unit": "BEIS:Energy, Transformation and Clean Growth:International (Climate and Energy):International Climate Finance",
  "Retention Label": "Corp PPP Review",
  "Date Opened": "2020-04-17T10:35:13.0000000Z",
  "Date Closed": "",
  "National Caveat": "",
  "Previous Location": "",
  "Previous Id": "",
  "Legacy Document Type": "",
  "Legacy Fileplan Target": "",
  "Legacy Numeric Class": "",
  "Legacy Folder Type": "",
  "Legacy Record Folder Identifier": "",
  "Legacy Copyright": "",
  "Legacy Last Modified Date": "",
  "Legacy Modifier": "",
  "Legacy Folder": "",
  "Legacy Content Type": "",
  "Legacy Expiry Review Date": "",
  "Legacy Last Action Date": "",
  "Legacy Protective Marking": "",
  "Legacy Tags": "",
  "Legacy References From Other Items": "",
  "Legacy Status on Transfer": "",
  "Legacy Date Closed": "",
  "Legacy Record Category Identifier": "",
  "Legacy Disposition as of Date": "",
  "Legacy Home Location": "",
  "Legacy Current Location": "",
  "Legacy Date File Received": "",
  "Legacy Date File Requested": "",
  "Legacy Date File Returned": "",
  "Legacy Minister": "",
  "Legacy MP": "",
  "Legacy Folder Notes": "",
  "Legacy Physical Item Location": "",
  "Legacy Request Type": "",
  "Legacy Descriptor": "",
  "Legacy Folder Document ID": "",
  "Legacy Document ID": "",
  "Legacy References To Other Items": "",
  "Legacy Custodian": "",
  "Legacy Additional Authors": "",
  "Legacy Document Link": "",
  "Legacy Folder Link": "",
  "Legacy Physical Format": false,
  "Content Type": "Document",
  "Previous Retention Policy": "",
  "Legacy Case Reference Number": "",
  "Created": "2020-04-17T10:35:16.0000000Z",
  "Document Modified By": "i:0#.f|membership|william.smithers@beis.gov.uk",
  "Document Created By": "i:0#.f|membership|william.smithers@beis.gov.uk",
  "Document ID Value": "2QFN7KK647Q6-169810503-3609",
  "Modified": "2020-06-12T15:11:14.0000000Z",
  "Original Location": "/sites/beis/201/Portfolio/Project Monitoring and Delivery/Annual Reviews/BEIS Annual Review Template April 2020.docx"
}</LegacyData>
    <_ip_UnifiedCompliancePolicyUIAction xmlns="http://schemas.microsoft.com/sharepoint/v3" xsi:nil="true"/>
    <_ip_UnifiedCompliancePolicyProperties xmlns="http://schemas.microsoft.com/sharepoint/v3" xsi:nil="true"/>
    <_dlc_DocId xmlns="b9d65af1-18fa-4dc7-9941-b26f165da588">SFTTVFQA44A4-567391438-143976</_dlc_DocId>
    <TaxCatchAll xmlns="b9d65af1-18fa-4dc7-9941-b26f165da588">
      <Value>3</Value>
      <Value>2</Value>
      <Value>1</Value>
    </TaxCatchAll>
    <_dlc_DocIdUrl xmlns="b9d65af1-18fa-4dc7-9941-b26f165da588">
      <Url>https://beisgov.sharepoint.com/sites/GreenFinanceAndCapability-ALL/_layouts/15/DocIdRedir.aspx?ID=SFTTVFQA44A4-567391438-143976</Url>
      <Description>SFTTVFQA44A4-567391438-143976</Description>
    </_dlc_DocIdUrl>
    <SharedWithUsers xmlns="b9d65af1-18fa-4dc7-9941-b26f165da588">
      <UserInfo>
        <DisplayName/>
        <AccountId xsi:nil="true"/>
        <AccountType/>
      </UserInfo>
    </SharedWithUsers>
    <lcf76f155ced4ddcb4097134ff3c332f xmlns="374ed4d6-b127-4161-a8d5-91d2d6d266bd">
      <Terms xmlns="http://schemas.microsoft.com/office/infopath/2007/PartnerControls"/>
    </lcf76f155ced4ddcb4097134ff3c332f>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b386cac2-c28c-4db4-8fca-43733d0e74ef</TermId>
        </TermInfo>
      </Terms>
    </c6f593ada1854b629148449de059396b>
    <_ip_UnifiedCompliancePolicyUIAct xmlns="374ed4d6-b127-4161-a8d5-91d2d6d266bd" xsi:nil="true"/>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Climate and energy</TermName>
          <TermId xmlns="http://schemas.microsoft.com/office/infopath/2007/PartnerControls">98b2efea-a649-07e6-a104-07f256801c42</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International climate</TermName>
          <TermId xmlns="http://schemas.microsoft.com/office/infopath/2007/PartnerControls">5a595758-250c-1237-4802-ae3329732708</TermId>
        </TermInfo>
      </Terms>
    </h573c97cf80c4aa6b446c5363dc3ac94>
  </documentManagement>
</p:properties>
</file>

<file path=customXml/item5.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DF02EFE51CE9C84D92B4813DC0A3B57A" ma:contentTypeVersion="22" ma:contentTypeDescription="Create a new document." ma:contentTypeScope="" ma:versionID="55f9eae35d3974ed757ec72cdf8ab23a">
  <xsd:schema xmlns:xsd="http://www.w3.org/2001/XMLSchema" xmlns:xs="http://www.w3.org/2001/XMLSchema" xmlns:p="http://schemas.microsoft.com/office/2006/metadata/properties" xmlns:ns1="http://schemas.microsoft.com/sharepoint/v3" xmlns:ns2="0f9fa326-da26-4ea8-b6a9-645e8136fe1d" xmlns:ns3="b9d65af1-18fa-4dc7-9941-b26f165da588" xmlns:ns4="aaacb922-5235-4a66-b188-303b9b46fbd7" xmlns:ns5="374ed4d6-b127-4161-a8d5-91d2d6d266bd" targetNamespace="http://schemas.microsoft.com/office/2006/metadata/properties" ma:root="true" ma:fieldsID="622289f6ab4df6bbb609e453f16fe5a7" ns1:_="" ns2:_="" ns3:_="" ns4:_="" ns5:_="">
    <xsd:import namespace="http://schemas.microsoft.com/sharepoint/v3"/>
    <xsd:import namespace="0f9fa326-da26-4ea8-b6a9-645e8136fe1d"/>
    <xsd:import namespace="b9d65af1-18fa-4dc7-9941-b26f165da588"/>
    <xsd:import namespace="aaacb922-5235-4a66-b188-303b9b46fbd7"/>
    <xsd:import namespace="374ed4d6-b127-4161-a8d5-91d2d6d266bd"/>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3:SharedWithUsers" minOccurs="0"/>
                <xsd:element ref="ns3:SharedWithDetails" minOccurs="0"/>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SearchProperties" minOccurs="0"/>
                <xsd:element ref="ns5:MediaLengthInSeconds" minOccurs="0"/>
                <xsd:element ref="ns1:_ip_UnifiedCompliancePolicyProperties" minOccurs="0"/>
                <xsd:element ref="ns1:_ip_UnifiedCompliancePolicyUIAction" minOccurs="0"/>
                <xsd:element ref="ns5:_ip_UnifiedCompliancePolicyUIAct"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BEIS|b386cac2-c28c-4db4-8fca-43733d0e74ef"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Climate and energy|98b2efea-a649-07e6-a104-07f256801c42"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International climate|5a595758-250c-1237-4802-ae3329732708"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d65af1-18fa-4dc7-9941-b26f165da588"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b47bc4a-1520-4e4a-95b5-a23457f3f389}" ma:internalName="TaxCatchAll" ma:showField="CatchAllData" ma:web="b9d65af1-18fa-4dc7-9941-b26f165da58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b47bc4a-1520-4e4a-95b5-a23457f3f389}" ma:internalName="TaxCatchAllLabel" ma:readOnly="true" ma:showField="CatchAllDataLabel" ma:web="b9d65af1-18fa-4dc7-9941-b26f165da588">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ed4d6-b127-4161-a8d5-91d2d6d266bd"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LengthInSeconds" ma:index="33" nillable="true" ma:displayName="MediaLengthInSeconds" ma:hidden="true" ma:internalName="MediaLengthInSeconds" ma:readOnly="true">
      <xsd:simpleType>
        <xsd:restriction base="dms:Unknown"/>
      </xsd:simpleType>
    </xsd:element>
    <xsd:element name="_ip_UnifiedCompliancePolicyUIAct" ma:index="36" nillable="true" ma:displayName="_ip_UnifiedCompliancePolicyUIAct" ma:internalName="_ip_UnifiedCompliancePolicyUIAct">
      <xsd:simpleType>
        <xsd:restriction base="dms:Text">
          <xsd:maxLength value="255"/>
        </xsd:restriction>
      </xsd:simpleType>
    </xsd:element>
    <xsd:element name="MediaServiceBillingMetadata" ma:index="3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48BD2-19FB-4A1A-9F04-1E661C4B97AC}">
  <ds:schemaRefs>
    <ds:schemaRef ds:uri="http://schemas.microsoft.com/sharepoint/events"/>
  </ds:schemaRefs>
</ds:datastoreItem>
</file>

<file path=customXml/itemProps2.xml><?xml version="1.0" encoding="utf-8"?>
<ds:datastoreItem xmlns:ds="http://schemas.openxmlformats.org/officeDocument/2006/customXml" ds:itemID="{5E470627-5072-4164-B9A0-A8C60A90D51C}">
  <ds:schemaRefs>
    <ds:schemaRef ds:uri="http://schemas.openxmlformats.org/officeDocument/2006/bibliography"/>
  </ds:schemaRefs>
</ds:datastoreItem>
</file>

<file path=customXml/itemProps3.xml><?xml version="1.0" encoding="utf-8"?>
<ds:datastoreItem xmlns:ds="http://schemas.openxmlformats.org/officeDocument/2006/customXml" ds:itemID="{28542131-BD40-42FA-BF1D-325659C74395}">
  <ds:schemaRefs>
    <ds:schemaRef ds:uri="http://schemas.microsoft.com/sharepoint/v3/contenttype/forms"/>
  </ds:schemaRefs>
</ds:datastoreItem>
</file>

<file path=customXml/itemProps4.xml><?xml version="1.0" encoding="utf-8"?>
<ds:datastoreItem xmlns:ds="http://schemas.openxmlformats.org/officeDocument/2006/customXml" ds:itemID="{02FCA949-4A17-4A58-8CB4-38E906E85F6A}">
  <ds:schemaRefs>
    <ds:schemaRef ds:uri="http://schemas.microsoft.com/office/2006/documentManagement/types"/>
    <ds:schemaRef ds:uri="http://purl.org/dc/dcmitype/"/>
    <ds:schemaRef ds:uri="http://schemas.microsoft.com/sharepoint/v3"/>
    <ds:schemaRef ds:uri="http://schemas.microsoft.com/office/infopath/2007/PartnerControls"/>
    <ds:schemaRef ds:uri="b9d65af1-18fa-4dc7-9941-b26f165da588"/>
    <ds:schemaRef ds:uri="http://purl.org/dc/terms/"/>
    <ds:schemaRef ds:uri="http://schemas.microsoft.com/office/2006/metadata/properties"/>
    <ds:schemaRef ds:uri="http://purl.org/dc/elements/1.1/"/>
    <ds:schemaRef ds:uri="http://schemas.openxmlformats.org/package/2006/metadata/core-properties"/>
    <ds:schemaRef ds:uri="374ed4d6-b127-4161-a8d5-91d2d6d266bd"/>
    <ds:schemaRef ds:uri="aaacb922-5235-4a66-b188-303b9b46fbd7"/>
    <ds:schemaRef ds:uri="http://www.w3.org/XML/1998/namespace"/>
    <ds:schemaRef ds:uri="0f9fa326-da26-4ea8-b6a9-645e8136fe1d"/>
  </ds:schemaRefs>
</ds:datastoreItem>
</file>

<file path=customXml/itemProps5.xml><?xml version="1.0" encoding="utf-8"?>
<ds:datastoreItem xmlns:ds="http://schemas.openxmlformats.org/officeDocument/2006/customXml" ds:itemID="{8B306E4E-D249-4188-9601-7D0405321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9fa326-da26-4ea8-b6a9-645e8136fe1d"/>
    <ds:schemaRef ds:uri="b9d65af1-18fa-4dc7-9941-b26f165da588"/>
    <ds:schemaRef ds:uri="aaacb922-5235-4a66-b188-303b9b46fbd7"/>
    <ds:schemaRef ds:uri="374ed4d6-b127-4161-a8d5-91d2d6d26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a62f585-b40f-4ab9-bafe-39150f03d124}" enabled="1" method="Standard" siteId="{cbac7005-02c1-43eb-b497-e6492d1b2dd8}" contentBits="0" removed="0"/>
</clbl:labelList>
</file>

<file path=docProps/app.xml><?xml version="1.0" encoding="utf-8"?>
<Properties xmlns="http://schemas.openxmlformats.org/officeDocument/2006/extended-properties" xmlns:vt="http://schemas.openxmlformats.org/officeDocument/2006/docPropsVTypes">
  <Template>Normal</Template>
  <TotalTime>892</TotalTime>
  <Pages>36</Pages>
  <Words>13465</Words>
  <Characters>76752</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Smithers, William (Intl Climate Finance: Portfolio)</dc:creator>
  <cp:keywords/>
  <dc:description/>
  <cp:lastModifiedBy>Apine, Alina (Energy Security)</cp:lastModifiedBy>
  <cp:revision>2934</cp:revision>
  <dcterms:created xsi:type="dcterms:W3CDTF">2025-05-15T01:59:00Z</dcterms:created>
  <dcterms:modified xsi:type="dcterms:W3CDTF">2025-08-14T13:36:00Z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2020-07-31T08:26:31Z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cddeefbe-1e4c-49e9-8a2d-000074bea76d</vt:lpwstr>
  </property>
  <property fmtid="{D5CDD505-2E9C-101B-9397-08002B2CF9AE}" pid="8" name="MSIP_Label_ba62f585-b40f-4ab9-bafe-39150f03d124_ContentBits">
    <vt:lpwstr>0</vt:lpwstr>
  </property>
  <property fmtid="{D5CDD505-2E9C-101B-9397-08002B2CF9AE}" pid="9" name="Business Document Type">
    <vt:lpwstr>Annual review</vt:lpwstr>
  </property>
  <property fmtid="{D5CDD505-2E9C-101B-9397-08002B2CF9AE}" pid="10" name="Business Unit">
    <vt:lpwstr>1;#International Climate Finance|25a07eec-082c-4868-be05-2bef48a6767e</vt:lpwstr>
  </property>
  <property fmtid="{D5CDD505-2E9C-101B-9397-08002B2CF9AE}" pid="11" name="MSIP_Label_e4c996da-17fa-4fc5-8989-2758fb4cf86b_ActionId">
    <vt:lpwstr>919708a4-416e-499e-8edc-0000a189eb48</vt:lpwstr>
  </property>
  <property fmtid="{D5CDD505-2E9C-101B-9397-08002B2CF9AE}" pid="12" name="MSIP_Label_e4c996da-17fa-4fc5-8989-2758fb4cf86b_SiteId">
    <vt:lpwstr>cdf709af-1a18-4c74-bd93-6d14a64d73b3</vt:lpwstr>
  </property>
  <property fmtid="{D5CDD505-2E9C-101B-9397-08002B2CF9AE}" pid="13" name="MSIP_Label_e4c996da-17fa-4fc5-8989-2758fb4cf86b_ContentBits">
    <vt:lpwstr>1</vt:lpwstr>
  </property>
  <property fmtid="{D5CDD505-2E9C-101B-9397-08002B2CF9AE}" pid="14" name="ContentTypeId">
    <vt:lpwstr>0x0101004691A8DE0991884F8E90AD6474FC73730100DF02EFE51CE9C84D92B4813DC0A3B57A</vt:lpwstr>
  </property>
  <property fmtid="{D5CDD505-2E9C-101B-9397-08002B2CF9AE}" pid="15" name="MSIP_Label_e4c996da-17fa-4fc5-8989-2758fb4cf86b_Enabled">
    <vt:lpwstr>true</vt:lpwstr>
  </property>
  <property fmtid="{D5CDD505-2E9C-101B-9397-08002B2CF9AE}" pid="16" name="MSIP_Label_e4c996da-17fa-4fc5-8989-2758fb4cf86b_Name">
    <vt:lpwstr>OFFICIAL</vt:lpwstr>
  </property>
  <property fmtid="{D5CDD505-2E9C-101B-9397-08002B2CF9AE}" pid="17" name="_dlc_DocIdItemGuid">
    <vt:lpwstr>d2adf66e-f3c3-4657-a9ef-4e285cc32d35</vt:lpwstr>
  </property>
  <property fmtid="{D5CDD505-2E9C-101B-9397-08002B2CF9AE}" pid="18" name="MSIP_Label_e4c996da-17fa-4fc5-8989-2758fb4cf86b_SetDate">
    <vt:lpwstr>2020-03-30T16:49:07Z</vt:lpwstr>
  </property>
  <property fmtid="{D5CDD505-2E9C-101B-9397-08002B2CF9AE}" pid="19" name="MSIP_Label_e4c996da-17fa-4fc5-8989-2758fb4cf86b_Method">
    <vt:lpwstr>Standard</vt:lpwstr>
  </property>
  <property fmtid="{D5CDD505-2E9C-101B-9397-08002B2CF9AE}" pid="20" name="MediaServiceImageTags">
    <vt:lpwstr/>
  </property>
  <property fmtid="{D5CDD505-2E9C-101B-9397-08002B2CF9AE}" pid="21" name="KIM_Activity">
    <vt:lpwstr>2;#International climate|5a595758-250c-1237-4802-ae3329732708</vt:lpwstr>
  </property>
  <property fmtid="{D5CDD505-2E9C-101B-9397-08002B2CF9AE}" pid="22" name="KIM_GovernmentBody">
    <vt:lpwstr>3;#BEIS|b386cac2-c28c-4db4-8fca-43733d0e74ef</vt:lpwstr>
  </property>
  <property fmtid="{D5CDD505-2E9C-101B-9397-08002B2CF9AE}" pid="23" name="KIM_Function">
    <vt:lpwstr>1;#Climate and energy|98b2efea-a649-07e6-a104-07f256801c42</vt:lpwstr>
  </property>
  <property fmtid="{D5CDD505-2E9C-101B-9397-08002B2CF9AE}" pid="24" name="Business_x0020_Unit">
    <vt:lpwstr>1;#International Climate Finance|25a07eec-082c-4868-be05-2bef48a6767e</vt:lpwstr>
  </property>
  <property fmtid="{D5CDD505-2E9C-101B-9397-08002B2CF9AE}" pid="25" name="ComplianceAssetId">
    <vt:lpwstr/>
  </property>
  <property fmtid="{D5CDD505-2E9C-101B-9397-08002B2CF9AE}" pid="26" name="_ExtendedDescription">
    <vt:lpwstr/>
  </property>
  <property fmtid="{D5CDD505-2E9C-101B-9397-08002B2CF9AE}" pid="27" name="TriggerFlowInfo">
    <vt:lpwstr/>
  </property>
</Properties>
</file>